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114300</wp:posOffset>
            </wp:positionV>
            <wp:extent cx="2023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120015</wp:posOffset>
            </wp:positionV>
            <wp:extent cx="2023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4180" w:right="3580" w:hanging="4154"/>
        <w:spacing w:after="0" w:line="394" w:lineRule="auto"/>
        <w:tabs>
          <w:tab w:leader="none" w:pos="619"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ANNUAL REPORT PURSUANT TO SECTION 13 OR 15(d) OF THE SECURITIES EXCHANGE ACT OF 1934 For the fiscal year ended December 31, 2022</w:t>
      </w:r>
    </w:p>
    <w:p>
      <w:pPr>
        <w:jc w:val="center"/>
        <w:spacing w:after="0"/>
        <w:rPr>
          <w:sz w:val="20"/>
          <w:szCs w:val="20"/>
          <w:color w:val="auto"/>
        </w:rPr>
      </w:pPr>
      <w:r>
        <w:rPr>
          <w:rFonts w:ascii="Arial" w:cs="Arial" w:eastAsia="Arial" w:hAnsi="Arial"/>
          <w:sz w:val="14"/>
          <w:szCs w:val="14"/>
          <w:color w:val="auto"/>
        </w:rPr>
        <w:t>OR</w:t>
      </w:r>
    </w:p>
    <w:p>
      <w:pPr>
        <w:spacing w:after="0" w:line="191"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TRANSITION REPORT PURSUANT TO SECTION 13 OR 15(d) OF THE SECURITIES EXCHANGE ACT OF 1934</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80" w:type="dxa"/>
            <w:vAlign w:val="bottom"/>
            <w:gridSpan w:val="4"/>
          </w:tcPr>
          <w:p>
            <w:pPr>
              <w:jc w:val="center"/>
              <w:ind w:right="340"/>
              <w:spacing w:after="0"/>
              <w:rPr>
                <w:sz w:val="20"/>
                <w:szCs w:val="20"/>
                <w:color w:val="auto"/>
              </w:rPr>
            </w:pPr>
            <w:r>
              <w:rPr>
                <w:rFonts w:ascii="Arial" w:cs="Arial" w:eastAsia="Arial" w:hAnsi="Arial"/>
                <w:sz w:val="14"/>
                <w:szCs w:val="14"/>
                <w:color w:val="auto"/>
              </w:rPr>
              <w:t>For the transition period from to</w:t>
            </w: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gridSpan w:val="4"/>
          </w:tcPr>
          <w:p>
            <w:pPr>
              <w:jc w:val="center"/>
              <w:ind w:right="320"/>
              <w:spacing w:after="0"/>
              <w:rPr>
                <w:sz w:val="20"/>
                <w:szCs w:val="20"/>
                <w:color w:val="auto"/>
              </w:rPr>
            </w:pPr>
            <w:r>
              <w:rPr>
                <w:rFonts w:ascii="Arial" w:cs="Arial" w:eastAsia="Arial" w:hAnsi="Arial"/>
                <w:sz w:val="14"/>
                <w:szCs w:val="14"/>
                <w:color w:val="auto"/>
              </w:rPr>
              <w:t>Commission File Number 001-41043</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8"/>
        </w:trPr>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gridSpan w:val="4"/>
          </w:tcPr>
          <w:p>
            <w:pPr>
              <w:jc w:val="center"/>
              <w:ind w:right="340"/>
              <w:spacing w:after="0"/>
              <w:rPr>
                <w:sz w:val="20"/>
                <w:szCs w:val="20"/>
                <w:color w:val="auto"/>
              </w:rPr>
            </w:pPr>
            <w:r>
              <w:rPr>
                <w:rFonts w:ascii="Arial" w:cs="Arial" w:eastAsia="Arial" w:hAnsi="Arial"/>
                <w:sz w:val="32"/>
                <w:szCs w:val="32"/>
                <w:b w:val="1"/>
                <w:bCs w:val="1"/>
                <w:color w:val="auto"/>
                <w:w w:val="99"/>
              </w:rPr>
              <w:t>EXPENSIFY, INC.</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80" w:type="dxa"/>
            <w:vAlign w:val="bottom"/>
            <w:gridSpan w:val="4"/>
          </w:tcPr>
          <w:p>
            <w:pPr>
              <w:jc w:val="center"/>
              <w:ind w:right="340"/>
              <w:spacing w:after="0"/>
              <w:rPr>
                <w:sz w:val="20"/>
                <w:szCs w:val="20"/>
                <w:color w:val="auto"/>
              </w:rPr>
            </w:pPr>
            <w:r>
              <w:rPr>
                <w:rFonts w:ascii="Arial" w:cs="Arial" w:eastAsia="Arial" w:hAnsi="Arial"/>
                <w:sz w:val="13"/>
                <w:szCs w:val="13"/>
                <w:color w:val="auto"/>
                <w:w w:val="97"/>
              </w:rPr>
              <w:t>(Exact name of registrant as specified in its charter)</w:t>
            </w:r>
          </w:p>
        </w:tc>
        <w:tc>
          <w:tcPr>
            <w:tcW w:w="3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720" w:type="dxa"/>
            <w:vAlign w:val="bottom"/>
            <w:gridSpan w:val="3"/>
            <w:vMerge w:val="restart"/>
          </w:tcPr>
          <w:p>
            <w:pPr>
              <w:jc w:val="center"/>
              <w:ind w:left="1890"/>
              <w:spacing w:after="0"/>
              <w:rPr>
                <w:sz w:val="20"/>
                <w:szCs w:val="20"/>
                <w:color w:val="auto"/>
              </w:rPr>
            </w:pPr>
            <w:r>
              <w:rPr>
                <w:rFonts w:ascii="Arial" w:cs="Arial" w:eastAsia="Arial" w:hAnsi="Arial"/>
                <w:sz w:val="13"/>
                <w:szCs w:val="13"/>
                <w:b w:val="1"/>
                <w:bCs w:val="1"/>
                <w:color w:val="auto"/>
                <w:w w:val="98"/>
              </w:rPr>
              <w:t>Delaware</w:t>
            </w:r>
          </w:p>
        </w:tc>
        <w:tc>
          <w:tcPr>
            <w:tcW w:w="280" w:type="dxa"/>
            <w:vAlign w:val="bottom"/>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660" w:type="dxa"/>
            <w:vAlign w:val="bottom"/>
            <w:vMerge w:val="restart"/>
          </w:tcPr>
          <w:p>
            <w:pPr>
              <w:jc w:val="right"/>
              <w:ind w:right="2152"/>
              <w:spacing w:after="0"/>
              <w:rPr>
                <w:sz w:val="20"/>
                <w:szCs w:val="20"/>
                <w:color w:val="auto"/>
              </w:rPr>
            </w:pPr>
            <w:r>
              <w:rPr>
                <w:rFonts w:ascii="Arial" w:cs="Arial" w:eastAsia="Arial" w:hAnsi="Arial"/>
                <w:sz w:val="13"/>
                <w:szCs w:val="13"/>
                <w:b w:val="1"/>
                <w:bCs w:val="1"/>
                <w:color w:val="auto"/>
              </w:rPr>
              <w:t>27-0239450</w:t>
            </w:r>
          </w:p>
        </w:tc>
        <w:tc>
          <w:tcPr>
            <w:tcW w:w="0" w:type="dxa"/>
            <w:vAlign w:val="bottom"/>
          </w:tcPr>
          <w:p>
            <w:pPr>
              <w:spacing w:after="0"/>
              <w:rPr>
                <w:sz w:val="1"/>
                <w:szCs w:val="1"/>
                <w:color w:val="auto"/>
              </w:rPr>
            </w:pPr>
          </w:p>
        </w:tc>
      </w:tr>
      <w:tr>
        <w:trPr>
          <w:trHeight w:val="315"/>
        </w:trPr>
        <w:tc>
          <w:tcPr>
            <w:tcW w:w="37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720" w:type="dxa"/>
            <w:vAlign w:val="bottom"/>
            <w:gridSpan w:val="3"/>
          </w:tcPr>
          <w:p>
            <w:pPr>
              <w:jc w:val="center"/>
              <w:ind w:left="1870"/>
              <w:spacing w:after="0"/>
              <w:rPr>
                <w:sz w:val="20"/>
                <w:szCs w:val="20"/>
                <w:color w:val="auto"/>
              </w:rPr>
            </w:pPr>
            <w:r>
              <w:rPr>
                <w:rFonts w:ascii="Arial" w:cs="Arial" w:eastAsia="Arial" w:hAnsi="Arial"/>
                <w:sz w:val="13"/>
                <w:szCs w:val="13"/>
                <w:color w:val="auto"/>
                <w:w w:val="97"/>
              </w:rPr>
              <w:t>(State or other jurisdiction of</w:t>
            </w:r>
          </w:p>
        </w:tc>
        <w:tc>
          <w:tcPr>
            <w:tcW w:w="2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60" w:type="dxa"/>
            <w:vAlign w:val="bottom"/>
          </w:tcPr>
          <w:p>
            <w:pPr>
              <w:jc w:val="center"/>
              <w:ind w:right="1372"/>
              <w:spacing w:after="0"/>
              <w:rPr>
                <w:sz w:val="20"/>
                <w:szCs w:val="20"/>
                <w:color w:val="auto"/>
              </w:rPr>
            </w:pPr>
            <w:r>
              <w:rPr>
                <w:rFonts w:ascii="Arial" w:cs="Arial" w:eastAsia="Arial" w:hAnsi="Arial"/>
                <w:sz w:val="13"/>
                <w:szCs w:val="13"/>
                <w:color w:val="auto"/>
                <w:w w:val="98"/>
              </w:rPr>
              <w:t>(I.R.S. Employer</w:t>
            </w:r>
          </w:p>
        </w:tc>
        <w:tc>
          <w:tcPr>
            <w:tcW w:w="0" w:type="dxa"/>
            <w:vAlign w:val="bottom"/>
          </w:tcPr>
          <w:p>
            <w:pPr>
              <w:spacing w:after="0"/>
              <w:rPr>
                <w:sz w:val="1"/>
                <w:szCs w:val="1"/>
                <w:color w:val="auto"/>
              </w:rPr>
            </w:pPr>
          </w:p>
        </w:tc>
      </w:tr>
      <w:tr>
        <w:trPr>
          <w:trHeight w:val="152"/>
        </w:trPr>
        <w:tc>
          <w:tcPr>
            <w:tcW w:w="3720" w:type="dxa"/>
            <w:vAlign w:val="bottom"/>
            <w:gridSpan w:val="3"/>
          </w:tcPr>
          <w:p>
            <w:pPr>
              <w:jc w:val="center"/>
              <w:ind w:left="1890"/>
              <w:spacing w:after="0"/>
              <w:rPr>
                <w:sz w:val="20"/>
                <w:szCs w:val="20"/>
                <w:color w:val="auto"/>
              </w:rPr>
            </w:pPr>
            <w:r>
              <w:rPr>
                <w:rFonts w:ascii="Arial" w:cs="Arial" w:eastAsia="Arial" w:hAnsi="Arial"/>
                <w:sz w:val="13"/>
                <w:szCs w:val="13"/>
                <w:color w:val="auto"/>
                <w:w w:val="96"/>
              </w:rPr>
              <w:t>incorporation or organization)</w:t>
            </w:r>
          </w:p>
        </w:tc>
        <w:tc>
          <w:tcPr>
            <w:tcW w:w="2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60" w:type="dxa"/>
            <w:vAlign w:val="bottom"/>
          </w:tcPr>
          <w:p>
            <w:pPr>
              <w:jc w:val="center"/>
              <w:ind w:right="1372"/>
              <w:spacing w:after="0"/>
              <w:rPr>
                <w:sz w:val="20"/>
                <w:szCs w:val="20"/>
                <w:color w:val="auto"/>
              </w:rPr>
            </w:pPr>
            <w:r>
              <w:rPr>
                <w:rFonts w:ascii="Arial" w:cs="Arial" w:eastAsia="Arial" w:hAnsi="Arial"/>
                <w:sz w:val="13"/>
                <w:szCs w:val="13"/>
                <w:color w:val="auto"/>
                <w:w w:val="96"/>
              </w:rPr>
              <w:t>Identification No.)</w:t>
            </w:r>
          </w:p>
        </w:tc>
        <w:tc>
          <w:tcPr>
            <w:tcW w:w="0" w:type="dxa"/>
            <w:vAlign w:val="bottom"/>
          </w:tcPr>
          <w:p>
            <w:pPr>
              <w:spacing w:after="0"/>
              <w:rPr>
                <w:sz w:val="1"/>
                <w:szCs w:val="1"/>
                <w:color w:val="auto"/>
              </w:rPr>
            </w:pPr>
          </w:p>
        </w:tc>
      </w:tr>
      <w:tr>
        <w:trPr>
          <w:trHeight w:val="453"/>
        </w:trPr>
        <w:tc>
          <w:tcPr>
            <w:tcW w:w="3720" w:type="dxa"/>
            <w:vAlign w:val="bottom"/>
            <w:gridSpan w:val="3"/>
          </w:tcPr>
          <w:p>
            <w:pPr>
              <w:jc w:val="center"/>
              <w:ind w:left="1890"/>
              <w:spacing w:after="0"/>
              <w:rPr>
                <w:sz w:val="20"/>
                <w:szCs w:val="20"/>
                <w:color w:val="auto"/>
              </w:rPr>
            </w:pPr>
            <w:r>
              <w:rPr>
                <w:rFonts w:ascii="Arial" w:cs="Arial" w:eastAsia="Arial" w:hAnsi="Arial"/>
                <w:sz w:val="13"/>
                <w:szCs w:val="13"/>
                <w:b w:val="1"/>
                <w:bCs w:val="1"/>
                <w:color w:val="auto"/>
                <w:w w:val="92"/>
              </w:rPr>
              <w:t>401 SW 5</w:t>
            </w:r>
            <w:r>
              <w:rPr>
                <w:rFonts w:ascii="Arial" w:cs="Arial" w:eastAsia="Arial" w:hAnsi="Arial"/>
                <w:sz w:val="16"/>
                <w:szCs w:val="16"/>
                <w:b w:val="1"/>
                <w:bCs w:val="1"/>
                <w:color w:val="auto"/>
                <w:w w:val="92"/>
                <w:vertAlign w:val="superscript"/>
              </w:rPr>
              <w:t>th</w:t>
            </w:r>
            <w:r>
              <w:rPr>
                <w:rFonts w:ascii="Arial" w:cs="Arial" w:eastAsia="Arial" w:hAnsi="Arial"/>
                <w:sz w:val="13"/>
                <w:szCs w:val="13"/>
                <w:b w:val="1"/>
                <w:bCs w:val="1"/>
                <w:color w:val="auto"/>
                <w:w w:val="92"/>
              </w:rPr>
              <w:t xml:space="preserve"> Ave</w:t>
            </w:r>
          </w:p>
        </w:tc>
        <w:tc>
          <w:tcPr>
            <w:tcW w:w="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720" w:type="dxa"/>
            <w:vAlign w:val="bottom"/>
            <w:gridSpan w:val="3"/>
          </w:tcPr>
          <w:p>
            <w:pPr>
              <w:jc w:val="center"/>
              <w:ind w:left="1890"/>
              <w:spacing w:after="0"/>
              <w:rPr>
                <w:sz w:val="20"/>
                <w:szCs w:val="20"/>
                <w:color w:val="auto"/>
              </w:rPr>
            </w:pPr>
            <w:r>
              <w:rPr>
                <w:rFonts w:ascii="Arial" w:cs="Arial" w:eastAsia="Arial" w:hAnsi="Arial"/>
                <w:sz w:val="13"/>
                <w:szCs w:val="13"/>
                <w:b w:val="1"/>
                <w:bCs w:val="1"/>
                <w:color w:val="auto"/>
                <w:w w:val="97"/>
              </w:rPr>
              <w:t>Portland, Oregon</w:t>
            </w: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60" w:type="dxa"/>
            <w:vAlign w:val="bottom"/>
          </w:tcPr>
          <w:p>
            <w:pPr>
              <w:jc w:val="right"/>
              <w:ind w:right="2312"/>
              <w:spacing w:after="0"/>
              <w:rPr>
                <w:sz w:val="20"/>
                <w:szCs w:val="20"/>
                <w:color w:val="auto"/>
              </w:rPr>
            </w:pPr>
            <w:r>
              <w:rPr>
                <w:rFonts w:ascii="Arial" w:cs="Arial" w:eastAsia="Arial" w:hAnsi="Arial"/>
                <w:sz w:val="13"/>
                <w:szCs w:val="13"/>
                <w:b w:val="1"/>
                <w:bCs w:val="1"/>
                <w:color w:val="auto"/>
              </w:rPr>
              <w:t>97204</w:t>
            </w:r>
          </w:p>
        </w:tc>
        <w:tc>
          <w:tcPr>
            <w:tcW w:w="0" w:type="dxa"/>
            <w:vAlign w:val="bottom"/>
          </w:tcPr>
          <w:p>
            <w:pPr>
              <w:spacing w:after="0"/>
              <w:rPr>
                <w:sz w:val="1"/>
                <w:szCs w:val="1"/>
                <w:color w:val="auto"/>
              </w:rPr>
            </w:pPr>
          </w:p>
        </w:tc>
      </w:tr>
      <w:tr>
        <w:trPr>
          <w:trHeight w:val="189"/>
        </w:trPr>
        <w:tc>
          <w:tcPr>
            <w:tcW w:w="7580" w:type="dxa"/>
            <w:vAlign w:val="bottom"/>
            <w:gridSpan w:val="8"/>
          </w:tcPr>
          <w:p>
            <w:pPr>
              <w:jc w:val="center"/>
              <w:ind w:right="1900"/>
              <w:spacing w:after="0"/>
              <w:rPr>
                <w:sz w:val="20"/>
                <w:szCs w:val="20"/>
                <w:color w:val="auto"/>
              </w:rPr>
            </w:pPr>
            <w:r>
              <w:rPr>
                <w:rFonts w:ascii="Arial" w:cs="Arial" w:eastAsia="Arial" w:hAnsi="Arial"/>
                <w:sz w:val="13"/>
                <w:szCs w:val="13"/>
                <w:color w:val="auto"/>
                <w:w w:val="97"/>
              </w:rPr>
              <w:t>(Address of principal executive offices)</w:t>
            </w:r>
          </w:p>
        </w:tc>
        <w:tc>
          <w:tcPr>
            <w:tcW w:w="3660" w:type="dxa"/>
            <w:vAlign w:val="bottom"/>
          </w:tcPr>
          <w:p>
            <w:pPr>
              <w:jc w:val="center"/>
              <w:ind w:right="1372"/>
              <w:spacing w:after="0"/>
              <w:rPr>
                <w:sz w:val="20"/>
                <w:szCs w:val="20"/>
                <w:color w:val="auto"/>
              </w:rPr>
            </w:pPr>
            <w:r>
              <w:rPr>
                <w:rFonts w:ascii="Arial" w:cs="Arial" w:eastAsia="Arial" w:hAnsi="Arial"/>
                <w:sz w:val="13"/>
                <w:szCs w:val="13"/>
                <w:color w:val="auto"/>
                <w:w w:val="99"/>
              </w:rPr>
              <w:t>(Zip code)</w:t>
            </w:r>
          </w:p>
        </w:tc>
        <w:tc>
          <w:tcPr>
            <w:tcW w:w="0" w:type="dxa"/>
            <w:vAlign w:val="bottom"/>
          </w:tcPr>
          <w:p>
            <w:pPr>
              <w:spacing w:after="0"/>
              <w:rPr>
                <w:sz w:val="1"/>
                <w:szCs w:val="1"/>
                <w:color w:val="auto"/>
              </w:rPr>
            </w:pPr>
          </w:p>
        </w:tc>
      </w:tr>
      <w:tr>
        <w:trPr>
          <w:trHeight w:val="301"/>
        </w:trPr>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7"/>
          </w:tcPr>
          <w:p>
            <w:pPr>
              <w:jc w:val="center"/>
              <w:ind w:right="3312"/>
              <w:spacing w:after="0"/>
              <w:rPr>
                <w:sz w:val="20"/>
                <w:szCs w:val="20"/>
                <w:color w:val="auto"/>
              </w:rPr>
            </w:pPr>
            <w:r>
              <w:rPr>
                <w:rFonts w:ascii="Arial" w:cs="Arial" w:eastAsia="Arial" w:hAnsi="Arial"/>
                <w:sz w:val="14"/>
                <w:szCs w:val="14"/>
                <w:color w:val="auto"/>
              </w:rPr>
              <w:t>Registrant’s telephone number, including area code: (971) 365-3939</w:t>
            </w: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60" w:type="dxa"/>
            <w:vAlign w:val="bottom"/>
            <w:gridSpan w:val="5"/>
          </w:tcPr>
          <w:p>
            <w:pPr>
              <w:jc w:val="center"/>
              <w:ind w:right="40"/>
              <w:spacing w:after="0"/>
              <w:rPr>
                <w:sz w:val="20"/>
                <w:szCs w:val="20"/>
                <w:color w:val="auto"/>
              </w:rPr>
            </w:pPr>
            <w:r>
              <w:rPr>
                <w:rFonts w:ascii="Arial" w:cs="Arial" w:eastAsia="Arial" w:hAnsi="Arial"/>
                <w:sz w:val="14"/>
                <w:szCs w:val="14"/>
                <w:color w:val="auto"/>
              </w:rPr>
              <w:t>Securities registered pursuant to Section 12(b) of the Act:</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7"/>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492"/>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3660" w:type="dxa"/>
            <w:vAlign w:val="bottom"/>
            <w:tcBorders>
              <w:bottom w:val="single" w:sz="8" w:color="auto"/>
            </w:tcBorders>
          </w:tcPr>
          <w:p>
            <w:pPr>
              <w:jc w:val="center"/>
              <w:ind w:right="512"/>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201"/>
        </w:trPr>
        <w:tc>
          <w:tcPr>
            <w:tcW w:w="3720" w:type="dxa"/>
            <w:vAlign w:val="bottom"/>
            <w:gridSpan w:val="3"/>
          </w:tcPr>
          <w:p>
            <w:pPr>
              <w:jc w:val="center"/>
              <w:ind w:right="308"/>
              <w:spacing w:after="0" w:line="201" w:lineRule="exact"/>
              <w:rPr>
                <w:sz w:val="20"/>
                <w:szCs w:val="20"/>
                <w:color w:val="auto"/>
              </w:rPr>
            </w:pPr>
            <w:r>
              <w:rPr>
                <w:rFonts w:ascii="Arial" w:cs="Arial" w:eastAsia="Arial" w:hAnsi="Arial"/>
                <w:sz w:val="18"/>
                <w:szCs w:val="18"/>
                <w:color w:val="auto"/>
                <w:w w:val="99"/>
              </w:rPr>
              <w:t>Class A Common Stock, par value</w:t>
            </w:r>
          </w:p>
        </w:tc>
        <w:tc>
          <w:tcPr>
            <w:tcW w:w="2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20" w:type="dxa"/>
            <w:vAlign w:val="bottom"/>
            <w:gridSpan w:val="3"/>
          </w:tcPr>
          <w:p>
            <w:pPr>
              <w:jc w:val="center"/>
              <w:ind w:right="308"/>
              <w:spacing w:after="0"/>
              <w:rPr>
                <w:sz w:val="20"/>
                <w:szCs w:val="20"/>
                <w:color w:val="auto"/>
              </w:rPr>
            </w:pPr>
            <w:r>
              <w:rPr>
                <w:rFonts w:ascii="Arial" w:cs="Arial" w:eastAsia="Arial" w:hAnsi="Arial"/>
                <w:sz w:val="18"/>
                <w:szCs w:val="18"/>
                <w:color w:val="auto"/>
                <w:w w:val="99"/>
              </w:rPr>
              <w:t>$0.0001 per share</w:t>
            </w:r>
          </w:p>
        </w:tc>
        <w:tc>
          <w:tcPr>
            <w:tcW w:w="280" w:type="dxa"/>
            <w:vAlign w:val="bottom"/>
          </w:tcPr>
          <w:p>
            <w:pPr>
              <w:spacing w:after="0"/>
              <w:rPr>
                <w:sz w:val="18"/>
                <w:szCs w:val="18"/>
                <w:color w:val="auto"/>
              </w:rPr>
            </w:pPr>
          </w:p>
        </w:tc>
        <w:tc>
          <w:tcPr>
            <w:tcW w:w="3580" w:type="dxa"/>
            <w:vAlign w:val="bottom"/>
            <w:gridSpan w:val="4"/>
          </w:tcPr>
          <w:p>
            <w:pPr>
              <w:jc w:val="center"/>
              <w:ind w:right="1260"/>
              <w:spacing w:after="0"/>
              <w:rPr>
                <w:sz w:val="20"/>
                <w:szCs w:val="20"/>
                <w:color w:val="auto"/>
              </w:rPr>
            </w:pPr>
            <w:r>
              <w:rPr>
                <w:rFonts w:ascii="Arial" w:cs="Arial" w:eastAsia="Arial" w:hAnsi="Arial"/>
                <w:sz w:val="18"/>
                <w:szCs w:val="18"/>
                <w:color w:val="auto"/>
              </w:rPr>
              <w:t>EXFY</w:t>
            </w:r>
          </w:p>
        </w:tc>
        <w:tc>
          <w:tcPr>
            <w:tcW w:w="3660" w:type="dxa"/>
            <w:vAlign w:val="bottom"/>
          </w:tcPr>
          <w:p>
            <w:pPr>
              <w:jc w:val="center"/>
              <w:ind w:right="492"/>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8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ind w:right="10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68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300"/>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90" w:right="339" w:bottom="1440" w:gutter="0" w:footer="0" w:header="0"/>
        </w:sectPr>
      </w:pPr>
    </w:p>
    <w:p>
      <w:pPr>
        <w:spacing w:after="0" w:line="191"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Large accelerated filer </w:t>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line="138" w:lineRule="exact"/>
        <w:rPr>
          <w:sz w:val="20"/>
          <w:szCs w:val="20"/>
          <w:color w:val="auto"/>
        </w:rPr>
      </w:pPr>
      <w:r>
        <w:rPr>
          <w:rFonts w:ascii="Arial" w:cs="Arial" w:eastAsia="Arial" w:hAnsi="Arial"/>
          <w:sz w:val="12"/>
          <w:szCs w:val="12"/>
          <w:b w:val="1"/>
          <w:bCs w:val="1"/>
          <w:color w:val="auto"/>
        </w:rPr>
        <w:t xml:space="preserve">Accelerated filer </w:t>
      </w:r>
      <w:r>
        <w:rPr>
          <w:rFonts w:ascii="MS PGothic" w:cs="MS PGothic" w:eastAsia="MS PGothic" w:hAnsi="MS PGothic"/>
          <w:sz w:val="12"/>
          <w:szCs w:val="12"/>
          <w:color w:val="auto"/>
          <w:highlight w:val="black"/>
        </w:rPr>
        <w:t>☐</w:t>
      </w:r>
    </w:p>
    <w:p>
      <w:pPr>
        <w:spacing w:after="0" w:line="200" w:lineRule="exact"/>
        <w:rPr>
          <w:sz w:val="24"/>
          <w:szCs w:val="24"/>
          <w:color w:val="auto"/>
        </w:rPr>
      </w:pPr>
    </w:p>
    <w:p>
      <w:pPr>
        <w:sectPr>
          <w:pgSz w:w="11900" w:h="16838" w:orient="portrait"/>
          <w:cols w:equalWidth="0" w:num="2">
            <w:col w:w="7340" w:space="720"/>
            <w:col w:w="3180"/>
          </w:cols>
          <w:pgMar w:left="320" w:top="890" w:right="339" w:bottom="1440" w:gutter="0" w:footer="0" w:header="0"/>
          <w:type w:val="continuous"/>
        </w:sectPr>
      </w:pPr>
    </w:p>
    <w:p>
      <w:pPr>
        <w:spacing w:after="0" w:line="67"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Non-accelerated filer </w:t>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38" w:lineRule="exact"/>
        <w:rPr>
          <w:sz w:val="20"/>
          <w:szCs w:val="20"/>
          <w:color w:val="auto"/>
        </w:rPr>
      </w:pPr>
      <w:r>
        <w:rPr>
          <w:rFonts w:ascii="Arial" w:cs="Arial" w:eastAsia="Arial" w:hAnsi="Arial"/>
          <w:sz w:val="12"/>
          <w:szCs w:val="12"/>
          <w:b w:val="1"/>
          <w:bCs w:val="1"/>
          <w:color w:val="auto"/>
        </w:rPr>
        <w:t xml:space="preserve">Smaller reporting company </w:t>
      </w:r>
      <w:r>
        <w:rPr>
          <w:rFonts w:ascii="MS PGothic" w:cs="MS PGothic" w:eastAsia="MS PGothic" w:hAnsi="MS PGothic"/>
          <w:sz w:val="12"/>
          <w:szCs w:val="12"/>
          <w:color w:val="auto"/>
          <w:highlight w:val="black"/>
        </w:rPr>
        <w:t>☐</w:t>
      </w:r>
    </w:p>
    <w:p>
      <w:pPr>
        <w:spacing w:after="0" w:line="200" w:lineRule="exact"/>
        <w:rPr>
          <w:sz w:val="24"/>
          <w:szCs w:val="24"/>
          <w:color w:val="auto"/>
        </w:rPr>
      </w:pPr>
    </w:p>
    <w:p>
      <w:pPr>
        <w:sectPr>
          <w:pgSz w:w="11900" w:h="16838" w:orient="portrait"/>
          <w:cols w:equalWidth="0" w:num="2">
            <w:col w:w="7340" w:space="720"/>
            <w:col w:w="3180"/>
          </w:cols>
          <w:pgMar w:left="320" w:top="890" w:right="339" w:bottom="1440" w:gutter="0" w:footer="0" w:header="0"/>
          <w:type w:val="continuous"/>
        </w:sectPr>
      </w:pPr>
    </w:p>
    <w:p>
      <w:pPr>
        <w:spacing w:after="0" w:line="67"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Emerging growth company </w:t>
      </w:r>
      <w:r>
        <w:rPr>
          <w:rFonts w:ascii="MS PGothic" w:cs="MS PGothic" w:eastAsia="MS PGothic" w:hAnsi="MS PGothic"/>
          <w:sz w:val="12"/>
          <w:szCs w:val="12"/>
          <w:color w:val="auto"/>
          <w:highlight w:val="black"/>
        </w:rPr>
        <w:t>☐</w:t>
      </w:r>
    </w:p>
    <w:p>
      <w:pPr>
        <w:sectPr>
          <w:pgSz w:w="11900" w:h="16838" w:orient="portrait"/>
          <w:cols w:equalWidth="0" w:num="1">
            <w:col w:w="11240"/>
          </w:cols>
          <w:pgMar w:left="320" w:top="890" w:right="339" w:bottom="1440" w:gutter="0" w:footer="0" w:header="0"/>
          <w:type w:val="continuous"/>
        </w:sectPr>
      </w:pPr>
    </w:p>
    <w:p>
      <w:pPr>
        <w:spacing w:after="0" w:line="200" w:lineRule="exact"/>
        <w:rPr>
          <w:sz w:val="24"/>
          <w:szCs w:val="24"/>
          <w:color w:val="auto"/>
        </w:rPr>
      </w:pPr>
    </w:p>
    <w:p>
      <w:pPr>
        <w:spacing w:after="0" w:line="259" w:lineRule="exact"/>
        <w:rPr>
          <w:sz w:val="24"/>
          <w:szCs w:val="24"/>
          <w:color w:val="auto"/>
        </w:rPr>
      </w:pPr>
    </w:p>
    <w:p>
      <w:pPr>
        <w:ind w:right="300"/>
        <w:spacing w:after="0" w:line="20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7"/>
          <w:szCs w:val="17"/>
          <w:color w:val="auto"/>
        </w:rPr>
        <w:t>☐</w:t>
      </w:r>
    </w:p>
    <w:p>
      <w:pPr>
        <w:spacing w:after="0" w:line="94" w:lineRule="exact"/>
        <w:rPr>
          <w:sz w:val="24"/>
          <w:szCs w:val="24"/>
          <w:color w:val="auto"/>
        </w:rPr>
      </w:pPr>
    </w:p>
    <w:p>
      <w:pPr>
        <w:ind w:right="420"/>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7" w:lineRule="exact"/>
        <w:rPr>
          <w:sz w:val="24"/>
          <w:szCs w:val="24"/>
          <w:color w:val="auto"/>
        </w:rPr>
      </w:pPr>
    </w:p>
    <w:p>
      <w:pPr>
        <w:ind w:right="120"/>
        <w:spacing w:after="0" w:line="278" w:lineRule="auto"/>
        <w:rPr>
          <w:sz w:val="20"/>
          <w:szCs w:val="20"/>
          <w:color w:val="auto"/>
        </w:rPr>
      </w:pPr>
      <w:r>
        <w:rPr>
          <w:rFonts w:ascii="Arial" w:cs="Arial" w:eastAsia="Arial" w:hAnsi="Arial"/>
          <w:sz w:val="14"/>
          <w:szCs w:val="14"/>
          <w:color w:val="auto"/>
        </w:rPr>
        <w:t>The aggregate market value of the registrant's Class A common stock, par value $0.0001 per share, held by non-affiliates of the registrant was approximately $954,788,374.92 as of June 30, 2022, the last business day of the registrant's most recently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completed second fiscal quarter, computed based on the closing sale price of the Class A Common stock on the Nasdaq Stock Market LLC on such date.</w:t>
      </w:r>
    </w:p>
    <w:p>
      <w:pPr>
        <w:spacing w:after="0" w:line="150"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As of March 3, 2023, there were approximately 68,278,088 shares of the registrant's Class A common stock outstanding, 7,335,456 shares of the registrant's LT10 common stock outstanding, and 6,854,931 shares of the registrant's LT50 common stock outstanding.</w:t>
      </w:r>
    </w:p>
    <w:p>
      <w:pPr>
        <w:spacing w:after="0" w:line="8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5" w:lineRule="exact"/>
        <w:rPr>
          <w:sz w:val="20"/>
          <w:szCs w:val="20"/>
          <w:color w:val="auto"/>
        </w:rPr>
      </w:pPr>
    </w:p>
    <w:p>
      <w:pPr>
        <w:ind w:right="40" w:firstLine="324"/>
        <w:spacing w:after="0" w:line="270" w:lineRule="auto"/>
        <w:rPr>
          <w:sz w:val="20"/>
          <w:szCs w:val="20"/>
          <w:color w:val="auto"/>
        </w:rPr>
      </w:pPr>
      <w:r>
        <w:rPr>
          <w:rFonts w:ascii="Arial" w:cs="Arial" w:eastAsia="Arial" w:hAnsi="Arial"/>
          <w:sz w:val="14"/>
          <w:szCs w:val="14"/>
          <w:color w:val="auto"/>
        </w:rPr>
        <w:t>Information required in response to Part III of this Annual Report on Form 10-K (Items 10, 11, 12, 13 and 14) is hereby incorporated by reference to portions of the registrant’s Proxy Statement for its Annual Meeting of Stockholders to be held in 2023. The Proxy Statement will be filed by the registrant with the Securities and Exchange Commission no later than 120 days after the end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436245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617" w:right="659" w:bottom="1440" w:gutter="0" w:footer="0" w:header="0"/>
        </w:sectPr>
      </w:pPr>
    </w:p>
    <w:bookmarkStart w:id="2" w:name="page3"/>
    <w:bookmarkEnd w:id="2"/>
    <w:p>
      <w:pPr>
        <w:spacing w:after="0" w:line="1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7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9"/>
        </w:trPr>
        <w:tc>
          <w:tcPr>
            <w:tcW w:w="17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98"/>
              </w:rPr>
              <w:t>Business</w:t>
            </w:r>
          </w:p>
        </w:tc>
        <w:tc>
          <w:tcPr>
            <w:tcW w:w="6740" w:type="dxa"/>
            <w:vAlign w:val="bottom"/>
            <w:gridSpan w:val="19"/>
          </w:tcPr>
          <w:p>
            <w:pPr>
              <w:spacing w:after="0"/>
              <w:rPr>
                <w:sz w:val="16"/>
                <w:szCs w:val="16"/>
                <w:color w:val="auto"/>
              </w:rPr>
            </w:pPr>
          </w:p>
        </w:tc>
        <w:tc>
          <w:tcPr>
            <w:tcW w:w="186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1A.</w:t>
            </w:r>
          </w:p>
        </w:tc>
        <w:tc>
          <w:tcPr>
            <w:tcW w:w="748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1B.</w:t>
            </w:r>
          </w:p>
        </w:tc>
        <w:tc>
          <w:tcPr>
            <w:tcW w:w="7480" w:type="dxa"/>
            <w:vAlign w:val="bottom"/>
            <w:gridSpan w:val="21"/>
          </w:tcPr>
          <w:p>
            <w:pPr>
              <w:spacing w:after="0"/>
              <w:rPr>
                <w:sz w:val="20"/>
                <w:szCs w:val="20"/>
                <w:color w:val="auto"/>
              </w:rPr>
            </w:pPr>
            <w:r>
              <w:rPr>
                <w:rFonts w:ascii="Arial" w:cs="Arial" w:eastAsia="Arial" w:hAnsi="Arial"/>
                <w:sz w:val="18"/>
                <w:szCs w:val="18"/>
                <w:color w:val="0000FF"/>
              </w:rPr>
              <w:t>Unresolved Staff Comments</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64</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8"/>
                <w:szCs w:val="18"/>
                <w:color w:val="auto"/>
              </w:rPr>
              <w:t>Item 2.</w:t>
            </w:r>
          </w:p>
        </w:tc>
        <w:tc>
          <w:tcPr>
            <w:tcW w:w="22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Properties</w:t>
            </w:r>
          </w:p>
        </w:tc>
        <w:tc>
          <w:tcPr>
            <w:tcW w:w="5240" w:type="dxa"/>
            <w:vAlign w:val="bottom"/>
            <w:gridSpan w:val="11"/>
          </w:tcPr>
          <w:p>
            <w:pPr>
              <w:spacing w:after="0"/>
              <w:rPr>
                <w:sz w:val="18"/>
                <w:szCs w:val="18"/>
                <w:color w:val="auto"/>
              </w:rPr>
            </w:pPr>
          </w:p>
        </w:tc>
        <w:tc>
          <w:tcPr>
            <w:tcW w:w="1760" w:type="dxa"/>
            <w:vAlign w:val="bottom"/>
            <w:gridSpan w:val="2"/>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5980" w:type="dxa"/>
            <w:vAlign w:val="bottom"/>
            <w:gridSpan w:val="15"/>
          </w:tcPr>
          <w:p>
            <w:pPr>
              <w:spacing w:after="0"/>
              <w:rPr>
                <w:sz w:val="18"/>
                <w:szCs w:val="18"/>
                <w:color w:val="auto"/>
              </w:rPr>
            </w:pPr>
          </w:p>
        </w:tc>
        <w:tc>
          <w:tcPr>
            <w:tcW w:w="17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4.</w:t>
            </w:r>
          </w:p>
        </w:tc>
        <w:tc>
          <w:tcPr>
            <w:tcW w:w="748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507"/>
        </w:trPr>
        <w:tc>
          <w:tcPr>
            <w:tcW w:w="1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6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7480" w:type="dxa"/>
            <w:vAlign w:val="bottom"/>
            <w:tcBorders>
              <w:bottom w:val="single" w:sz="8" w:color="0000FF"/>
            </w:tcBorders>
            <w:gridSpan w:val="21"/>
          </w:tcPr>
          <w:p>
            <w:pPr>
              <w:spacing w:after="0" w:line="189" w:lineRule="exact"/>
              <w:rPr>
                <w:sz w:val="20"/>
                <w:szCs w:val="20"/>
                <w:color w:val="auto"/>
              </w:rPr>
            </w:pPr>
            <w:r>
              <w:rPr>
                <w:rFonts w:ascii="Arial" w:cs="Arial" w:eastAsia="Arial" w:hAnsi="Arial"/>
                <w:sz w:val="18"/>
                <w:szCs w:val="18"/>
                <w:color w:val="0000FF"/>
                <w:w w:val="99"/>
              </w:rPr>
              <w:t>Market for Registrant's Common Equity, Related Stockholder Matters and Issuer Purchases of</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7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320" w:type="dxa"/>
            <w:vAlign w:val="bottom"/>
            <w:gridSpan w:val="20"/>
            <w:vMerge w:val="restart"/>
          </w:tcPr>
          <w:p>
            <w:pPr>
              <w:spacing w:after="0" w:line="142" w:lineRule="exact"/>
              <w:rPr>
                <w:sz w:val="20"/>
                <w:szCs w:val="20"/>
                <w:color w:val="auto"/>
              </w:rPr>
            </w:pPr>
            <w:r>
              <w:rPr>
                <w:rFonts w:ascii="Arial" w:cs="Arial" w:eastAsia="Arial" w:hAnsi="Arial"/>
                <w:sz w:val="16"/>
                <w:szCs w:val="16"/>
                <w:color w:val="0000FF"/>
              </w:rPr>
              <w:t>Equity Securities</w:t>
            </w:r>
          </w:p>
        </w:tc>
        <w:tc>
          <w:tcPr>
            <w:tcW w:w="1960" w:type="dxa"/>
            <w:vAlign w:val="bottom"/>
            <w:gridSpan w:val="4"/>
            <w:vMerge w:val="restart"/>
          </w:tcPr>
          <w:p>
            <w:pPr>
              <w:jc w:val="right"/>
              <w:spacing w:after="0" w:line="142" w:lineRule="exact"/>
              <w:rPr>
                <w:sz w:val="20"/>
                <w:szCs w:val="20"/>
                <w:color w:val="auto"/>
              </w:rPr>
            </w:pPr>
            <w:r>
              <w:rPr>
                <w:rFonts w:ascii="Arial" w:cs="Arial" w:eastAsia="Arial" w:hAnsi="Arial"/>
                <w:sz w:val="16"/>
                <w:szCs w:val="16"/>
                <w:color w:val="0000FF"/>
              </w:rPr>
              <w:t>66</w:t>
            </w:r>
          </w:p>
        </w:tc>
        <w:tc>
          <w:tcPr>
            <w:tcW w:w="0" w:type="dxa"/>
            <w:vAlign w:val="bottom"/>
          </w:tcPr>
          <w:p>
            <w:pPr>
              <w:spacing w:after="0"/>
              <w:rPr>
                <w:sz w:val="1"/>
                <w:szCs w:val="1"/>
                <w:color w:val="auto"/>
              </w:rPr>
            </w:pPr>
          </w:p>
        </w:tc>
      </w:tr>
      <w:tr>
        <w:trPr>
          <w:trHeight w:val="41"/>
        </w:trPr>
        <w:tc>
          <w:tcPr>
            <w:tcW w:w="1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320" w:type="dxa"/>
            <w:vAlign w:val="bottom"/>
            <w:gridSpan w:val="20"/>
            <w:vMerge w:val="continue"/>
          </w:tcPr>
          <w:p>
            <w:pPr>
              <w:spacing w:after="0"/>
              <w:rPr>
                <w:sz w:val="3"/>
                <w:szCs w:val="3"/>
                <w:color w:val="auto"/>
              </w:rPr>
            </w:pPr>
          </w:p>
        </w:tc>
        <w:tc>
          <w:tcPr>
            <w:tcW w:w="1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820" w:type="dxa"/>
            <w:vAlign w:val="bottom"/>
            <w:tcBorders>
              <w:right w:val="single" w:sz="8" w:color="0000FF"/>
            </w:tcBorders>
            <w:gridSpan w:val="3"/>
          </w:tcPr>
          <w:p>
            <w:pPr>
              <w:spacing w:after="0"/>
              <w:rPr>
                <w:sz w:val="2"/>
                <w:szCs w:val="2"/>
                <w:color w:val="auto"/>
              </w:rPr>
            </w:pPr>
          </w:p>
        </w:tc>
        <w:tc>
          <w:tcPr>
            <w:tcW w:w="580" w:type="dxa"/>
            <w:vAlign w:val="bottom"/>
            <w:tcBorders>
              <w:left w:val="single" w:sz="8" w:color="0000FF"/>
            </w:tcBorders>
            <w:gridSpan w:val="2"/>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32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[Reserved]</w:t>
            </w:r>
          </w:p>
        </w:tc>
        <w:tc>
          <w:tcPr>
            <w:tcW w:w="6660" w:type="dxa"/>
            <w:vAlign w:val="bottom"/>
            <w:gridSpan w:val="18"/>
          </w:tcPr>
          <w:p>
            <w:pPr>
              <w:spacing w:after="0"/>
              <w:rPr>
                <w:sz w:val="18"/>
                <w:szCs w:val="18"/>
                <w:color w:val="auto"/>
              </w:rPr>
            </w:pPr>
          </w:p>
        </w:tc>
        <w:tc>
          <w:tcPr>
            <w:tcW w:w="17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400" w:type="dxa"/>
            <w:vAlign w:val="bottom"/>
            <w:gridSpan w:val="3"/>
          </w:tcPr>
          <w:p>
            <w:pPr>
              <w:spacing w:after="0"/>
              <w:rPr>
                <w:sz w:val="18"/>
                <w:szCs w:val="18"/>
                <w:color w:val="auto"/>
              </w:rPr>
            </w:pPr>
          </w:p>
        </w:tc>
        <w:tc>
          <w:tcPr>
            <w:tcW w:w="17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68</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7A.</w:t>
            </w:r>
          </w:p>
        </w:tc>
        <w:tc>
          <w:tcPr>
            <w:tcW w:w="47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760" w:type="dxa"/>
            <w:vAlign w:val="bottom"/>
            <w:gridSpan w:val="6"/>
          </w:tcPr>
          <w:p>
            <w:pPr>
              <w:spacing w:after="0"/>
              <w:rPr>
                <w:sz w:val="18"/>
                <w:szCs w:val="18"/>
                <w:color w:val="auto"/>
              </w:rPr>
            </w:pPr>
          </w:p>
        </w:tc>
        <w:tc>
          <w:tcPr>
            <w:tcW w:w="17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87</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8</w:t>
            </w:r>
          </w:p>
        </w:tc>
        <w:tc>
          <w:tcPr>
            <w:tcW w:w="7480" w:type="dxa"/>
            <w:vAlign w:val="bottom"/>
            <w:gridSpan w:val="21"/>
          </w:tcPr>
          <w:p>
            <w:pPr>
              <w:spacing w:after="0"/>
              <w:rPr>
                <w:sz w:val="20"/>
                <w:szCs w:val="20"/>
                <w:color w:val="auto"/>
              </w:rPr>
            </w:pPr>
            <w:r>
              <w:rPr>
                <w:rFonts w:ascii="Arial" w:cs="Arial" w:eastAsia="Arial" w:hAnsi="Arial"/>
                <w:sz w:val="18"/>
                <w:szCs w:val="18"/>
                <w:color w:val="0000FF"/>
              </w:rPr>
              <w:t>Financial Statements and Supplementary Data</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88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9.</w:t>
            </w:r>
          </w:p>
        </w:tc>
        <w:tc>
          <w:tcPr>
            <w:tcW w:w="71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30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149</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8"/>
                <w:szCs w:val="18"/>
                <w:color w:val="auto"/>
              </w:rPr>
              <w:t>Item 9A.</w:t>
            </w: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5480" w:type="dxa"/>
            <w:vAlign w:val="bottom"/>
            <w:gridSpan w:val="12"/>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149</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9B.</w:t>
            </w:r>
          </w:p>
        </w:tc>
        <w:tc>
          <w:tcPr>
            <w:tcW w:w="748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150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8"/>
                <w:szCs w:val="18"/>
                <w:color w:val="auto"/>
              </w:rPr>
              <w:t>Item 9C.</w:t>
            </w:r>
          </w:p>
        </w:tc>
        <w:tc>
          <w:tcPr>
            <w:tcW w:w="7480" w:type="dxa"/>
            <w:vAlign w:val="bottom"/>
            <w:gridSpan w:val="21"/>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150</w:t>
            </w:r>
          </w:p>
        </w:tc>
        <w:tc>
          <w:tcPr>
            <w:tcW w:w="0" w:type="dxa"/>
            <w:vAlign w:val="bottom"/>
          </w:tcPr>
          <w:p>
            <w:pPr>
              <w:spacing w:after="0"/>
              <w:rPr>
                <w:sz w:val="1"/>
                <w:szCs w:val="1"/>
                <w:color w:val="auto"/>
              </w:rPr>
            </w:pPr>
          </w:p>
        </w:tc>
      </w:tr>
      <w:tr>
        <w:trPr>
          <w:trHeight w:val="507"/>
        </w:trPr>
        <w:tc>
          <w:tcPr>
            <w:tcW w:w="17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1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line="189" w:lineRule="exact"/>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FF"/>
            </w:tcBorders>
            <w:gridSpan w:val="14"/>
          </w:tcPr>
          <w:p>
            <w:pPr>
              <w:spacing w:after="0" w:line="189" w:lineRule="exact"/>
              <w:rPr>
                <w:sz w:val="20"/>
                <w:szCs w:val="20"/>
                <w:color w:val="auto"/>
              </w:rPr>
            </w:pPr>
            <w:r>
              <w:rPr>
                <w:rFonts w:ascii="Arial" w:cs="Arial" w:eastAsia="Arial" w:hAnsi="Arial"/>
                <w:sz w:val="18"/>
                <w:szCs w:val="18"/>
                <w:color w:val="0000FF"/>
                <w:w w:val="99"/>
              </w:rPr>
              <w:t>Directors, Executive Officers and Corporate Governance</w:t>
            </w:r>
          </w:p>
        </w:tc>
        <w:tc>
          <w:tcPr>
            <w:tcW w:w="2980" w:type="dxa"/>
            <w:vAlign w:val="bottom"/>
            <w:gridSpan w:val="7"/>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Borders>
              <w:bottom w:val="single" w:sz="8" w:color="0000FF"/>
            </w:tcBorders>
            <w:gridSpan w:val="3"/>
          </w:tcPr>
          <w:p>
            <w:pPr>
              <w:jc w:val="right"/>
              <w:spacing w:after="0" w:line="189" w:lineRule="exact"/>
              <w:rPr>
                <w:sz w:val="20"/>
                <w:szCs w:val="20"/>
                <w:color w:val="auto"/>
              </w:rPr>
            </w:pPr>
            <w:r>
              <w:rPr>
                <w:rFonts w:ascii="Arial" w:cs="Arial" w:eastAsia="Arial" w:hAnsi="Arial"/>
                <w:sz w:val="18"/>
                <w:szCs w:val="18"/>
                <w:color w:val="0000FF"/>
                <w:w w:val="93"/>
              </w:rPr>
              <w:t>151</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11.</w:t>
            </w: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Executive Compensation</w:t>
            </w:r>
          </w:p>
        </w:tc>
        <w:tc>
          <w:tcPr>
            <w:tcW w:w="5480" w:type="dxa"/>
            <w:vAlign w:val="bottom"/>
            <w:gridSpan w:val="12"/>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152</w:t>
            </w:r>
          </w:p>
        </w:tc>
        <w:tc>
          <w:tcPr>
            <w:tcW w:w="0" w:type="dxa"/>
            <w:vAlign w:val="bottom"/>
          </w:tcPr>
          <w:p>
            <w:pPr>
              <w:spacing w:after="0"/>
              <w:rPr>
                <w:sz w:val="1"/>
                <w:szCs w:val="1"/>
                <w:color w:val="auto"/>
              </w:rPr>
            </w:pPr>
          </w:p>
        </w:tc>
      </w:tr>
      <w:tr>
        <w:trPr>
          <w:trHeight w:val="210"/>
        </w:trPr>
        <w:tc>
          <w:tcPr>
            <w:tcW w:w="1760" w:type="dxa"/>
            <w:vAlign w:val="bottom"/>
            <w:vMerge w:val="restart"/>
          </w:tcPr>
          <w:p>
            <w:pPr>
              <w:spacing w:after="0"/>
              <w:rPr>
                <w:sz w:val="20"/>
                <w:szCs w:val="20"/>
                <w:color w:val="auto"/>
              </w:rPr>
            </w:pPr>
            <w:r>
              <w:rPr>
                <w:rFonts w:ascii="Arial" w:cs="Arial" w:eastAsia="Arial" w:hAnsi="Arial"/>
                <w:sz w:val="18"/>
                <w:szCs w:val="18"/>
                <w:color w:val="auto"/>
              </w:rPr>
              <w:t>Item 12.</w:t>
            </w:r>
          </w:p>
        </w:tc>
        <w:tc>
          <w:tcPr>
            <w:tcW w:w="748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760" w:type="dxa"/>
            <w:vAlign w:val="bottom"/>
            <w:vMerge w:val="continue"/>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7200" w:type="dxa"/>
            <w:vAlign w:val="bottom"/>
            <w:tcBorders>
              <w:top w:val="single" w:sz="8" w:color="0000FF"/>
            </w:tcBorders>
            <w:gridSpan w:val="19"/>
            <w:vMerge w:val="restart"/>
          </w:tcPr>
          <w:p>
            <w:pPr>
              <w:spacing w:after="0" w:line="142" w:lineRule="exact"/>
              <w:rPr>
                <w:sz w:val="20"/>
                <w:szCs w:val="20"/>
                <w:color w:val="auto"/>
              </w:rPr>
            </w:pPr>
            <w:r>
              <w:rPr>
                <w:rFonts w:ascii="Arial" w:cs="Arial" w:eastAsia="Arial" w:hAnsi="Arial"/>
                <w:sz w:val="16"/>
                <w:szCs w:val="16"/>
                <w:color w:val="0000FF"/>
              </w:rPr>
              <w:t>Matters</w:t>
            </w:r>
          </w:p>
        </w:tc>
        <w:tc>
          <w:tcPr>
            <w:tcW w:w="120" w:type="dxa"/>
            <w:vAlign w:val="bottom"/>
            <w:vMerge w:val="restart"/>
          </w:tcPr>
          <w:p>
            <w:pPr>
              <w:spacing w:after="0"/>
              <w:rPr>
                <w:sz w:val="10"/>
                <w:szCs w:val="10"/>
                <w:color w:val="auto"/>
              </w:rPr>
            </w:pPr>
          </w:p>
        </w:tc>
        <w:tc>
          <w:tcPr>
            <w:tcW w:w="1660" w:type="dxa"/>
            <w:vAlign w:val="bottom"/>
            <w:vMerge w:val="restart"/>
          </w:tcPr>
          <w:p>
            <w:pPr>
              <w:spacing w:after="0"/>
              <w:rPr>
                <w:sz w:val="10"/>
                <w:szCs w:val="10"/>
                <w:color w:val="auto"/>
              </w:rPr>
            </w:pPr>
          </w:p>
        </w:tc>
        <w:tc>
          <w:tcPr>
            <w:tcW w:w="300" w:type="dxa"/>
            <w:vAlign w:val="bottom"/>
            <w:gridSpan w:val="3"/>
            <w:vMerge w:val="restart"/>
          </w:tcPr>
          <w:p>
            <w:pPr>
              <w:jc w:val="right"/>
              <w:spacing w:after="0" w:line="142" w:lineRule="exact"/>
              <w:rPr>
                <w:sz w:val="20"/>
                <w:szCs w:val="20"/>
                <w:color w:val="auto"/>
              </w:rPr>
            </w:pPr>
            <w:r>
              <w:rPr>
                <w:rFonts w:ascii="Arial" w:cs="Arial" w:eastAsia="Arial" w:hAnsi="Arial"/>
                <w:sz w:val="16"/>
                <w:szCs w:val="16"/>
                <w:color w:val="0000FF"/>
              </w:rPr>
              <w:t>152</w:t>
            </w:r>
          </w:p>
        </w:tc>
        <w:tc>
          <w:tcPr>
            <w:tcW w:w="0" w:type="dxa"/>
            <w:vAlign w:val="bottom"/>
          </w:tcPr>
          <w:p>
            <w:pPr>
              <w:spacing w:after="0"/>
              <w:rPr>
                <w:sz w:val="1"/>
                <w:szCs w:val="1"/>
                <w:color w:val="auto"/>
              </w:rPr>
            </w:pPr>
          </w:p>
        </w:tc>
      </w:tr>
      <w:tr>
        <w:trPr>
          <w:trHeight w:val="52"/>
        </w:trPr>
        <w:tc>
          <w:tcPr>
            <w:tcW w:w="1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0" w:type="dxa"/>
            <w:vAlign w:val="bottom"/>
            <w:gridSpan w:val="19"/>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300" w:type="dxa"/>
            <w:vAlign w:val="bottom"/>
            <w:tcBorders>
              <w:bottom w:val="single" w:sz="8" w:color="0000FF"/>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Item 13.</w:t>
            </w:r>
          </w:p>
        </w:tc>
        <w:tc>
          <w:tcPr>
            <w:tcW w:w="60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400" w:type="dxa"/>
            <w:vAlign w:val="bottom"/>
            <w:gridSpan w:val="4"/>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152</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14</w:t>
            </w:r>
          </w:p>
        </w:tc>
        <w:tc>
          <w:tcPr>
            <w:tcW w:w="7480" w:type="dxa"/>
            <w:vAlign w:val="bottom"/>
            <w:gridSpan w:val="21"/>
          </w:tcPr>
          <w:p>
            <w:pPr>
              <w:spacing w:after="0"/>
              <w:rPr>
                <w:sz w:val="20"/>
                <w:szCs w:val="20"/>
                <w:color w:val="auto"/>
              </w:rPr>
            </w:pPr>
            <w:r>
              <w:rPr>
                <w:rFonts w:ascii="Arial" w:cs="Arial" w:eastAsia="Arial" w:hAnsi="Arial"/>
                <w:sz w:val="18"/>
                <w:szCs w:val="18"/>
                <w:color w:val="0000FF"/>
              </w:rPr>
              <w:t>Principal Accountant Fees and Services</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152</w:t>
            </w:r>
          </w:p>
        </w:tc>
        <w:tc>
          <w:tcPr>
            <w:tcW w:w="0" w:type="dxa"/>
            <w:vAlign w:val="bottom"/>
          </w:tcPr>
          <w:p>
            <w:pPr>
              <w:spacing w:after="0"/>
              <w:rPr>
                <w:sz w:val="1"/>
                <w:szCs w:val="1"/>
                <w:color w:val="auto"/>
              </w:rPr>
            </w:pPr>
          </w:p>
        </w:tc>
      </w:tr>
      <w:tr>
        <w:trPr>
          <w:trHeight w:val="507"/>
        </w:trPr>
        <w:tc>
          <w:tcPr>
            <w:tcW w:w="17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1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line="189" w:lineRule="exact"/>
              <w:rPr>
                <w:sz w:val="20"/>
                <w:szCs w:val="20"/>
                <w:color w:val="auto"/>
              </w:rPr>
            </w:pPr>
            <w:r>
              <w:rPr>
                <w:rFonts w:ascii="Arial" w:cs="Arial" w:eastAsia="Arial" w:hAnsi="Arial"/>
                <w:sz w:val="18"/>
                <w:szCs w:val="18"/>
                <w:color w:val="auto"/>
              </w:rPr>
              <w:t>Item 15.</w:t>
            </w:r>
          </w:p>
        </w:tc>
        <w:tc>
          <w:tcPr>
            <w:tcW w:w="7480" w:type="dxa"/>
            <w:vAlign w:val="bottom"/>
            <w:gridSpan w:val="21"/>
          </w:tcPr>
          <w:p>
            <w:pPr>
              <w:spacing w:after="0" w:line="189" w:lineRule="exact"/>
              <w:rPr>
                <w:sz w:val="20"/>
                <w:szCs w:val="20"/>
                <w:color w:val="auto"/>
              </w:rPr>
            </w:pPr>
            <w:r>
              <w:rPr>
                <w:rFonts w:ascii="Arial" w:cs="Arial" w:eastAsia="Arial" w:hAnsi="Arial"/>
                <w:sz w:val="18"/>
                <w:szCs w:val="18"/>
                <w:color w:val="0000FF"/>
              </w:rPr>
              <w:t>Exhibit and Financial Statement Schedules</w:t>
            </w:r>
          </w:p>
        </w:tc>
        <w:tc>
          <w:tcPr>
            <w:tcW w:w="196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153</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8"/>
                <w:szCs w:val="18"/>
                <w:color w:val="auto"/>
              </w:rPr>
              <w:t>Item 16.</w:t>
            </w:r>
          </w:p>
        </w:tc>
        <w:tc>
          <w:tcPr>
            <w:tcW w:w="16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9"/>
              </w:rPr>
              <w:t>Form 10-K Summary</w:t>
            </w:r>
          </w:p>
        </w:tc>
        <w:tc>
          <w:tcPr>
            <w:tcW w:w="1740" w:type="dxa"/>
            <w:vAlign w:val="bottom"/>
            <w:tcBorders>
              <w:top w:val="single" w:sz="8" w:color="0000FF"/>
            </w:tcBorders>
            <w:gridSpan w:val="5"/>
          </w:tcPr>
          <w:p>
            <w:pPr>
              <w:spacing w:after="0"/>
              <w:rPr>
                <w:sz w:val="18"/>
                <w:szCs w:val="18"/>
                <w:color w:val="auto"/>
              </w:rPr>
            </w:pPr>
          </w:p>
        </w:tc>
        <w:tc>
          <w:tcPr>
            <w:tcW w:w="4060" w:type="dxa"/>
            <w:vAlign w:val="bottom"/>
            <w:gridSpan w:val="9"/>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155</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748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156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Special Note Regarding Forward Looking Statements</w:t>
      </w:r>
    </w:p>
    <w:p>
      <w:pPr>
        <w:spacing w:after="0" w:line="1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Annual Report on Form 10-K. Such risks, uncertainties and other important factors include, among others: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on us and our members;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borrowing costs have and may continue to increase as a result of increases in interest rates;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57"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116"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130"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57" w:lineRule="exact"/>
        <w:rPr>
          <w:rFonts w:ascii="Arial" w:cs="Arial" w:eastAsia="Arial" w:hAnsi="Arial"/>
          <w:sz w:val="18"/>
          <w:szCs w:val="18"/>
          <w:color w:val="auto"/>
        </w:rPr>
      </w:pPr>
    </w:p>
    <w:p>
      <w:pPr>
        <w:ind w:left="660" w:right="300" w:hanging="328"/>
        <w:spacing w:after="0" w:line="29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cash flows, the prevailing stock prices, general economic and market conditions and other considerations that could affect the specific timing, price and size of repurchases under our stock repurchase program or our ability to fund any stock repurchases;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 in Ukraine and escalating geopolitical tensions as a result of Russia's invasion of Ukraine;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57"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Annual Report on Form 10-K.</w:t>
      </w:r>
    </w:p>
    <w:p>
      <w:pPr>
        <w:spacing w:after="0" w:line="15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4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Capitalized terms used and not defined above are defined elsewhere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Risk Factor Summary</w:t>
      </w:r>
    </w:p>
    <w:p>
      <w:pPr>
        <w:spacing w:after="0" w:line="15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business is subject to a number of risks and uncertainties of which you should be aware. These risks are more fully described in the section titled “Risk Factors.” These risks include, among others, the following:</w:t>
      </w:r>
    </w:p>
    <w:p>
      <w:pPr>
        <w:spacing w:after="0" w:line="130" w:lineRule="exact"/>
        <w:rPr>
          <w:sz w:val="20"/>
          <w:szCs w:val="20"/>
          <w:color w:val="auto"/>
        </w:rPr>
      </w:pPr>
    </w:p>
    <w:p>
      <w:pPr>
        <w:ind w:left="660" w:right="20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and annual results of operations have fluctuated in the past and may fluctuate significantly in the future and may not meet our expectations or those of investors or securities analysts.</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experienced rapid growth in recent periods prior to the COVID-19 pandemic, and those growth rates may not be indicative of our future growth, and we may not be able to maintain profitability.</w:t>
      </w:r>
    </w:p>
    <w:p>
      <w:pPr>
        <w:spacing w:after="0" w:line="130"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34"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preferences, our platform may become less competitive.</w:t>
      </w:r>
    </w:p>
    <w:p>
      <w:pPr>
        <w:spacing w:after="0" w:line="116" w:lineRule="exact"/>
        <w:rPr>
          <w:rFonts w:ascii="Arial" w:cs="Arial" w:eastAsia="Arial" w:hAnsi="Arial"/>
          <w:sz w:val="18"/>
          <w:szCs w:val="18"/>
          <w:color w:val="auto"/>
        </w:rPr>
      </w:pPr>
    </w:p>
    <w:p>
      <w:pPr>
        <w:ind w:left="660" w:right="40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34"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accurately predict the optimal pricing strategies necessary to attract new customers, retain existing customers and respond to changing market conditions.</w:t>
      </w:r>
    </w:p>
    <w:p>
      <w:pPr>
        <w:spacing w:after="0" w:line="130"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116"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the market in which we operate is rapidly evolving, and if we do not compete effectively, our results of operations and financial condition could be harmed.</w:t>
      </w:r>
    </w:p>
    <w:p>
      <w:pPr>
        <w:spacing w:after="0" w:line="130" w:lineRule="exact"/>
        <w:rPr>
          <w:rFonts w:ascii="Arial" w:cs="Arial" w:eastAsia="Arial" w:hAnsi="Arial"/>
          <w:sz w:val="18"/>
          <w:szCs w:val="18"/>
          <w:color w:val="auto"/>
        </w:rPr>
      </w:pPr>
    </w:p>
    <w:p>
      <w:pPr>
        <w:ind w:left="660" w:right="20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has materially adversely affected, and may continue to materially adversely affect, our business and our ability to grow. Whether or not a result of the COVID-19 pandemic, or any other similar event, a sustained general economic downturn, an uneven recovery, or continued instability could materially and adversely affect our business, results of operations, financial condition and growth prospects.</w:t>
      </w:r>
    </w:p>
    <w:p>
      <w:pPr>
        <w:spacing w:after="0" w:line="122"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130" w:lineRule="exact"/>
        <w:rPr>
          <w:rFonts w:ascii="Arial" w:cs="Arial" w:eastAsia="Arial" w:hAnsi="Arial"/>
          <w:sz w:val="18"/>
          <w:szCs w:val="18"/>
          <w:color w:val="auto"/>
        </w:rPr>
      </w:pPr>
    </w:p>
    <w:p>
      <w:pPr>
        <w:jc w:val="both"/>
        <w:ind w:left="660" w:right="8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business largely depends on our senior management team, and we depend on professional services firms for a significant portion of our finance function. The loss of any key employees or our outsourced finance team could adversely affect our business.</w:t>
      </w:r>
    </w:p>
    <w:p>
      <w:pPr>
        <w:spacing w:after="0" w:line="134" w:lineRule="exact"/>
        <w:rPr>
          <w:rFonts w:ascii="Arial" w:cs="Arial" w:eastAsia="Arial" w:hAnsi="Arial"/>
          <w:sz w:val="18"/>
          <w:szCs w:val="18"/>
          <w:color w:val="auto"/>
        </w:rPr>
      </w:pPr>
    </w:p>
    <w:p>
      <w:pPr>
        <w:jc w:val="both"/>
        <w:ind w:left="660" w:right="34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cannot guarantee that our share repurchase program will be fully consummated or that it will enhance long-term stockholder value. Share repurchases could also increase the volatility of the trading price of our common stock and could diminish our cash reserves.</w:t>
      </w:r>
    </w:p>
    <w:p>
      <w:pPr>
        <w:spacing w:after="0" w:line="120"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protect our sites, networks and systems against security breaches, or otherwise to protect our confidential information or the confidential information of our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660"/>
        <w:spacing w:after="0" w:line="261" w:lineRule="auto"/>
        <w:rPr>
          <w:sz w:val="20"/>
          <w:szCs w:val="20"/>
          <w:color w:val="auto"/>
        </w:rPr>
      </w:pPr>
      <w:r>
        <w:rPr>
          <w:rFonts w:ascii="Arial" w:cs="Arial" w:eastAsia="Arial" w:hAnsi="Arial"/>
          <w:sz w:val="18"/>
          <w:szCs w:val="18"/>
          <w:color w:val="auto"/>
        </w:rPr>
        <w:t>customers, or other third parties, would damage our reputation and brand, and substantially harm our business and results of operations.</w:t>
      </w:r>
    </w:p>
    <w:p>
      <w:pPr>
        <w:spacing w:after="0" w:line="117" w:lineRule="exact"/>
        <w:rPr>
          <w:sz w:val="20"/>
          <w:szCs w:val="20"/>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depends on a strong brand, and if we are not able to maintain and enhance our brand, our ability to expand our base of customers may be impaired, and our business and results of operations will be harmed.</w:t>
      </w:r>
    </w:p>
    <w:p>
      <w:pPr>
        <w:spacing w:after="0" w:line="130"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culture has contributed to our success, and if we cannot maintain this culture as we grow, we could lose the high employee engagement fostered by our culture, which could harm our business.</w:t>
      </w:r>
    </w:p>
    <w:p>
      <w:pPr>
        <w:spacing w:after="0" w:line="130"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adversely affected by global economic and political instability, including the war in Ukraine and the resulting escalating geopolitical tensions.</w:t>
      </w:r>
    </w:p>
    <w:p>
      <w:pPr>
        <w:spacing w:after="0" w:line="116"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to customers outside of the United States and our international operations expose us to risks inherent in international sales and operations.</w:t>
      </w:r>
    </w:p>
    <w:p>
      <w:pPr>
        <w:spacing w:after="0" w:line="130" w:lineRule="exact"/>
        <w:rPr>
          <w:rFonts w:ascii="Arial" w:cs="Arial" w:eastAsia="Arial" w:hAnsi="Arial"/>
          <w:sz w:val="18"/>
          <w:szCs w:val="18"/>
          <w:color w:val="auto"/>
        </w:rPr>
      </w:pPr>
    </w:p>
    <w:p>
      <w:pPr>
        <w:jc w:val="both"/>
        <w:ind w:left="660" w:right="6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34"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manage our technical operations infrastructure, or experience service outages, interruptions, or delays in the deployment of our platform, our results of operations may be harmed.</w:t>
      </w:r>
    </w:p>
    <w:p>
      <w:pPr>
        <w:spacing w:after="0" w:line="116" w:lineRule="exact"/>
        <w:rPr>
          <w:rFonts w:ascii="Arial" w:cs="Arial" w:eastAsia="Arial" w:hAnsi="Arial"/>
          <w:sz w:val="18"/>
          <w:szCs w:val="18"/>
          <w:color w:val="auto"/>
        </w:rPr>
      </w:pPr>
    </w:p>
    <w:p>
      <w:pPr>
        <w:jc w:val="both"/>
        <w:ind w:left="660" w:right="68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no longer qualify as an "emerging growth company," meaning we will be required to comply with certain provisions of the Sarbanes-Oxley Act of 2002 (the "Sarbanes-Oxley Act"). As a result, we can no longer take advantage of reduced disclosure requirements applicable to emerging growth companies.</w:t>
      </w:r>
    </w:p>
    <w:p>
      <w:pPr>
        <w:spacing w:after="0" w:line="134" w:lineRule="exact"/>
        <w:rPr>
          <w:rFonts w:ascii="Arial" w:cs="Arial" w:eastAsia="Arial" w:hAnsi="Arial"/>
          <w:sz w:val="18"/>
          <w:szCs w:val="18"/>
          <w:color w:val="auto"/>
        </w:rPr>
      </w:pPr>
    </w:p>
    <w:p>
      <w:pPr>
        <w:ind w:left="660" w:right="100" w:hanging="328"/>
        <w:spacing w:after="0" w:line="25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multiple class structure of our common stock and the ownership of substantially all of our LT10 and LT50 common stock by holders through a trust agreement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our Executive Committee of our Board of Directors (the "Executive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w:t>
      </w:r>
    </w:p>
    <w:p>
      <w:pPr>
        <w:spacing w:after="0" w:line="339" w:lineRule="exact"/>
        <w:rPr>
          <w:sz w:val="20"/>
          <w:szCs w:val="20"/>
          <w:color w:val="auto"/>
        </w:rPr>
      </w:pPr>
    </w:p>
    <w:p>
      <w:pPr>
        <w:spacing w:after="0"/>
        <w:rPr>
          <w:sz w:val="20"/>
          <w:szCs w:val="20"/>
          <w:color w:val="auto"/>
        </w:rPr>
      </w:pPr>
      <w:r>
        <w:rPr>
          <w:rFonts w:ascii="Arial" w:cs="Arial" w:eastAsia="Arial" w:hAnsi="Arial"/>
          <w:sz w:val="29"/>
          <w:szCs w:val="29"/>
          <w:color w:val="auto"/>
        </w:rPr>
        <w:t>Item 1.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Expensify is a leading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12 million members to our community, and processed and automated over 1.4 billion expense transactions on our platform as of December 31, 2022, freeing people to spend less time managing expenses and more time doing the things they love. For the quarter ended December 31, 2022, an average of 779,000 paid members across 53,000 companies and over 200 countries and territories used Expensify to make money easy.</w:t>
      </w:r>
    </w:p>
    <w:p>
      <w:pPr>
        <w:spacing w:after="0" w:line="12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Small and medium businesses (“SMBs”) are the cornerstone of the global economy, making up almost all businesses and the majority of employment in Organisation for Economic Co-operation and Development ("OECD") member countries. Despite their significance to the global economy,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4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Since the beginning of Expensify, our guiding principle has been improving the experience of the actual end users of expense management software: everyday employees. We designed Expensify to be easy to set up, integrate, configure and use from almost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and book travel, all from our single, easy-to-use mobile application. We intend to continue adding complementary features to retain and add value to existing customers and attract new members.</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w:t>
      </w:r>
    </w:p>
    <w:p>
      <w:pPr>
        <w:spacing w:after="0" w:line="12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business model allows us to prioritize attracting, retaining and inspiring talented, ambitious and humble people committed to a long-term vision. We are a team that likes to solve real problems, and though expense reports are problematic for most people, there are other pressing problems facing our world that we want to also help solve.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108" w:lineRule="exact"/>
        <w:rPr>
          <w:sz w:val="20"/>
          <w:szCs w:val="20"/>
          <w:color w:val="auto"/>
        </w:rPr>
      </w:pPr>
    </w:p>
    <w:p>
      <w:pPr>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discover. </w:t>
      </w:r>
      <w:r>
        <w:rPr>
          <w:rFonts w:ascii="Arial" w:cs="Arial" w:eastAsia="Arial" w:hAnsi="Arial"/>
          <w:sz w:val="18"/>
          <w:szCs w:val="18"/>
          <w:color w:val="auto"/>
        </w:rPr>
        <w:t>With job responsibilities spanning multiple functions, SMBs do not have the bandwidth and expertise to discover,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 with and evaluate several technology vendors. As such, SMBs increasingly rely on online channels for finding new technologies and heavily consider recommendations from experts, friends and colleagues.</w:t>
      </w:r>
    </w:p>
    <w:p>
      <w:pPr>
        <w:spacing w:after="0" w:line="89" w:lineRule="exact"/>
        <w:rPr>
          <w:rFonts w:ascii="Arial" w:cs="Arial" w:eastAsia="Arial" w:hAnsi="Arial"/>
          <w:sz w:val="18"/>
          <w:szCs w:val="18"/>
          <w:color w:val="auto"/>
        </w:rPr>
      </w:pPr>
    </w:p>
    <w:p>
      <w:pPr>
        <w:ind w:left="660" w:right="24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implement. </w:t>
      </w:r>
      <w:r>
        <w:rPr>
          <w:rFonts w:ascii="Arial" w:cs="Arial" w:eastAsia="Arial" w:hAnsi="Arial"/>
          <w:sz w:val="18"/>
          <w:szCs w:val="18"/>
          <w:color w:val="auto"/>
        </w:rPr>
        <w:t>IT departments within SMBs are often one person or the business owner themselves, and are incapable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taking time away from their business to support cumbersome implementation, maintenance and training requirements. As a result, SMBs prefer solutions that are easy to implement, onboard and integrate and that require little ongoing maintenance.</w:t>
      </w:r>
    </w:p>
    <w:p>
      <w:pPr>
        <w:spacing w:after="0" w:line="103"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purchase. </w:t>
      </w:r>
      <w:r>
        <w:rPr>
          <w:rFonts w:ascii="Arial" w:cs="Arial" w:eastAsia="Arial" w:hAnsi="Arial"/>
          <w:sz w:val="18"/>
          <w:szCs w:val="18"/>
          <w:color w:val="auto"/>
        </w:rPr>
        <w:t>With no procurement department and limited resources, the individuals making the purchasing decision at SMBs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often prefer vendors with transparent, self-service monthly subscription plans that can be paid by credit card.</w:t>
      </w:r>
    </w:p>
    <w:p>
      <w:pPr>
        <w:spacing w:after="0" w:line="85"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manage. </w:t>
      </w:r>
      <w:r>
        <w:rPr>
          <w:rFonts w:ascii="Arial" w:cs="Arial" w:eastAsia="Arial" w:hAnsi="Arial"/>
          <w:sz w:val="18"/>
          <w:szCs w:val="18"/>
          <w:color w:val="auto"/>
        </w:rPr>
        <w:t>Unlike large enterprises, which often require multiple, customized point solutions for specialized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SMBs prefer a single, comprehensive platform from one provider that can solve multiple pain points.</w:t>
      </w:r>
    </w:p>
    <w:p>
      <w:pPr>
        <w:spacing w:after="0" w:line="71" w:lineRule="exact"/>
        <w:rPr>
          <w:rFonts w:ascii="Arial" w:cs="Arial" w:eastAsia="Arial" w:hAnsi="Arial"/>
          <w:sz w:val="18"/>
          <w:szCs w:val="18"/>
          <w:color w:val="auto"/>
        </w:rPr>
      </w:pPr>
    </w:p>
    <w:p>
      <w:pPr>
        <w:ind w:left="660" w:right="9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Many SMBs prioritize ease of use and convenience over cost and seek solutions with elegant, intuitive user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that require no training or expertise to operate.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short, SMBs look for “easy money” management.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 our founding, we have taken a unique approach to expense management built on key, complementary elements:</w:t>
      </w:r>
    </w:p>
    <w:p>
      <w:pPr>
        <w:spacing w:after="0" w:line="136" w:lineRule="exact"/>
        <w:rPr>
          <w:sz w:val="20"/>
          <w:szCs w:val="20"/>
          <w:color w:val="auto"/>
        </w:rPr>
      </w:pPr>
    </w:p>
    <w:p>
      <w:pPr>
        <w:ind w:left="660" w:right="10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Platform strategy hyper-focused on the employee. </w:t>
      </w:r>
      <w:r>
        <w:rPr>
          <w:rFonts w:ascii="Arial" w:cs="Arial" w:eastAsia="Arial" w:hAnsi="Arial"/>
          <w:sz w:val="18"/>
          <w:szCs w:val="18"/>
          <w:color w:val="auto"/>
        </w:rPr>
        <w:t>We designed Expensify to be easily configured and used by every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within an organization, not just decision 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w:t>
      </w:r>
    </w:p>
    <w:p>
      <w:pPr>
        <w:spacing w:after="0" w:line="114" w:lineRule="exact"/>
        <w:rPr>
          <w:rFonts w:ascii="Arial" w:cs="Arial" w:eastAsia="Arial" w:hAnsi="Arial"/>
          <w:sz w:val="18"/>
          <w:szCs w:val="18"/>
          <w:color w:val="auto"/>
        </w:rPr>
      </w:pPr>
    </w:p>
    <w:p>
      <w:pPr>
        <w:ind w:left="660" w:right="4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bottom-up business model driven by the employee. </w:t>
      </w:r>
      <w:r>
        <w:rPr>
          <w:rFonts w:ascii="Arial" w:cs="Arial" w:eastAsia="Arial" w:hAnsi="Arial"/>
          <w:sz w:val="18"/>
          <w:szCs w:val="18"/>
          <w:color w:val="auto"/>
        </w:rPr>
        <w:t>Our employee-focused platform strategy enables a viral, bottom-up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 This enables us to focus our time and resources on making our features better for our members, and avoid the reliance on a costly, traditional top-down sales and marketing approach to attract and retain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Word-of-mouth adoption supported by a market consensus approach. </w:t>
      </w:r>
      <w:r>
        <w:rPr>
          <w:rFonts w:ascii="Arial" w:cs="Arial" w:eastAsia="Arial" w:hAnsi="Arial"/>
          <w:sz w:val="18"/>
          <w:szCs w:val="18"/>
          <w:color w:val="auto"/>
        </w:rPr>
        <w:t>We believe that our happy members are the best form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We strive to build a superior platform 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 We believe this enables us to focus on creating great features for our members rather than rely on the expensive and ineffective activities of traditional sales and marketing to drive customer acquisition.</w:t>
      </w:r>
    </w:p>
    <w:p>
      <w:pPr>
        <w:spacing w:after="0" w:line="101"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Unique company culture and long-term vision. </w:t>
      </w:r>
      <w:r>
        <w:rPr>
          <w:rFonts w:ascii="Arial" w:cs="Arial" w:eastAsia="Arial" w:hAnsi="Arial"/>
          <w:sz w:val="18"/>
          <w:szCs w:val="18"/>
          <w:color w:val="auto"/>
        </w:rPr>
        <w:t>Our platform strategy and business model are complemented by our unique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culture and intense focus on the long-term 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spacing w:after="0" w:line="13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believe that these elements of our approach are hard to replicate, self-reinforcing and work together to drive a powerful competitive advantage.</w:t>
      </w:r>
    </w:p>
    <w:p>
      <w:pPr>
        <w:spacing w:after="0" w:line="127" w:lineRule="exact"/>
        <w:rPr>
          <w:sz w:val="20"/>
          <w:szCs w:val="20"/>
          <w:color w:val="auto"/>
        </w:rPr>
      </w:pPr>
    </w:p>
    <w:p>
      <w:pPr>
        <w:spacing w:after="0"/>
        <w:rPr>
          <w:sz w:val="20"/>
          <w:szCs w:val="20"/>
          <w:color w:val="auto"/>
        </w:rPr>
      </w:pPr>
      <w:r>
        <w:rPr>
          <w:rFonts w:ascii="Arial" w:cs="Arial" w:eastAsia="Arial" w:hAnsi="Arial"/>
          <w:sz w:val="29"/>
          <w:szCs w:val="29"/>
          <w:color w:val="auto"/>
        </w:rPr>
        <w:t>Our Platform Strategy</w:t>
      </w:r>
    </w:p>
    <w:p>
      <w:pPr>
        <w:spacing w:after="0" w:line="15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Expensify is a leading cloud-based expense management software platform that allows any business to simplify how it manages expenses. We built our platform to be intuitive and easy to deploy, with powerful features that increase our network effect within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spacing w:after="0" w:line="116" w:lineRule="exact"/>
        <w:rPr>
          <w:sz w:val="20"/>
          <w:szCs w:val="20"/>
          <w:color w:val="auto"/>
        </w:rPr>
      </w:pPr>
    </w:p>
    <w:p>
      <w:pPr>
        <w:ind w:left="660" w:right="24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for everyone. </w:t>
      </w:r>
      <w:r>
        <w:rPr>
          <w:rFonts w:ascii="Arial" w:cs="Arial" w:eastAsia="Arial" w:hAnsi="Arial"/>
          <w:sz w:val="18"/>
          <w:szCs w:val="18"/>
          <w:color w:val="auto"/>
        </w:rPr>
        <w:t>We designed our platform to be used by everyone in an organization, from employees to managers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department. We offer an intuitive, elegant user interface that everyday employees can easily understand and operate from almost any device. We deliver guided 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w:t>
      </w:r>
    </w:p>
    <w:p>
      <w:pPr>
        <w:spacing w:after="0" w:line="101"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set up. </w:t>
      </w:r>
      <w:r>
        <w:rPr>
          <w:rFonts w:ascii="Arial" w:cs="Arial" w:eastAsia="Arial" w:hAnsi="Arial"/>
          <w:sz w:val="18"/>
          <w:szCs w:val="18"/>
          <w:color w:val="auto"/>
        </w:rPr>
        <w:t>We designed our platform to be easily implemented and configured without the need to speak with a sales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employee can download our free application from mobile app stores or sign up on the website, create an account and start submitting expenses within minutes. When an expense report is submitted, the manager who receives it also automatically becomes a member. Concierge, our proprietary AI-powered customer support engine, helps new members set up an account, connect teammates, assign company policies and immediately sync Expensify with existing accounting, HR and travel systems. We believe that by making our platform easily accessible, simple to set up and easily configurable attracts more members to download and try Expensify.</w:t>
      </w:r>
    </w:p>
    <w:p>
      <w:pPr>
        <w:spacing w:after="0" w:line="115" w:lineRule="exact"/>
        <w:rPr>
          <w:rFonts w:ascii="Arial" w:cs="Arial" w:eastAsia="Arial" w:hAnsi="Arial"/>
          <w:sz w:val="18"/>
          <w:szCs w:val="18"/>
          <w:color w:val="auto"/>
        </w:rPr>
      </w:pPr>
    </w:p>
    <w:p>
      <w:pPr>
        <w:ind w:left="660" w:right="60" w:hanging="328"/>
        <w:spacing w:after="0" w:line="27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Designed to improve experiences for all members. </w:t>
      </w:r>
      <w:r>
        <w:rPr>
          <w:rFonts w:ascii="Arial" w:cs="Arial" w:eastAsia="Arial" w:hAnsi="Arial"/>
          <w:sz w:val="17"/>
          <w:szCs w:val="17"/>
          <w:color w:val="auto"/>
        </w:rPr>
        <w:t>We designed our platform to leverage leading technology, such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patented SmartScan and our proprietary AI-powered 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 points of our members at the center of every technology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feature we develop enables us to consistently deliver an improved experience for every employee in an organization.</w:t>
      </w:r>
    </w:p>
    <w:p>
      <w:pPr>
        <w:spacing w:after="0" w:line="122" w:lineRule="exact"/>
        <w:rPr>
          <w:sz w:val="20"/>
          <w:szCs w:val="20"/>
          <w:color w:val="auto"/>
        </w:rPr>
      </w:pPr>
    </w:p>
    <w:p>
      <w:pPr>
        <w:ind w:left="660" w:right="4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platform, many features. </w:t>
      </w:r>
      <w:r>
        <w:rPr>
          <w:rFonts w:ascii="Arial" w:cs="Arial" w:eastAsia="Arial" w:hAnsi="Arial"/>
          <w:sz w:val="18"/>
          <w:szCs w:val="18"/>
          <w:color w:val="auto"/>
        </w:rPr>
        <w:t>Expensify is one platform, with one price that unlocks access to every feature on the platform,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management to bill payment. Our features are just different configurations of the same underlying tool, and are not different products in some kind of combined suite. We develop our features in a compounding manner, which means that everything we build improves everything we've already built, and lays a foundation for what we will build next. This enables increasingly rapid deployment of new features that solve other problems for our members and allows us to extend the network effect of our platform.</w:t>
      </w:r>
    </w:p>
    <w:p>
      <w:pPr>
        <w:spacing w:after="0" w:line="11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integrated. </w:t>
      </w:r>
      <w:r>
        <w:rPr>
          <w:rFonts w:ascii="Arial" w:cs="Arial" w:eastAsia="Arial" w:hAnsi="Arial"/>
          <w:sz w:val="17"/>
          <w:szCs w:val="17"/>
          <w:color w:val="auto"/>
        </w:rPr>
        <w:t>We designed our platform to easily integrate with other business and consumer applications. We offer over 40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pre-built integrations, allowing Expensify to seamlessly connect with HR, payroll and accounting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spacing w:after="0" w:line="11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believe that elements of our platform strategy are a critical driver of the viral, widespread adoption of Expensify across and between any type of organization.</w:t>
      </w:r>
    </w:p>
    <w:p>
      <w:pPr>
        <w:spacing w:after="0" w:line="114" w:lineRule="exact"/>
        <w:rPr>
          <w:sz w:val="20"/>
          <w:szCs w:val="20"/>
          <w:color w:val="auto"/>
        </w:rPr>
      </w:pPr>
    </w:p>
    <w:p>
      <w:pPr>
        <w:spacing w:after="0"/>
        <w:rPr>
          <w:sz w:val="20"/>
          <w:szCs w:val="20"/>
          <w:color w:val="auto"/>
        </w:rPr>
      </w:pPr>
      <w:r>
        <w:rPr>
          <w:rFonts w:ascii="Arial" w:cs="Arial" w:eastAsia="Arial" w:hAnsi="Arial"/>
          <w:sz w:val="29"/>
          <w:szCs w:val="29"/>
          <w:color w:val="auto"/>
        </w:rPr>
        <w:t>Our Business Model</w:t>
      </w:r>
    </w:p>
    <w:p>
      <w:pPr>
        <w:spacing w:after="0" w:line="1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Card or Bill Pay.</w:t>
      </w:r>
    </w:p>
    <w:p>
      <w:pPr>
        <w:spacing w:after="0" w:line="12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offer simple, transparent and flexible subscription plans for both individuals and businesses that are completely self-service and payable by credit card.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 suit their specific needs, all without interacting with a sales representative or paying hidden costs for implementation, maintenance, or support.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individual subscriptions include our </w:t>
      </w:r>
      <w:r>
        <w:rPr>
          <w:rFonts w:ascii="Arial" w:cs="Arial" w:eastAsia="Arial" w:hAnsi="Arial"/>
          <w:sz w:val="18"/>
          <w:szCs w:val="18"/>
          <w:i w:val="1"/>
          <w:iCs w:val="1"/>
          <w:color w:val="auto"/>
        </w:rPr>
        <w:t>Track</w:t>
      </w:r>
      <w:r>
        <w:rPr>
          <w:rFonts w:ascii="Arial" w:cs="Arial" w:eastAsia="Arial" w:hAnsi="Arial"/>
          <w:sz w:val="18"/>
          <w:szCs w:val="18"/>
          <w:color w:val="auto"/>
        </w:rPr>
        <w:t xml:space="preserve"> and </w:t>
      </w:r>
      <w:r>
        <w:rPr>
          <w:rFonts w:ascii="Arial" w:cs="Arial" w:eastAsia="Arial" w:hAnsi="Arial"/>
          <w:sz w:val="18"/>
          <w:szCs w:val="18"/>
          <w:i w:val="1"/>
          <w:iCs w:val="1"/>
          <w:color w:val="auto"/>
        </w:rPr>
        <w:t>Submit</w:t>
      </w:r>
      <w:r>
        <w:rPr>
          <w:rFonts w:ascii="Arial" w:cs="Arial" w:eastAsia="Arial" w:hAnsi="Arial"/>
          <w:sz w:val="18"/>
          <w:szCs w:val="18"/>
          <w:color w:val="auto"/>
        </w:rPr>
        <w:t xml:space="preserve"> plans, which include an optional paid monthly upgrade for anyone wishing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SmartScan more than 25 receipts in a given month:</w:t>
      </w:r>
    </w:p>
    <w:p>
      <w:pPr>
        <w:spacing w:after="0" w:line="13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Free Plans </w:t>
      </w:r>
      <w:r>
        <w:rPr>
          <w:rFonts w:ascii="Arial" w:cs="Arial" w:eastAsia="Arial" w:hAnsi="Arial"/>
          <w:sz w:val="18"/>
          <w:szCs w:val="18"/>
          <w:color w:val="auto"/>
        </w:rPr>
        <w:t>(Optional upgrade for unlimited SmartScan)</w:t>
      </w:r>
    </w:p>
    <w:p>
      <w:pPr>
        <w:spacing w:after="0" w:line="144" w:lineRule="exact"/>
        <w:rPr>
          <w:rFonts w:ascii="Arial" w:cs="Arial" w:eastAsia="Arial" w:hAnsi="Arial"/>
          <w:sz w:val="18"/>
          <w:szCs w:val="18"/>
          <w:color w:val="auto"/>
        </w:rPr>
      </w:pPr>
    </w:p>
    <w:p>
      <w:pPr>
        <w:ind w:left="980" w:hanging="324"/>
        <w:spacing w:after="0" w:line="287" w:lineRule="auto"/>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Track. </w:t>
      </w:r>
      <w:r>
        <w:rPr>
          <w:rFonts w:ascii="Arial" w:cs="Arial" w:eastAsia="Arial" w:hAnsi="Arial"/>
          <w:sz w:val="18"/>
          <w:szCs w:val="18"/>
          <w:color w:val="auto"/>
        </w:rPr>
        <w:t>Our free Track plan comes with our SmartScan receipt scanning functionality and is used primarily by individuals and sole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proprietors to streamline their receipt and mileage tracking.</w:t>
      </w:r>
    </w:p>
    <w:p>
      <w:pPr>
        <w:spacing w:after="0" w:line="85" w:lineRule="exact"/>
        <w:rPr>
          <w:rFonts w:ascii="Arial" w:cs="Arial" w:eastAsia="Arial" w:hAnsi="Arial"/>
          <w:sz w:val="18"/>
          <w:szCs w:val="18"/>
          <w:color w:val="auto"/>
        </w:rPr>
      </w:pPr>
    </w:p>
    <w:p>
      <w:pPr>
        <w:ind w:left="980" w:right="40" w:hanging="324"/>
        <w:spacing w:after="0" w:line="287" w:lineRule="auto"/>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Submit. </w:t>
      </w:r>
      <w:r>
        <w:rPr>
          <w:rFonts w:ascii="Arial" w:cs="Arial" w:eastAsia="Arial" w:hAnsi="Arial"/>
          <w:sz w:val="18"/>
          <w:szCs w:val="18"/>
          <w:color w:val="auto"/>
        </w:rPr>
        <w:t>Our free Submit plan includes the same functionality in Track, and also adds the ability to automatically submit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reports to anyone for reimbursement.</w:t>
      </w:r>
    </w:p>
    <w:p>
      <w:pPr>
        <w:spacing w:after="0" w:line="9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Our business subscriptions can be used by teams, organizations, and companies for free or upgraded to one of our paid plans, which include our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following a free trial. We bill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customers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at the start of each month based on the number of policy members who were active in the previous month. Each customer has either a "pay per use" plan in which they are billed a flat rate or each active member, or an "annual" plan where they commit to a minimum number of monthly seats in exchange for a discount.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customers can access additional discounts if they spend on the Expensify Card:</w:t>
      </w:r>
    </w:p>
    <w:p>
      <w:pPr>
        <w:spacing w:after="0" w:line="95"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Free Plans</w:t>
      </w:r>
    </w:p>
    <w:p>
      <w:pPr>
        <w:spacing w:after="0" w:line="157" w:lineRule="exact"/>
        <w:rPr>
          <w:rFonts w:ascii="Arial" w:cs="Arial" w:eastAsia="Arial" w:hAnsi="Arial"/>
          <w:sz w:val="18"/>
          <w:szCs w:val="18"/>
          <w:b w:val="1"/>
          <w:bCs w:val="1"/>
          <w:color w:val="auto"/>
        </w:rPr>
      </w:pPr>
    </w:p>
    <w:p>
      <w:pPr>
        <w:ind w:left="980" w:right="740" w:hanging="324"/>
        <w:spacing w:after="0" w:line="287" w:lineRule="auto"/>
        <w:tabs>
          <w:tab w:leader="none" w:pos="976"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Free. </w:t>
      </w:r>
      <w:r>
        <w:rPr>
          <w:rFonts w:ascii="Arial" w:cs="Arial" w:eastAsia="Arial" w:hAnsi="Arial"/>
          <w:sz w:val="18"/>
          <w:szCs w:val="18"/>
          <w:color w:val="auto"/>
        </w:rPr>
        <w:t>Our Free plan enables our members to roll out a corporate card program with the Expensify Card, reimburse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for employees, send invoices to clients and set up bill payment for their team.</w:t>
      </w:r>
    </w:p>
    <w:p>
      <w:pPr>
        <w:spacing w:after="0" w:line="85" w:lineRule="exact"/>
        <w:rPr>
          <w:rFonts w:ascii="Arial" w:cs="Arial" w:eastAsia="Arial" w:hAnsi="Arial"/>
          <w:sz w:val="18"/>
          <w:szCs w:val="18"/>
          <w:b w:val="1"/>
          <w:bCs w:val="1"/>
          <w:color w:val="auto"/>
        </w:rPr>
      </w:pPr>
    </w:p>
    <w:p>
      <w:pPr>
        <w:ind w:left="640" w:hanging="308"/>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Paid Plans</w:t>
      </w:r>
    </w:p>
    <w:p>
      <w:pPr>
        <w:spacing w:after="0" w:line="144" w:lineRule="exact"/>
        <w:rPr>
          <w:rFonts w:ascii="Arial" w:cs="Arial" w:eastAsia="Arial" w:hAnsi="Arial"/>
          <w:sz w:val="18"/>
          <w:szCs w:val="18"/>
          <w:b w:val="1"/>
          <w:bCs w:val="1"/>
          <w:color w:val="auto"/>
        </w:rPr>
      </w:pPr>
    </w:p>
    <w:p>
      <w:pPr>
        <w:ind w:left="980" w:right="240" w:hanging="324"/>
        <w:spacing w:after="0" w:line="287" w:lineRule="auto"/>
        <w:tabs>
          <w:tab w:leader="none" w:pos="976"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Collect.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enables our members to integrate with popular small business accounting systems, configure simple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report approval workflows, as well as pay employees, contractors and volunteers via Direct Deposit ACH.</w:t>
      </w:r>
    </w:p>
    <w:p>
      <w:pPr>
        <w:spacing w:after="0" w:line="85" w:lineRule="exact"/>
        <w:rPr>
          <w:rFonts w:ascii="Arial" w:cs="Arial" w:eastAsia="Arial" w:hAnsi="Arial"/>
          <w:sz w:val="18"/>
          <w:szCs w:val="18"/>
          <w:color w:val="auto"/>
        </w:rPr>
      </w:pPr>
    </w:p>
    <w:p>
      <w:pPr>
        <w:ind w:left="980" w:hanging="324"/>
        <w:spacing w:after="0" w:line="268" w:lineRule="auto"/>
        <w:tabs>
          <w:tab w:leader="none" w:pos="976"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which is by far our most popular plan, includes everything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adds the ability to configure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rules-based approval workflows and integrate with financial, travel, HR, as well as other internal systems commonly used by mid-market and enterprise companies.</w:t>
      </w:r>
    </w:p>
    <w:p>
      <w:pPr>
        <w:spacing w:after="0" w:line="1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We also leverage partnerships with accounting and bookkeeping firms, who provide validation of our platform and refer customers to us. We partner with strategic accounting software partners such as Intuit, NetSuite, Xero and Sage Intacct to integrate our software in their clients’ back offices, and recognize us as a top expense tool when their clients are browsing and selecting integrated solutions. Additionally, our </w:t>
      </w:r>
      <w:r>
        <w:rPr>
          <w:rFonts w:ascii="Arial" w:cs="Arial" w:eastAsia="Arial" w:hAnsi="Arial"/>
          <w:sz w:val="18"/>
          <w:szCs w:val="18"/>
          <w:i w:val="1"/>
          <w:iCs w:val="1"/>
          <w:color w:val="auto"/>
        </w:rPr>
        <w:t xml:space="preserve">ExpensifyApproved! </w:t>
      </w:r>
      <w:r>
        <w:rPr>
          <w:rFonts w:ascii="Arial" w:cs="Arial" w:eastAsia="Arial" w:hAnsi="Arial"/>
          <w:sz w:val="18"/>
          <w:szCs w:val="18"/>
          <w:color w:val="auto"/>
        </w:rPr>
        <w:t>Partner Program trains and supports accountants to use our platform and encourages their customers to use Expensify.</w:t>
      </w:r>
      <w:r>
        <w:rPr>
          <w:rFonts w:ascii="Arial" w:cs="Arial" w:eastAsia="Arial" w:hAnsi="Arial"/>
          <w:sz w:val="18"/>
          <w:szCs w:val="18"/>
          <w:i w:val="1"/>
          <w:iCs w:val="1"/>
          <w:color w:val="auto"/>
        </w:rPr>
        <w:t xml:space="preserve"> </w:t>
      </w:r>
      <w:r>
        <w:rPr>
          <w:rFonts w:ascii="Arial" w:cs="Arial" w:eastAsia="Arial" w:hAnsi="Arial"/>
          <w:sz w:val="18"/>
          <w:szCs w:val="18"/>
          <w:color w:val="auto"/>
        </w:rPr>
        <w:t>We work hard to maintain top expense partner status with all partners to support our market consensus strategy.</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color w:val="auto"/>
        </w:rPr>
        <w:t>Our Growth Strategies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intend to drive the growth of our business by executing on the following strategies:</w:t>
      </w:r>
    </w:p>
    <w:p>
      <w:pPr>
        <w:spacing w:after="0" w:line="122" w:lineRule="exact"/>
        <w:rPr>
          <w:sz w:val="20"/>
          <w:szCs w:val="20"/>
          <w:color w:val="auto"/>
        </w:rPr>
      </w:pPr>
    </w:p>
    <w:p>
      <w:pPr>
        <w:ind w:left="660" w:right="14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new features that create additional value for existing members. </w:t>
      </w:r>
      <w:r>
        <w:rPr>
          <w:rFonts w:ascii="Arial" w:cs="Arial" w:eastAsia="Arial" w:hAnsi="Arial"/>
          <w:sz w:val="18"/>
          <w:szCs w:val="18"/>
          <w:color w:val="auto"/>
        </w:rPr>
        <w:t>Our word-of-mouth model works well because people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genuinely enjoy using Expensify. We intend to continue to invest in 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By efficiently investing in new features that prioritize the needs of our members, we can continue to retain existing members and attract new members via word-of-mouth;</w:t>
      </w:r>
    </w:p>
    <w:p>
      <w:pPr>
        <w:spacing w:after="0" w:line="111"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new features that attract new members beyond employees who submit expenses. </w:t>
      </w:r>
      <w:r>
        <w:rPr>
          <w:rFonts w:ascii="Arial" w:cs="Arial" w:eastAsia="Arial" w:hAnsi="Arial"/>
          <w:sz w:val="18"/>
          <w:szCs w:val="18"/>
          <w:color w:val="auto"/>
        </w:rPr>
        <w:t>We have and will continue to invest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features complementary and adjacent 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 These features will enable easy financial collaboration within communities and between friends and family;</w:t>
      </w:r>
    </w:p>
    <w:p>
      <w:pPr>
        <w:spacing w:after="0" w:line="10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viral loops into our member experience that increase adoption by new customers. </w:t>
      </w:r>
      <w:r>
        <w:rPr>
          <w:rFonts w:ascii="Arial" w:cs="Arial" w:eastAsia="Arial" w:hAnsi="Arial"/>
          <w:sz w:val="18"/>
          <w:szCs w:val="18"/>
          <w:color w:val="auto"/>
        </w:rPr>
        <w:t>We design our expense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and every new feature with the aim of frictionless adoption. Individual employees download the Expensify mobile app or sign up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our website, for free, and use it to submit their expenses to their bosses – turning every expense report into a highly targeted marketing message, straight to a decision maker. Outside of expense management, we have expanded our platform and built invoicing and bill payment features with the goal of replicating the frictionless adoption of our expense management feature. By sending an invoice using Expensify, 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will continue to focus on maintaining and extending the virality of our features to support our viral, bottom-up business model;</w:t>
      </w:r>
    </w:p>
    <w:p>
      <w:pPr>
        <w:spacing w:after="0" w:line="91" w:lineRule="exact"/>
        <w:rPr>
          <w:sz w:val="20"/>
          <w:szCs w:val="20"/>
          <w:color w:val="auto"/>
        </w:rPr>
      </w:pPr>
    </w:p>
    <w:p>
      <w:pPr>
        <w:ind w:left="660" w:right="60" w:hanging="328"/>
        <w:spacing w:after="0" w:line="26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and monetize transaction volume from existing and new customers. </w:t>
      </w:r>
      <w:r>
        <w:rPr>
          <w:rFonts w:ascii="Arial" w:cs="Arial" w:eastAsia="Arial" w:hAnsi="Arial"/>
          <w:sz w:val="18"/>
          <w:szCs w:val="18"/>
          <w:color w:val="auto"/>
        </w:rPr>
        <w:t>We fully launched the Expensify Card in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despite pullback in corporate expenses with the COVID-19 pandemic, customers began adopting the card. Since then, its adoption has grown, especially as business travel resumed following challenges caused by the COVID-19 pandemic. Going forward, we intend to increase the promotion of the Expensify Card to both new and existing customers to drive growth in adoption;</w:t>
      </w:r>
    </w:p>
    <w:p>
      <w:pPr>
        <w:spacing w:after="0" w:line="108"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Promote Expensify’s culture and values. </w:t>
      </w:r>
      <w:r>
        <w:rPr>
          <w:rFonts w:ascii="Arial" w:cs="Arial" w:eastAsia="Arial" w:hAnsi="Arial"/>
          <w:sz w:val="18"/>
          <w:szCs w:val="18"/>
          <w:color w:val="auto"/>
        </w:rPr>
        <w:t>We believe that consumers are more likely to both use and recommend products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they admire. By consistently acting on and vocally promoting our values, we have the ability to both drive positive change and create brand awareness that can add to the virality of our platform. Our culture and values, including our adherence to Environmental, Social, and Governance ("ESG") principles, will be shared in our company code of ethics and conduct and in future sustainability reporting;</w:t>
      </w:r>
    </w:p>
    <w:p>
      <w:pPr>
        <w:spacing w:after="0" w:line="111" w:lineRule="exact"/>
        <w:rPr>
          <w:rFonts w:ascii="Arial" w:cs="Arial" w:eastAsia="Arial" w:hAnsi="Arial"/>
          <w:sz w:val="18"/>
          <w:szCs w:val="18"/>
          <w:color w:val="auto"/>
        </w:rPr>
      </w:pPr>
    </w:p>
    <w:p>
      <w:pPr>
        <w:ind w:left="660" w:right="180" w:hanging="328"/>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strengthen our market consensus. </w:t>
      </w:r>
      <w:r>
        <w:rPr>
          <w:rFonts w:ascii="Arial" w:cs="Arial" w:eastAsia="Arial" w:hAnsi="Arial"/>
          <w:sz w:val="18"/>
          <w:szCs w:val="18"/>
          <w:color w:val="auto"/>
        </w:rPr>
        <w:t>We have worked hard to establish and maintain Expensify as the dominant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management platform for SMBs. We leverage a variety of targeted marketing strategies that involve industry conferences, industry influencers, partner marketing, our own conference and more to achieve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spacing w:after="0" w:line="101" w:lineRule="exact"/>
        <w:rPr>
          <w:rFonts w:ascii="Arial" w:cs="Arial" w:eastAsia="Arial" w:hAnsi="Arial"/>
          <w:sz w:val="18"/>
          <w:szCs w:val="18"/>
          <w:color w:val="auto"/>
        </w:rPr>
      </w:pPr>
    </w:p>
    <w:p>
      <w:pPr>
        <w:jc w:val="both"/>
        <w:ind w:left="660" w:right="18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Create physical spaces to attract new members and promote our brand. </w:t>
      </w:r>
      <w:r>
        <w:rPr>
          <w:rFonts w:ascii="Arial" w:cs="Arial" w:eastAsia="Arial" w:hAnsi="Arial"/>
          <w:sz w:val="18"/>
          <w:szCs w:val="18"/>
          <w:color w:val="auto"/>
        </w:rPr>
        <w:t>We are transitioning certain of our office spaces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co-working spaces, which we call lounges. These spaces are uniquely designed to be extensions of our culture and brand, and we intend to open these spaces to certain members in addition to Expensify employees. These spaces are designed to showcase how we work and have built our company, which we hope will encourage current members to adopt our culture for their companies and invite their friends to join, adding new members;</w:t>
      </w:r>
    </w:p>
    <w:p>
      <w:pPr>
        <w:spacing w:after="0" w:line="111" w:lineRule="exact"/>
        <w:rPr>
          <w:rFonts w:ascii="Arial" w:cs="Arial" w:eastAsia="Arial" w:hAnsi="Arial"/>
          <w:sz w:val="18"/>
          <w:szCs w:val="18"/>
          <w:color w:val="auto"/>
        </w:rPr>
      </w:pPr>
    </w:p>
    <w:p>
      <w:pPr>
        <w:ind w:left="660" w:right="100" w:hanging="328"/>
        <w:spacing w:after="0" w:line="27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integrations and strengthen partnerships. </w:t>
      </w:r>
      <w:r>
        <w:rPr>
          <w:rFonts w:ascii="Arial" w:cs="Arial" w:eastAsia="Arial" w:hAnsi="Arial"/>
          <w:sz w:val="17"/>
          <w:szCs w:val="17"/>
          <w:color w:val="auto"/>
        </w:rPr>
        <w:t>Expense management touches many functions across a company. To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 seamless experience for our customers, we integrate with the accounting, ERP and travel software used by SMBs and their employees every day. We also have frictionless integrations with many of the technology providers that generate the most receipts for our members, such as Uber and Lyft. Through our </w:t>
      </w:r>
      <w:r>
        <w:rPr>
          <w:rFonts w:ascii="Arial" w:cs="Arial" w:eastAsia="Arial" w:hAnsi="Arial"/>
          <w:sz w:val="17"/>
          <w:szCs w:val="17"/>
          <w:i w:val="1"/>
          <w:iCs w:val="1"/>
          <w:color w:val="auto"/>
        </w:rPr>
        <w:t>ExpensifyApproved!</w:t>
      </w:r>
      <w:r>
        <w:rPr>
          <w:rFonts w:ascii="Arial" w:cs="Arial" w:eastAsia="Arial" w:hAnsi="Arial"/>
          <w:sz w:val="17"/>
          <w:szCs w:val="17"/>
          <w:color w:val="auto"/>
        </w:rPr>
        <w:t xml:space="preserve"> Partner Program, we train and support accountants who then encourage their customers to use Expensify. We intend to continue to invest in both integrations and partnerships as they are critical to delivering best-in-class user experiences and ensuring that Expensify is deeply embedded within our customer base; and</w:t>
      </w:r>
    </w:p>
    <w:p>
      <w:pPr>
        <w:spacing w:after="0" w:line="100" w:lineRule="exact"/>
        <w:rPr>
          <w:rFonts w:ascii="Arial" w:cs="Arial" w:eastAsia="Arial" w:hAnsi="Arial"/>
          <w:sz w:val="17"/>
          <w:szCs w:val="17"/>
          <w:color w:val="auto"/>
        </w:rPr>
      </w:pPr>
    </w:p>
    <w:p>
      <w:pPr>
        <w:ind w:left="660" w:right="38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internationally. </w:t>
      </w:r>
      <w:r>
        <w:rPr>
          <w:rFonts w:ascii="Arial" w:cs="Arial" w:eastAsia="Arial" w:hAnsi="Arial"/>
          <w:sz w:val="18"/>
          <w:szCs w:val="18"/>
          <w:color w:val="auto"/>
        </w:rPr>
        <w:t>We see significant opportunity to acquire new customers internationally. Because word-of-mouth drives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adoption, we have experienced member growth outside of our core geographies without investment in marketing or regional sales forces. We have the opportunity to accelerate international growth by investing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marketing, developing a localized platform experience and expanding international partnership and integrations.</w:t>
      </w:r>
    </w:p>
    <w:p>
      <w:pPr>
        <w:spacing w:after="0" w:line="14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believe that the combination of the strength of our platform, our scalable business model and our special company culture has us well-positioned to achieve these growth strategies.</w:t>
      </w:r>
    </w:p>
    <w:p>
      <w:pPr>
        <w:spacing w:after="0" w:line="127" w:lineRule="exact"/>
        <w:rPr>
          <w:sz w:val="20"/>
          <w:szCs w:val="20"/>
          <w:color w:val="auto"/>
        </w:rPr>
      </w:pPr>
    </w:p>
    <w:p>
      <w:pPr>
        <w:spacing w:after="0"/>
        <w:rPr>
          <w:sz w:val="20"/>
          <w:szCs w:val="20"/>
          <w:color w:val="auto"/>
        </w:rPr>
      </w:pPr>
      <w:r>
        <w:rPr>
          <w:rFonts w:ascii="Arial" w:cs="Arial" w:eastAsia="Arial" w:hAnsi="Arial"/>
          <w:sz w:val="29"/>
          <w:szCs w:val="29"/>
          <w:color w:val="auto"/>
        </w:rPr>
        <w:t>Our Platform</w:t>
      </w:r>
    </w:p>
    <w:p>
      <w:pPr>
        <w:spacing w:after="0" w:line="15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spacing w:after="0" w:line="13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spacing w:after="0" w:line="137" w:lineRule="exact"/>
        <w:rPr>
          <w:sz w:val="20"/>
          <w:szCs w:val="20"/>
          <w:color w:val="auto"/>
        </w:rPr>
      </w:pPr>
    </w:p>
    <w:p>
      <w:pPr>
        <w:spacing w:after="0"/>
        <w:rPr>
          <w:sz w:val="20"/>
          <w:szCs w:val="20"/>
          <w:color w:val="auto"/>
        </w:rPr>
      </w:pPr>
      <w:r>
        <w:rPr>
          <w:rFonts w:ascii="Arial" w:cs="Arial" w:eastAsia="Arial" w:hAnsi="Arial"/>
          <w:sz w:val="29"/>
          <w:szCs w:val="29"/>
          <w:color w:val="auto"/>
        </w:rPr>
        <w:t>Expense Management</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CAPTURE</w:t>
      </w:r>
    </w:p>
    <w:p>
      <w:pPr>
        <w:spacing w:after="0" w:line="18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Most of today’s financial data still exists on paper. Expensify streamlines the capture and normalization of disparate financial data in the following ways:</w:t>
      </w:r>
    </w:p>
    <w:p>
      <w:pPr>
        <w:spacing w:after="0" w:line="108" w:lineRule="exact"/>
        <w:rPr>
          <w:sz w:val="20"/>
          <w:szCs w:val="20"/>
          <w:color w:val="auto"/>
        </w:rPr>
      </w:pPr>
    </w:p>
    <w:p>
      <w:pPr>
        <w:ind w:left="660" w:right="10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SmartScan. </w:t>
      </w:r>
      <w:r>
        <w:rPr>
          <w:rFonts w:ascii="Arial" w:cs="Arial" w:eastAsia="Arial" w:hAnsi="Arial"/>
          <w:sz w:val="18"/>
          <w:szCs w:val="18"/>
          <w:color w:val="auto"/>
        </w:rPr>
        <w:t>Snap a photo of your receipt, forward receipts from email, or upload attachments directly in the application. SmartScan</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optimizes for high-accuracy data extraction to support our “fire and forget” receipt capture.</w:t>
      </w:r>
    </w:p>
    <w:p>
      <w:pPr>
        <w:spacing w:after="0" w:line="71"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Credit card matching. </w:t>
      </w:r>
      <w:r>
        <w:rPr>
          <w:rFonts w:ascii="Arial" w:cs="Arial" w:eastAsia="Arial" w:hAnsi="Arial"/>
          <w:sz w:val="18"/>
          <w:szCs w:val="18"/>
          <w:color w:val="auto"/>
        </w:rPr>
        <w:t>Receipts and emails are automatically matched to incoming credit card transactions in real-time, preventing</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duplicates and reducing the need to manually reconcile credit card statements at month end.</w:t>
      </w:r>
    </w:p>
    <w:p>
      <w:pPr>
        <w:spacing w:after="0" w:line="85" w:lineRule="exact"/>
        <w:rPr>
          <w:rFonts w:ascii="Arial" w:cs="Arial" w:eastAsia="Arial" w:hAnsi="Arial"/>
          <w:sz w:val="18"/>
          <w:szCs w:val="18"/>
          <w:color w:val="auto"/>
        </w:rPr>
      </w:pPr>
    </w:p>
    <w:p>
      <w:pPr>
        <w:jc w:val="both"/>
        <w:ind w:left="660" w:right="12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Mobile expense capture. </w:t>
      </w:r>
      <w:r>
        <w:rPr>
          <w:rFonts w:ascii="Arial" w:cs="Arial" w:eastAsia="Arial" w:hAnsi="Arial"/>
          <w:sz w:val="18"/>
          <w:szCs w:val="18"/>
          <w:color w:val="auto"/>
        </w:rPr>
        <w:t>With mobile apps for Android and iOS, it’s possible to capture receipts, mileage expenses and per diems</w:t>
      </w:r>
      <w:r>
        <w:rPr>
          <w:rFonts w:ascii="Arial" w:cs="Arial" w:eastAsia="Arial" w:hAnsi="Arial"/>
          <w:sz w:val="18"/>
          <w:szCs w:val="18"/>
          <w:b w:val="1"/>
          <w:bCs w:val="1"/>
          <w:color w:val="auto"/>
        </w:rPr>
        <w:t xml:space="preserve"> </w:t>
      </w:r>
      <w:r>
        <w:rPr>
          <w:rFonts w:ascii="Arial" w:cs="Arial" w:eastAsia="Arial" w:hAnsi="Arial"/>
          <w:sz w:val="18"/>
          <w:szCs w:val="18"/>
          <w:color w:val="auto"/>
        </w:rPr>
        <w:t>while in the office or anywhere else in the world – online or offline. In addition, members can automatically import receipts from their favorite travel tools, including Uber, Lyft, Grab, Hotel Tonight, among others.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w:t>
      </w:r>
    </w:p>
    <w:p>
      <w:pPr>
        <w:spacing w:after="0" w:line="16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Once financial transactions are captured, we deliver AI-driven insights into the nature of company spend, as well as adherence to company-specific rules and guidelines. Expensify’s robust approval functionality can be scaled up and down in the following ways:</w:t>
      </w:r>
    </w:p>
    <w:p>
      <w:pPr>
        <w:spacing w:after="0" w:line="108" w:lineRule="exact"/>
        <w:rPr>
          <w:sz w:val="20"/>
          <w:szCs w:val="20"/>
          <w:color w:val="auto"/>
        </w:rPr>
      </w:pPr>
    </w:p>
    <w:p>
      <w:pPr>
        <w:ind w:left="660" w:right="42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Multi-level approval workflows. </w:t>
      </w:r>
      <w:r>
        <w:rPr>
          <w:rFonts w:ascii="Arial" w:cs="Arial" w:eastAsia="Arial" w:hAnsi="Arial"/>
          <w:sz w:val="18"/>
          <w:szCs w:val="18"/>
          <w:color w:val="auto"/>
        </w:rPr>
        <w:t>Customizable approval workflows help companies of all sizes tailor their approval hierarchies,</w:t>
      </w:r>
      <w:r>
        <w:rPr>
          <w:rFonts w:ascii="Arial" w:cs="Arial" w:eastAsia="Arial" w:hAnsi="Arial"/>
          <w:sz w:val="18"/>
          <w:szCs w:val="18"/>
          <w:b w:val="1"/>
          <w:bCs w:val="1"/>
          <w:color w:val="auto"/>
        </w:rPr>
        <w:t xml:space="preserve"> </w:t>
      </w:r>
      <w:r>
        <w:rPr>
          <w:rFonts w:ascii="Arial" w:cs="Arial" w:eastAsia="Arial" w:hAnsi="Arial"/>
          <w:sz w:val="18"/>
          <w:szCs w:val="18"/>
          <w:color w:val="auto"/>
        </w:rPr>
        <w:t>route specific expenses to budget or project owners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approve expenses through an intuitive “Guided Review” that highlights specific items requiring review.</w:t>
      </w:r>
    </w:p>
    <w:p>
      <w:pPr>
        <w:spacing w:after="0" w:line="122" w:lineRule="exact"/>
        <w:rPr>
          <w:sz w:val="20"/>
          <w:szCs w:val="20"/>
          <w:color w:val="auto"/>
        </w:rPr>
      </w:pPr>
    </w:p>
    <w:p>
      <w:pPr>
        <w:ind w:left="660" w:right="2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Intelligent auditing. </w:t>
      </w:r>
      <w:r>
        <w:rPr>
          <w:rFonts w:ascii="Arial" w:cs="Arial" w:eastAsia="Arial" w:hAnsi="Arial"/>
          <w:sz w:val="18"/>
          <w:szCs w:val="18"/>
          <w:color w:val="auto"/>
        </w:rPr>
        <w:t>Process data automatically or configure which types of transactions require review. Expensify detects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duplicates by default and automatically verifies that any manually-entered expenses match attached receipts.</w:t>
      </w:r>
    </w:p>
    <w:p>
      <w:pPr>
        <w:spacing w:after="0" w:line="85" w:lineRule="exact"/>
        <w:rPr>
          <w:rFonts w:ascii="Arial" w:cs="Arial" w:eastAsia="Arial" w:hAnsi="Arial"/>
          <w:sz w:val="18"/>
          <w:szCs w:val="18"/>
          <w:color w:val="auto"/>
        </w:rPr>
      </w:pPr>
    </w:p>
    <w:p>
      <w:pPr>
        <w:ind w:left="660" w:right="24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Powerful integrations. </w:t>
      </w:r>
      <w:r>
        <w:rPr>
          <w:rFonts w:ascii="Arial" w:cs="Arial" w:eastAsia="Arial" w:hAnsi="Arial"/>
          <w:sz w:val="18"/>
          <w:szCs w:val="18"/>
          <w:color w:val="auto"/>
        </w:rPr>
        <w:t>Connect directly with leading cloud accounting and finance platforms such as QuickBooks, Xero, Oracle</w:t>
      </w:r>
      <w:r>
        <w:rPr>
          <w:rFonts w:ascii="Arial" w:cs="Arial" w:eastAsia="Arial" w:hAnsi="Arial"/>
          <w:sz w:val="18"/>
          <w:szCs w:val="18"/>
          <w:b w:val="1"/>
          <w:bCs w:val="1"/>
          <w:color w:val="auto"/>
        </w:rPr>
        <w:t xml:space="preserve"> </w:t>
      </w:r>
      <w:r>
        <w:rPr>
          <w:rFonts w:ascii="Arial" w:cs="Arial" w:eastAsia="Arial" w:hAnsi="Arial"/>
          <w:sz w:val="18"/>
          <w:szCs w:val="18"/>
          <w:color w:val="auto"/>
        </w:rPr>
        <w:t>NetSuite, Sage Intacct and FinancialForce, among others. A continuous real-time sync means that information is dynamically updated across all connected platforms. Expensify connects directly with the top banks in the U.S., as well as leading HR, practice management, tax reclamation, recruiting and travel management systems. A self-service API is available to anyone who wants to integrate Expensify into their technology ecosystem on their own without additional cost.</w:t>
      </w:r>
    </w:p>
    <w:p>
      <w:pPr>
        <w:spacing w:after="0" w:line="111" w:lineRule="exact"/>
        <w:rPr>
          <w:rFonts w:ascii="Arial" w:cs="Arial" w:eastAsia="Arial" w:hAnsi="Arial"/>
          <w:sz w:val="18"/>
          <w:szCs w:val="18"/>
          <w:color w:val="auto"/>
        </w:rPr>
      </w:pPr>
    </w:p>
    <w:p>
      <w:pPr>
        <w:ind w:left="660" w:right="90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visibility. </w:t>
      </w:r>
      <w:r>
        <w:rPr>
          <w:rFonts w:ascii="Arial" w:cs="Arial" w:eastAsia="Arial" w:hAnsi="Arial"/>
          <w:sz w:val="18"/>
          <w:szCs w:val="18"/>
          <w:color w:val="auto"/>
        </w:rPr>
        <w:t>Whether companies require visibility into transaction approvals, help with corporate credit card</w:t>
      </w:r>
      <w:r>
        <w:rPr>
          <w:rFonts w:ascii="Arial" w:cs="Arial" w:eastAsia="Arial" w:hAnsi="Arial"/>
          <w:sz w:val="18"/>
          <w:szCs w:val="18"/>
          <w:b w:val="1"/>
          <w:bCs w:val="1"/>
          <w:color w:val="auto"/>
        </w:rPr>
        <w:t xml:space="preserve"> </w:t>
      </w:r>
      <w:r>
        <w:rPr>
          <w:rFonts w:ascii="Arial" w:cs="Arial" w:eastAsia="Arial" w:hAnsi="Arial"/>
          <w:sz w:val="18"/>
          <w:szCs w:val="18"/>
          <w:color w:val="auto"/>
        </w:rPr>
        <w:t>reconciliation and remittance, or insights into travel spend, financial data is visible throughout the platform.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After capturing and approving relevant company spend, businesses require an easy and fast method for disbursing funds to employees and vendors. Expensify’s payments platform streamlines how modern payments are made and reconciled in the following ways:</w:t>
      </w:r>
    </w:p>
    <w:p>
      <w:pPr>
        <w:spacing w:after="0" w:line="108" w:lineRule="exact"/>
        <w:rPr>
          <w:sz w:val="20"/>
          <w:szCs w:val="20"/>
          <w:color w:val="auto"/>
        </w:rPr>
      </w:pPr>
    </w:p>
    <w:p>
      <w:pPr>
        <w:ind w:left="660" w:right="2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Next day ACH direct deposit. </w:t>
      </w:r>
      <w:r>
        <w:rPr>
          <w:rFonts w:ascii="Arial" w:cs="Arial" w:eastAsia="Arial" w:hAnsi="Arial"/>
          <w:sz w:val="18"/>
          <w:szCs w:val="18"/>
          <w:color w:val="auto"/>
        </w:rPr>
        <w:t>For companies that enable automatic processing and reimbursement, employees receive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reimbursements in their bank account the following business day.</w:t>
      </w:r>
    </w:p>
    <w:p>
      <w:pPr>
        <w:spacing w:after="0" w:line="71"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Centralized travel procurement</w:t>
      </w:r>
      <w:r>
        <w:rPr>
          <w:rFonts w:ascii="Arial" w:cs="Arial" w:eastAsia="Arial" w:hAnsi="Arial"/>
          <w:sz w:val="18"/>
          <w:szCs w:val="18"/>
          <w:color w:val="auto"/>
        </w:rPr>
        <w:t>. Manage and centrally pay for travel bookings made with any Expensify Card, all while ensuring</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company travel policies.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Corporate card remittance. </w:t>
      </w:r>
      <w:r>
        <w:rPr>
          <w:rFonts w:ascii="Arial" w:cs="Arial" w:eastAsia="Arial" w:hAnsi="Arial"/>
          <w:sz w:val="18"/>
          <w:szCs w:val="18"/>
          <w:color w:val="auto"/>
        </w:rPr>
        <w:t>Streamline the process of managing and remitting corporate card payments.</w:t>
      </w:r>
    </w:p>
    <w:p>
      <w:pPr>
        <w:spacing w:after="0" w:line="176" w:lineRule="exact"/>
        <w:rPr>
          <w:sz w:val="20"/>
          <w:szCs w:val="20"/>
          <w:color w:val="auto"/>
        </w:rPr>
      </w:pPr>
    </w:p>
    <w:p>
      <w:pPr>
        <w:spacing w:after="0"/>
        <w:rPr>
          <w:sz w:val="20"/>
          <w:szCs w:val="20"/>
          <w:color w:val="auto"/>
        </w:rPr>
      </w:pPr>
      <w:r>
        <w:rPr>
          <w:rFonts w:ascii="Arial" w:cs="Arial" w:eastAsia="Arial" w:hAnsi="Arial"/>
          <w:sz w:val="29"/>
          <w:szCs w:val="29"/>
          <w:color w:val="auto"/>
        </w:rPr>
        <w:t>Expensify Card</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w:t>
      </w:r>
    </w:p>
    <w:p>
      <w:pPr>
        <w:spacing w:after="0" w:line="12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Expensify Card leverages our wealth of experience acquired by working directly with finance administrators. The feature is designed to fix the common pain points seen with traditional corporate cards, namely the lack of real-time receipt capture and transaction visibility, enhanced access to credit for small businesses and streamlined setup of corporate card programs.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Key capabilities of the Expensify Card include:</w:t>
      </w:r>
    </w:p>
    <w:p>
      <w:pPr>
        <w:spacing w:after="0" w:line="136" w:lineRule="exact"/>
        <w:rPr>
          <w:sz w:val="20"/>
          <w:szCs w:val="20"/>
          <w:color w:val="auto"/>
        </w:rPr>
      </w:pPr>
    </w:p>
    <w:p>
      <w:pPr>
        <w:ind w:left="660" w:right="12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Streamlined card application/setup. </w:t>
      </w:r>
      <w:r>
        <w:rPr>
          <w:rFonts w:ascii="Arial" w:cs="Arial" w:eastAsia="Arial" w:hAnsi="Arial"/>
          <w:sz w:val="18"/>
          <w:szCs w:val="18"/>
          <w:color w:val="auto"/>
        </w:rPr>
        <w:t>Companies receive an automated approval decision in seconds, and card provisioning for an</w:t>
      </w:r>
      <w:r>
        <w:rPr>
          <w:rFonts w:ascii="Arial" w:cs="Arial" w:eastAsia="Arial" w:hAnsi="Arial"/>
          <w:sz w:val="18"/>
          <w:szCs w:val="18"/>
          <w:b w:val="1"/>
          <w:bCs w:val="1"/>
          <w:color w:val="auto"/>
        </w:rPr>
        <w:t xml:space="preserve"> </w:t>
      </w:r>
      <w:r>
        <w:rPr>
          <w:rFonts w:ascii="Arial" w:cs="Arial" w:eastAsia="Arial" w:hAnsi="Arial"/>
          <w:sz w:val="18"/>
          <w:szCs w:val="18"/>
          <w:color w:val="auto"/>
        </w:rPr>
        <w:t>entire organization is possible in a few minutes. Every member receives a virtual card for immediate use.</w:t>
      </w:r>
    </w:p>
    <w:p>
      <w:pPr>
        <w:spacing w:after="0" w:line="71" w:lineRule="exact"/>
        <w:rPr>
          <w:rFonts w:ascii="Arial" w:cs="Arial" w:eastAsia="Arial" w:hAnsi="Arial"/>
          <w:sz w:val="18"/>
          <w:szCs w:val="18"/>
          <w:color w:val="auto"/>
        </w:rPr>
      </w:pPr>
    </w:p>
    <w:p>
      <w:pPr>
        <w:ind w:left="660" w:right="64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Continuous automatic reconciliation</w:t>
      </w:r>
      <w:r>
        <w:rPr>
          <w:rFonts w:ascii="Arial" w:cs="Arial" w:eastAsia="Arial" w:hAnsi="Arial"/>
          <w:sz w:val="18"/>
          <w:szCs w:val="18"/>
          <w:color w:val="auto"/>
        </w:rPr>
        <w:t>. Card transactions are synchronized in real-time between Expensify and a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systems. This removes the need for an arduous once-a-month statement reconciliation.</w:t>
      </w:r>
    </w:p>
    <w:p>
      <w:pPr>
        <w:spacing w:after="0" w:line="85"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Real-time compliance. </w:t>
      </w:r>
      <w:r>
        <w:rPr>
          <w:rFonts w:ascii="Arial" w:cs="Arial" w:eastAsia="Arial" w:hAnsi="Arial"/>
          <w:sz w:val="18"/>
          <w:szCs w:val="18"/>
          <w:color w:val="auto"/>
        </w:rPr>
        <w:t>Cardholders receive an immediate push notification when their card is charged, which helps protect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fraud. In addition, eReceipts mean that no receipt capture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 required for nearly all purchases, though companies can stipulate their own receipt policy where preferred.</w:t>
      </w:r>
    </w:p>
    <w:p>
      <w:pPr>
        <w:spacing w:after="0" w:line="122" w:lineRule="exact"/>
        <w:rPr>
          <w:sz w:val="20"/>
          <w:szCs w:val="20"/>
          <w:color w:val="auto"/>
        </w:rPr>
      </w:pPr>
    </w:p>
    <w:p>
      <w:pPr>
        <w:ind w:left="6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Spend control with Smart Limits. </w:t>
      </w:r>
      <w:r>
        <w:rPr>
          <w:rFonts w:ascii="Arial" w:cs="Arial" w:eastAsia="Arial" w:hAnsi="Arial"/>
          <w:sz w:val="18"/>
          <w:szCs w:val="18"/>
          <w:color w:val="auto"/>
        </w:rPr>
        <w:t>Companies control the maximum exposure they will accept for each employee by stipulating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unapproved spend, which is another cash control feature. If a cardholder fails to submit their expenses in a timely fashion, card activity is suspended until historical card spend is approved.</w:t>
      </w:r>
    </w:p>
    <w:p>
      <w:pPr>
        <w:spacing w:after="0" w:line="103" w:lineRule="exact"/>
        <w:rPr>
          <w:rFonts w:ascii="Arial" w:cs="Arial" w:eastAsia="Arial" w:hAnsi="Arial"/>
          <w:sz w:val="18"/>
          <w:szCs w:val="18"/>
          <w:color w:val="auto"/>
        </w:rPr>
      </w:pPr>
    </w:p>
    <w:p>
      <w:pPr>
        <w:ind w:left="660" w:right="160" w:hanging="328"/>
        <w:spacing w:after="0" w:line="26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Cash back. </w:t>
      </w:r>
      <w:r>
        <w:rPr>
          <w:rFonts w:ascii="Arial" w:cs="Arial" w:eastAsia="Arial" w:hAnsi="Arial"/>
          <w:sz w:val="18"/>
          <w:szCs w:val="18"/>
          <w:color w:val="auto"/>
        </w:rPr>
        <w:t>Companies that spend over $250,000 per month for each of their first three months receive 4% cash back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purchases in their first three months and 2% with no limits for all spend on their Expensify Cards afterwards. Companies that spend over $25,000 but less than $250,000 per month for each of their first three months receive 2% cash back for all purchases in their first three months and 1% with no limits for all spend on their Expensify Cards afterwards.</w:t>
      </w:r>
    </w:p>
    <w:p>
      <w:pPr>
        <w:spacing w:after="0" w:line="108"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Karma Points. </w:t>
      </w:r>
      <w:r>
        <w:rPr>
          <w:rFonts w:ascii="Arial" w:cs="Arial" w:eastAsia="Arial" w:hAnsi="Arial"/>
          <w:sz w:val="18"/>
          <w:szCs w:val="18"/>
          <w:color w:val="auto"/>
        </w:rPr>
        <w:t>Every time a cardholder makes a purchase, Expensify donates 10% of our interchange amount to Expensify.org for</w:t>
      </w:r>
      <w:r>
        <w:rPr>
          <w:rFonts w:ascii="Arial" w:cs="Arial" w:eastAsia="Arial" w:hAnsi="Arial"/>
          <w:sz w:val="18"/>
          <w:szCs w:val="18"/>
          <w:b w:val="1"/>
          <w:bCs w:val="1"/>
          <w:color w:val="auto"/>
        </w:rPr>
        <w:t xml:space="preserve"> </w:t>
      </w:r>
      <w:r>
        <w:rPr>
          <w:rFonts w:ascii="Arial" w:cs="Arial" w:eastAsia="Arial" w:hAnsi="Arial"/>
          <w:sz w:val="18"/>
          <w:szCs w:val="18"/>
          <w:color w:val="auto"/>
        </w:rPr>
        <w:t>use in one of its five funds – Hunger, Climate, Homes, Youth, Reentry.</w:t>
      </w:r>
    </w:p>
    <w:p>
      <w:pPr>
        <w:spacing w:after="0" w:line="71"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Daily settlement option</w:t>
      </w:r>
      <w:r>
        <w:rPr>
          <w:rFonts w:ascii="Arial" w:cs="Arial" w:eastAsia="Arial" w:hAnsi="Arial"/>
          <w:sz w:val="18"/>
          <w:szCs w:val="18"/>
          <w:color w:val="auto"/>
        </w:rPr>
        <w:t>. Ensure that employees never overspend what a company is able to pay. Daily settlement also helps</w:t>
      </w:r>
      <w:r>
        <w:rPr>
          <w:rFonts w:ascii="Arial" w:cs="Arial" w:eastAsia="Arial" w:hAnsi="Arial"/>
          <w:sz w:val="18"/>
          <w:szCs w:val="18"/>
          <w:b w:val="1"/>
          <w:bCs w:val="1"/>
          <w:color w:val="auto"/>
        </w:rPr>
        <w:t xml:space="preserve"> </w:t>
      </w:r>
      <w:r>
        <w:rPr>
          <w:rFonts w:ascii="Arial" w:cs="Arial" w:eastAsia="Arial" w:hAnsi="Arial"/>
          <w:sz w:val="18"/>
          <w:szCs w:val="18"/>
          <w:color w:val="auto"/>
        </w:rPr>
        <w:t>smooth cash flows throughout the month, as opposed to one large, uncertain lump sum at month end. Companies can also choose monthly settlement if they prefer a more classic experience.</w:t>
      </w:r>
    </w:p>
    <w:p>
      <w:pPr>
        <w:spacing w:after="0" w:line="103"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Integrated travel booking</w:t>
      </w:r>
      <w:r>
        <w:rPr>
          <w:rFonts w:ascii="Arial" w:cs="Arial" w:eastAsia="Arial" w:hAnsi="Arial"/>
          <w:sz w:val="18"/>
          <w:szCs w:val="18"/>
          <w:color w:val="auto"/>
        </w:rPr>
        <w:t>. Offered at no additional cost for all cardholders, administrators can set flight class, hotel ratings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travel preferences to ensure that bookings comply with company policy. Reporting tools give admins full visibility into trip costs, and currently every booking comes with emergency transportation services in partnership with Global Rescue at no additional cost, as well as health and security assessments applicable for their destination.</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believe we have growth in many areas in regards to the Expensify Card. Our goal is to continue increasing the amount of companies that have adopted the Expensify Card and the number of members that have a card provisioned per company, both of which would increase the amount of total spend converted to the Expensify Card.</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color w:val="auto"/>
        </w:rPr>
        <w:t>Invoicing &amp; Bill Pay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Key capabilities of our invoicing and bill payment features include:</w:t>
      </w:r>
    </w:p>
    <w:p>
      <w:pPr>
        <w:spacing w:after="0" w:line="122" w:lineRule="exact"/>
        <w:rPr>
          <w:sz w:val="20"/>
          <w:szCs w:val="20"/>
          <w:color w:val="auto"/>
        </w:rPr>
      </w:pPr>
    </w:p>
    <w:p>
      <w:pPr>
        <w:ind w:left="660" w:right="54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Payments made easy. </w:t>
      </w:r>
      <w:r>
        <w:rPr>
          <w:rFonts w:ascii="Arial" w:cs="Arial" w:eastAsia="Arial" w:hAnsi="Arial"/>
          <w:sz w:val="18"/>
          <w:szCs w:val="18"/>
          <w:color w:val="auto"/>
        </w:rPr>
        <w:t>With multiple payment options, including credit/debit card, ACH, check, Venmo and PayPal,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the globe have access to quick, easy and frictionless payment options.</w:t>
      </w:r>
    </w:p>
    <w:p>
      <w:pPr>
        <w:spacing w:after="0" w:line="85"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Eliminate manual entry. </w:t>
      </w:r>
      <w:r>
        <w:rPr>
          <w:rFonts w:ascii="Arial" w:cs="Arial" w:eastAsia="Arial" w:hAnsi="Arial"/>
          <w:sz w:val="18"/>
          <w:szCs w:val="18"/>
          <w:color w:val="auto"/>
        </w:rPr>
        <w:t>Bills sent to a company’s @expensify.cash address are automatically SmartScanned, which captures key</w:t>
      </w:r>
      <w:r>
        <w:rPr>
          <w:rFonts w:ascii="Arial" w:cs="Arial" w:eastAsia="Arial" w:hAnsi="Arial"/>
          <w:sz w:val="18"/>
          <w:szCs w:val="18"/>
          <w:b w:val="1"/>
          <w:bCs w:val="1"/>
          <w:color w:val="auto"/>
        </w:rPr>
        <w:t xml:space="preserve"> </w:t>
      </w:r>
      <w:r>
        <w:rPr>
          <w:rFonts w:ascii="Arial" w:cs="Arial" w:eastAsia="Arial" w:hAnsi="Arial"/>
          <w:sz w:val="18"/>
          <w:szCs w:val="18"/>
          <w:color w:val="auto"/>
        </w:rPr>
        <w:t>details for easy review and processing.</w:t>
      </w:r>
    </w:p>
    <w:p>
      <w:pPr>
        <w:spacing w:after="0" w:line="71"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Real-time communication. </w:t>
      </w:r>
      <w:r>
        <w:rPr>
          <w:rFonts w:ascii="Arial" w:cs="Arial" w:eastAsia="Arial" w:hAnsi="Arial"/>
          <w:sz w:val="18"/>
          <w:szCs w:val="18"/>
          <w:color w:val="auto"/>
        </w:rPr>
        <w:t>Customers can leave comments or ask questions on the invoice and both parties can chat in real time</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in Expensify, or receive an email instantly.</w:t>
      </w:r>
    </w:p>
    <w:p>
      <w:pPr>
        <w:spacing w:after="0" w:line="85"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Extensive integrations. </w:t>
      </w:r>
      <w:r>
        <w:rPr>
          <w:rFonts w:ascii="Arial" w:cs="Arial" w:eastAsia="Arial" w:hAnsi="Arial"/>
          <w:sz w:val="18"/>
          <w:szCs w:val="18"/>
          <w:color w:val="auto"/>
        </w:rPr>
        <w:t>Companies can save time by exporting invoices and bills to QuickBooks, Xero, Sage Intacct, Oracle</w:t>
      </w:r>
      <w:r>
        <w:rPr>
          <w:rFonts w:ascii="Arial" w:cs="Arial" w:eastAsia="Arial" w:hAnsi="Arial"/>
          <w:sz w:val="18"/>
          <w:szCs w:val="18"/>
          <w:b w:val="1"/>
          <w:bCs w:val="1"/>
          <w:color w:val="auto"/>
        </w:rPr>
        <w:t xml:space="preserve"> </w:t>
      </w:r>
      <w:r>
        <w:rPr>
          <w:rFonts w:ascii="Arial" w:cs="Arial" w:eastAsia="Arial" w:hAnsi="Arial"/>
          <w:sz w:val="18"/>
          <w:szCs w:val="18"/>
          <w:color w:val="auto"/>
        </w:rPr>
        <w:t>NetSuite and more. Invoices are automatically linked to the corresponding customer and exported as a receivable in the accounting system. Bills are automatically linked to the corresponding vendor and exported as a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Expensify.org</w:t>
      </w:r>
    </w:p>
    <w:p>
      <w:pPr>
        <w:spacing w:after="0" w:line="15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started Expensify.org to “create a just and generous world” with the belief that doing good is good for business. We aim to integrate the Expensify.org mission into everything we do.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spacing w:after="0" w:line="13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Though Expensify.org launched in January 2020 and is now a 501(c)(3) non-profit, the concept was set into motion before Expensify was founded when David Barrett, Expensify's founder and CEO, had an idea of how to help feed unhoused neighbors he passed every day walking through San Francisco. He developed a platform to load gift cards on-demand from his personal credit card to offer funds immediately for individuals in his neighborhood to purchase food. While this idea didn’t take off, David held onto the concept for more than a decade until it became a reality with the launch of Expensify.org and its corporate-card-fueled donations called Karma Points.</w:t>
      </w:r>
    </w:p>
    <w:p>
      <w:pPr>
        <w:spacing w:after="0" w:line="12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most importantly — the emotional connection between donors, volunteers and recipients. Donations route to one of our five funds related to tackling the biggest social injustices of our time: Housing Equity, Youth Advocacy, Food Security, Reentry Services and Climate Justice.</w:t>
      </w:r>
    </w:p>
    <w:p>
      <w:pPr>
        <w:spacing w:after="0" w:line="127" w:lineRule="exact"/>
        <w:rPr>
          <w:sz w:val="20"/>
          <w:szCs w:val="20"/>
          <w:color w:val="auto"/>
        </w:rPr>
      </w:pPr>
    </w:p>
    <w:p>
      <w:pPr>
        <w:spacing w:after="0"/>
        <w:rPr>
          <w:sz w:val="20"/>
          <w:szCs w:val="20"/>
          <w:color w:val="auto"/>
        </w:rPr>
      </w:pPr>
      <w:r>
        <w:rPr>
          <w:rFonts w:ascii="Arial" w:cs="Arial" w:eastAsia="Arial" w:hAnsi="Arial"/>
          <w:sz w:val="29"/>
          <w:szCs w:val="29"/>
          <w:color w:val="auto"/>
        </w:rPr>
        <w:t>Our Compliance and Data Security</w:t>
      </w:r>
    </w:p>
    <w:p>
      <w:pPr>
        <w:spacing w:after="0" w:line="15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are PCI-DSS, SOC1 Type II, and SOC2 Type II compliant, with external parties performing "grey box" testing to simulate nation-state level hacking capability. We are integrated with most major banks in the United States and our system and processes have been stress tested by each of them. We process billions of dollars in expense reimbursements every year and are audited annually by our processing bank. We take privacy and data security seriously and are in compliance with domestic and international data privacy regulations, which sometimes change faster than the wind.</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color w:val="auto"/>
        </w:rPr>
        <w:t>Our Data</w:t>
      </w:r>
    </w:p>
    <w:p>
      <w:pPr>
        <w:spacing w:after="0" w:line="15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of December 31, 2022, we have processed over 1.4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 every new member and transaction adding incremental value to our platform. Every receipt we process through our OCR technology makes our SmartScan technology more accurate, every transaction we process and backtest enhances our fraud protection capabilities and every customer inquiry we resolve allows Concierge to answer future questions faster. We believe that our data asset will continue to expand the value of our platform and drive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Our Culture, Employees and Human Capital</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Expensify, our culture is deeply embedded in everything we do. We strive to create a diverse, inclusive and collaborative workplace that prioritizes and fosters the long-term happiness of our employees. We operate with a flat, generalist organizational structure, where everybody is encouraged to participate in every discussion and contribute to every decision they choose to. Our culture is centered on the belief that a life well lived is one that enables you to achieve the following three goals, which we all work towards with a long-term mindset:</w:t>
      </w:r>
    </w:p>
    <w:p>
      <w:pPr>
        <w:spacing w:after="0" w:line="114" w:lineRule="exact"/>
        <w:rPr>
          <w:sz w:val="20"/>
          <w:szCs w:val="20"/>
          <w:color w:val="auto"/>
        </w:rPr>
      </w:pPr>
    </w:p>
    <w:p>
      <w:pPr>
        <w:ind w:left="660" w:right="160" w:hanging="328"/>
        <w:spacing w:after="0" w:line="26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Live Rich. </w:t>
      </w:r>
      <w:r>
        <w:rPr>
          <w:rFonts w:ascii="Arial" w:cs="Arial" w:eastAsia="Arial" w:hAnsi="Arial"/>
          <w:sz w:val="18"/>
          <w:szCs w:val="18"/>
          <w:color w:val="auto"/>
        </w:rPr>
        <w:t>This means we want to have ample means, and the time to enjoy it. We want to participate in a diverse, equitable,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inclusive and fundamentally just society — both inside and outside our own walls. We want to have a “comfortable baseline,” where on a dull, ordinary day we wake up refreshed and excited to take on the day’s challenges, and go to bed each night fully satisfied in life well lived and a job well done.</w:t>
      </w:r>
    </w:p>
    <w:p>
      <w:pPr>
        <w:spacing w:after="0" w:line="95" w:lineRule="exact"/>
        <w:rPr>
          <w:rFonts w:ascii="Arial" w:cs="Arial" w:eastAsia="Arial" w:hAnsi="Arial"/>
          <w:sz w:val="18"/>
          <w:szCs w:val="18"/>
          <w:color w:val="auto"/>
        </w:rPr>
      </w:pPr>
    </w:p>
    <w:p>
      <w:pPr>
        <w:ind w:left="660" w:right="40" w:hanging="328"/>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Have Fun. </w:t>
      </w:r>
      <w:r>
        <w:rPr>
          <w:rFonts w:ascii="Arial" w:cs="Arial" w:eastAsia="Arial" w:hAnsi="Arial"/>
          <w:sz w:val="18"/>
          <w:szCs w:val="18"/>
          <w:color w:val="auto"/>
        </w:rPr>
        <w:t>Sometimes, we want to do stuff that is awesome just for the sake of awesomeness. Not too often, but often enough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remind ourselves that we are living life to its fullest, and enabling others to do the same. For example, every year, we bring the whole company, plus families and kids, to a warm and sunny international location for a month-long "working vacation" to enable our employees to collaborate in person from a remote beach, build friendships with their colleagues, broaden their perspective and have a great time. These “Offshore” trips are productivity powerhouses that have resulted in some of our most impressive platform developments to date.</w:t>
      </w:r>
    </w:p>
    <w:p>
      <w:pPr>
        <w:spacing w:after="0" w:line="114"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Save The World. </w:t>
      </w:r>
      <w:r>
        <w:rPr>
          <w:rFonts w:ascii="Arial" w:cs="Arial" w:eastAsia="Arial" w:hAnsi="Arial"/>
          <w:sz w:val="18"/>
          <w:szCs w:val="18"/>
          <w:color w:val="auto"/>
        </w:rPr>
        <w:t>We like the phrasing of this goal precisely because it is bombastic. We want to play an active role in unwinding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systemic bias that has prevented so many from living rich. We believe that even a small team with limited resources, given enough time and focus, can move the world. This is why we started Expensify.org, to “create a just and generous world”, and we are all wholly committed to its mission.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there are three common qualities critical to achieving these three goals and the success of our company:</w:t>
      </w:r>
    </w:p>
    <w:p>
      <w:pPr>
        <w:spacing w:after="0" w:line="12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Talent. </w:t>
      </w:r>
      <w:r>
        <w:rPr>
          <w:rFonts w:ascii="Arial" w:cs="Arial" w:eastAsia="Arial" w:hAnsi="Arial"/>
          <w:sz w:val="18"/>
          <w:szCs w:val="18"/>
          <w:color w:val="auto"/>
        </w:rPr>
        <w:t>Each of us can learn without being taught, and can teach whatever we’ve learned.</w:t>
      </w:r>
    </w:p>
    <w:p>
      <w:pPr>
        <w:spacing w:after="0" w:line="157"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Ambition. </w:t>
      </w:r>
      <w:r>
        <w:rPr>
          <w:rFonts w:ascii="Arial" w:cs="Arial" w:eastAsia="Arial" w:hAnsi="Arial"/>
          <w:sz w:val="18"/>
          <w:szCs w:val="18"/>
          <w:color w:val="auto"/>
        </w:rPr>
        <w:t>Each of us has a genuine desire to accomplish something meaningful to us individually, to create more than we consume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this world.</w:t>
      </w:r>
    </w:p>
    <w:p>
      <w:pPr>
        <w:spacing w:after="0" w:line="85"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Humility. </w:t>
      </w:r>
      <w:r>
        <w:rPr>
          <w:rFonts w:ascii="Arial" w:cs="Arial" w:eastAsia="Arial" w:hAnsi="Arial"/>
          <w:sz w:val="18"/>
          <w:szCs w:val="18"/>
          <w:color w:val="auto"/>
        </w:rPr>
        <w:t>Each of us genuinely values the opinions and perspectives of others, and seeks above all to find the right solution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given problem, no matter who came up with it.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Finally, our long-term commitment to our three life goals is guided by two simple rules:</w:t>
      </w:r>
    </w:p>
    <w:p>
      <w:pPr>
        <w:spacing w:after="0" w:line="136" w:lineRule="exact"/>
        <w:rPr>
          <w:sz w:val="20"/>
          <w:szCs w:val="20"/>
          <w:color w:val="auto"/>
        </w:rPr>
      </w:pPr>
    </w:p>
    <w:p>
      <w:pPr>
        <w:ind w:left="660" w:right="2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Get Shit Done. </w:t>
      </w:r>
      <w:r>
        <w:rPr>
          <w:rFonts w:ascii="Arial" w:cs="Arial" w:eastAsia="Arial" w:hAnsi="Arial"/>
          <w:sz w:val="18"/>
          <w:szCs w:val="18"/>
          <w:color w:val="auto"/>
        </w:rPr>
        <w:t>We have little-to-no internal hierarchy; nobody reports to anyone else. Everyone is responsible for their own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empowered to spend it in the way they feel will best advance their own goals, and the goals of the company.</w:t>
      </w:r>
    </w:p>
    <w:p>
      <w:pPr>
        <w:spacing w:after="0" w:line="71" w:lineRule="exact"/>
        <w:rPr>
          <w:rFonts w:ascii="Arial" w:cs="Arial" w:eastAsia="Arial" w:hAnsi="Arial"/>
          <w:sz w:val="18"/>
          <w:szCs w:val="18"/>
          <w:color w:val="auto"/>
        </w:rPr>
      </w:pPr>
    </w:p>
    <w:p>
      <w:pPr>
        <w:ind w:left="660" w:right="24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Don’t Ruin It for Everyone Else. </w:t>
      </w:r>
      <w:r>
        <w:rPr>
          <w:rFonts w:ascii="Arial" w:cs="Arial" w:eastAsia="Arial" w:hAnsi="Arial"/>
          <w:sz w:val="18"/>
          <w:szCs w:val="18"/>
          <w:color w:val="auto"/>
        </w:rPr>
        <w:t>Whenever there is some complicated scenario with an unclear resolution, we always brainstorm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fairest possible solution -- and then put in the hard work to make that ideal solution our actual solution. Fairness rarely comes easy, and is typically far, far from the norm.</w:t>
      </w:r>
    </w:p>
    <w:p>
      <w:pPr>
        <w:spacing w:after="0" w:line="1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believe that our unique culture and our employees’ happiness and long-term commitment to Expensify is a critical component of our success. As of December 31, 2022 we had 138 full -time employees. None of our employees are represented by a labor union or covered by collective bargaining agreements. We also engage third-party vendors to supply on-demand workers as needed to support our operations. We have not experienced any work stoppages, and we believe that our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relations are strong. We remain relentlessly committed to reevaluating ourselves and continuing to foster a workplace environment that prioritizes the well-being of each and every Expensify employee.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provide our employees with competitive compensation, comprehensive healthcare options and equity ownership across our organization.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encourage a balanced lifestyle by offering our employees the flexibility to work remotely and set their own schedules.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have a product-led growth strategy, so our ability to scale our platform depends on our ability to innovate and continue to deliver quality and valuable features for members. As such, we prioritize our research and development above all other investments. Our Customer Success team works closely with our customers to identify our members’ greatest needs and act as our primary Product Managers to develop features that reflect their feedback. We build our software with the end user at the center of every decision, investing substantial time, energy and resources to ensure we have a deep understanding of our members’ needs.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SUCCESS</w:t>
      </w:r>
    </w:p>
    <w:p>
      <w:pPr>
        <w:spacing w:after="0" w:line="18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Concierge is our customer support engine. Concierge is designed for speed and accuracy and optimized for cost. Concierge is powered by AI and trained by customer support agents, with different levels of skill and training, spread out across the world.</w:t>
      </w:r>
    </w:p>
    <w:p>
      <w:pPr>
        <w:spacing w:after="0" w:line="13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spacing w:after="0" w:line="12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Success Coaches are full-time employees who manage the bulk of our product management. Approximately 75% of Success Coach time is spent on traditional product management activity (i.e., writing product proposals, engaging with the product development team, testing new functionality, updating documentation). The remaining approximately 25% is spent doing "supervised training" of the Concierge AI in response to edge case conversations escalated from Second Responders. We believe that by keeping our product managers involved with the customers we design and develop features that customers like to use - supporting our product-led growth.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w:t>
      </w:r>
    </w:p>
    <w:p>
      <w:pPr>
        <w:spacing w:after="0" w:line="12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make our platform available for free trial online, which facilitates rapid and widespread adoption. The superiority of our solution and its user-friendly nature creates advocates of our platform and allows Expensify to spread virally, through word-of-mouth, across teams, departments and organizations. This word-of-mouth marketing increases organically as more individual members and teams discover our platform.</w:t>
      </w:r>
    </w:p>
    <w:p>
      <w:pPr>
        <w:spacing w:after="0" w:line="13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marketing efforts are designed to support the bottom-up viral nature of our platform by establishing our brand as the premiere option in preaccounting software. We invest in brand and platform promotion through partners, conference participation, thought leadership, direct marketing and advertising and content development to educate the market about the benefits of our platform and create market consensus.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Creating market consensus requires a major investment to establish and requires ongoing commitment to our product to maintain. So long as the market agrees we are the best, it is relatively inexpensive to maintain that perception. This creates an asymmetric advantage against anybody who would seek to challenge our brand. This market consensus strategy ensures we get the lion's share of the best new customers in the market by default, without needing to pay a high marginal cost to acquire each new customer.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w:t>
      </w:r>
    </w:p>
    <w:p>
      <w:pPr>
        <w:spacing w:after="0" w:line="136"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Our sales model focuses on enabling customer self-service and low-friction entry points enhanced with AI powered customer service. Our customers can access free and fully functional trials. When a member has 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color w:val="auto"/>
        </w:rPr>
        <w:t>Our Competition</w:t>
      </w:r>
    </w:p>
    <w:p>
      <w:pPr>
        <w:spacing w:after="0" w:line="1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competitive factors that drive leadership in the markets we compete in include the following:</w:t>
      </w:r>
    </w:p>
    <w:p>
      <w:pPr>
        <w:spacing w:after="0" w:line="15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End user design focus;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Ease of access, adoption, deployment and use;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Platform functionality and ability to automate processes;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Mobile access across devices;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purchase without a sales representative;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Viral, bottom-up business model supported by word-of-mouth adoption;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 interoperability with internal and third party systems and consumer applications;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Flexible, employee-centric legal terms regarding data ownership;</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Data security and privacy;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Speed and scalability of architecture underlying the platform;</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Brand reputation and market consensus around platform superiority;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believe we compete favorably with our competitors on the basis of the factors described above. We believe our unique approach, business model, and company culture drive significant competitive differentiation. We intend to continue our intense design focus on the employee experience, support our viral bottom-up business model to drive profitable growth, and nurture our one-of-a-kind company structure and culture to maintain this competitive advantage.</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color w:val="auto"/>
        </w:rPr>
        <w:t>Intellectual Property</w:t>
      </w:r>
    </w:p>
    <w:p>
      <w:pPr>
        <w:spacing w:after="0" w:line="16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December 31, 2022, we had 11 trademark registrations in the United States, including EXPENSIFY, SMARTSCAN, CONCIERGE, LAT* TALKS, LONG ASS TABLE TALKS, EXPENSIFY THIS, and YOU WEREN’T BORN TO DO EXPENSES and various other marks had also been published, such as EASY MONEY, EXPENSIFY IS EASY MONEY, KARMA POINTS, CORPORATE KARMA, PERSONAL KARMA, and EXPENSIFYTHIS. We also had approximately 35 trademark registrations and approximately 19 applications in certain foreign jurisdictions. We will pursue additional trademark registrations to the extent we believe it would be beneficial and cost effective. We also own several domain names, including www.expensify.com, use.expensify.com, www.expensify.org and new.expensify.com.</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December 31, 2022, we had 19 issued patents and 12 pending patent applications in the United States. Our issued patents expire between August 18, 2028 and October 17, 2037. We have 1 pending application in Europe, Australia and Canada. We continually review our development efforts to assess the existence and patentability of new intellectual property.</w:t>
      </w:r>
    </w:p>
    <w:p>
      <w:pPr>
        <w:spacing w:after="0" w:line="13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control access to our intellectual property and confidential information through internal and external controls. We maintain a policy requiring our employees, contractors, consultants and other third parties 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spacing w:after="0" w:line="12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Factors—Risks Related to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29"/>
          <w:szCs w:val="29"/>
          <w:color w:val="auto"/>
        </w:rPr>
        <w:t>Government Regulation</w:t>
      </w:r>
    </w:p>
    <w:p>
      <w:pPr>
        <w:spacing w:after="0" w:line="15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 Factors—Risks Related to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29"/>
          <w:szCs w:val="29"/>
          <w:color w:val="auto"/>
        </w:rPr>
        <w:t>Corporate Information</w:t>
      </w:r>
    </w:p>
    <w:p>
      <w:pPr>
        <w:spacing w:after="0" w:line="15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were incorporated on April 29, 2009 as Expensify, Inc., a Delaware corporation. Our principal executive offices are located at 401 SW 5th Street, Portland, Oregon 97204.</w:t>
      </w:r>
    </w:p>
    <w:p>
      <w:pPr>
        <w:spacing w:after="0" w:line="127" w:lineRule="exact"/>
        <w:rPr>
          <w:sz w:val="20"/>
          <w:szCs w:val="20"/>
          <w:color w:val="auto"/>
        </w:rPr>
      </w:pPr>
    </w:p>
    <w:p>
      <w:pPr>
        <w:spacing w:after="0"/>
        <w:rPr>
          <w:sz w:val="20"/>
          <w:szCs w:val="20"/>
          <w:color w:val="auto"/>
        </w:rPr>
      </w:pPr>
      <w:r>
        <w:rPr>
          <w:rFonts w:ascii="Arial" w:cs="Arial" w:eastAsia="Arial" w:hAnsi="Arial"/>
          <w:sz w:val="29"/>
          <w:szCs w:val="29"/>
          <w:color w:val="auto"/>
        </w:rPr>
        <w:t>Available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website address is www.expensify.com. Information contained on, or that can be accessed through, our website does not constitute part of this Annual Report on Form 10-K. The U.S. Securities and Exchange Commission (“SEC”) maintains an Internet site that contains reports, proxy and information statements, and other information regarding issuers that file electronically with the SEC at www.sec.gov. Our Annual Report on Form 10-K, Quarterly Reports on Form 10-Q, Current Reports on Form 8-K and amendments to reports filed or furnished pursuant to Sections 13(a) and 15(d) of the Securities Exchange Act of 1934, as amended, (the “Exchange Act”) are also available free of charge on our investor relations website, investors.expensify.com as soon as reasonably practicable after we electronically file such material with, or furnish it to, the SEC.</w:t>
      </w:r>
    </w:p>
    <w:p>
      <w:pPr>
        <w:spacing w:after="0" w:line="126"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provide notifications of news or announcements regarding our financial performance, including SEC filings, investor events, press and earnings releases, on our investor relations website. The contents of these websites are not intended to be incorporated by reference into this report or in any other report or document we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Item 1A. Risk Factors</w:t>
      </w:r>
    </w:p>
    <w:p>
      <w:pPr>
        <w:spacing w:after="0" w:line="1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Our business involves a high degree of risk. You should carefully consider the risks described below, as well as the other information contained or incorporated by reference in this Annual Report on Form 10-K, including our consolidated financial statements and related notes, as well as our other filings with the SEC.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135" w:lineRule="exact"/>
        <w:rPr>
          <w:sz w:val="20"/>
          <w:szCs w:val="20"/>
          <w:color w:val="auto"/>
        </w:rPr>
      </w:pPr>
    </w:p>
    <w:p>
      <w:pPr>
        <w:spacing w:after="0"/>
        <w:rPr>
          <w:sz w:val="20"/>
          <w:szCs w:val="20"/>
          <w:color w:val="auto"/>
        </w:rPr>
      </w:pPr>
      <w:r>
        <w:rPr>
          <w:rFonts w:ascii="Arial" w:cs="Arial" w:eastAsia="Arial" w:hAnsi="Arial"/>
          <w:sz w:val="29"/>
          <w:szCs w:val="29"/>
          <w:color w:val="auto"/>
        </w:rPr>
        <w:t>Risks Related to Our Business</w:t>
      </w:r>
    </w:p>
    <w:p>
      <w:pPr>
        <w:spacing w:after="0" w:line="13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Our quarterly and annual results of operations have fluctuated in the past and may fluctuate significantly in the future and may not meet our expectations or those of investors or securities analysts.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quarterly and annual results of operations, including the levels of our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spacing w:after="0" w:line="13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demand across our platform and for individual features within our platform;</w:t>
      </w:r>
    </w:p>
    <w:p>
      <w:pPr>
        <w:spacing w:after="0" w:line="157" w:lineRule="exact"/>
        <w:rPr>
          <w:rFonts w:ascii="Arial" w:cs="Arial" w:eastAsia="Arial" w:hAnsi="Arial"/>
          <w:sz w:val="18"/>
          <w:szCs w:val="18"/>
          <w:color w:val="auto"/>
        </w:rPr>
      </w:pPr>
    </w:p>
    <w:p>
      <w:pPr>
        <w:ind w:left="660" w:right="100" w:hanging="328"/>
        <w:spacing w:after="0" w:line="25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grow or maintain our gross logo retention rate and net seat retention rate (each as described under the section titled "Management's Discussion and Analysis of Financial Condition and Results of Operations—Key Factors Affecting Our Performance —Retaining Existing Customers"), expand usage within organizations, retain and increase sales to existing customers and attract new members and customers;</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convert individuals and organizations using our free features or trial subscriptions into paying customers;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predictably generate revenue through marketing and sales efforts;</w:t>
      </w:r>
    </w:p>
    <w:p>
      <w:pPr>
        <w:spacing w:after="0" w:line="157"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to our platform, or by our competitors to their products, or any other changes in the competitive landscape of our market;</w:t>
      </w:r>
    </w:p>
    <w:p>
      <w:pPr>
        <w:spacing w:after="0" w:line="116"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grow and maintain our relationships and/or integrations with our network of third-party partners, including integration partners, channel partners and professional service partners;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regulate members and member interactions on an increasingly collaborative platform;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grow revenue share and customer referrals from our partner ecosystem;</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customers’ businesses;</w:t>
      </w:r>
    </w:p>
    <w:p>
      <w:pPr>
        <w:spacing w:after="0" w:line="157"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 and features, including the Expensify Card and any new features we may introduce;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retain customers on annual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4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and improve employee efficiency, and our ability to manage third party, outsourced or open source workers to provide value-added services like receipt processing, customer support and engineering;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errors in our forecasting of the demand for our platform and features, which would lead to lower revenue, increased costs, or both;</w:t>
      </w:r>
    </w:p>
    <w:p>
      <w:pPr>
        <w:spacing w:after="0" w:line="157"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to our platform and features;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ineffective pricing strategies that could limit customer base expansion, revenue growth and subscription renewals;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new employees hired;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4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and timing of expenses related to the potential acquisition of talent, technologies, businesses or intellectual property, and their integration, including potentially significant amortization costs and possible write-downs;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health epidemics, such as the COVID-19 pandemic, or other conditions that impact travel and business spending; and</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market conditions in either domestic or international markets, including geopolitical uncertainty and instability and their effects on software spending.</w:t>
      </w:r>
    </w:p>
    <w:p>
      <w:pPr>
        <w:spacing w:after="0" w:line="117"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spacing w:after="0" w:line="13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could fall, and we would face litigation, including securities class action lawsuits, which could subject us to substantial costs, divert resources and the attention of management from our business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experienced rapid growth in recent periods prior to the COVID-19 pandemic, and those growth rates may not be indicative of our future growth, and we may not be able to maintain profitability.</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experienced rapid growth in recent periods prior to the COVID-19 pandemic. Our business was impacted by the COVID-19 pandemic, with declines in revenue and paid members due to government-imposed lock-downs, a decrease in business travel and other expense-generating activity, and SMBs downsizing or going out of business, among other things. While we have seen a relatively steady increase in paid members and improvements in revenue since the low point of the pandemic, our growth rate may not return to pre-pandemic levels. Even if our revenue and paid members continue to increase in the near term, we expect that our growth rate will decline as a result of a variety of factors, including the maturation of our business. Further, as we operate in a new and rapidly changing category of preaccounting software, widespread acceptance and use of our platform and features, particularly our expense management feature, is critical to our future growth and success. We believe our growth depends on a number of factors, including, but not limited to, our ability to:</w:t>
      </w:r>
    </w:p>
    <w:p>
      <w:pPr>
        <w:spacing w:after="0" w:line="13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new individuals and organizations to use our features, particularly our expense management feature;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convert individuals and organizations using our free features or trial subscriptions into paying customers;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grow or maintain our gross logo retention rate and net seat retention rate, and expand usage within organizations;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our subscription plans effectively and competitively;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retain our existing individual and organizational customers;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features, including in markets outside of the United States;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 to successfully advance our bottom-up sales strategy as well as strategic relationships with our channel partners;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 to maintain and build a platform and brand that drives word-of-mouth exposure to new potential members;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grow or maintain our brand through marketing, advertising campaigns, partnerships and other methods;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gain member traction for and generate revenue from our new features and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grow or maintain current levels of consideration from a vendor and/or fees generated through transaction-based features;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 and features;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excellent customer experience and customer support;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 and features;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the trust of our customers;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as well as existing software tools;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respond to other competitive challenges in the United States and globally;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hire and retain highly skilled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28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the COVID-19 pandemic, or any other future pandemic, epidemic or other public health crisis and the corresponding pace and rate of recovery on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grow our member and customer base in new countries and/or markets, and increase awareness of our brand on a global basis; and</w:t>
      </w:r>
    </w:p>
    <w:p>
      <w:pPr>
        <w:spacing w:after="0" w:line="144"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and maintain compliance and licenses material to our current and future businesses, and comply with existing and new applicable laws and regulations including in markets outside of the United States.</w:t>
      </w:r>
    </w:p>
    <w:p>
      <w:pPr>
        <w:spacing w:after="0" w:line="13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If we are unable to accomplish these tasks, our growth, including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maintain profitability.</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increased our subscription prices in 2020, and although our new prices have not substantially affected our business to date, we cannot guarantee these price increases, or any future price increases we choose to implement, will not adversely affect our business in the future.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spacing w:after="0" w:line="12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spacing w:after="0" w:line="10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25"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To increase our revenue, we must increase our customer base through various methods, including but not limited to, retaining existing customers, adding new customers, converting individuals and organizations using our free basic expense management feature and trial subscriptions into paying customers, and expanding usage within organizations. Our business is subscription-based, with monthly and annual subscriptions, and customers are not obligated to and may not renew their subscriptions after their existing subscriptions expire.</w:t>
      </w:r>
    </w:p>
    <w:p>
      <w:pPr>
        <w:spacing w:after="0" w:line="13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spacing w:after="0" w:line="13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While we experienced significant growth in the number of our customers prior to the COVID-19 pandemic, our growth rate may not return to pre-pandemic levels. 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spacing w:after="0" w:line="143"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Our business is subscription-based, and customers are not obligated to and may not renew their subscriptions after their existing subscriptions expire. We cannot ensure that customers will renew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subscriptions with the same or greater number of members or for the same level of subscription plan or that they will upgrade to use features such as bi -directional accounting sync and invoicing features or the Expensify Card. Customers may or may not renew their subscriptions as a result of a number of factors, including their satisfaction or dissatisfaction with our platform; changes we may implement in our pricing or structure;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spacing w:after="0" w:line="10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We may fail to accurately predict the optimal pricing strategies necessary to attract new customers, retain existing customers and respond to changing market conditions.</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spacing w:after="0" w:line="12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9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For example, growth from Expensify Card, which we introduced in 2020, has taken longer than anticipated due to the impact of the COVID-19 pandemic, and there can be no assurance that it will reach the level of customer adoption that it was designed to achieve. We may not be able to develop new features successfully or to introduce and gain market acceptance of new features in a timely manner, or at all.</w:t>
      </w:r>
    </w:p>
    <w:p>
      <w:pPr>
        <w:spacing w:after="0" w:line="1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successful development, introduction and customer acceptance of new features, enhancements, integrations, capabilities and versions of our existing features is costly and time-consuming,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business could be harmed if we fail to deliver new features, enhancements, integrations, capabilities and versions of our existing features that meet customer needs on a timely and cost effective basis.</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Although we see this direction as a natural next step in our long-term product vision, we have not developed an open-source financial group chat (or similar feature) before, and it may not meet customer needs, gain member traction or generate revenue sufficient to offset the costs of development, which could harm our business.</w:t>
      </w:r>
    </w:p>
    <w:p>
      <w:pPr>
        <w:spacing w:after="0" w:line="11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We face significant competition, the market in which we operate is rapidly evolving, and if we do not compete effectively, our results of operations and financial condition could be harmed.</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face significant competitive challenges from do-it-yourself approaches as well as companies that provide traditional horizontal platform solutions with expense management features, corporate card 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 result in decreased revenue, and our business, results of operations and financial condition would be adversely affected.</w:t>
      </w:r>
    </w:p>
    <w:p>
      <w:pPr>
        <w:spacing w:after="0" w:line="1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there are a number of competing companies that provide traditional horizontal platform solutions with expense management features, some of which have substantially greater revenue, personnel and other resources than we do.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bottom-up adoption features. 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 successfully and effectively compete with current or future competitors could cause us to lose business and harm our revenue growth, business, results of operations and financial condition.</w:t>
      </w:r>
    </w:p>
    <w:p>
      <w:pPr>
        <w:spacing w:after="0" w:line="10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An economic downturn or economic uncertainty could negatively impact our customers and materially and adversely affect our business, financial condition and results of operations.</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depends on the economic health of our current and prospective customers and the overall state of the economy. Declining levels of economic activity may lead to declines or delays in business spending, declines in the number of paid monthly members of our platform and fewer transactions for which our platform may be used, which may result in decreased revenue for us. Uncertain and adverse economic conditions may cause customers to change their company policies to limit expense reimbursement and have led to increased requests for, and may lead to, increased refunds and chargebacks. Additionally, economic uncertainty and negative economic pressures may cause prospective or existing customers to defer investment or expansion in their business, and they may become more price-sensitive and perceive our platform as too costly. As of December 31, 2022 businesses with fewer than 1,000 employees accounted for approximately 95% of our customers by revenue, and we focus our product, marketing and sales efforts on these businesses, including SMBs. These customers may be more susceptible to general economic conditions than larger businesses, which may have greater liquidity and access to capital. Our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As a result, our larger competitors may be better positioned than we are to increase their market share with businesses of all sizes. In addition, the increased pace of consolidation in certain industries may result in reduced overall 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11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The COVID-19 pandemic has materially adversely affected, and may continue to materially and adversely affect, our business and our ability to grow.</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COVID-19 pandemic disrupted our business and impacted our employees, partners, third-party service providers and customers. In particular, effects of the COVID-19 pandemic such as economic instability, remote work and travel restrictions negatively affected demand for our platform as employees incurred fewer work- and travel-related expenses and submitted fewer expense reimbursement requests to their employers, and as SMBs downsized or went out of business. Many very small businesses (“VSBs”) and SMBs experienced substantial revenue and cash liquidity declines in the early months of the COVID-19 pandemic, and there were high observed rates of small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failures. The COVID-19 pandemic also negatively impacted the amount of expenses incurred by our paid members, our annual gross logo retention, our net seat retention, the launch of our Expensify Card and the roll-out of our co-working spaces, which we call lounges.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degree to which the COVID-19 pandemic, or other pandemics, epidemics and other public health crises, will affect our business in the future will depend on developments that are highly uncertain and cannot currently be predicted. These developments include, but are not limited to, the duration, extent and severity of any such crisis; actions taken to contain any such crisis; the ultimate societal impact of any such crisis and any lasting changes in business and consumer behavior, including with respect to remote work, business travel and business expense spending and reimbursement; the duration and nature of related restrictions on economic activity and domestic and international trade; and the extent of the impact of these and other factors on our employees, partners, third-party service providers and customers. Ongoing effects of the COVID-19 pandemic, or the effects of any resurgences or variances or other pandemics, epidemics or other public health crises, could have a material adverse impact on our business, results of operations, financial condition and growth prospects.</w:t>
      </w:r>
    </w:p>
    <w:p>
      <w:pPr>
        <w:spacing w:after="0" w:line="1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Payments and other financial services-related laws and regulations and government oversight are material to our business. Our failure to comply with such laws and regulations could materially harm our business and can subject us to criminal and civil liability.</w:t>
      </w:r>
    </w:p>
    <w:p>
      <w:pPr>
        <w:spacing w:after="0" w:line="1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 designed to ensure that all companies that process, store, or transmit payment card information maintain a secure environment to protect cardholder data. 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 organizations, and numerous state and local governmental and regulatory authorities.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w:t>
      </w:r>
    </w:p>
    <w:p>
      <w:pPr>
        <w:spacing w:after="0" w:line="12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Expensify Payments LLC (“Expensify Payments”) is a licensed money transmitter (or its equivalent) in various U.S. states and territories and is in the process of obtaining money transmission licenses in a number of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 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of certain statutory and regulatory requirements, and we have been subject to fines and other penalties by state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authorities due to their interpretation and application of their respective state money transmitter regime to our activities. In the future, as a result of the laws and regulations applicable to us and our business, we could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spacing w:after="0" w:line="130" w:lineRule="exact"/>
        <w:rPr>
          <w:sz w:val="20"/>
          <w:szCs w:val="20"/>
          <w:color w:val="auto"/>
        </w:rPr>
      </w:pPr>
    </w:p>
    <w:p>
      <w:pPr>
        <w:ind w:left="660" w:right="50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or entities;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impose additional customer identification and customer due diligence requirements;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57" w:lineRule="exact"/>
        <w:rPr>
          <w:rFonts w:ascii="Arial" w:cs="Arial" w:eastAsia="Arial" w:hAnsi="Arial"/>
          <w:sz w:val="18"/>
          <w:szCs w:val="18"/>
          <w:color w:val="auto"/>
        </w:rPr>
      </w:pPr>
    </w:p>
    <w:p>
      <w:pPr>
        <w:ind w:left="660" w:right="10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144"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interest earned on customer funds, transaction fees, and revenue derived from foreign exchange;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customers;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originated in a country to be invested in that country or held in trust until paid;</w:t>
      </w:r>
    </w:p>
    <w:p>
      <w:pPr>
        <w:spacing w:after="0" w:line="144"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w:t>
      </w:r>
    </w:p>
    <w:p>
      <w:pPr>
        <w:spacing w:after="0" w:line="130"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 or</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impose other requirements in furtherance of their 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success of our business largely depends on our senior management team, and we depend on professional services firms for a significant portion of our finance function. The loss of any key employees or our outsourced finance team could adversely affect our business.</w:t>
      </w:r>
    </w:p>
    <w:p>
      <w:pPr>
        <w:spacing w:after="0" w:line="1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13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addition, we depend on certain professional services firms for a significant portion of our finance function. If we lose the services of these outsourced finance teams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spacing w:after="0" w:line="12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common stock and could diminish our cash reserves.</w:t>
      </w:r>
    </w:p>
    <w:p>
      <w:pPr>
        <w:spacing w:after="0" w:line="1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May 10, 2022, the Executive Committee authorized a share repurchase program to repurchase up to $50 million of our outstanding Class A common stock. Although the Executive Committee has authorized this repurchase program, the program does not obligate us to repurchase any specific dollar amount or to acquire any specific number of shares.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share repurchase program may be modified, suspended, or terminated at any time, and we cannot guarantee that the program will be fully consummated or that it will enhance long-term stockholder value. The program could affect the trading price of our stock and increase volatility, and any announcement of a termination of this program may result in a decrease in the trading price of our stock. In addition, this program could diminish our cash and cash equivalents and marketable securities.</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rely on a single third-party vendor, issuing bank and card network for our Expensify Card, and if we lose any of these services, our business, results of operations, financial condition and growth prospects could be harmed.</w:t>
      </w:r>
    </w:p>
    <w:p>
      <w:pPr>
        <w:spacing w:after="0" w:line="1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Expensify Card is an important element of our growth strategy, and we believe that, over time, the Expensify Card will be a prominent corporate card solution for SMBs in our core markets. We rely on a single third-party vendor, Marqeta, Inc. ("Marqeta"), for the Expensify Card, who also manages the relationship with the card's issuing bank, Sutton Bank, and the card network, Visa. In the annual periods ended December 31, 2022, 2021, and 2020, consideration from this vendor representing monetized Expensify Card activities reduced our cost of revenue by $6.2 million, $2.9 million, and $1.0 million, respectively. Our agreement with Marqeta initially had a three year term that expired in June 2022 and now automatically renews annually thereafter unless either party provides 90 days’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prior to renewal. 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spacing w:after="0" w:line="10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12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Breaches of our security measures or those of our customers, partners or third-party service providers, or other cyber security incidents, could result in intentional or accidental unauthorized access to our or our customers’ or partners’ sites, networks, systems and accounts; unauthorized access to, and misappropriation or disclosure of, individuals’ personal information or other confidential or proprietary information of ourselves, our customers or partners, or other third parties;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intentional or accidental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many of our employees and service providers work remotely, in part due to a significant increase in remote work stemming from the COVID-19 pandemic that has been maintained. As a result, we may be more vulnerable to cybersecurity-related events such as phishing attacks and other security challenges. Many companies that provide cloud based services have reported a significant increase in cyberattack activity since the beginning of the COVID-19 pandemic and related increase in remote work.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be subject to vulnerabilities or experience security breaches or incidents that may remain undetected for an extended period. These events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w:t>
      </w:r>
    </w:p>
    <w:p>
      <w:pPr>
        <w:spacing w:after="0" w:line="15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Our customers provide us with information that our systems store, some of which is confidential information about them or their financial transactions. In addition, we store personal information about our employees and, to a lesser extent, those who purchase products or services from our customers. Even though we have security systems and information technology infrastructure designed to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against unauthorized access to such information, our efforts to address these threats may not always be successful. Any actual or perceived compromise or breach of our security measures, or those of our customers, partners or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the insurance we maintain may be insufficient to cover our losses resulting from disasters, cyber-attacks, or other business interruptions, and any incidents may result in loss of, or increased costs of, such insurance. Our disaster recovery plan may not be sufficient to address all aspects or any unanticipated consequence or incident.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diverts resources from the growth and expansion of our business.</w:t>
      </w:r>
    </w:p>
    <w:p>
      <w:pPr>
        <w:spacing w:after="0" w:line="10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1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travel concierge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For example, in 2023 we are hosting our third ExpensiCon, an invite-only, all-expenses paid industry conference set in an exotic location that includes a full itinerary of events and excursions. The goal of this ExpensiCon is to increase our market consensus among our Approved! Accounting partners and increase adoption of our platform. We have spent significant resources on this initiative, and there can be no assurance that we will be successful in achieving those goals or that the nature of the event will not expose us to additional risks.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to make substantial investments and expenditures related to the growth of our business.</w:t>
      </w:r>
    </w:p>
    <w:p>
      <w:pPr>
        <w:spacing w:after="0" w:line="1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features, enhancements, integrations, capabilities and versions of our existing features. Additionally, we will need to continue to make substantial investments and expenditures to, among other things:</w:t>
      </w:r>
    </w:p>
    <w:p>
      <w:pPr>
        <w:spacing w:after="0" w:line="11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hire new and retain existing employees;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expand, update and improve our infrastructure;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expand our sales and marketing activities, including to obtain channel partners and to expand our SMB and consumer advertising;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expand our operations across multiple geographies;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operate as a public company;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for increasing costs associated with our general and administrative organization.</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may also review or revise our software architecture as we grow, which may require significant resources and investments. 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There can be no assurance that this direction will achieve customer acceptance or that we will realize the anticipated return on our investment.</w:t>
      </w:r>
    </w:p>
    <w:p>
      <w:pPr>
        <w:spacing w:after="0" w:line="1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w:t>
      </w:r>
    </w:p>
    <w:p>
      <w:pPr>
        <w:spacing w:after="0" w:line="114"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Our business is substantially dependent upon the continued development of the market for, and acceptance of, cloud based software features.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a high-quality customer experience, our business and reputation will suffer.</w:t>
      </w:r>
    </w:p>
    <w:p>
      <w:pPr>
        <w:spacing w:after="0" w:line="16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bottom-up business model is highly dependent on our business reputation and on word-of-mouth positive recommendations from existing individuals and organizations using our platform and features. Any failure to maintain high -quality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4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as we continue to grow our operations and reach a larger and increasingly global customer and member base, we need to be able to provide efficient customer support that meets the needs of organizations using our platform and features globally at scale. The number of organizations using our platform and features has grown significantly, which puts additional pressure on our support organization. 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must continue to attract and retain highly qualified personnel, including an on-demand workforce in certain jurisdictions and for certain aspects of our business, to continue to execute on our business strategy and growth plans.</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 member. We also intend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spacing w:after="0" w:line="1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spacing w:after="0" w:line="12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recruiting efforts may also be limited by laws and regulations, such as restrictive immigration laws, and restrictions on travel or availability of visas. If we do not succeed in attracting excellent personnel or retaining or motivating existing personnel, we may be unable to innovate quickly enough to support our business model or grow effectively.</w:t>
      </w:r>
    </w:p>
    <w:p>
      <w:pPr>
        <w:spacing w:after="0" w:line="11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1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 diverse and memorable experiences for our employees, including employee travel to company-wide meetings in the U.S. and abroad.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effectively manage our growth, our business and results of operations could be harmed.</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experienced rapid growth and increased demand for our platform prior to the COVID-19 pandemic. Our revenue grew from $53.9 million in 2018 to $80.5 million in 2019 to $88.1 million in 2020, but our headcount remained consistent, with 131 employees as of December 31, 2018, 127 employees as of December 31, 2019 and 133 employees as of December 31, 2020. Comparing 2020 to 2021, our revenue grew from $88.1 million to $142.8 million, respectively, but our headcount remained relatively consistent, with 133 employees as of December 31, 2020 and 144 employees as of December 31, 2021. Comparing 2021 to 2022, our revenue has grown from $ 142.8 million to $169.5 million, respectively, but our headcount remained relatively consistent, with 144 employees as of December 31, 2021 and 138 employees as of December 31, 2022. The growth and expansion of our business and platform may place a significant strain on our management and our administrative, operational and financial reporting resources. Our ability to accurately plan for and model future growth is limited and subject to a number of uncertainties, due in part to our global operations, customer preferences and mix of products and features. We have encountered, and will continue to encounter, risks and uncertainties frequently experienced by growing companies in rapidly changing industries.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and reporting systems and manage our employee base. In addition, as we seek to continue to expand internationally, we will likely encounter unexpected challenges and expenses due to unfamiliarity with local regulations, requirements, practices and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payments services and our Expensify Card are targets for illegal or improper uses, and our risk management efforts may not be effective, which could expose us to losses and liability and otherwise harm our business.</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spacing w:after="0" w:line="122"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subscription plans. Substantial losses due to fraud or our inability to accept credit card payments would cause our customer base to significantly decrease and would harm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transitioning certain of our offices to co-working spaces, which we call lounges, and may expand to additional lounges.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process is expensive, may not achieve our intended goals, and could expose us to additional risks.</w:t>
      </w:r>
    </w:p>
    <w:p>
      <w:pPr>
        <w:spacing w:after="0" w:line="15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Prior to the COVID-19 pandemic, we began to transition certain of our offices to co-working spaces, which we call lounges, with the goal of enhancing our culture and our brand by creating flexible workspaces that can be shared by Expensify employees and certain Expensify members. We have spent significant resources on this initiative, which has been disrupted by the pandemic. While we expect to open these lounges to certain members in the near term, there is no assurance that they will be successful in the post-pandemic business climate. In addition, we may be exposed to additional risks by allowing non-employees to use our lounges, including increased risk of litigation, theft, data privacy and cybersecurity breaches, and because we have very limited experience managing co-working spaces, we may not adequately balance managing these risks with our goals for these spaces. Furthermore, these lounges are subject to different rules and regulations than our normal operations, and which differ from location to location, and a failure to properly comply with such rules and regulations, due to our limited experience managing co-working spaces or otherwise, could result in regulatory action or fines. If we are unable to achieve our desired results, or if we are required to limit or suspend use of our lounges for an extended period of time for any reason, this initiative may be unsuccessful, which could damage our business, our culture and our brand.</w:t>
      </w:r>
    </w:p>
    <w:p>
      <w:pPr>
        <w:spacing w:after="0" w:line="12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Sales to customers outside the United States and our international operations expose us to risks inherent in international sales and operations.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revenue generated from customers outside the United States was $14.7 million (9% of our revenue), $15.2 million (11% of our revenue), and $9.0 million (10% of our revenue) for the annual periods ended December 31, 2022, 2021, and 2020, respectively. Our core geographies are the United States, the United Kingdom, Canada and Australia. We intend to pursue expansion of our international operations. 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spacing w:after="0" w:line="140" w:lineRule="exact"/>
        <w:rPr>
          <w:sz w:val="20"/>
          <w:szCs w:val="20"/>
          <w:color w:val="auto"/>
        </w:rPr>
      </w:pPr>
    </w:p>
    <w:p>
      <w:pPr>
        <w:ind w:left="660" w:right="20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need to localize and adapt our platform and features for specific countries, including translation into foreign languages, tax and regulatory updates and associated expenses;</w:t>
      </w:r>
    </w:p>
    <w:p>
      <w:pPr>
        <w:spacing w:after="0" w:line="130"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data privacy laws that impose different and potentially conflicting obligations with respect to how personal data is processed or require that customer data be stored in a designated territory;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more fragmented partner market which proves to be harder for our platform to integrate with;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pricing environments, longer accounts receivable payment cycles and collections issues;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57"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w:t>
      </w:r>
    </w:p>
    <w:p>
      <w:pPr>
        <w:spacing w:after="0" w:line="144"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U.S. bribery laws, the UK Bribery Act and similar laws and regulations in other jurisdictions;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and potential outcomes of any claims or litigation;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tax laws or tax regulations;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regional and local economic and political conditions.</w:t>
      </w:r>
    </w:p>
    <w:p>
      <w:pPr>
        <w:spacing w:after="0" w:line="15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we seek to expand our business globally,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credit, equity and foreign exchange markets, bankruptcies and outbreaks of COVID-19, as well as war, terrorist activity, political unrest, civil strife and other geopolitical uncertainty, and the resulting impact on business continuity and travel, supply chain disruptions, inflation, security issues, and overall uncertainty with respect to the economy, including with respect to tariff and trade issues.</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For example, the invasion of Ukraine by Russian military forces in February 2022 has resulted in sustained conflict and disruption in the region. The length, impact and outcome of this conflict is highly unpredictable; however, the conflict has thus far led to, and could continue to lead to, significant market and other disruptions, including significant volatility in commodity prices and supply of energy resources, instability in financial markets, supply chain interruptions, political and social instability and changes in consumer or purchaser preferences, as well as an increase in cyberattacks and espionage. Additionally, sanctions or other measures implemented by other countries, as well as potential responses from Russia and other countries, could adversely affect the global economy and financial markets, which could in turn have a material adverse effect on our business, financial condition and results of operations. In addition, political instability or adverse political developments and new or continued economic deterioration, including as a result to the withdrawal by many global central banks of stimulus measures deployed during the peak of the COVID-19 pandemic, in any of the countries in which we operate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10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must comply with anti-corruption laws and regulations imposed by governments around the world with jurisdiction over our operations, which may include the U.S. Foreign Corrupt Practices Act of 1977 (“FCPA”) and the U.K. Bribery Act 2010 (“Bribery Act”), as well as the laws of the countries where we do business. These laws and regulations apply to companies, individual directors, officers, employees 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spacing w:after="0" w:line="1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limitations, or additional requirements on our business, or prevent us from providing our offerings or services in a given geography.</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2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receive, process, store and use business and personal information belonging to our members and customers. There are numerous federal, state, local and foreign laws, regulations and standards regarding data protection and the storing, sharing, use, processing, disclosure and protection of business and personal information, and we may be subject to these laws in certain circumstances. Most states have also adopted data security breach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our practices designed to achieve such compliance. However, it is possible that these obligations may be interpreted and applied in a manner that is inconsistent from one jurisdiction to another and may conflict with other rules or our practices. A failure on our part to safeguard consumer data adequately or to destroy data securely or otherwise comply with legal obligations may subject us, depending on the personal information in question, to costs associated with notice and remediation, as well as potential regulatory investigations or enforcement actions, and possibly to civil liability, under federal, state, or foreign laws or regulation, industry standards, our internal privacy policies and procedures, or our contracts governing our processing of personal information claims by third parties, and damage to our reputation, any of which could have an adverse effect on our operations, financial performance and business. We could also incur significant costs investigating and defending such claims and, if we are found liable, significant damages.</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Data protection regulation is an area of increased focus and changing requirements. Any significant change in applicable laws, regulations, or industry practices regarding the use or disclosure of our members’ or customers’ data, or regarding the manner in which the express or implied consent of members or customers for the use and disclosure of such data is obtained, could require us to modify our platform, possibly in a material manner, and may limit our ability to develop new services and features that make use of the data that our members and customers voluntarily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For example, the EU General Data Protection Regulation ("GDPR") imposes stringent data protection requirements for processing the personal data of individuals within the European Economic Area ("EEA"). The GDPR enhances data protection obligations for processors and controllers of personal information, including, for example, expanded disclosure requirements, limitations on retention of personal information, mandatory data breach notification requirements and additional obligations. Non-compliance with the GDPR can trigger fines of up to the greater of € 20 million or 4% of our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information out of the EEA,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At present, there are few if any viable alternatives to the Standard Contractual Clauses and, therefore, there is uncertainty regarding how to ensure that transfers of personal information from Europe to the United States comply with the GDPR. As such, any transfers by us of personal information from Europe may not comply with European data protection laws and may increase our exposure to the GDPR’s heightened sanctions for violations of its cross-border data transfer restrictions. Loss of our ability to transfer personal information from Europe may also require us to increase our data processing capabilities in those jurisdictions at significant expense.</w:t>
      </w:r>
    </w:p>
    <w:p>
      <w:pPr>
        <w:spacing w:after="0" w:line="12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Further, following the United Kingdom’s withdrawal from the E.U. and the end of the related transition period, as of January 1, 2021, companies may be subject to both GDPR and the United Kingdom GDPR, or UK GDPR, which, together with the amended UK Data Protection Act 2018, retains the GDPR in UK national law. The UK GDPR mirrors the fines under the GDPR, imposing fines up to the greater of €20 million (£ 17.5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while the parties discuss an adequacy decision. The European Commission published a draft adequacy decision on February 19, 2021. If adopted, the decision will enable data transfers from E.U. member states to the United Kingdom for a four-year period, subject to subsequent extensions. While we have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to the E.U.,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members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 in a way that would be currently considered a “sale” under the CCPA, some observers have noted that the CCPA could mark the beginning of a trend toward more stringent privacy legislation in the United States, which means that despite our efforts, an expansive reading of the CCPA could increase our potential liability and adversely affect our business. Additionally, the California Privacy Rights Act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went into effect on January 1, 2023, and additional compliance investment and potential business process changes may be required. Similar laws have been proposed, and likely will be proposed, in other states and at the federal level, and if passed, such laws may have potentially conflicting requirements that would make compliance challenging. For example, on March 2, 2021, the Virginia Consumer Data Protection Act ("CDPA") was signed into law. The CDPA became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spacing w:after="0" w:line="9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the use of the Internet as a means of conducting business could be adversely affected due to delays in the development or adoption of new standards and protocols to handle increased demands of 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02"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spacing w:after="0" w:line="14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telecommunications failures or outages from third-party providers;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computer viruses, malware, vulnerability exploits, or cyber-attacks;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software errors, failures, vulnerabilities or bugs in our features;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acts of terrorism, sabotage or other intentional acts of vandalism;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unforeseen interruption or damages;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pandemics and epidemics;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tornados, fires, earthquakes, floods and other natural disasters;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power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 recovery plan may not be sufficient to address all aspects or any unanticipated consequence or incidents, and our insurance may not be sufficient to compensate us for the losses that could occur.</w:t>
      </w:r>
    </w:p>
    <w:p>
      <w:pPr>
        <w:spacing w:after="0" w:line="12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w:t>
      </w:r>
    </w:p>
    <w:p>
      <w:pPr>
        <w:spacing w:after="0" w:line="13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rely upon data centers and other systems and technologies provided by third parties to operate our business, and interruptions or performance problems with these centers, systems and technologies may adversely affect our business and operating results.</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spacing w:after="0" w:line="14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1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spacing w:after="0" w:line="11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26"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APIs;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modifies its terms of service or other policies, including fees charged to, or other restrictions on us, or other application developers;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2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12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10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spacing w:after="0" w:line="12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11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 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third-party patent once that patent is issued. Any litigation may also involve non-practicing entities or other adverse patent owners that have no relevant solution revenue, and therefore, our patent portfolio may provide little or no deterrence as we would not be able to assert our patents against such entities or individuals.</w:t>
      </w:r>
    </w:p>
    <w:p>
      <w:pPr>
        <w:spacing w:after="0" w:line="14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events would cause our business and results of operations to be materially and adversely affected as a result.</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1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steps we have taken and may take in the future may not prevent misappropriation of our proprietary features or technologies, particularly with respect to officers and employees who are no longer employed by us.</w:t>
      </w:r>
    </w:p>
    <w:p>
      <w:pPr>
        <w:spacing w:after="0" w:line="12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16"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Our proprietary rights may be difficult to enforce, which could enable others to copy or use aspects of our platform without compensating us and negatively affect our business.</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spacing w:after="0" w:line="12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4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trademarks, we could be forced to rebrand our platform, which would result in loss of brand recognition and would require us to devote resources to advertising and marketing new brands.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spacing w:after="0" w:line="119"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features and could subject us to possible litigation.</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portion of the technologies we use in our platform, database infrastructure (Bedrock), Expensify.com, Expensify.cash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allegations, be subject to significant damages, or be enjoined from the sale of our platform that contained the open source software.</w:t>
      </w:r>
    </w:p>
    <w:p>
      <w:pPr>
        <w:spacing w:after="0" w:line="14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would disrupt the distribution and sale of subscriptions to our platform and harm our business, results of operations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8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including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On May 31, 2022 we received notice from the FEC clearing us of any wrongdoings in relation to these complaints. However, we cannot assure you that the matter will not result in further complaints, regulatory inquiries or future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number and significance of our legal disputes and inquiries have increased as we have grown larger, as our business has expanded in scope and geographic reach, and as our features and services have increased in complexity, and we expect the potential for future legal proceedings, claims and disputes will continue to increase. Becoming a public company has raised our public profile, which may result in increased litigation.</w:t>
      </w:r>
    </w:p>
    <w:p>
      <w:pPr>
        <w:spacing w:after="0" w:line="1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120" w:lineRule="exact"/>
        <w:rPr>
          <w:sz w:val="20"/>
          <w:szCs w:val="20"/>
          <w:color w:val="auto"/>
        </w:rPr>
      </w:pPr>
    </w:p>
    <w:p>
      <w:pPr>
        <w:ind w:right="1280"/>
        <w:spacing w:after="0" w:line="287" w:lineRule="auto"/>
        <w:rPr>
          <w:sz w:val="20"/>
          <w:szCs w:val="20"/>
          <w:color w:val="auto"/>
        </w:rPr>
      </w:pPr>
      <w:r>
        <w:rPr>
          <w:rFonts w:ascii="Arial" w:cs="Arial" w:eastAsia="Arial" w:hAnsi="Arial"/>
          <w:sz w:val="18"/>
          <w:szCs w:val="18"/>
          <w:b w:val="1"/>
          <w:bCs w:val="1"/>
          <w:i w:val="1"/>
          <w:iCs w:val="1"/>
          <w:color w:val="auto"/>
        </w:rPr>
        <w:t>Our employees, commercial partners and vendors may engage in misconduct or other improper activities, including noncompliance with regulatory standards and requirements.</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8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loan and security agreement with Canadian Imperial Bank of Commerce ("CIBC”)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0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existing loan and security agreement and/or future indebtedness, and we may be required to repay the outstanding indebtedness in an event of default, which would have an adverse effect on our business.</w:t>
      </w:r>
    </w:p>
    <w:p>
      <w:pPr>
        <w:spacing w:after="0" w:line="12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loan and security agreement with CIBC, as amended and restated in September 2021, includes a term loan of up to $75.0 million, which matures in September 2026, and a $25.0 million revolving line of credit, which matures in September 2024. The loan and security agreement subjects us, and any future indebtedness would likely subject us, to various customary covenants, including requirements as to financial reporting, insurance and certain liquidity thresholds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 to encumber our intellectual property and certain other restrictions on our activities. Our business may be adversely affected by these restrictions on our ability to operate our business.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Additionally, our ability to meet our debt obligations and other expenses will depend on our future performance, which will be affected by financial, business, economic, regulatory and other factors, many of which we are unable to control. We may be required to repay the outstanding indebtedness under the loan facility if an event of default occurs under the loan and security agreement. Under the loan and security agreement and a credit agreement with CIBC that provides for a $8.3 million amortizing term mortgage, an event of default will occur if, among other things, we fail to make payments under such agreements; we breach certain of our covenants under such agreements, subject to specified 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term loans,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of December 31, 2022, we were not in compliance with all of our debt covenants. Specifically, we were not in compliance with the covenant in our loan and security agreement with CIBC restricting the amount of repurchases of common stock, which includes RSU net share settlements; however, we obtained a waiver from CIBC for our non-compliance with this covenant. We expect to be in compliance with all debt covenants by the end of the fiscal quarter ended March 31, 2023. However, CIBC may be unwilling to provide such waivers for potential non-compliance in the future and could, as a result, call our outstanding debt obligations immediately which could have a material adverse effect on our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18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Because a substantial portion of our debt is variable-rate debt, fluctuations in interest rates could have a material effect on our business. We incur higher interest costs if interest rates increase. Interest rates were at historic lows during 2020 and 2021, when the United States Federal Reserve took several steps to protect the economy from the impact of the COVID-19 pandemic, including reducing interest rates to new historic lows. In 2022, the United States Federal Reserve raised interest rates by more than 400 basis points, and there is no guarantee that there will be not be any further increases in the near future. Any such increase in interest costs could have a material adverse impact on our financial condition and the levels of cash we maintain for working capital.</w:t>
      </w:r>
    </w:p>
    <w:p>
      <w:pPr>
        <w:spacing w:after="0" w:line="11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A failure to maintain an effective system of disclosure controls and internal control over financial reporting could adversely affect our ability to produce timely and accurate financial statements or comply with applicable regulations. Additionally, investors may lose confidence in the accuracy and completeness of our financial reports, and the market price of our Class A common stock may be seriously harmed.</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In order to develop, maintain and, if required, improve the effectiveness of our disclosure controls and procedures and internal control over financial reporting, we have expended, and may continue to expend, significant resources, including accounting-related costs and investments to strengthen our accounting systems. If any of these new or improved controls and systems do not perform as expected, we may experience material weaknesses in our controls. For fiscal years 2019, 2020 and 2021, we identified a material weakness in our internal controls that we had insufficient technical skills to address accounting matters combined with insufficient accounting staff and internal control knowledge to design and implement processes and controls, including the review of the completeness and accuracy of reports used to record journal entries, necessary to ensure material misstatements did not occur. We took certain measures to remediate this material weakness, and it was remediated as of December 31, 2022. However, completion of remediation does not provide assurance that our remediated controls will continue to operate properly or that our financial statements will be free from error. Further, we can give no assurance that any additional material weaknesses or control deficiencies will not arise in the future. Please refer to "Controls and Procedures—Remediation Efforts to Address the Previously Disclosed Material Weakness" in Part II, Item 9A of this Annual Report on Form 10-K for further information.</w:t>
      </w:r>
    </w:p>
    <w:p>
      <w:pPr>
        <w:spacing w:after="0" w:line="14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we are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We could also become subject to litigation or investigations by the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80"/>
        <w:spacing w:after="0" w:line="261" w:lineRule="auto"/>
        <w:rPr>
          <w:sz w:val="20"/>
          <w:szCs w:val="20"/>
          <w:color w:val="auto"/>
        </w:rPr>
      </w:pPr>
      <w:r>
        <w:rPr>
          <w:rFonts w:ascii="Arial" w:cs="Arial" w:eastAsia="Arial" w:hAnsi="Arial"/>
          <w:sz w:val="18"/>
          <w:szCs w:val="18"/>
          <w:color w:val="auto"/>
        </w:rPr>
        <w:t>exchange on which our securities are listed, the SEC or other regulatory authorities, which could require additional financial and management resources.</w:t>
      </w:r>
    </w:p>
    <w:p>
      <w:pPr>
        <w:spacing w:after="0" w:line="11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Additionally, our current controls and any new controls that we develop may become inadequate because of changes in conditions in our business, and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Such failure could also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Pursuant to Sections 302 and 404 of the Sarbanes-Oxley Act, our independent registered public accounting firm has provided an attestation report regarding our internal control over financial reporting. We have incurred and expect to continue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and we may need to expend additional significant resources, each of which could harm our business, results of operations and financial condition.</w:t>
      </w:r>
    </w:p>
    <w:p>
      <w:pPr>
        <w:spacing w:after="0" w:line="11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9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prior to being a publicly traded company and stock-based compensation expense, as well as those used to allocate our employee and employee related expense, which consist of contractor costs, employee salary and wages, stock-based compensation and travel and other employee-related costs, to their appropriate financial statement line items due to our generalist model and organizational structure.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2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 Moreover, we may choose not to provide guidance regarding our projected business or financial performance, which may have an adverse impact on our stock price.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1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could be required to collect additional sales, use, value-added and other indirect taxes, or be subject to other tax liabilities in various jurisdictions, which could adversely affect our results of operations.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 business were determined to be deficient, our business and results of operations could be adversely impacted. A successful assertion by a taxing authority that we should collect additional sales, use or other taxes or remit such taxes directly to states could result in substantial tax liabilities for past sales and additional administrative expenses, which could seriously harm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58" w:lineRule="exact"/>
        <w:rPr>
          <w:sz w:val="20"/>
          <w:szCs w:val="20"/>
          <w:color w:val="auto"/>
        </w:rPr>
      </w:pPr>
    </w:p>
    <w:p>
      <w:pPr>
        <w:ind w:left="660" w:right="1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due to differing statutory tax rates in various jurisdictions;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44" w:lineRule="exact"/>
        <w:rPr>
          <w:rFonts w:ascii="Arial" w:cs="Arial" w:eastAsia="Arial" w:hAnsi="Arial"/>
          <w:sz w:val="18"/>
          <w:szCs w:val="18"/>
          <w:color w:val="auto"/>
        </w:rPr>
      </w:pPr>
    </w:p>
    <w:p>
      <w:pPr>
        <w:ind w:left="660" w:right="180" w:hanging="328"/>
        <w:spacing w:after="0" w:line="291"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06"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Any of these developments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80"/>
        <w:spacing w:after="0" w:line="252" w:lineRule="auto"/>
        <w:rPr>
          <w:sz w:val="20"/>
          <w:szCs w:val="20"/>
          <w:color w:val="auto"/>
        </w:rPr>
      </w:pPr>
      <w:r>
        <w:rPr>
          <w:rFonts w:ascii="Arial" w:cs="Arial" w:eastAsia="Arial" w:hAnsi="Arial"/>
          <w:sz w:val="29"/>
          <w:szCs w:val="29"/>
          <w:color w:val="auto"/>
        </w:rPr>
        <w:t>Risks Related to the Multiple Class Structure of Our Common Stock and the Voting Trust Agreement</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Each share of our LT10 and LT50 common stock is entitled to 10 and 50 votes per share, respectively, and each share of our Class A common stock is entitled to one vote per share. All shares of LT10 and LT50 common stock are held directly by the Voting Trust established in connection with our initial public offering pursuant to a voting trust agreement (“Voting Trust Agreement”). As of December 31, 2022, the Voting Trust held approximately 7,336,191 and 6,854,931 shares of LT10 and LT50 common stock, respectively, representing approximately 17.2% of the economic interest and 85.9% of the voting power of outstanding capital stock. All decisions with respect to the voting (but not the disposition) of shares held in the Voting Trust from time to time will be made by the trustees of the Voting Trust ("Trustees") in their sole and absolute discretion, and with no responsibility under the Voting Trust Agreement as stockholder, trustee or otherwise, except for his or her own individual malfeasance. The Voting Trust and its Trustees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 indebtedness, or take other actions. Additionally, the Voting Trust and the holders of our LT10 and LT50 common stock may cause us to make strategic decisions or pursue acquisitions that could involve risks to you or may not be aligned with your interests.</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w:t>
      </w:r>
    </w:p>
    <w:p>
      <w:pPr>
        <w:spacing w:after="0" w:line="2" w:lineRule="exact"/>
        <w:rPr>
          <w:sz w:val="20"/>
          <w:szCs w:val="20"/>
          <w:color w:val="auto"/>
        </w:rPr>
      </w:pPr>
    </w:p>
    <w:p>
      <w:pPr>
        <w:ind w:right="80" w:firstLine="8"/>
        <w:spacing w:after="0" w:line="254" w:lineRule="auto"/>
        <w:tabs>
          <w:tab w:leader="none" w:pos="2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matters required under Delaware law to be approved by the full Board of Directors, or (iv) as otherwise required by SEC rules and the rules of Nasdaq. The members of the Executive Committee currently are, and their successors are generally expected to be directors who are also our employees, and the Executive Committee currently consists of David Barrett, Ryan Schaffer, Anu Muralidharan, Jason Mills and Daniel Vidal.</w:t>
      </w:r>
    </w:p>
    <w:p>
      <w:pPr>
        <w:spacing w:after="0" w:line="1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concentrated control is also likely to have the effect of limiting the likelihood of an unsolicited merger proposal, unsolicited tender offer, or proxy contest for the removal of directors. As a result,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governance structure and the Voting Trust may have the effect of depriving our stockholders of an opportunity to sell their shares at a premium over prevailing market prices and make it more difficult to replace our directors and management.</w:t>
      </w:r>
    </w:p>
    <w:p>
      <w:pPr>
        <w:spacing w:after="0" w:line="11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spacing w:after="0" w:line="11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We are a “controlled company” within the meaning of Nasdaq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Voting Trust controls a majority of the voting power of our outstanding common stock. As a result, we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spacing w:after="0" w:line="1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intend to rely on some or all of these exceptions. As a result, we do not have a majority of independent directors, we do not have a nominating and corporate governance committee, and the members of our compensation committee are not independent directors. Accordingly, you do not have the same protections afforded to stockholders of companies that are subject to all of the corporate governance requirements of Nasdaq.</w:t>
      </w:r>
    </w:p>
    <w:p>
      <w:pPr>
        <w:spacing w:after="0" w:line="114"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i w:val="1"/>
          <w:iCs w:val="1"/>
          <w:color w:val="auto"/>
        </w:rPr>
        <w:t>The multiple class structure of our common stock features certain provisions that are novel or uncommon among other corporations with multiple class structures.</w:t>
      </w:r>
    </w:p>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number of provisions relating to the multiple class structure of our common stock are novel or uncommon among other corporations with multiple class structures. For example, whenever a holder of LT10 or LT50 common stock desires to transfer or convert shares of his or her LT10 or LT50 common 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common stock, and such shares of LT10 or LT50 common stock will only convert into shares of Class A common stock if no such Class A stockholder is identified. As a result, shares of our LT10 and LT50 common stock may convert into shares of Class A common stock at a slower rate.</w:t>
      </w:r>
    </w:p>
    <w:p>
      <w:pPr>
        <w:spacing w:after="0" w:line="10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cannot predict the impact our capital structure, governance structure, and the concentrated control by the Voting Trust may have on our stock price or business.</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its indexes to have at least five percent of their voting rights in the hands of public stockholders. In addition, 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color w:val="auto"/>
        </w:rPr>
        <w:t>Risks Related to Ownership of Our Class A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16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the risk factors described in this Annual Report on Form 10-K, and others beyond our control, including:</w:t>
      </w:r>
    </w:p>
    <w:p>
      <w:pPr>
        <w:spacing w:after="0" w:line="13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57"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economy as a whole in the United States and internationally, and market conditions in our industry;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57"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legal and regulatory landscape and changes in the application of existing laws or adoption of new laws that impact our business;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economic, political, and social impact of, and uncertainty relating to, the COVID-19 pandemic;</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our capital structure;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 prices of many companies, including technology companies, have fluctuated in a manner often unrelated to the operating performance of those companies.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Class A common stock in the public market could cause our share price to fall.</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Sales of a substantial number of shares of our Class A common stock in the public market or the perception that these sales might occur in large quantities, could cause the market price of our Class A common stock to decline and could impair our ability to raise capital through the sale of additional equity securities. As of December 31, 2022, we had 68,238,245 shares of Class A common stock outstanding, 7,336,191 shares of LT10 common stock outstanding and 6,854,931 shares of LT50 common stock outstanding. Our amended and restated certificate of incorporation imposes transfer restrictions on shares of our LT10 and LT50 common stock.</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There were 6,130,735 shares of Class A common stock issuable upon the exercise of options outstanding as of December 31, 2022. We registered all of the shares of Class A common stock issuable upon exercise of outstanding options, restricted stock units ("RSUs") issued following our initial public offering ("IPO") or other equity incentives we may grant in the future, for public resale under the Securities Act. The shares of Class A common stock will become eligible for sale in the public market to the extent such options, RSUs or other equity awards are exercised, subject to the lock-up agreements described above and compliance with applicable securities laws.</w:t>
      </w:r>
    </w:p>
    <w:p>
      <w:pPr>
        <w:spacing w:after="0" w:line="12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Class A common stock to decline.</w:t>
      </w:r>
    </w:p>
    <w:p>
      <w:pPr>
        <w:spacing w:after="0" w:line="18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Increases in interest rates, like what has been experienced recently,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8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spacing w:after="0" w:line="1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the future, we may sell Class A common stock, convertible securities, or other equity securities, including preferred securities, in one or more transactions at prices and in a manner we determine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 subsequent transactions could gain rights, preferences and privileges senior to those of holders of our Class A common stock.</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spacing w:after="0" w:line="1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include provisions:</w:t>
      </w:r>
    </w:p>
    <w:p>
      <w:pPr>
        <w:spacing w:after="0" w:line="134" w:lineRule="exact"/>
        <w:rPr>
          <w:sz w:val="20"/>
          <w:szCs w:val="20"/>
          <w:color w:val="auto"/>
        </w:rPr>
      </w:pPr>
    </w:p>
    <w:p>
      <w:pPr>
        <w:ind w:left="660" w:right="48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with voting, liquidation, dividend and other rights superior to our common stock;</w:t>
      </w:r>
    </w:p>
    <w:p>
      <w:pPr>
        <w:spacing w:after="0" w:line="116"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eliminating the ability of our stockholders to take action by consent in lieu of a meeting following the date on which the Voting Trust holds less than a majority of the voting power of our outstanding capital stock;</w:t>
      </w:r>
    </w:p>
    <w:p>
      <w:pPr>
        <w:spacing w:after="0" w:line="130"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30"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maintaining our current multi-class structure;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3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1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9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amended and restated bylaws provide that we will indemnify our directors and officers, in each case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40"/>
        <w:spacing w:after="0" w:line="261"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or intend to enter into with our directors and officers provide that:</w:t>
      </w:r>
    </w:p>
    <w:p>
      <w:pPr>
        <w:spacing w:after="0" w:line="117" w:lineRule="exact"/>
        <w:rPr>
          <w:sz w:val="20"/>
          <w:szCs w:val="20"/>
          <w:color w:val="auto"/>
        </w:rPr>
      </w:pPr>
    </w:p>
    <w:p>
      <w:pPr>
        <w:ind w:left="660" w:right="80" w:hanging="328"/>
        <w:spacing w:after="0" w:line="273"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3" w:lineRule="exact"/>
        <w:rPr>
          <w:rFonts w:ascii="Arial" w:cs="Arial" w:eastAsia="Arial" w:hAnsi="Arial"/>
          <w:sz w:val="17"/>
          <w:szCs w:val="17"/>
          <w:color w:val="auto"/>
        </w:rPr>
      </w:pPr>
    </w:p>
    <w:p>
      <w:pPr>
        <w:ind w:left="660" w:right="14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30"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20" w:lineRule="exact"/>
        <w:rPr>
          <w:rFonts w:ascii="Arial" w:cs="Arial" w:eastAsia="Arial" w:hAnsi="Arial"/>
          <w:sz w:val="18"/>
          <w:szCs w:val="18"/>
          <w:color w:val="auto"/>
        </w:rPr>
      </w:pPr>
    </w:p>
    <w:p>
      <w:pPr>
        <w:ind w:left="660" w:right="560" w:hanging="328"/>
        <w:spacing w:after="0" w:line="291"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06" w:lineRule="exact"/>
        <w:rPr>
          <w:rFonts w:ascii="Arial" w:cs="Arial" w:eastAsia="Arial" w:hAnsi="Arial"/>
          <w:sz w:val="17"/>
          <w:szCs w:val="17"/>
          <w:color w:val="auto"/>
        </w:rPr>
      </w:pPr>
    </w:p>
    <w:p>
      <w:pPr>
        <w:ind w:left="660" w:right="2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3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9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(or, if such court does not have subject matter jurisdiction thereof, the federal district court of the State of Delaware) is the 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 incorporation will also provide that the federal district courts of the United States of America will be the exclusive forum for the resolution of any complaint asserting a cause of action against us or any of our directors, officers, or employees arising under the Securities Act.</w:t>
      </w:r>
    </w:p>
    <w:p>
      <w:pPr>
        <w:spacing w:after="0" w:line="14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color w:val="auto"/>
        </w:rPr>
        <w:t>General Risk Factors</w:t>
      </w:r>
    </w:p>
    <w:p>
      <w:pPr>
        <w:spacing w:after="0" w:line="147"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b w:val="1"/>
          <w:bCs w:val="1"/>
          <w:i w:val="1"/>
          <w:iCs w:val="1"/>
          <w:color w:val="auto"/>
        </w:rPr>
        <w:t>We no longer qualify as an "emerging growth company," meaning we will be required to comply with certain provisions of the Sarbanes-Oxley Act. As a result, we can no longer take advantage of reduced disclosure requirements applicable to emerging growth companies.</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no longer qualify as an emerging growth company as defined in the Jumpstart Our Business Startups Act of 2012 (the "JOBS Act"). As a result, we are no longer are entitled to rely on exemptions from certain disclosure and compliance requirements applicable to emerging growth companies. Subject to certain grace periods, we are now required to:</w:t>
      </w:r>
    </w:p>
    <w:p>
      <w:pPr>
        <w:spacing w:after="0" w:line="134" w:lineRule="exact"/>
        <w:rPr>
          <w:sz w:val="20"/>
          <w:szCs w:val="20"/>
          <w:color w:val="auto"/>
        </w:rPr>
      </w:pPr>
    </w:p>
    <w:p>
      <w:pPr>
        <w:ind w:left="660" w:right="52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engage an independent registered public accounting firm to provide an attestation report on our internal controls over financial reporting pursuant to Section 404(b) of the Sarbanes-Oxley Act;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stockholder advisory votes;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comply with increased disclosure obligations regarding executive compensation in our periodic reports and proxy statements.</w:t>
      </w:r>
    </w:p>
    <w:p>
      <w:pPr>
        <w:spacing w:after="0" w:line="1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Consequently, we are no longer able to take advantage of cost savings associated with the JOBS Act. Furthermore, if the additional requirements applicable to non-emerging growth companies divert the attention of our management from other business concerns, such requirements could have a material adverse effect on our business, financial condition and results of operations. We cannot predict or estimate the amount or timing of additional costs we may incur complying with these requirements. If we are unable to satisfy our new obligations as a non-emerging growth company, we could also be subject to the delisting of our Class A common stock, fines, sanctions and other regulatory action, as well as potential civil litigation.</w:t>
      </w:r>
    </w:p>
    <w:p>
      <w:pPr>
        <w:spacing w:after="0" w:line="11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Being a public company that is subject to these new rules and regulations makes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12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research about our business, our stock price and trading volume could decline.</w:t>
      </w:r>
    </w:p>
    <w:p>
      <w:pPr>
        <w:spacing w:after="0" w:line="1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color w:val="auto"/>
        </w:rPr>
        <w:t>Item 1B. Unresolved Staff Comments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auto"/>
        </w:rPr>
        <w:t>Item 2. Properties</w:t>
      </w:r>
    </w:p>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United States, our company has offices in Portland, Oregon, San Francisco, California, Ironwood, Michigan and New York City, New York. We own our office space in Portland, which consists of approximately 38,500 square feet. Our office space in San Francisco, consisting of approximately 10,500 square feet, is leased through May 31, 2023. Our office space in Ironwood, consisting of approximately 2,700 square feet, is leased through April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also lease co-working spaces in New York City, New York and London, United Kingdom. We give all employees the ability to rent a co-working space if we do not provide one.</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intend to procure additional space or expand existing facilities in the future as we continue to add employees and expand geographically. We believe our facilities are adequate and suitable for our current needs and that, should it be needed, suitable additional or alternative space on commercially reasonable terms will be available to accommodate our operations.</w:t>
      </w:r>
    </w:p>
    <w:p>
      <w:pPr>
        <w:spacing w:after="0" w:line="131" w:lineRule="exact"/>
        <w:rPr>
          <w:sz w:val="20"/>
          <w:szCs w:val="20"/>
          <w:color w:val="auto"/>
        </w:rPr>
      </w:pPr>
    </w:p>
    <w:p>
      <w:pPr>
        <w:spacing w:after="0"/>
        <w:rPr>
          <w:sz w:val="20"/>
          <w:szCs w:val="20"/>
          <w:color w:val="auto"/>
        </w:rPr>
      </w:pPr>
      <w:r>
        <w:rPr>
          <w:rFonts w:ascii="Arial" w:cs="Arial" w:eastAsia="Arial" w:hAnsi="Arial"/>
          <w:sz w:val="29"/>
          <w:szCs w:val="29"/>
          <w:color w:val="auto"/>
        </w:rPr>
        <w:t>Item 3. Legal Proceedings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Regardless of the outcome, any litigation can have an adverse impact on our company as a result of defense and settlement costs, the diversion of management resources, and other factors.</w:t>
      </w:r>
    </w:p>
    <w:p>
      <w:pPr>
        <w:spacing w:after="0" w:line="135" w:lineRule="exact"/>
        <w:rPr>
          <w:sz w:val="20"/>
          <w:szCs w:val="20"/>
          <w:color w:val="auto"/>
        </w:rPr>
      </w:pPr>
    </w:p>
    <w:p>
      <w:pPr>
        <w:spacing w:after="0"/>
        <w:rPr>
          <w:sz w:val="20"/>
          <w:szCs w:val="20"/>
          <w:color w:val="auto"/>
        </w:rPr>
      </w:pPr>
      <w:r>
        <w:rPr>
          <w:rFonts w:ascii="Arial" w:cs="Arial" w:eastAsia="Arial" w:hAnsi="Arial"/>
          <w:sz w:val="29"/>
          <w:szCs w:val="29"/>
          <w:color w:val="auto"/>
        </w:rPr>
        <w:t>Item 4. Mine Safety Disclosures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II</w:t>
      </w:r>
    </w:p>
    <w:p>
      <w:pPr>
        <w:spacing w:after="0" w:line="339" w:lineRule="exact"/>
        <w:rPr>
          <w:sz w:val="20"/>
          <w:szCs w:val="20"/>
          <w:color w:val="auto"/>
        </w:rPr>
      </w:pPr>
    </w:p>
    <w:p>
      <w:pPr>
        <w:ind w:right="60"/>
        <w:spacing w:after="0" w:line="252" w:lineRule="auto"/>
        <w:rPr>
          <w:sz w:val="20"/>
          <w:szCs w:val="20"/>
          <w:color w:val="auto"/>
        </w:rPr>
      </w:pPr>
      <w:r>
        <w:rPr>
          <w:rFonts w:ascii="Arial" w:cs="Arial" w:eastAsia="Arial" w:hAnsi="Arial"/>
          <w:sz w:val="29"/>
          <w:szCs w:val="29"/>
          <w:color w:val="auto"/>
        </w:rPr>
        <w:t>Item 5. Market for Registrant’s Common Equity, Related Stockholder Matters and Issuer Purchases of Equity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CLASS A COMMON STOCK</w:t>
      </w:r>
    </w:p>
    <w:p>
      <w:pPr>
        <w:spacing w:after="0" w:line="16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Class A Common Stock has been listed on the Nasdaq Global Select Market under the symbol "EXFY" since November 10, 2021. Our LT10 and LT50 common stock are neither listed nor publicly traded.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18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As of March 3, 2023 there were 28 stockholders of record of our Class A common stock. This number does not include beneficial owners whose shares are held by nominees in street name.</w:t>
      </w:r>
    </w:p>
    <w:p>
      <w:pPr>
        <w:spacing w:after="0" w:line="117" w:lineRule="exact"/>
        <w:rPr>
          <w:sz w:val="20"/>
          <w:szCs w:val="20"/>
          <w:color w:val="auto"/>
        </w:rPr>
      </w:pPr>
    </w:p>
    <w:p>
      <w:pPr>
        <w:ind w:right="580"/>
        <w:spacing w:after="0" w:line="422" w:lineRule="auto"/>
        <w:rPr>
          <w:sz w:val="20"/>
          <w:szCs w:val="20"/>
          <w:color w:val="auto"/>
        </w:rPr>
      </w:pPr>
      <w:r>
        <w:rPr>
          <w:rFonts w:ascii="Arial" w:cs="Arial" w:eastAsia="Arial" w:hAnsi="Arial"/>
          <w:sz w:val="18"/>
          <w:szCs w:val="18"/>
          <w:color w:val="auto"/>
        </w:rPr>
        <w:t xml:space="preserve">As of March 3, 2023 the Expensify Voting Trust held all of the outstanding shares of our LT10 common stock and LT50 common stock. </w:t>
      </w:r>
      <w:r>
        <w:rPr>
          <w:rFonts w:ascii="Arial" w:cs="Arial" w:eastAsia="Arial" w:hAnsi="Arial"/>
          <w:sz w:val="18"/>
          <w:szCs w:val="18"/>
          <w:b w:val="1"/>
          <w:bCs w:val="1"/>
          <w:color w:val="auto"/>
        </w:rPr>
        <w:t>DIVIDEND POLICY</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CIBC. Any such determination will also depend upon our business prospects, results of operations, financial condition, cash requirements and availability, and other factors that our Executive Committee or our Board of Directors may deem relevant. The holders of our Class A, LT10 and LT50 common stock are entitled to receive dividends if, as and when declared from time to time by our Board of Directors out of legally available funds.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purchases of shares of Class A common stock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center"/>
              <w:ind w:right="35"/>
              <w:spacing w:after="0"/>
              <w:rPr>
                <w:sz w:val="20"/>
                <w:szCs w:val="20"/>
                <w:color w:val="auto"/>
              </w:rPr>
            </w:pPr>
            <w:r>
              <w:rPr>
                <w:rFonts w:ascii="Arial" w:cs="Arial" w:eastAsia="Arial" w:hAnsi="Arial"/>
                <w:sz w:val="16"/>
                <w:szCs w:val="16"/>
                <w:b w:val="1"/>
                <w:bCs w:val="1"/>
                <w:color w:val="auto"/>
              </w:rPr>
              <w:t>Maximum number (or</w:t>
            </w:r>
          </w:p>
        </w:tc>
      </w:tr>
      <w:tr>
        <w:trPr>
          <w:trHeight w:val="189"/>
        </w:trPr>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220" w:type="dxa"/>
            <w:vAlign w:val="bottom"/>
          </w:tcPr>
          <w:p>
            <w:pPr>
              <w:spacing w:after="0"/>
              <w:rPr>
                <w:sz w:val="16"/>
                <w:szCs w:val="16"/>
                <w:color w:val="auto"/>
              </w:rPr>
            </w:pPr>
          </w:p>
        </w:tc>
        <w:tc>
          <w:tcPr>
            <w:tcW w:w="1800" w:type="dxa"/>
            <w:vAlign w:val="bottom"/>
          </w:tcPr>
          <w:p>
            <w:pPr>
              <w:jc w:val="center"/>
              <w:ind w:right="35"/>
              <w:spacing w:after="0"/>
              <w:rPr>
                <w:sz w:val="20"/>
                <w:szCs w:val="20"/>
                <w:color w:val="auto"/>
              </w:rPr>
            </w:pPr>
            <w:r>
              <w:rPr>
                <w:rFonts w:ascii="Arial" w:cs="Arial" w:eastAsia="Arial" w:hAnsi="Arial"/>
                <w:sz w:val="16"/>
                <w:szCs w:val="16"/>
                <w:b w:val="1"/>
                <w:bCs w:val="1"/>
                <w:color w:val="auto"/>
              </w:rPr>
              <w:t>approximate dollar</w:t>
            </w:r>
          </w:p>
        </w:tc>
      </w:tr>
      <w:tr>
        <w:trPr>
          <w:trHeight w:val="203"/>
        </w:trPr>
        <w:tc>
          <w:tcPr>
            <w:tcW w:w="3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20" w:type="dxa"/>
            <w:vAlign w:val="bottom"/>
          </w:tcPr>
          <w:p>
            <w:pPr>
              <w:spacing w:after="0"/>
              <w:rPr>
                <w:sz w:val="17"/>
                <w:szCs w:val="17"/>
                <w:color w:val="auto"/>
              </w:rPr>
            </w:pPr>
          </w:p>
        </w:tc>
        <w:tc>
          <w:tcPr>
            <w:tcW w:w="1800" w:type="dxa"/>
            <w:vAlign w:val="bottom"/>
          </w:tcPr>
          <w:p>
            <w:pPr>
              <w:jc w:val="center"/>
              <w:ind w:right="55"/>
              <w:spacing w:after="0"/>
              <w:rPr>
                <w:sz w:val="20"/>
                <w:szCs w:val="20"/>
                <w:color w:val="auto"/>
              </w:rPr>
            </w:pPr>
            <w:r>
              <w:rPr>
                <w:rFonts w:ascii="Arial" w:cs="Arial" w:eastAsia="Arial" w:hAnsi="Arial"/>
                <w:sz w:val="16"/>
                <w:szCs w:val="16"/>
                <w:b w:val="1"/>
                <w:bCs w:val="1"/>
                <w:color w:val="auto"/>
              </w:rPr>
              <w:t>value) of shares that</w:t>
            </w:r>
          </w:p>
        </w:tc>
      </w:tr>
      <w:tr>
        <w:trPr>
          <w:trHeight w:val="189"/>
        </w:trPr>
        <w:tc>
          <w:tcPr>
            <w:tcW w:w="3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120" w:type="dxa"/>
            <w:vAlign w:val="bottom"/>
            <w:gridSpan w:val="2"/>
          </w:tcPr>
          <w:p>
            <w:pPr>
              <w:jc w:val="right"/>
              <w:ind w:right="52"/>
              <w:spacing w:after="0"/>
              <w:rPr>
                <w:sz w:val="20"/>
                <w:szCs w:val="20"/>
                <w:color w:val="auto"/>
              </w:rPr>
            </w:pPr>
            <w:r>
              <w:rPr>
                <w:rFonts w:ascii="Arial" w:cs="Arial" w:eastAsia="Arial" w:hAnsi="Arial"/>
                <w:sz w:val="16"/>
                <w:szCs w:val="16"/>
                <w:b w:val="1"/>
                <w:bCs w:val="1"/>
                <w:color w:val="auto"/>
              </w:rPr>
              <w:t>Weighted-average price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may yet be purchased</w:t>
            </w:r>
          </w:p>
        </w:tc>
      </w:tr>
      <w:tr>
        <w:trPr>
          <w:trHeight w:val="215"/>
        </w:trPr>
        <w:tc>
          <w:tcPr>
            <w:tcW w:w="3260" w:type="dxa"/>
            <w:vAlign w:val="bottom"/>
          </w:tcPr>
          <w:p>
            <w:pPr>
              <w:spacing w:after="0"/>
              <w:rPr>
                <w:sz w:val="18"/>
                <w:szCs w:val="18"/>
                <w:color w:val="auto"/>
              </w:rPr>
            </w:pPr>
          </w:p>
        </w:tc>
        <w:tc>
          <w:tcPr>
            <w:tcW w:w="1920" w:type="dxa"/>
            <w:vAlign w:val="bottom"/>
          </w:tcPr>
          <w:p>
            <w:pPr>
              <w:jc w:val="right"/>
              <w:ind w:right="473"/>
              <w:spacing w:after="0"/>
              <w:rPr>
                <w:sz w:val="20"/>
                <w:szCs w:val="20"/>
                <w:color w:val="auto"/>
              </w:rPr>
            </w:pPr>
            <w:r>
              <w:rPr>
                <w:rFonts w:ascii="Arial" w:cs="Arial" w:eastAsia="Arial" w:hAnsi="Arial"/>
                <w:sz w:val="16"/>
                <w:szCs w:val="16"/>
                <w:b w:val="1"/>
                <w:bCs w:val="1"/>
                <w:color w:val="auto"/>
              </w:rPr>
              <w:t>purchased</w:t>
            </w:r>
          </w:p>
        </w:tc>
        <w:tc>
          <w:tcPr>
            <w:tcW w:w="360" w:type="dxa"/>
            <w:vAlign w:val="bottom"/>
          </w:tcPr>
          <w:p>
            <w:pPr>
              <w:spacing w:after="0"/>
              <w:rPr>
                <w:sz w:val="18"/>
                <w:szCs w:val="18"/>
                <w:color w:val="auto"/>
              </w:rPr>
            </w:pPr>
          </w:p>
        </w:tc>
        <w:tc>
          <w:tcPr>
            <w:tcW w:w="1760" w:type="dxa"/>
            <w:vAlign w:val="bottom"/>
          </w:tcPr>
          <w:p>
            <w:pPr>
              <w:jc w:val="right"/>
              <w:ind w:right="412"/>
              <w:spacing w:after="0"/>
              <w:rPr>
                <w:sz w:val="20"/>
                <w:szCs w:val="20"/>
                <w:color w:val="auto"/>
              </w:rPr>
            </w:pPr>
            <w:r>
              <w:rPr>
                <w:rFonts w:ascii="Arial" w:cs="Arial" w:eastAsia="Arial" w:hAnsi="Arial"/>
                <w:sz w:val="16"/>
                <w:szCs w:val="16"/>
                <w:b w:val="1"/>
                <w:bCs w:val="1"/>
                <w:color w:val="auto"/>
              </w:rPr>
              <w:t>paid per share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programs</w:t>
            </w:r>
          </w:p>
        </w:tc>
        <w:tc>
          <w:tcPr>
            <w:tcW w:w="220" w:type="dxa"/>
            <w:vAlign w:val="bottom"/>
          </w:tcPr>
          <w:p>
            <w:pPr>
              <w:spacing w:after="0"/>
              <w:rPr>
                <w:sz w:val="18"/>
                <w:szCs w:val="18"/>
                <w:color w:val="auto"/>
              </w:rPr>
            </w:pPr>
          </w:p>
        </w:tc>
        <w:tc>
          <w:tcPr>
            <w:tcW w:w="1800" w:type="dxa"/>
            <w:vAlign w:val="bottom"/>
          </w:tcPr>
          <w:p>
            <w:pPr>
              <w:jc w:val="center"/>
              <w:ind w:right="35"/>
              <w:spacing w:after="0"/>
              <w:rPr>
                <w:sz w:val="20"/>
                <w:szCs w:val="20"/>
                <w:color w:val="auto"/>
              </w:rPr>
            </w:pPr>
            <w:r>
              <w:rPr>
                <w:rFonts w:ascii="Arial" w:cs="Arial" w:eastAsia="Arial" w:hAnsi="Arial"/>
                <w:sz w:val="16"/>
                <w:szCs w:val="16"/>
                <w:b w:val="1"/>
                <w:bCs w:val="1"/>
                <w:color w:val="auto"/>
              </w:rPr>
              <w:t>under the program(1)</w:t>
            </w:r>
          </w:p>
        </w:tc>
      </w:tr>
      <w:tr>
        <w:trPr>
          <w:trHeight w:val="33"/>
        </w:trPr>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1 - 31, 2022</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November 1 - 30, 2022</w:t>
            </w:r>
          </w:p>
        </w:tc>
        <w:tc>
          <w:tcPr>
            <w:tcW w:w="1920" w:type="dxa"/>
            <w:vAlign w:val="bottom"/>
          </w:tcPr>
          <w:p>
            <w:pPr>
              <w:jc w:val="right"/>
              <w:spacing w:after="0"/>
              <w:rPr>
                <w:sz w:val="20"/>
                <w:szCs w:val="20"/>
                <w:color w:val="auto"/>
              </w:rPr>
            </w:pPr>
            <w:r>
              <w:rPr>
                <w:rFonts w:ascii="Arial" w:cs="Arial" w:eastAsia="Arial" w:hAnsi="Arial"/>
                <w:sz w:val="18"/>
                <w:szCs w:val="18"/>
                <w:color w:val="auto"/>
              </w:rPr>
              <w:t>599,080</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1920" w:type="dxa"/>
            <w:vAlign w:val="bottom"/>
          </w:tcPr>
          <w:p>
            <w:pPr>
              <w:jc w:val="right"/>
              <w:spacing w:after="0"/>
              <w:rPr>
                <w:sz w:val="20"/>
                <w:szCs w:val="20"/>
                <w:color w:val="auto"/>
              </w:rPr>
            </w:pPr>
            <w:r>
              <w:rPr>
                <w:rFonts w:ascii="Arial" w:cs="Arial" w:eastAsia="Arial" w:hAnsi="Arial"/>
                <w:sz w:val="18"/>
                <w:szCs w:val="18"/>
                <w:color w:val="auto"/>
              </w:rPr>
              <w:t>599,080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44,000,000</w:t>
            </w: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1 - 31, 2022</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44,000,000</w:t>
            </w: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599,080</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599,080</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right="120" w:hanging="332"/>
        <w:spacing w:after="0" w:line="270" w:lineRule="auto"/>
        <w:tabs>
          <w:tab w:leader="none" w:pos="356" w:val="left"/>
        </w:tabs>
        <w:numPr>
          <w:ilvl w:val="0"/>
          <w:numId w:val="45"/>
        </w:numPr>
        <w:rPr>
          <w:rFonts w:ascii="Arial" w:cs="Arial" w:eastAsia="Arial" w:hAnsi="Arial"/>
          <w:sz w:val="13"/>
          <w:szCs w:val="13"/>
          <w:color w:val="auto"/>
        </w:rPr>
      </w:pPr>
      <w:r>
        <w:rPr>
          <w:rFonts w:ascii="Arial" w:cs="Arial" w:eastAsia="Arial" w:hAnsi="Arial"/>
          <w:sz w:val="13"/>
          <w:szCs w:val="13"/>
          <w:color w:val="auto"/>
        </w:rPr>
        <w:t>On May 12, 2022, we announced the approval of a share repurchase program with authorization to purchase up to $50.0 million of our Class A common stock at management’s discretion. The repurchase program does not have an expiration date, does not obligate us to repurchase any specific number of shares and may be modified, suspended or terminated at any time at our discretion.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This performance graph shall not be deemed “filed” with the SEC for purposes of Section 18 of the Exchange Act or incorporated by reference into any filing of Expensify, Inc. under the Securities Act or the Exchange Act.</w:t>
      </w:r>
    </w:p>
    <w:p>
      <w:pPr>
        <w:spacing w:after="0" w:line="1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graph below compares the cumulative total stockholder return on our Class A common stock with the cumulative total return on the Nasdaq Composite Index (“NASDAQ”), S&amp;P 500 Index (“S&amp;P 500”), and the S&amp;P 500 Information Technology Index (“S&amp;P 500 IT”). The graph assumes $100 was invested at the market close on November 10, 2021, which was the first day our Class A common stock began trading. Data for the Nasdaq Composite Index, S&amp;P 500 Index, and S&amp;P 500 Information Technology Index assume reinvestment of dividends. The graph uses the closing market price on November 10, 2021 of $41.06 per share as the initial value of our Class A common stock. The comparisons in the graph below are based upon historical data and are not indicative of, nor intended to forecast,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5254625" cy="32575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8" w:right="6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20"/>
        <w:spacing w:after="0" w:line="252" w:lineRule="auto"/>
        <w:rPr>
          <w:sz w:val="20"/>
          <w:szCs w:val="20"/>
          <w:color w:val="auto"/>
        </w:rPr>
      </w:pPr>
      <w:r>
        <w:rPr>
          <w:rFonts w:ascii="Arial" w:cs="Arial" w:eastAsia="Arial" w:hAnsi="Arial"/>
          <w:sz w:val="29"/>
          <w:szCs w:val="29"/>
          <w:color w:val="auto"/>
        </w:rPr>
        <w:t>Item 7. Management's Discussion and Analysis of Financial Condition and Results of Operations</w:t>
      </w:r>
    </w:p>
    <w:p>
      <w:pPr>
        <w:spacing w:after="0" w:line="122"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 on Form 10-K.</w:t>
      </w:r>
    </w:p>
    <w:p>
      <w:pPr>
        <w:spacing w:after="0" w:line="10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generally discusses </w:t>
      </w:r>
      <w:r>
        <w:rPr>
          <w:rFonts w:ascii="Arial" w:cs="Arial" w:eastAsia="Arial" w:hAnsi="Arial"/>
          <w:sz w:val="18"/>
          <w:szCs w:val="18"/>
          <w:color w:val="auto"/>
        </w:rPr>
        <w:t>2022</w:t>
      </w:r>
      <w:r>
        <w:rPr>
          <w:rFonts w:ascii="Arial" w:cs="Arial" w:eastAsia="Arial" w:hAnsi="Arial"/>
          <w:sz w:val="18"/>
          <w:szCs w:val="18"/>
          <w:i w:val="1"/>
          <w:iCs w:val="1"/>
          <w:color w:val="auto"/>
        </w:rPr>
        <w:t xml:space="preserve"> and 2021 items and year-to-year comparisons between </w:t>
      </w:r>
      <w:r>
        <w:rPr>
          <w:rFonts w:ascii="Arial" w:cs="Arial" w:eastAsia="Arial" w:hAnsi="Arial"/>
          <w:sz w:val="18"/>
          <w:szCs w:val="18"/>
          <w:color w:val="auto"/>
        </w:rPr>
        <w:t>2022</w:t>
      </w:r>
      <w:r>
        <w:rPr>
          <w:rFonts w:ascii="Arial" w:cs="Arial" w:eastAsia="Arial" w:hAnsi="Arial"/>
          <w:sz w:val="18"/>
          <w:szCs w:val="18"/>
          <w:i w:val="1"/>
          <w:iCs w:val="1"/>
          <w:color w:val="auto"/>
        </w:rPr>
        <w:t xml:space="preserve"> and 2021. A discussion of 2020 items and year-to-year comparisons between 2021 and 2020 can be found in "Management’s Discussion and Analysis of Financial Condition and Results of Operations" in Part II, Item 7 of our Annual Report on Form 10-K for the year ended December 31, 2021, filed with the SEC on March 31,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12 million members to our community and processed and automated over 1.4 billion expense transactions on our platform as of December 31, 2022, freeing people to spend less time managing expenses and more time doing the things they love. For the year ended December 31, 2022, an average of 779,000 paid members across 53,000 companies and over 200 countries and territories used Expensify to make money easy.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November 2021, we closed our initial public offering ("IPO") of 11,190,392 shares of our Class A common stock at $0.0001 par value per share ("Class A common stock"), in which we sold 2,608,696 shares of Class A common stock, and the selling stockholders sold 8,581,696 shares of Class A common stock, including 1,459,616 shares of Class A common stock pursuant to the exercise in full of the underwriters’ option to purchase additional shares, at an IPO price of $27.00 per share. We did not receive any proceeds from the sale of shares of Class A Common Stock in the offering by the selling stockholders. We received aggregate net proceeds of approximately $ 57.5 million after deducting underwriting discounts and commissions of approximately $4.9 million and offering costs of approximately $8.0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80"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spacing w:after="0" w:line="1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 larger company. The definition of customer inherently excludes sole proprietors on Track or Submit plans.</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monetize transactions from the Expensify Card by receiving a percentage of the interchange for all spend on the card. As we expand our platform, we intend to increase the number of integrations and to more actively promote the Expensify Card with complementary use cases beyond expense management to both new and existing customers to drive increased adoption.</w:t>
      </w:r>
    </w:p>
    <w:p>
      <w:pPr>
        <w:spacing w:after="0" w:line="131" w:lineRule="exact"/>
        <w:rPr>
          <w:sz w:val="20"/>
          <w:szCs w:val="20"/>
          <w:color w:val="auto"/>
        </w:rPr>
      </w:pPr>
    </w:p>
    <w:p>
      <w:pPr>
        <w:spacing w:after="0"/>
        <w:rPr>
          <w:sz w:val="20"/>
          <w:szCs w:val="20"/>
          <w:color w:val="auto"/>
        </w:rPr>
      </w:pPr>
      <w:r>
        <w:rPr>
          <w:rFonts w:ascii="Arial" w:cs="Arial" w:eastAsia="Arial" w:hAnsi="Arial"/>
          <w:sz w:val="29"/>
          <w:szCs w:val="29"/>
          <w:color w:val="auto"/>
        </w:rPr>
        <w:t>Key Factors Affecting Our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depends on many factors, including the following: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PRODUCT-LED GROWTH</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focused on continuing to grow the number of paid members on our platform. Relative to other software companies, we invest more in product development and less in sales. This investment in product allows us to develop easy-to -use but powerful features that encourage adoption of our platform. Our ability to grow our paid members depends on our viral, bottom-up adoption cycle that starts with an individual employee. After downloading our free app to submit expenses and realizing the benefits of Expensify, our enthusiastic members champion our platform internally, spread it via word-of-mouth or invites to other employees and often convince decision makers to adopt Expensify company-wide. In order to continue to grow, we believe we must continue prioritizing investments in our platform to delight our members and drive viral expansion.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TO CONVERT FREE MEMBERS</w:t>
      </w:r>
    </w:p>
    <w:p>
      <w:pPr>
        <w:spacing w:after="0" w:line="180"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Our success depends on converting users who try the free aspects of the Expensify platform into paid members. While our viral model means that employees or contractors often introduce Expensify into SMBs, companies subscribe and pay for the majority of our paid members.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TO MAINTAIN MARKET CONSENSUS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viral and word-of-mouth adoption model is effective in part because we have established ourselves as a recognized leader in expense management for SMBs. We deploy large scale brand advertising to promote our platform superiority and create market consensus that Expensify is the category leader for expense management software. Additionally, in 2023 we are hosting our third ExpensiCon, an invite-only, all-expenses paid industry conference, with the goal of increasing our market consensus among our Approved! Accounting partners and increasing adoption of our platform. We believe investing in market consensus enables us to focus on creating great viral features for our members rather than relying on low-margin, unscalable activities of traditional sales and marketing to drive customer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RETAINING EXISTING CUSTOMERS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 that often outperform enterprise retention rates. We believe an additional factor that drives our retention rates is that SMBs generally re-evaluate their technology solutions less frequently, and as such, there is rarely a conscious choice to choose to continue using Expensify for another year.</w:t>
      </w:r>
    </w:p>
    <w:p>
      <w:pPr>
        <w:spacing w:after="0" w:line="13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Gross logo retention and net seat retention are important indicators of customer satisfaction and usage of our platform. We calculate our gross logo retention rate as of the end of a period by using (a) the number of distinct companies who have ever had five or more paid members paying for a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period ending one year prior as the denominator and (b) the number of those same companies that are still paying for at least one subscription during the more recent period as the numerator. In both 2022 and 2021, our annual gross logo retention was 83%. We calculate our net seat retention rate as of the end of a period by using (a) the number of paid member seats from companies who have ever had five or more paid members paying for a subscription during the period ending one year prior as the denominator and (b) the number of paid member seats at those same companies during the more recent period as the numerator. In 2022 and 2021, our net seat retention was 108% and 93%, respectively. Our growth will depend on our ability to continue to retain existing customers.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INTRODUCING FEATURES TO EXPAND OUR RELATIONSHIP WITH EXISTING CUSTOMERS</w:t>
      </w:r>
    </w:p>
    <w:p>
      <w:pPr>
        <w:spacing w:after="0" w:line="18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fully launched the Expensify Card in 2020 and, despite pullback in corporate expenses with the COVID-19 pandemic, customers began adopting the card. Going forward, we intend to more actively promote the Expensify Card to both new and existing customers to drive increased adoption. Outside of the Expensify Card, we have invested, and will continue to invest, in developing features complementary and adjacent to expense management. At most companies, not every employee generates expenses that would be submitted via an expense report on a monthly basis. As we add additional features that are used by all employers, we have the potential to monetize the segment of our customers’ employees that are not submitting expense reports.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TRENDS</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business and the operations of our customers, the majority of which are SMBs, was disrupted by the COVID-19 pandemic. For example, after a steady increase in paid members over multiple years, the average number of paid members on our platform declined in 2020. However, while the full lasting impact of the COVID-19 pandemic on the global economy and SMBs in particular remains uncertain, we have seen our average paid members increase to levels that surpass those of March 2020 when the pandemic began as economies have reopened and business travel resumed.</w:t>
      </w:r>
    </w:p>
    <w:p>
      <w:pPr>
        <w:spacing w:after="0" w:line="13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See the section titled "Risk Factors" in this Annual Report on Form 10-K for further discussion of the possible impact of the COVID-19 pandemic on our business. Additionally, potential challenging macroeconomic conditions, including inflationary pressures, rising interest rates and foreign currency fluctuations, and the resulting impact on business continuity and travel, could negatively impact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BONUSES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June 2021 for our named executive officers, and in July 2021 for all other employees, we determined that we would pay a cash bonus to each of our employees in a value that approximated the cost of each employee exercising 45% of their total stock options, limited by the total stock options outstanding and held by each existing employee as of June 15, 2021, including the tax withholding applicable to each employee. During the year ended December 31, 2021, we recorded bonus expenses related to the employee stock option exercise cash bonus of $48.4 million. See Note 2 to our consolidated financial statements included in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Components of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generate revenue from subscription fees based on the usage of our cloud-based expense management software platform under arrangements paid monthly in arrears that are either month-to-month which can be terminated by either party without penalty at any time or annual arrangements based on a minimum number of monthly members. Annual subscription customers who wish to terminate their contracts before the end of the term are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3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1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began offering a cashback rewards program to all customers based on volume of Expensify Card transactions and software as a service ("SaaS") subscription tier in August 2021. Cashback rewards are earned on a monthly basis and are paid out the following month. We consider our cashback payments to customers as consideration payable to a customer, and the payments are recorded as contra revenue within Revenue on the Consolidated Statements of Operations. We also record a cashback rewards liability that represents the consideration payable to customers for earned cashback rewards. The cashback rewards fluctuate over time as customers meet eligibility requirements in conjunction with the applicable SaaS subscription tier of each customer and the timing of payments made to customers.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6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Cost of revenue, net primarily consists of expenses related to hosting our service, including the costs of data center capacity, credit card processing fees, third-party software license fees, outsourcing costs to support customer service and outsourcing costs to support and process our patented scanning technology, net of consideration from a vendor. Additional costs include amortization of finance right-of-use assets, amortization expense on capitalized software development costs and personnel-related expenses, including stock-based compensation and employee costs attributable to supporting our customers and maintenance of our platform.</w:t>
      </w:r>
    </w:p>
    <w:p>
      <w:pPr>
        <w:spacing w:after="0" w:line="13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less the amount retained by the vendor (our remainder portion, "Expensify interchange amount"). The vendor also charges us fees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net," a contra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expense in Cost of revenue, net. The following summarizes these various amounts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center"/>
              <w:ind w:left="112"/>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19"/>
                <w:szCs w:val="19"/>
                <w:color w:val="auto"/>
              </w:rPr>
            </w:pPr>
          </w:p>
        </w:tc>
      </w:tr>
      <w:tr>
        <w:trPr>
          <w:trHeight w:val="237"/>
        </w:trPr>
        <w:tc>
          <w:tcPr>
            <w:tcW w:w="60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33"/>
        </w:trPr>
        <w:tc>
          <w:tcPr>
            <w:tcW w:w="6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interchange amount</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Vendor fees</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from a vendor, net</w:t>
            </w: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described in the subsection titled "Liquidity and Capital Resources", discretionary cash bonuses, which we also refer to as "IPO-related bonus expense" as described in the subsection titled "Non-GAAP Financial Measures," were paid to employees in 2021 and had a significant impact to Cost of revenue, net during the year ended December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13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described in the subsection titled "Liquidity and Capital Resources", discretionary cash bonuses, which we also refer to as "IPO-related bonus expense" as described in the subsection titled "Non-GAAP Financial Measures," were paid to employees in 2021 and had a significant impact to Research and development expenses during the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6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described in the subsection titled "Liquidity and Capital Resources", discretionary cash bonuses, which we also refer to as "IPO-related bonus expense" as described in the subsection titled "Non-GAAP Financial Measures," were paid to employees in 2021 and had a significant impact to Sales and marketing expenses during the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human resources. In addition to personnel-related expenses, general and administrative expenses consist of rent, utilities, depreciation on property and equipment,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of operating right-of-use assets and external professional services, including accounting, audit, tax, finance, legal and compliance, human resources and information technology. We expect that general and administrative expenses will continue to increase as we scale our business and as we incur additional costs associated with being a publicly traded company, including legal, audit, business insurance and consulting fees.</w:t>
      </w:r>
    </w:p>
    <w:p>
      <w:pPr>
        <w:spacing w:after="0" w:line="1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described in the subsection titled "Liquidity and Capital Resources", discretionary cash bonuses, which we also refer to as "IPO-related bonus expense" as described in the subsection titled "Non-GAAP Financial Measures," were paid to employees in 2021 and had a significant impact to General and administrative expenses during the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8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Results of Operations</w:t>
      </w:r>
    </w:p>
    <w:p>
      <w:pPr>
        <w:spacing w:after="0" w:line="15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3"/>
        </w:trPr>
        <w:tc>
          <w:tcPr>
            <w:tcW w:w="5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gridSpan w:val="6"/>
          </w:tcPr>
          <w:p>
            <w:pPr>
              <w:jc w:val="center"/>
              <w:ind w:left="699"/>
              <w:spacing w:after="0"/>
              <w:rPr>
                <w:sz w:val="20"/>
                <w:szCs w:val="20"/>
                <w:color w:val="auto"/>
              </w:rPr>
            </w:pPr>
            <w:r>
              <w:rPr>
                <w:rFonts w:ascii="Arial" w:cs="Arial" w:eastAsia="Arial" w:hAnsi="Arial"/>
                <w:sz w:val="16"/>
                <w:szCs w:val="16"/>
                <w:b w:val="1"/>
                <w:bCs w:val="1"/>
                <w:color w:val="auto"/>
              </w:rPr>
              <w:t>(in thousands, except per share data)</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169,495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142,835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88,072</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62,669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53,693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32,414</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106,826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89,142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55,658</w:t>
            </w:r>
          </w:p>
        </w:tc>
        <w:tc>
          <w:tcPr>
            <w:tcW w:w="0" w:type="dxa"/>
            <w:vAlign w:val="bottom"/>
          </w:tcPr>
          <w:p>
            <w:pPr>
              <w:spacing w:after="0"/>
              <w:rPr>
                <w:sz w:val="1"/>
                <w:szCs w:val="1"/>
                <w:color w:val="auto"/>
              </w:rPr>
            </w:pPr>
          </w:p>
        </w:tc>
      </w:tr>
      <w:tr>
        <w:trPr>
          <w:trHeight w:val="193"/>
        </w:trPr>
        <w:tc>
          <w:tcPr>
            <w:tcW w:w="57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6,728</w:t>
            </w:r>
          </w:p>
        </w:tc>
        <w:tc>
          <w:tcPr>
            <w:tcW w:w="0" w:type="dxa"/>
            <w:vAlign w:val="bottom"/>
          </w:tcPr>
          <w:p>
            <w:pPr>
              <w:spacing w:after="0"/>
              <w:rPr>
                <w:sz w:val="1"/>
                <w:szCs w:val="1"/>
                <w:color w:val="auto"/>
              </w:rPr>
            </w:pPr>
          </w:p>
        </w:tc>
      </w:tr>
      <w:tr>
        <w:trPr>
          <w:trHeight w:val="216"/>
        </w:trPr>
        <w:tc>
          <w:tcPr>
            <w:tcW w:w="5720" w:type="dxa"/>
            <w:vAlign w:val="bottom"/>
          </w:tcPr>
          <w:p>
            <w:pPr>
              <w:ind w:left="240"/>
              <w:spacing w:after="0" w:line="216"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4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58,490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60,742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33,372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49,876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27,664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9,888</w:t>
            </w:r>
          </w:p>
        </w:tc>
        <w:tc>
          <w:tcPr>
            <w:tcW w:w="0" w:type="dxa"/>
            <w:vAlign w:val="bottom"/>
          </w:tcPr>
          <w:p>
            <w:pPr>
              <w:spacing w:after="0"/>
              <w:rPr>
                <w:sz w:val="1"/>
                <w:szCs w:val="1"/>
                <w:color w:val="auto"/>
              </w:rPr>
            </w:pPr>
          </w:p>
        </w:tc>
      </w:tr>
      <w:tr>
        <w:trPr>
          <w:trHeight w:val="207"/>
        </w:trPr>
        <w:tc>
          <w:tcPr>
            <w:tcW w:w="57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122,058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99,394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49,988</w:t>
            </w:r>
          </w:p>
        </w:tc>
        <w:tc>
          <w:tcPr>
            <w:tcW w:w="0" w:type="dxa"/>
            <w:vAlign w:val="bottom"/>
          </w:tcPr>
          <w:p>
            <w:pPr>
              <w:spacing w:after="0"/>
              <w:rPr>
                <w:sz w:val="1"/>
                <w:szCs w:val="1"/>
                <w:color w:val="auto"/>
              </w:rPr>
            </w:pPr>
          </w:p>
        </w:tc>
      </w:tr>
      <w:tr>
        <w:trPr>
          <w:trHeight w:val="213"/>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5,670</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(3,480)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(2,718)</w:t>
            </w: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(20,643)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2,952</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(6,366)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(4,662)</w:t>
            </w:r>
          </w:p>
        </w:tc>
        <w:tc>
          <w:tcPr>
            <w:tcW w:w="0" w:type="dxa"/>
            <w:vAlign w:val="bottom"/>
          </w:tcPr>
          <w:p>
            <w:pPr>
              <w:spacing w:after="0"/>
              <w:rPr>
                <w:sz w:val="1"/>
                <w:szCs w:val="1"/>
                <w:color w:val="auto"/>
              </w:rPr>
            </w:pPr>
          </w:p>
        </w:tc>
      </w:tr>
      <w:tr>
        <w:trPr>
          <w:trHeight w:val="233"/>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Class A, LT10 and LT50 common stockholders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(27,009)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(13,558)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7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Net loss per share attributable to Class A, LT10 and LT50 common</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stockholders: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6"/>
                <w:szCs w:val="16"/>
                <w:color w:val="auto"/>
              </w:rPr>
              <w:t>Basic</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(0.33)</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Arial" w:cs="Arial" w:eastAsia="Arial" w:hAnsi="Arial"/>
                <w:sz w:val="16"/>
                <w:szCs w:val="16"/>
                <w:color w:val="auto"/>
              </w:rPr>
              <w:t>Weighted-average shares of common stock used to compute net (loss) income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5720" w:type="dxa"/>
            <w:vAlign w:val="bottom"/>
          </w:tcPr>
          <w:p>
            <w:pPr>
              <w:ind w:left="180"/>
              <w:spacing w:after="0"/>
              <w:rPr>
                <w:sz w:val="20"/>
                <w:szCs w:val="20"/>
                <w:color w:val="auto"/>
              </w:rPr>
            </w:pPr>
            <w:r>
              <w:rPr>
                <w:rFonts w:ascii="Arial" w:cs="Arial" w:eastAsia="Arial" w:hAnsi="Arial"/>
                <w:sz w:val="16"/>
                <w:szCs w:val="16"/>
                <w:color w:val="auto"/>
              </w:rPr>
              <w:t>per share attributable to Class A, LT10 and LT50 common stockholders: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80,786,725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38,039,222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27,424,480</w:t>
            </w: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Arial" w:cs="Arial" w:eastAsia="Arial" w:hAnsi="Arial"/>
                <w:sz w:val="16"/>
                <w:szCs w:val="16"/>
                <w:color w:val="auto"/>
              </w:rPr>
              <w:t>Diluted</w:t>
            </w:r>
          </w:p>
        </w:tc>
        <w:tc>
          <w:tcPr>
            <w:tcW w:w="4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80,786,725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38,039,222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27,424,480</w:t>
            </w:r>
          </w:p>
        </w:tc>
        <w:tc>
          <w:tcPr>
            <w:tcW w:w="0" w:type="dxa"/>
            <w:vAlign w:val="bottom"/>
          </w:tcPr>
          <w:p>
            <w:pPr>
              <w:spacing w:after="0"/>
              <w:rPr>
                <w:sz w:val="1"/>
                <w:szCs w:val="1"/>
                <w:color w:val="auto"/>
              </w:rPr>
            </w:pPr>
          </w:p>
        </w:tc>
      </w:tr>
      <w:tr>
        <w:trPr>
          <w:trHeight w:val="260"/>
        </w:trPr>
        <w:tc>
          <w:tcPr>
            <w:tcW w:w="57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6"/>
                <w:szCs w:val="16"/>
                <w:color w:val="auto"/>
              </w:rPr>
              <w:t>Net loss margin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60"/>
        </w:trPr>
        <w:tc>
          <w:tcPr>
            <w:tcW w:w="57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120015</wp:posOffset>
            </wp:positionV>
            <wp:extent cx="68491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55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center"/>
              <w:ind w:right="268"/>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19"/>
                <w:szCs w:val="19"/>
                <w:color w:val="auto"/>
              </w:rPr>
            </w:pPr>
          </w:p>
        </w:tc>
      </w:tr>
      <w:tr>
        <w:trPr>
          <w:trHeight w:val="237"/>
        </w:trPr>
        <w:tc>
          <w:tcPr>
            <w:tcW w:w="55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2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87"/>
              <w:spacing w:after="0"/>
              <w:rPr>
                <w:sz w:val="20"/>
                <w:szCs w:val="20"/>
                <w:color w:val="auto"/>
              </w:rPr>
            </w:pPr>
            <w:r>
              <w:rPr>
                <w:rFonts w:ascii="Arial" w:cs="Arial" w:eastAsia="Arial" w:hAnsi="Arial"/>
                <w:sz w:val="16"/>
                <w:szCs w:val="16"/>
                <w:b w:val="1"/>
                <w:bCs w:val="1"/>
                <w:color w:val="auto"/>
              </w:rPr>
              <w:t>2020</w:t>
            </w:r>
          </w:p>
        </w:tc>
      </w:tr>
      <w:tr>
        <w:trPr>
          <w:trHeight w:val="233"/>
        </w:trPr>
        <w:tc>
          <w:tcPr>
            <w:tcW w:w="5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 net</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18,403</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4,115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w:t>
            </w:r>
          </w:p>
        </w:tc>
      </w:tr>
      <w:tr>
        <w:trPr>
          <w:trHeight w:val="197"/>
        </w:trPr>
        <w:tc>
          <w:tcPr>
            <w:tcW w:w="55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7,875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5"/>
              <w:spacing w:after="0"/>
              <w:rPr>
                <w:sz w:val="20"/>
                <w:szCs w:val="20"/>
                <w:color w:val="auto"/>
              </w:rPr>
            </w:pPr>
            <w:r>
              <w:rPr>
                <w:rFonts w:ascii="Arial" w:cs="Arial" w:eastAsia="Arial" w:hAnsi="Arial"/>
                <w:sz w:val="14"/>
                <w:szCs w:val="14"/>
                <w:color w:val="auto"/>
              </w:rPr>
              <w:t>1,617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2,469</w:t>
            </w:r>
          </w:p>
        </w:tc>
      </w:tr>
      <w:tr>
        <w:trPr>
          <w:trHeight w:val="208"/>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7,356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12,648</w:t>
            </w:r>
          </w:p>
        </w:tc>
      </w:tr>
      <w:tr>
        <w:trPr>
          <w:trHeight w:val="197"/>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8,204</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1,486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r>
      <w:tr>
        <w:trPr>
          <w:trHeight w:val="22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52,332</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14,574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220"/>
        <w:spacing w:after="0" w:line="443" w:lineRule="auto"/>
        <w:rPr>
          <w:sz w:val="20"/>
          <w:szCs w:val="20"/>
          <w:color w:val="auto"/>
        </w:rPr>
      </w:pPr>
      <w:r>
        <w:rPr>
          <w:rFonts w:ascii="Arial" w:cs="Arial" w:eastAsia="Arial" w:hAnsi="Arial"/>
          <w:sz w:val="18"/>
          <w:szCs w:val="18"/>
          <w:b w:val="1"/>
          <w:bCs w:val="1"/>
          <w:color w:val="auto"/>
        </w:rPr>
        <w:t xml:space="preserve">COMPARISON OF THE YEARS ENDED DECEMBER 31, 2022 AND 2021 </w:t>
      </w:r>
      <w:r>
        <w:rPr>
          <w:rFonts w:ascii="Arial" w:cs="Arial" w:eastAsia="Arial" w:hAnsi="Arial"/>
          <w:sz w:val="18"/>
          <w:szCs w:val="18"/>
          <w:b w:val="1"/>
          <w:bCs w:val="1"/>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gridSpan w:val="4"/>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9"/>
                <w:szCs w:val="19"/>
                <w:color w:val="auto"/>
              </w:rPr>
            </w:pPr>
          </w:p>
        </w:tc>
        <w:tc>
          <w:tcPr>
            <w:tcW w:w="1900" w:type="dxa"/>
            <w:vAlign w:val="bottom"/>
          </w:tcPr>
          <w:p>
            <w:pPr>
              <w:jc w:val="right"/>
              <w:ind w:right="156"/>
              <w:spacing w:after="0"/>
              <w:rPr>
                <w:sz w:val="20"/>
                <w:szCs w:val="20"/>
                <w:color w:val="auto"/>
              </w:rPr>
            </w:pPr>
            <w:r>
              <w:rPr>
                <w:rFonts w:ascii="Arial" w:cs="Arial" w:eastAsia="Arial" w:hAnsi="Arial"/>
                <w:sz w:val="16"/>
                <w:szCs w:val="16"/>
                <w:b w:val="1"/>
                <w:bCs w:val="1"/>
                <w:color w:val="auto"/>
              </w:rPr>
              <w:t>Change</w:t>
            </w:r>
          </w:p>
        </w:tc>
        <w:tc>
          <w:tcPr>
            <w:tcW w:w="1140" w:type="dxa"/>
            <w:vAlign w:val="bottom"/>
          </w:tcPr>
          <w:p>
            <w:pPr>
              <w:spacing w:after="0"/>
              <w:rPr>
                <w:sz w:val="19"/>
                <w:szCs w:val="19"/>
                <w:color w:val="auto"/>
              </w:rPr>
            </w:pPr>
          </w:p>
        </w:tc>
      </w:tr>
      <w:tr>
        <w:trPr>
          <w:trHeight w:val="237"/>
        </w:trPr>
        <w:tc>
          <w:tcPr>
            <w:tcW w:w="46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w:t>
            </w:r>
          </w:p>
        </w:tc>
      </w:tr>
      <w:tr>
        <w:trPr>
          <w:trHeight w:val="233"/>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20" w:type="dxa"/>
            <w:vAlign w:val="bottom"/>
            <w:gridSpan w:val="4"/>
          </w:tcPr>
          <w:p>
            <w:pPr>
              <w:jc w:val="right"/>
              <w:ind w:right="736"/>
              <w:spacing w:after="0"/>
              <w:rPr>
                <w:sz w:val="20"/>
                <w:szCs w:val="20"/>
                <w:color w:val="auto"/>
              </w:rPr>
            </w:pPr>
            <w:r>
              <w:rPr>
                <w:rFonts w:ascii="Arial" w:cs="Arial" w:eastAsia="Arial" w:hAnsi="Arial"/>
                <w:sz w:val="16"/>
                <w:szCs w:val="16"/>
                <w:b w:val="1"/>
                <w:bCs w:val="1"/>
                <w:color w:val="auto"/>
              </w:rPr>
              <w:t>(in thousands, except percentages)</w:t>
            </w:r>
          </w:p>
        </w:tc>
        <w:tc>
          <w:tcPr>
            <w:tcW w:w="1140" w:type="dxa"/>
            <w:vAlign w:val="bottom"/>
          </w:tcPr>
          <w:p>
            <w:pPr>
              <w:spacing w:after="0"/>
              <w:rPr>
                <w:sz w:val="20"/>
                <w:szCs w:val="20"/>
                <w:color w:val="auto"/>
              </w:rPr>
            </w:pPr>
          </w:p>
        </w:tc>
      </w:tr>
      <w:tr>
        <w:trPr>
          <w:trHeight w:val="23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169,495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26,660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54"/>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Revenue increased $26.7 million, or 19%, for the year ended December, 31, 2022 compared to the same period in 2021, primarily due to (i) an increase in the number of paid members and reimbursement activity, which was the result of the normalization of business travel and higher rates of returning to office compared to the same period in 2021 and (ii) an increase in average fees per paid member due to an increase in the number of pay-per-use members, who have a higher average fee per member than our annual members, compared to the same period in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60" w:type="dxa"/>
            <w:vAlign w:val="bottom"/>
            <w:gridSpan w:val="4"/>
          </w:tcPr>
          <w:p>
            <w:pPr>
              <w:ind w:left="34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9"/>
                <w:szCs w:val="19"/>
                <w:color w:val="auto"/>
              </w:rPr>
            </w:pPr>
          </w:p>
        </w:tc>
        <w:tc>
          <w:tcPr>
            <w:tcW w:w="1860" w:type="dxa"/>
            <w:vAlign w:val="bottom"/>
          </w:tcPr>
          <w:p>
            <w:pPr>
              <w:jc w:val="right"/>
              <w:ind w:right="135"/>
              <w:spacing w:after="0"/>
              <w:rPr>
                <w:sz w:val="20"/>
                <w:szCs w:val="20"/>
                <w:color w:val="auto"/>
              </w:rPr>
            </w:pPr>
            <w:r>
              <w:rPr>
                <w:rFonts w:ascii="Arial" w:cs="Arial" w:eastAsia="Arial" w:hAnsi="Arial"/>
                <w:sz w:val="16"/>
                <w:szCs w:val="16"/>
                <w:b w:val="1"/>
                <w:bCs w:val="1"/>
                <w:color w:val="auto"/>
              </w:rPr>
              <w:t>Change</w:t>
            </w:r>
          </w:p>
        </w:tc>
        <w:tc>
          <w:tcPr>
            <w:tcW w:w="1120" w:type="dxa"/>
            <w:vAlign w:val="bottom"/>
          </w:tcPr>
          <w:p>
            <w:pPr>
              <w:spacing w:after="0"/>
              <w:rPr>
                <w:sz w:val="19"/>
                <w:szCs w:val="19"/>
                <w:color w:val="auto"/>
              </w:rPr>
            </w:pPr>
          </w:p>
        </w:tc>
      </w:tr>
      <w:tr>
        <w:trPr>
          <w:trHeight w:val="237"/>
        </w:trPr>
        <w:tc>
          <w:tcPr>
            <w:tcW w:w="44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860" w:type="dxa"/>
            <w:vAlign w:val="bottom"/>
            <w:tcBorders>
              <w:top w:val="single" w:sz="8" w:color="auto"/>
              <w:bottom w:val="single" w:sz="8" w:color="auto"/>
            </w:tcBorders>
          </w:tcPr>
          <w:p>
            <w:pPr>
              <w:jc w:val="right"/>
              <w:ind w:right="995"/>
              <w:spacing w:after="0"/>
              <w:rPr>
                <w:sz w:val="20"/>
                <w:szCs w:val="20"/>
                <w:color w:val="auto"/>
              </w:rPr>
            </w:pPr>
            <w:r>
              <w:rPr>
                <w:rFonts w:ascii="Arial" w:cs="Arial" w:eastAsia="Arial" w:hAnsi="Arial"/>
                <w:sz w:val="16"/>
                <w:szCs w:val="16"/>
                <w:b w:val="1"/>
                <w:bCs w:val="1"/>
                <w:color w:val="auto"/>
              </w:rPr>
              <w:t>Amount</w:t>
            </w:r>
          </w:p>
        </w:tc>
        <w:tc>
          <w:tcPr>
            <w:tcW w:w="112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w:t>
            </w:r>
          </w:p>
        </w:tc>
      </w:tr>
      <w:tr>
        <w:trPr>
          <w:trHeight w:val="233"/>
        </w:trPr>
        <w:tc>
          <w:tcPr>
            <w:tcW w:w="4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4"/>
          </w:tcPr>
          <w:p>
            <w:pPr>
              <w:jc w:val="right"/>
              <w:ind w:right="835"/>
              <w:spacing w:after="0"/>
              <w:rPr>
                <w:sz w:val="20"/>
                <w:szCs w:val="20"/>
                <w:color w:val="auto"/>
              </w:rPr>
            </w:pPr>
            <w:r>
              <w:rPr>
                <w:rFonts w:ascii="Arial" w:cs="Arial" w:eastAsia="Arial" w:hAnsi="Arial"/>
                <w:sz w:val="16"/>
                <w:szCs w:val="16"/>
                <w:b w:val="1"/>
                <w:bCs w:val="1"/>
                <w:color w:val="auto"/>
              </w:rPr>
              <w:t>(in thousands, except percentages)</w:t>
            </w:r>
          </w:p>
        </w:tc>
        <w:tc>
          <w:tcPr>
            <w:tcW w:w="1120" w:type="dxa"/>
            <w:vAlign w:val="bottom"/>
          </w:tcPr>
          <w:p>
            <w:pPr>
              <w:spacing w:after="0"/>
              <w:rPr>
                <w:sz w:val="20"/>
                <w:szCs w:val="20"/>
                <w:color w:val="auto"/>
              </w:rPr>
            </w:pPr>
          </w:p>
        </w:tc>
      </w:tr>
      <w:tr>
        <w:trPr>
          <w:trHeight w:val="23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62,669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53,693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rPr>
              <w:t>8,976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4"/>
              <w:spacing w:after="0"/>
              <w:rPr>
                <w:sz w:val="20"/>
                <w:szCs w:val="20"/>
                <w:color w:val="auto"/>
              </w:rPr>
            </w:pPr>
            <w:r>
              <w:rPr>
                <w:rFonts w:ascii="Arial" w:cs="Arial" w:eastAsia="Arial" w:hAnsi="Arial"/>
                <w:sz w:val="18"/>
                <w:szCs w:val="18"/>
                <w:color w:val="auto"/>
              </w:rPr>
              <w:t>106,826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89,142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615"/>
              <w:spacing w:after="0"/>
              <w:rPr>
                <w:sz w:val="20"/>
                <w:szCs w:val="20"/>
                <w:color w:val="auto"/>
              </w:rPr>
            </w:pPr>
            <w:r>
              <w:rPr>
                <w:rFonts w:ascii="Arial" w:cs="Arial" w:eastAsia="Arial" w:hAnsi="Arial"/>
                <w:sz w:val="18"/>
                <w:szCs w:val="18"/>
                <w:color w:val="auto"/>
              </w:rPr>
              <w:t>17,684</w:t>
            </w:r>
          </w:p>
        </w:tc>
        <w:tc>
          <w:tcPr>
            <w:tcW w:w="112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Cost of revenue, net increased by $9.0 million, or 17%, for the year ended December 31, 2022 compared to the same period in 2021. Cost of revenue, net increased primarily due to the recognition of $ 18.4 million of stock-based compensation costs during the year ended December 31, 2022 as compared to $4.1 million during the year ended December 31, 2021, primarily related to the RSUs granted in September and November of 2021 to employees directly engaged in supporting our customers and providing maintenance of our platform. In addition to increased stock-based compensation, Cost of revenue, net increased due to a higher volume of payment processing fees directly related to an increase in reimbursement activity, increased efforts in support and implementation services and increased outsourcing activities related to maintaining the platform. These increases were partially offset by $13.7 million in IPO-related bonus costs impacting the year ended December 31, 2021. Furthermore, Consideration from a vendor, net, was $6.2 million for the year ended December 31, 2022 compared to $2.9 million for the year ended December, 31 2021. This increase in Consideration from a vendor, net was driven primarily by the increased adoption of and the resulting spend captured from members using the Expensify Card.</w:t>
      </w:r>
    </w:p>
    <w:p>
      <w:pPr>
        <w:spacing w:after="0" w:line="14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Gross margin increased slightly to 63% in 2022 compared to 62% in the same period in 2021. Although revenue increased by 19% for the same period, Cost of revenue, net also increased due to the factors described in the preceding paragraph.</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gridSpan w:val="4"/>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9"/>
                <w:szCs w:val="19"/>
                <w:color w:val="auto"/>
              </w:rPr>
            </w:pPr>
          </w:p>
        </w:tc>
        <w:tc>
          <w:tcPr>
            <w:tcW w:w="1900" w:type="dxa"/>
            <w:vAlign w:val="bottom"/>
          </w:tcPr>
          <w:p>
            <w:pPr>
              <w:jc w:val="right"/>
              <w:ind w:right="156"/>
              <w:spacing w:after="0"/>
              <w:rPr>
                <w:sz w:val="20"/>
                <w:szCs w:val="20"/>
                <w:color w:val="auto"/>
              </w:rPr>
            </w:pPr>
            <w:r>
              <w:rPr>
                <w:rFonts w:ascii="Arial" w:cs="Arial" w:eastAsia="Arial" w:hAnsi="Arial"/>
                <w:sz w:val="16"/>
                <w:szCs w:val="16"/>
                <w:b w:val="1"/>
                <w:bCs w:val="1"/>
                <w:color w:val="auto"/>
              </w:rPr>
              <w:t>Change</w:t>
            </w:r>
          </w:p>
        </w:tc>
        <w:tc>
          <w:tcPr>
            <w:tcW w:w="1140" w:type="dxa"/>
            <w:vAlign w:val="bottom"/>
          </w:tcPr>
          <w:p>
            <w:pPr>
              <w:spacing w:after="0"/>
              <w:rPr>
                <w:sz w:val="19"/>
                <w:szCs w:val="19"/>
                <w:color w:val="auto"/>
              </w:rPr>
            </w:pPr>
          </w:p>
        </w:tc>
      </w:tr>
      <w:tr>
        <w:trPr>
          <w:trHeight w:val="237"/>
        </w:trPr>
        <w:tc>
          <w:tcPr>
            <w:tcW w:w="46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w:t>
            </w:r>
          </w:p>
        </w:tc>
      </w:tr>
      <w:tr>
        <w:trPr>
          <w:trHeight w:val="233"/>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20" w:type="dxa"/>
            <w:vAlign w:val="bottom"/>
            <w:gridSpan w:val="4"/>
          </w:tcPr>
          <w:p>
            <w:pPr>
              <w:jc w:val="right"/>
              <w:ind w:right="736"/>
              <w:spacing w:after="0"/>
              <w:rPr>
                <w:sz w:val="20"/>
                <w:szCs w:val="20"/>
                <w:color w:val="auto"/>
              </w:rPr>
            </w:pPr>
            <w:r>
              <w:rPr>
                <w:rFonts w:ascii="Arial" w:cs="Arial" w:eastAsia="Arial" w:hAnsi="Arial"/>
                <w:sz w:val="16"/>
                <w:szCs w:val="16"/>
                <w:b w:val="1"/>
                <w:bCs w:val="1"/>
                <w:color w:val="auto"/>
              </w:rPr>
              <w:t>(in thousands, except percentages)</w:t>
            </w:r>
          </w:p>
        </w:tc>
        <w:tc>
          <w:tcPr>
            <w:tcW w:w="1140" w:type="dxa"/>
            <w:vAlign w:val="bottom"/>
          </w:tcPr>
          <w:p>
            <w:pPr>
              <w:spacing w:after="0"/>
              <w:rPr>
                <w:sz w:val="20"/>
                <w:szCs w:val="20"/>
                <w:color w:val="auto"/>
              </w:rPr>
            </w:pPr>
          </w:p>
        </w:tc>
      </w:tr>
      <w:tr>
        <w:trPr>
          <w:trHeight w:val="23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13,692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2,704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54"/>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Research and development expenses increased by $2.7 million, or 25%, for the year ended December 31, 2022 compared to the same period in 2021, due to the recognition of $7.9 million of stock-based compensation costs during the year ended December 31, 2022 as compared to $1.6 million during the year ended December 31, 2021, primarily related to the RSUs granted in September and November of 2021 to employees directly engaged in the planning and preliminary project stage and post-implementation stage of new products and features. Furthermore, Research and development expenses increased due to increased employee time spent in the planning and preliminary project stage and post-implementation stage of new products and features primarily due to an increase in employee focus on customer support and sales and marketing of recently developed products and services such as the Free Plan and our Expensify Card. These increases were partially offset by $8.5 million in IPO-related bonus costs impacting the year ended December 31,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gridSpan w:val="4"/>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9"/>
                <w:szCs w:val="19"/>
                <w:color w:val="auto"/>
              </w:rPr>
            </w:pPr>
          </w:p>
        </w:tc>
        <w:tc>
          <w:tcPr>
            <w:tcW w:w="1900" w:type="dxa"/>
            <w:vAlign w:val="bottom"/>
          </w:tcPr>
          <w:p>
            <w:pPr>
              <w:jc w:val="right"/>
              <w:ind w:right="156"/>
              <w:spacing w:after="0"/>
              <w:rPr>
                <w:sz w:val="20"/>
                <w:szCs w:val="20"/>
                <w:color w:val="auto"/>
              </w:rPr>
            </w:pPr>
            <w:r>
              <w:rPr>
                <w:rFonts w:ascii="Arial" w:cs="Arial" w:eastAsia="Arial" w:hAnsi="Arial"/>
                <w:sz w:val="16"/>
                <w:szCs w:val="16"/>
                <w:b w:val="1"/>
                <w:bCs w:val="1"/>
                <w:color w:val="auto"/>
              </w:rPr>
              <w:t>Change</w:t>
            </w:r>
          </w:p>
        </w:tc>
        <w:tc>
          <w:tcPr>
            <w:tcW w:w="1140" w:type="dxa"/>
            <w:vAlign w:val="bottom"/>
          </w:tcPr>
          <w:p>
            <w:pPr>
              <w:spacing w:after="0"/>
              <w:rPr>
                <w:sz w:val="19"/>
                <w:szCs w:val="19"/>
                <w:color w:val="auto"/>
              </w:rPr>
            </w:pPr>
          </w:p>
        </w:tc>
      </w:tr>
      <w:tr>
        <w:trPr>
          <w:trHeight w:val="237"/>
        </w:trPr>
        <w:tc>
          <w:tcPr>
            <w:tcW w:w="46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w:t>
            </w:r>
          </w:p>
        </w:tc>
      </w:tr>
      <w:tr>
        <w:trPr>
          <w:trHeight w:val="233"/>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20" w:type="dxa"/>
            <w:vAlign w:val="bottom"/>
            <w:gridSpan w:val="4"/>
          </w:tcPr>
          <w:p>
            <w:pPr>
              <w:jc w:val="right"/>
              <w:ind w:right="736"/>
              <w:spacing w:after="0"/>
              <w:rPr>
                <w:sz w:val="20"/>
                <w:szCs w:val="20"/>
                <w:color w:val="auto"/>
              </w:rPr>
            </w:pPr>
            <w:r>
              <w:rPr>
                <w:rFonts w:ascii="Arial" w:cs="Arial" w:eastAsia="Arial" w:hAnsi="Arial"/>
                <w:sz w:val="16"/>
                <w:szCs w:val="16"/>
                <w:b w:val="1"/>
                <w:bCs w:val="1"/>
                <w:color w:val="auto"/>
              </w:rPr>
              <w:t>(in thousands, except percentages)</w:t>
            </w:r>
          </w:p>
        </w:tc>
        <w:tc>
          <w:tcPr>
            <w:tcW w:w="1140" w:type="dxa"/>
            <w:vAlign w:val="bottom"/>
          </w:tcPr>
          <w:p>
            <w:pPr>
              <w:spacing w:after="0"/>
              <w:rPr>
                <w:sz w:val="20"/>
                <w:szCs w:val="20"/>
                <w:color w:val="auto"/>
              </w:rPr>
            </w:pPr>
          </w:p>
        </w:tc>
      </w:tr>
      <w:tr>
        <w:trPr>
          <w:trHeight w:val="23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58,490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(2,252)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54"/>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General and administrative expenses decreased $2.3 million, or 4%, for the year ended December 31, 2022 compared to the same period in 2021, primarily due to $21.2 million in IPO-related bonus costs impacting the year ended December 31, 2021. These decreases were partially offset by the recognition of $ 17.9 million of stock-based compensation costs during the year ended December 31, 2022 as compared to $7.4 million during the year ended December 31, 2021, primarily related to the RSUs granted in September and November of 2021 to employees directly engaged in general and administrative activities. The decrease was further offset by an increase of General and administrative expenses due to increases in employee time allocated to administrative functions, insurance costs and professional service costs incurred for accounting, auditing and legal services as a result of our continued requirements as a public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gridSpan w:val="4"/>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9"/>
                <w:szCs w:val="19"/>
                <w:color w:val="auto"/>
              </w:rPr>
            </w:pPr>
          </w:p>
        </w:tc>
        <w:tc>
          <w:tcPr>
            <w:tcW w:w="1900" w:type="dxa"/>
            <w:vAlign w:val="bottom"/>
          </w:tcPr>
          <w:p>
            <w:pPr>
              <w:jc w:val="right"/>
              <w:ind w:right="156"/>
              <w:spacing w:after="0"/>
              <w:rPr>
                <w:sz w:val="20"/>
                <w:szCs w:val="20"/>
                <w:color w:val="auto"/>
              </w:rPr>
            </w:pPr>
            <w:r>
              <w:rPr>
                <w:rFonts w:ascii="Arial" w:cs="Arial" w:eastAsia="Arial" w:hAnsi="Arial"/>
                <w:sz w:val="16"/>
                <w:szCs w:val="16"/>
                <w:b w:val="1"/>
                <w:bCs w:val="1"/>
                <w:color w:val="auto"/>
              </w:rPr>
              <w:t>Change</w:t>
            </w:r>
          </w:p>
        </w:tc>
        <w:tc>
          <w:tcPr>
            <w:tcW w:w="1140" w:type="dxa"/>
            <w:vAlign w:val="bottom"/>
          </w:tcPr>
          <w:p>
            <w:pPr>
              <w:spacing w:after="0"/>
              <w:rPr>
                <w:sz w:val="19"/>
                <w:szCs w:val="19"/>
                <w:color w:val="auto"/>
              </w:rPr>
            </w:pPr>
          </w:p>
        </w:tc>
      </w:tr>
      <w:tr>
        <w:trPr>
          <w:trHeight w:val="237"/>
        </w:trPr>
        <w:tc>
          <w:tcPr>
            <w:tcW w:w="46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w:t>
            </w:r>
          </w:p>
        </w:tc>
      </w:tr>
      <w:tr>
        <w:trPr>
          <w:trHeight w:val="233"/>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20" w:type="dxa"/>
            <w:vAlign w:val="bottom"/>
            <w:gridSpan w:val="4"/>
          </w:tcPr>
          <w:p>
            <w:pPr>
              <w:jc w:val="right"/>
              <w:ind w:right="736"/>
              <w:spacing w:after="0"/>
              <w:rPr>
                <w:sz w:val="20"/>
                <w:szCs w:val="20"/>
                <w:color w:val="auto"/>
              </w:rPr>
            </w:pPr>
            <w:r>
              <w:rPr>
                <w:rFonts w:ascii="Arial" w:cs="Arial" w:eastAsia="Arial" w:hAnsi="Arial"/>
                <w:sz w:val="16"/>
                <w:szCs w:val="16"/>
                <w:b w:val="1"/>
                <w:bCs w:val="1"/>
                <w:color w:val="auto"/>
              </w:rPr>
              <w:t>(in thousands, except percentages)</w:t>
            </w:r>
          </w:p>
        </w:tc>
        <w:tc>
          <w:tcPr>
            <w:tcW w:w="1140" w:type="dxa"/>
            <w:vAlign w:val="bottom"/>
          </w:tcPr>
          <w:p>
            <w:pPr>
              <w:spacing w:after="0"/>
              <w:rPr>
                <w:sz w:val="20"/>
                <w:szCs w:val="20"/>
                <w:color w:val="auto"/>
              </w:rPr>
            </w:pPr>
          </w:p>
        </w:tc>
      </w:tr>
      <w:tr>
        <w:trPr>
          <w:trHeight w:val="28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49,876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27,664</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22,212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54"/>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Sales and marketing expenses increased $22.2 million, or 80%, for the year ended December 31, 2022 compared to the same period in 2021, primarily due to an increase in advertising spend and marketing events to gain further brand awareness and increased employee focus on marketing initiatives related to our recently developed products and services, such as the Free Plan and our Expensify Card. Furthermore, sales and marketing expenses were higher due to the recognition of $8.2 million of stock-based compensation costs during the year ended December 31, 2022 as compared to $1.5 million during the year ended December 31, 2021, primarily related to the RSUs granted in September and November of 2021 to employees directly engaged in sales and marketing activities. These increases were partially offset by $5.0 million in IPO-related bonus costs impacting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260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rPr>
              <w:t>Change</w:t>
            </w:r>
          </w:p>
        </w:tc>
        <w:tc>
          <w:tcPr>
            <w:tcW w:w="1140" w:type="dxa"/>
            <w:vAlign w:val="bottom"/>
            <w:tcBorders>
              <w:bottom w:val="single" w:sz="8" w:color="auto"/>
            </w:tcBorders>
          </w:tcPr>
          <w:p>
            <w:pPr>
              <w:spacing w:after="0"/>
              <w:rPr>
                <w:sz w:val="19"/>
                <w:szCs w:val="19"/>
                <w:color w:val="auto"/>
              </w:rPr>
            </w:pPr>
          </w:p>
        </w:tc>
      </w:tr>
      <w:tr>
        <w:trPr>
          <w:trHeight w:val="236"/>
        </w:trPr>
        <w:tc>
          <w:tcPr>
            <w:tcW w:w="4620" w:type="dxa"/>
            <w:vAlign w:val="bottom"/>
          </w:tcPr>
          <w:p>
            <w:pPr>
              <w:spacing w:after="0"/>
              <w:rPr>
                <w:sz w:val="20"/>
                <w:szCs w:val="20"/>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w w:val="95"/>
              </w:rPr>
              <w:t>2022</w:t>
            </w: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036"/>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w:t>
            </w:r>
          </w:p>
        </w:tc>
      </w:tr>
      <w:tr>
        <w:trPr>
          <w:trHeight w:val="233"/>
        </w:trPr>
        <w:tc>
          <w:tcPr>
            <w:tcW w:w="4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900" w:type="dxa"/>
            <w:vAlign w:val="bottom"/>
            <w:gridSpan w:val="5"/>
          </w:tcPr>
          <w:p>
            <w:pPr>
              <w:jc w:val="right"/>
              <w:ind w:right="736"/>
              <w:spacing w:after="0"/>
              <w:rPr>
                <w:sz w:val="20"/>
                <w:szCs w:val="20"/>
                <w:color w:val="auto"/>
              </w:rPr>
            </w:pPr>
            <w:r>
              <w:rPr>
                <w:rFonts w:ascii="Arial" w:cs="Arial" w:eastAsia="Arial" w:hAnsi="Arial"/>
                <w:sz w:val="16"/>
                <w:szCs w:val="16"/>
                <w:b w:val="1"/>
                <w:bCs w:val="1"/>
                <w:color w:val="auto"/>
              </w:rPr>
              <w:t>(in thousands, except percentages)</w:t>
            </w:r>
          </w:p>
        </w:tc>
        <w:tc>
          <w:tcPr>
            <w:tcW w:w="1140" w:type="dxa"/>
            <w:vAlign w:val="bottom"/>
          </w:tcPr>
          <w:p>
            <w:pPr>
              <w:spacing w:after="0"/>
              <w:rPr>
                <w:sz w:val="20"/>
                <w:szCs w:val="20"/>
                <w:color w:val="auto"/>
              </w:rPr>
            </w:pPr>
          </w:p>
        </w:tc>
      </w:tr>
      <w:tr>
        <w:trPr>
          <w:trHeight w:val="23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(5,411)</w:t>
            </w:r>
          </w:p>
        </w:tc>
        <w:tc>
          <w:tcPr>
            <w:tcW w:w="10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(3,480)  $</w:t>
            </w:r>
          </w:p>
        </w:tc>
        <w:tc>
          <w:tcPr>
            <w:tcW w:w="190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(1,931)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54"/>
        </w:trPr>
        <w:tc>
          <w:tcPr>
            <w:tcW w:w="4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Interest and other expenses, net increased by $1.9 million, or 55% for the year ended December 31, 2022 compared to the same period in 2021 primarily due to increased interest expense under the 2021 Amended Term Loan (as defined below) and revolving line of credit facility as a result of increases in CIBC's reference rate and increased foreign currency losses resulting from the strengthening U.S. dollar.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19"/>
                <w:szCs w:val="19"/>
                <w:color w:val="auto"/>
              </w:rPr>
            </w:pPr>
          </w:p>
        </w:tc>
        <w:tc>
          <w:tcPr>
            <w:tcW w:w="272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rPr>
              <w:t>Change</w:t>
            </w:r>
          </w:p>
        </w:tc>
        <w:tc>
          <w:tcPr>
            <w:tcW w:w="1140" w:type="dxa"/>
            <w:vAlign w:val="bottom"/>
            <w:tcBorders>
              <w:bottom w:val="single" w:sz="8" w:color="auto"/>
            </w:tcBorders>
          </w:tcPr>
          <w:p>
            <w:pPr>
              <w:spacing w:after="0"/>
              <w:rPr>
                <w:sz w:val="19"/>
                <w:szCs w:val="19"/>
                <w:color w:val="auto"/>
              </w:rPr>
            </w:pPr>
          </w:p>
        </w:tc>
      </w:tr>
      <w:tr>
        <w:trPr>
          <w:trHeight w:val="237"/>
        </w:trPr>
        <w:tc>
          <w:tcPr>
            <w:tcW w:w="4600" w:type="dxa"/>
            <w:vAlign w:val="bottom"/>
          </w:tcPr>
          <w:p>
            <w:pPr>
              <w:spacing w:after="0"/>
              <w:rPr>
                <w:sz w:val="20"/>
                <w:szCs w:val="20"/>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w w:val="95"/>
              </w:rPr>
              <w:t>2022</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036"/>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w:t>
            </w:r>
          </w:p>
        </w:tc>
      </w:tr>
      <w:tr>
        <w:trPr>
          <w:trHeight w:val="233"/>
        </w:trPr>
        <w:tc>
          <w:tcPr>
            <w:tcW w:w="4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900" w:type="dxa"/>
            <w:vAlign w:val="bottom"/>
            <w:gridSpan w:val="5"/>
          </w:tcPr>
          <w:p>
            <w:pPr>
              <w:jc w:val="right"/>
              <w:ind w:right="736"/>
              <w:spacing w:after="0"/>
              <w:rPr>
                <w:sz w:val="20"/>
                <w:szCs w:val="20"/>
                <w:color w:val="auto"/>
              </w:rPr>
            </w:pPr>
            <w:r>
              <w:rPr>
                <w:rFonts w:ascii="Arial" w:cs="Arial" w:eastAsia="Arial" w:hAnsi="Arial"/>
                <w:sz w:val="16"/>
                <w:szCs w:val="16"/>
                <w:b w:val="1"/>
                <w:bCs w:val="1"/>
                <w:color w:val="auto"/>
              </w:rPr>
              <w:t>(in thousands, except percentages)</w:t>
            </w:r>
          </w:p>
        </w:tc>
        <w:tc>
          <w:tcPr>
            <w:tcW w:w="1140" w:type="dxa"/>
            <w:vAlign w:val="bottom"/>
          </w:tcPr>
          <w:p>
            <w:pPr>
              <w:spacing w:after="0"/>
              <w:rPr>
                <w:sz w:val="20"/>
                <w:szCs w:val="20"/>
                <w:color w:val="auto"/>
              </w:rPr>
            </w:pPr>
          </w:p>
        </w:tc>
      </w:tr>
      <w:tr>
        <w:trPr>
          <w:trHeight w:val="23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(6,366)</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(6,540)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r>
      <w:tr>
        <w:trPr>
          <w:trHeight w:val="54"/>
        </w:trPr>
        <w:tc>
          <w:tcPr>
            <w:tcW w:w="46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recorded a provision for income taxes of $6.4 million for the year ended December 31, 2022 compared to a $0.2 million benefit from income taxes for the year ended December 31, 2021.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During the years ended December 31, 2022 and 2021, we recorded an incremental valuation allowance of $2.8 million and $2.5 million, respectively. The provision for income taxes reflects taxable income earned and taxed in U.S. federal and state, and non-U.S. jurisdictions.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effective income tax rate was (30.8)% and 1.3%, for the years ended December 31, 2022 and 2021, respectively. The effective income tax rate differs from the statutory rate in 2022 primarily due to nondeductible stock-based compensation, the compensation limitations imposed by Internal Revenue Code ("IRC") Section 162(m), and the change in the valuation allowance. The effective income tax rate differs from the statutory rate in 2021 primarily due to the compensation limitations imposed by IRC Section 162(m), establishing the valuation allowance, and stock-based compensation.</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color w:val="auto"/>
        </w:rPr>
        <w:t>Key Business Metrics and Non-GAAP Financial Measures</w:t>
      </w:r>
    </w:p>
    <w:p>
      <w:pPr>
        <w:spacing w:after="0" w:line="15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SMBs or sole proprietors with only one employee, the business owner may also be the only paid member.</w:t>
      </w:r>
    </w:p>
    <w:p>
      <w:pPr>
        <w:spacing w:after="0" w:line="1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we continue to see improvement.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the quarters ended March 31, 2020 through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spacing w:after="0"/>
              <w:rPr>
                <w:sz w:val="16"/>
                <w:szCs w:val="16"/>
                <w:color w:val="auto"/>
              </w:rPr>
            </w:pPr>
          </w:p>
        </w:tc>
        <w:tc>
          <w:tcPr>
            <w:tcW w:w="1560" w:type="dxa"/>
            <w:vAlign w:val="bottom"/>
          </w:tcPr>
          <w:p>
            <w:pPr>
              <w:jc w:val="right"/>
              <w:ind w:right="11"/>
              <w:spacing w:after="0"/>
              <w:rPr>
                <w:sz w:val="20"/>
                <w:szCs w:val="20"/>
                <w:color w:val="auto"/>
              </w:rPr>
            </w:pPr>
            <w:r>
              <w:rPr>
                <w:rFonts w:ascii="Arial" w:cs="Arial" w:eastAsia="Arial" w:hAnsi="Arial"/>
                <w:sz w:val="16"/>
                <w:szCs w:val="16"/>
                <w:b w:val="1"/>
                <w:bCs w:val="1"/>
                <w:color w:val="auto"/>
              </w:rPr>
              <w:t>Paid members (in</w:t>
            </w:r>
          </w:p>
        </w:tc>
      </w:tr>
      <w:tr>
        <w:trPr>
          <w:trHeight w:val="241"/>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Quarter ended</w:t>
            </w:r>
          </w:p>
        </w:tc>
        <w:tc>
          <w:tcPr>
            <w:tcW w:w="156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thousands)</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June 30,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156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156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June 30, 2022</w:t>
            </w:r>
          </w:p>
        </w:tc>
        <w:tc>
          <w:tcPr>
            <w:tcW w:w="156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156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54"/>
        </w:trPr>
        <w:tc>
          <w:tcPr>
            <w:tcW w:w="96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Non-GAAP Financial Measures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define adjusted EBITDA as net loss from operations excluding provision for income taxes, interest and other expenses, net, depreciation and amortization and stock-based compensation. We define adjusted EBITDA margin as adjusted EBITDA divided by total revenue for the same period. We are focused on profitable growth and we consider adjusted EBITDA to be an important measure because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helps illustrate underlying trends in our business that could otherwise be masked by the effect of the income or expenses that are not indicative of the core operating performance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36"/>
        </w:trPr>
        <w:tc>
          <w:tcPr>
            <w:tcW w:w="57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2020</w:t>
            </w:r>
          </w:p>
        </w:tc>
      </w:tr>
      <w:tr>
        <w:trPr>
          <w:trHeight w:val="233"/>
        </w:trPr>
        <w:tc>
          <w:tcPr>
            <w:tcW w:w="5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gridSpan w:val="7"/>
          </w:tcPr>
          <w:p>
            <w:pPr>
              <w:jc w:val="center"/>
              <w:ind w:left="735"/>
              <w:spacing w:after="0"/>
              <w:rPr>
                <w:sz w:val="20"/>
                <w:szCs w:val="20"/>
                <w:color w:val="auto"/>
              </w:rPr>
            </w:pPr>
            <w:r>
              <w:rPr>
                <w:rFonts w:ascii="Arial" w:cs="Arial" w:eastAsia="Arial" w:hAnsi="Arial"/>
                <w:sz w:val="16"/>
                <w:szCs w:val="16"/>
                <w:b w:val="1"/>
                <w:bCs w:val="1"/>
                <w:color w:val="auto"/>
              </w:rPr>
              <w:t>(in thousands, except percentages)</w:t>
            </w:r>
          </w:p>
        </w:tc>
        <w:tc>
          <w:tcPr>
            <w:tcW w:w="1240" w:type="dxa"/>
            <w:vAlign w:val="bottom"/>
          </w:tcPr>
          <w:p>
            <w:pPr>
              <w:spacing w:after="0"/>
              <w:rPr>
                <w:sz w:val="20"/>
                <w:szCs w:val="20"/>
                <w:color w:val="auto"/>
              </w:rPr>
            </w:pPr>
          </w:p>
        </w:tc>
      </w:tr>
      <w:tr>
        <w:trPr>
          <w:trHeight w:val="23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42,488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9,519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26,755</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5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and Non-GAAP Net Income Margin</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define non-GAAP net income as net loss from operations in accordance with GAAP excluding stock-based compensation and bonus costs related to our IPO, which we consider to be the discretionary cash bonuses paid to our employees during 2021. Refer to the subsection titled "Liquidity and Capital Resources”, for further detail over the discretionary cash bonuses paid to employees in 2021.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and the one-time IPO-related discretionary cash bonus costs. Both expenses are not considered indicative of the core operating performance of our business. IPO-related bonus costs impacted the second, third and fourth fiscal quarters of 2021, but have not impacted subsequent periods beginning with the first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37"/>
        </w:trPr>
        <w:tc>
          <w:tcPr>
            <w:tcW w:w="56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2020</w:t>
            </w:r>
          </w:p>
        </w:tc>
      </w:tr>
      <w:tr>
        <w:trPr>
          <w:trHeight w:val="233"/>
        </w:trPr>
        <w:tc>
          <w:tcPr>
            <w:tcW w:w="5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900" w:type="dxa"/>
            <w:vAlign w:val="bottom"/>
            <w:gridSpan w:val="6"/>
          </w:tcPr>
          <w:p>
            <w:pPr>
              <w:jc w:val="center"/>
              <w:ind w:left="735"/>
              <w:spacing w:after="0"/>
              <w:rPr>
                <w:sz w:val="20"/>
                <w:szCs w:val="20"/>
                <w:color w:val="auto"/>
              </w:rPr>
            </w:pPr>
            <w:r>
              <w:rPr>
                <w:rFonts w:ascii="Arial" w:cs="Arial" w:eastAsia="Arial" w:hAnsi="Arial"/>
                <w:sz w:val="16"/>
                <w:szCs w:val="16"/>
                <w:b w:val="1"/>
                <w:bCs w:val="1"/>
                <w:color w:val="auto"/>
              </w:rPr>
              <w:t>(in thousands, except percentages)</w:t>
            </w:r>
          </w:p>
        </w:tc>
        <w:tc>
          <w:tcPr>
            <w:tcW w:w="1240" w:type="dxa"/>
            <w:vAlign w:val="bottom"/>
          </w:tcPr>
          <w:p>
            <w:pPr>
              <w:spacing w:after="0"/>
              <w:rPr>
                <w:sz w:val="20"/>
                <w:szCs w:val="20"/>
                <w:color w:val="auto"/>
              </w:rPr>
            </w:pPr>
          </w:p>
        </w:tc>
      </w:tr>
      <w:tr>
        <w:trPr>
          <w:trHeight w:val="23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25,323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49,432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16,127</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Non-GAAP net income margin</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5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37"/>
        </w:trPr>
        <w:tc>
          <w:tcPr>
            <w:tcW w:w="57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r>
      <w:tr>
        <w:trPr>
          <w:trHeight w:val="233"/>
        </w:trPr>
        <w:tc>
          <w:tcPr>
            <w:tcW w:w="5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gridSpan w:val="6"/>
          </w:tcPr>
          <w:p>
            <w:pPr>
              <w:jc w:val="center"/>
              <w:ind w:left="732"/>
              <w:spacing w:after="0"/>
              <w:rPr>
                <w:sz w:val="20"/>
                <w:szCs w:val="20"/>
                <w:color w:val="auto"/>
              </w:rPr>
            </w:pPr>
            <w:r>
              <w:rPr>
                <w:rFonts w:ascii="Arial" w:cs="Arial" w:eastAsia="Arial" w:hAnsi="Arial"/>
                <w:sz w:val="16"/>
                <w:szCs w:val="16"/>
                <w:b w:val="1"/>
                <w:bCs w:val="1"/>
                <w:color w:val="auto"/>
              </w:rPr>
              <w:t>(in thousands, except percentages)</w:t>
            </w:r>
          </w:p>
        </w:tc>
        <w:tc>
          <w:tcPr>
            <w:tcW w:w="1240" w:type="dxa"/>
            <w:vAlign w:val="bottom"/>
          </w:tcPr>
          <w:p>
            <w:pPr>
              <w:spacing w:after="0"/>
              <w:rPr>
                <w:sz w:val="20"/>
                <w:szCs w:val="20"/>
                <w:color w:val="auto"/>
              </w:rPr>
            </w:pPr>
          </w:p>
        </w:tc>
      </w:tr>
      <w:tr>
        <w:trPr>
          <w:trHeight w:val="23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(27,009)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(13,558)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(1,710)</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40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6,366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4,662</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2,718</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5,388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3,248</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52,332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14,574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17,837</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42,488</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9,519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26,755</w:t>
            </w:r>
          </w:p>
        </w:tc>
      </w:tr>
      <w:tr>
        <w:trPr>
          <w:trHeight w:val="24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33"/>
        </w:trPr>
        <w:tc>
          <w:tcPr>
            <w:tcW w:w="5700" w:type="dxa"/>
            <w:vAlign w:val="bottom"/>
          </w:tcPr>
          <w:p>
            <w:pPr>
              <w:spacing w:after="0"/>
              <w:rPr>
                <w:sz w:val="20"/>
                <w:szCs w:val="20"/>
                <w:color w:val="auto"/>
              </w:rPr>
            </w:pPr>
            <w:r>
              <w:rPr>
                <w:rFonts w:ascii="Arial" w:cs="Arial" w:eastAsia="Arial" w:hAnsi="Arial"/>
                <w:sz w:val="18"/>
                <w:szCs w:val="18"/>
                <w:i w:val="1"/>
                <w:iCs w:val="1"/>
                <w:color w:val="auto"/>
              </w:rPr>
              <w:t>Non-GAAP net income and non-GAAP net income margin</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2"/>
        </w:trPr>
        <w:tc>
          <w:tcPr>
            <w:tcW w:w="5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30"/>
        </w:trPr>
        <w:tc>
          <w:tcPr>
            <w:tcW w:w="57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37"/>
        </w:trPr>
        <w:tc>
          <w:tcPr>
            <w:tcW w:w="57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r>
      <w:tr>
        <w:trPr>
          <w:trHeight w:val="233"/>
        </w:trPr>
        <w:tc>
          <w:tcPr>
            <w:tcW w:w="5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gridSpan w:val="6"/>
          </w:tcPr>
          <w:p>
            <w:pPr>
              <w:jc w:val="center"/>
              <w:ind w:left="732"/>
              <w:spacing w:after="0"/>
              <w:rPr>
                <w:sz w:val="20"/>
                <w:szCs w:val="20"/>
                <w:color w:val="auto"/>
              </w:rPr>
            </w:pPr>
            <w:r>
              <w:rPr>
                <w:rFonts w:ascii="Arial" w:cs="Arial" w:eastAsia="Arial" w:hAnsi="Arial"/>
                <w:sz w:val="16"/>
                <w:szCs w:val="16"/>
                <w:b w:val="1"/>
                <w:bCs w:val="1"/>
                <w:color w:val="auto"/>
              </w:rPr>
              <w:t>(in thousands, except percentages)</w:t>
            </w:r>
          </w:p>
        </w:tc>
        <w:tc>
          <w:tcPr>
            <w:tcW w:w="1240" w:type="dxa"/>
            <w:vAlign w:val="bottom"/>
          </w:tcPr>
          <w:p>
            <w:pPr>
              <w:spacing w:after="0"/>
              <w:rPr>
                <w:sz w:val="20"/>
                <w:szCs w:val="20"/>
                <w:color w:val="auto"/>
              </w:rPr>
            </w:pPr>
          </w:p>
        </w:tc>
      </w:tr>
      <w:tr>
        <w:trPr>
          <w:trHeight w:val="23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(27,009)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(13,558)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(1,710)</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52,332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14,574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17,837</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IPO-related bonus expense</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48,416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25,323</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49,432</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16,127</w:t>
            </w:r>
          </w:p>
        </w:tc>
      </w:tr>
      <w:tr>
        <w:trPr>
          <w:trHeight w:val="24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margin</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auto"/>
        </w:rPr>
        <w:t>Liquidity and Capital Resources</w:t>
      </w:r>
    </w:p>
    <w:p>
      <w:pPr>
        <w:spacing w:after="0" w:line="15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Since our inception, we have financed our operations primarily through our cash flow from operations, sales of our equity securities and borrowings under our credit facilities. In November 2021, upon completion of our IPO, we received aggregate net proceeds of approximately $57.5 million after deducting underwriting discounts and commissions of approximately $4.9 million and offering costs of approximately $8.0 million. As of December 31, 2022, we had $103.8 million in cash and cash equivalents. As of December 31, 2022, we had $67.3 million in outstanding indebtedness.</w:t>
      </w:r>
    </w:p>
    <w:p>
      <w:pPr>
        <w:spacing w:after="0" w:line="1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the foreseeable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109220</wp:posOffset>
            </wp:positionV>
            <wp:extent cx="710628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9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172"/>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19"/>
                <w:szCs w:val="19"/>
                <w:color w:val="auto"/>
              </w:rPr>
            </w:pPr>
          </w:p>
        </w:tc>
      </w:tr>
      <w:tr>
        <w:trPr>
          <w:trHeight w:val="236"/>
        </w:trPr>
        <w:tc>
          <w:tcPr>
            <w:tcW w:w="59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2020</w:t>
            </w:r>
          </w:p>
        </w:tc>
      </w:tr>
      <w:tr>
        <w:trPr>
          <w:trHeight w:val="233"/>
        </w:trPr>
        <w:tc>
          <w:tcPr>
            <w:tcW w:w="5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5,486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(4,295)</w:t>
            </w:r>
          </w:p>
        </w:tc>
      </w:tr>
      <w:tr>
        <w:trPr>
          <w:trHeight w:val="22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80,565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78,437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12,077</w:t>
            </w:r>
          </w:p>
        </w:tc>
      </w:tr>
      <w:tr>
        <w:trPr>
          <w:trHeight w:val="20"/>
        </w:trPr>
        <w:tc>
          <w:tcPr>
            <w:tcW w:w="5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
        </w:trPr>
        <w:tc>
          <w:tcPr>
            <w:tcW w:w="5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66"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Net cash provided by operating activities was $ 32.9 million for the year ended December 31, 2022 as compared to $5.5 million for the same period in 2021. The increase was primarily due to an increase in revenue, a decrease in employee stock option exercise cash bonuses, and settlement liabilities, which represent increased expense reimbursement activity, offset by an increase in advertising spend and marketing events to gain further brand awareness, an increase in insurance and professional service costs incurred for accounting, auditing and legal services as a result of our continued requirements as a public company, higher volume of payment processing fees directly related to an increase in reimbursement activity, increased efforts in support and implementation services, increased outsourcing activities related to maintaining the platform, the timing of the payments for costs of our services and operating expenses and an increase in settlement assets, which represent increased expense reimbursement activity and increased Expensify Card receivables due to users adopting monthly settlement and the timing of settlement of accounts payable.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80"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During the year ended December 31, 2022, net cash used in investing activities was $2.2 million, primarily consisting of software development costs and the purchase of property and equipment related to multiple booth constructions for marketing conferences.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used in investing activities decreased for the year ended December 31, 2022 compared to the same period in 2021, primarily due to IPO bonuses that were capitalized as internally developed software costs of $1.5 million for the year ended December 31, 2021 and a decrease in purchases related to the build-out of offices in Portland and San Francisco.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80"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During the year ended December 31, 2022, net cash used in financing activities was $ 8.3 million, primarily consisting of payments for employee taxes withheld from stock-based awards and the repurchase and retirement of common stock partially offset by proceeds from common stock purchased under our 2021 Stock Purchase and Matching Plan and proceeds from the issuance of common stock on exercises of stock options.</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cash used in financing activities increased for the year ended December 31, 2022 compared to the same period in 2021, primarily due to repurchases of early exercises of common stock and payments for employee taxes withheld from stock-based awards during the year ended December 31, 2022, and the proceeds received from our IPO and loan and security agreement with CIBC during the year ended December 31,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May 10, 2022, the Executive Committee approved a share repurchase program with authorization to purchase up to $50.0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Securities Exchange Act of 1934,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at any time by the Company at any time at its discretion without prior notice.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Amortizing Term Mortgage</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August 2019, we entered into an $8.3 million amortizing term mortgage agreement with CIBC for our commercial building in Portland, Oregon. The agreement requires interest and principal payments to be made each month over a 30-year period. Interest accrues at a fixed rate of 5.00% per year until August 2024, at which point the interest rate changes to the Wall Street Journal Prime Rate less 0.25% for the remaining term of the mortgage. The borrowings are secured by the building. The outstanding balance of the amortizing term mortgage was $7.8 million as of December 31,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2021, we amended and restated our loan and security agreement with CIBC ("2021 Amended Term Loan") to refinance the existing non-amortizing and amortizing term loans, establish a single term loan of up to $ 75.0 million, consisting of a $45.0 million initial term loan effective immediately with an option to enter into an additional $30.0 million delayed term loan, and increase the monthly revolving line of credit to $25.0 million. The term loan and revolving line of credit mature in September 2026 and September 2024, respectively. Approximately $23.5 million of the loan proceeds were used to immediately repay the remaining balances under the amortizing and non-amortizing term loans at the time of the amendment, as well as commitment fees and other debt issuance costs associated with the amendment. The remaining proceeds from the initial term loan were utilized to fund our normal business operations.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Under the 2021 Amended Term Loan, the initial term loan of $45.0 million is payable over a 60 month period with principal and accrued interest payments due each quarter thereafter, which commenced with the first payment due on September 30, 2021. Quarterly principal payments are fixed and escalate throughout the term. The amounts borrowed bear interest at the bank’s reference rate plus 2.25% (9.75% as of December 31, 2022) and continue on a quarterly basis through the maturity of the term loan. The borrowings are secured by substantially all our assets. The outstanding balances of the 2021 Amended Term Loan and revolving line of credit were $44.4 million and $15.0 million, respectively, as of December 31,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Note 7 to our consolidated financial statements included elsewhere in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customary covenants under the 2021 Amended Term Loan, which unless waived by CIBC, restrict our and our subsidiaries' ability to, among other things incur additional indebtedness, create or incur liens, permit a change of control, merge or consolidate with other companies, sell or transfer assets, pay dividends or make distributions, make acquisitions, investments or loans, or payments and prepayments of subordinated indebtedness, subject to certain exceptions. We must also maintain certain financial covenants: a total EBITDA net leverage ratio, as defined in the loan and security agreement, tested each quarter, of not less than 5.00 to 1.00 from the quarters ending September 30, 2022 through and including June 30, 2023, not less than 4.00 to 1.00 from the quarters ending September 30, 2023 through and including June 30, 2024, and not less than 3.00 to 1.00 from the quarters ending September 30, 2024 and each quarter thereafter, and a fixed charge coverage ratio of not less than 1.10 to 1.00, tested on the last day of each calendar quarter.</w:t>
      </w:r>
    </w:p>
    <w:p>
      <w:pPr>
        <w:spacing w:after="0" w:line="138"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1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December 31, 2022, we were not in compliance with all of our debt covenants. Specifically, we were not in compliance with the covenant in our loan and security agreement with CIBC restricting the amount of repurchases of common stock, which includes RSU net share settlements; however, we obtained a waiver from CIBC for our non-compliance with this covenant. As of the date of this Annual Report on Form 10-K, we do not believe non-compliance with this covenant had a material impact on us or our operations. We expect to be in compliance with all debt covenants by the end of the fiscal quarter ended March 31, 2023.</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color w:val="auto"/>
        </w:rPr>
        <w:t>Contractual Obligations and Commitments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3"/>
          </w:tcPr>
          <w:p>
            <w:pPr>
              <w:jc w:val="right"/>
              <w:ind w:right="372"/>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6"/>
        </w:trPr>
        <w:tc>
          <w:tcPr>
            <w:tcW w:w="4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Less than 1 year</w:t>
            </w:r>
          </w:p>
        </w:tc>
        <w:tc>
          <w:tcPr>
            <w:tcW w:w="260" w:type="dxa"/>
            <w:vAlign w:val="bottom"/>
          </w:tcPr>
          <w:p>
            <w:pPr>
              <w:spacing w:after="0"/>
              <w:rPr>
                <w:sz w:val="22"/>
                <w:szCs w:val="22"/>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1-3 years</w:t>
            </w:r>
          </w:p>
        </w:tc>
        <w:tc>
          <w:tcPr>
            <w:tcW w:w="1660" w:type="dxa"/>
            <w:vAlign w:val="bottom"/>
            <w:gridSpan w:val="3"/>
          </w:tcPr>
          <w:p>
            <w:pPr>
              <w:ind w:left="80"/>
              <w:spacing w:after="0"/>
              <w:rPr>
                <w:sz w:val="20"/>
                <w:szCs w:val="20"/>
                <w:color w:val="auto"/>
              </w:rPr>
            </w:pPr>
            <w:r>
              <w:rPr>
                <w:rFonts w:ascii="Arial" w:cs="Arial" w:eastAsia="Arial" w:hAnsi="Arial"/>
                <w:sz w:val="16"/>
                <w:szCs w:val="16"/>
                <w:b w:val="1"/>
                <w:bCs w:val="1"/>
                <w:color w:val="auto"/>
              </w:rPr>
              <w:t>More than 3 years</w:t>
            </w:r>
          </w:p>
        </w:tc>
        <w:tc>
          <w:tcPr>
            <w:tcW w:w="360" w:type="dxa"/>
            <w:vAlign w:val="bottom"/>
          </w:tcPr>
          <w:p>
            <w:pPr>
              <w:spacing w:after="0"/>
              <w:rPr>
                <w:sz w:val="22"/>
                <w:szCs w:val="22"/>
                <w:color w:val="auto"/>
              </w:rPr>
            </w:pPr>
          </w:p>
        </w:tc>
        <w:tc>
          <w:tcPr>
            <w:tcW w:w="1200" w:type="dxa"/>
            <w:vAlign w:val="bottom"/>
          </w:tcPr>
          <w:p>
            <w:pPr>
              <w:jc w:val="right"/>
              <w:ind w:right="512"/>
              <w:spacing w:after="0"/>
              <w:rPr>
                <w:sz w:val="20"/>
                <w:szCs w:val="20"/>
                <w:color w:val="auto"/>
              </w:rPr>
            </w:pPr>
            <w:r>
              <w:rPr>
                <w:rFonts w:ascii="Arial" w:cs="Arial" w:eastAsia="Arial" w:hAnsi="Arial"/>
                <w:sz w:val="16"/>
                <w:szCs w:val="16"/>
                <w:b w:val="1"/>
                <w:bCs w:val="1"/>
                <w:color w:val="auto"/>
              </w:rPr>
              <w:t>Total</w:t>
            </w:r>
          </w:p>
        </w:tc>
      </w:tr>
      <w:tr>
        <w:trPr>
          <w:trHeight w:val="23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59,467</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67,253</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Interest payments on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13,501</w:t>
            </w:r>
          </w:p>
        </w:tc>
        <w:tc>
          <w:tcPr>
            <w:tcW w:w="100" w:type="dxa"/>
            <w:vAlign w:val="bottom"/>
          </w:tcPr>
          <w:p>
            <w:pPr>
              <w:spacing w:after="0"/>
              <w:rPr>
                <w:sz w:val="19"/>
                <w:szCs w:val="19"/>
                <w:color w:val="auto"/>
              </w:rPr>
            </w:pP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18,773</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commitments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86,834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auto"/>
        </w:rPr>
        <w:t>Indemnification Agreements</w:t>
      </w:r>
    </w:p>
    <w:p>
      <w:pPr>
        <w:spacing w:after="0" w:line="15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Consolidated Statements of Convertible Preferred Stock and Stockholders' Equity (Deficit), or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Off-Balance Sheet Arrangements</w:t>
      </w:r>
    </w:p>
    <w:p>
      <w:pPr>
        <w:spacing w:after="0" w:line="1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33" w:lineRule="exact"/>
        <w:rPr>
          <w:sz w:val="20"/>
          <w:szCs w:val="20"/>
          <w:color w:val="auto"/>
        </w:rPr>
      </w:pPr>
    </w:p>
    <w:p>
      <w:pPr>
        <w:spacing w:after="0"/>
        <w:rPr>
          <w:sz w:val="20"/>
          <w:szCs w:val="20"/>
          <w:color w:val="auto"/>
        </w:rPr>
      </w:pPr>
      <w:r>
        <w:rPr>
          <w:rFonts w:ascii="Arial" w:cs="Arial" w:eastAsia="Arial" w:hAnsi="Arial"/>
          <w:sz w:val="29"/>
          <w:szCs w:val="29"/>
          <w:color w:val="auto"/>
        </w:rPr>
        <w:t>Critical Accounting Policies and Estimates</w:t>
      </w:r>
    </w:p>
    <w:p>
      <w:pPr>
        <w:spacing w:after="0" w:line="156"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Our consolidated financial statements included elsewhere herein have been prepared in accordance with GAAP.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For our accounting policies, see Note 2 to our consolidated financial statements contained elsewhere herein for a description of our significant accounting policies.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EMPLOYEE-RELATED EXPENSES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Allocating our employee and employee-related expenses, which consist of contractor costs, employee salary and wages, stock-based compensation and travel and other employee-related costs, to their appropriate financial statement line items on the Consolidated Statements of Operations, requires us to make estimates and judgments as a result of our generalist model and organizational structure. We base our estimates for allocating employee and employee related expenses on our internal productivity and team management tools. Management reviews the estimates each reporting period to evaluate the amounts allocated to Cost of revenue, net, Research and development, General and administrative, and Sales and marketing on the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We generate revenue from subscription fees paid by our customers to access and use our hosted software services, as well as standard customer support. We adopted Accounting Standard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 of January 1, 2019, utilizing the full retrospective method of transition.</w:t>
      </w:r>
    </w:p>
    <w:p>
      <w:pPr>
        <w:spacing w:after="0" w:line="134"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we expect to be entitled to in exchange for those goods or services.</w:t>
      </w:r>
    </w:p>
    <w:p>
      <w:pPr>
        <w:spacing w:after="0" w:line="13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Annual subscription customers who wish to terminate their contracts before the end of the term are required to pay the remaining obligation in full plus any fees or penalties set forth in the agreement.</w:t>
      </w:r>
    </w:p>
    <w:p>
      <w:pPr>
        <w:spacing w:after="0" w:line="1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charge customers subscription fees for access to our platform based on the number of monthly members and level of service. The contractual price per member is based on either negotiated fees or rates published on our website. Our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We satisfy our performance obligation over time each month as it provides the SaaS and support services to customers and as such generally recognizes revenue monthly based on the number of monthly members and contractual rate per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w:t>
      </w:r>
    </w:p>
    <w:p>
      <w:pPr>
        <w:spacing w:after="0" w:line="12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Revenue is recognized net of applicable taxes imposed on the related transaction. We charge customers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billed incrementally by us over a twelve month period, we recorded revenue for such contracts on a straight line basis over the twelve month period affected by the price increase. This resulted in contract assets that consist of unbilled receivables for revenue recognized in excess of billings. The contract asset decreases as the price increase is applied to the amounts billed to customers, over the twelve month period. We recorded an immaterial amount of contract assets for unbilled receivables within Other current assets on our Consolidated Balance Sheets as of December 31, 2021. There were no contract assets as of December 31, 2022. Since our performance obligation is satisfied monthly, at any reporting period, we have no unsatisfied, or partially unsatisfied, performance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VALUATIONS</w:t>
      </w:r>
    </w:p>
    <w:p>
      <w:pPr>
        <w:spacing w:after="0" w:line="180"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Prior to the IPO,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common stock underlying the stock options and RSUs, including:</w:t>
      </w:r>
    </w:p>
    <w:p>
      <w:pPr>
        <w:spacing w:after="0" w:line="123"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independent third-party valuations of our common stock;</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expected price range of our common stock upon IPO determined by bankers;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57"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 of the company, given prevailing market conditions;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estimates of future financial performance;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valuations of comparable companies;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hiring or loss of key personnel;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status of our development, product introduction and sales efforts;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industry information, such as market growth and volume and macro-economic events;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objective and subjective factors relating to our business.</w:t>
      </w:r>
    </w:p>
    <w:p>
      <w:pPr>
        <w:spacing w:after="0" w:line="14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To determine the fair value of our common stock, we first determined our enterprise value and then allocated that enterprise value to our common stock and common stock equivalents. Our enterprise value was estimated using two generally accepted approaches: the income approach and the market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each valuation, we prepared a financial forecast to be used in the computation of the value of invested capital for both the income approach and market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spacing w:after="0" w:line="13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As an additional indicator of fair value, we provided weighting to arm’s-length transactions involving issuances of our securities near the respective valuation dates.</w:t>
      </w:r>
    </w:p>
    <w:p>
      <w:pPr>
        <w:spacing w:after="0" w:line="13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Following our initial public offering, it has not been necessary to estimate the fair value of our common stock, as our shares are traded in the public market.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account for stock-based compensation under the fair value recognition and measurement provisions of GAAP. Those provisions require all stock-based awards granted to employees, including stock options and RSUs, to be measured based on fair value at the date of grant, with the resulting expense generally recognized in the Consolidated Statements of Operations over the period during which the employee is required to perform service in exchange for the award.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utilize the Black-Scholes option pricing model to determine the estimated fair value of stock options.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Black-Scholes option pricing model requires management to make a number of assumptions, including the fair value and expected volatility of our underlying common stock, expected life of the award, risk-free interest rate and expected dividend yield. Prior to the IPO, the fair value of common stock was determined by the Board of Directors based on a number of factors, including independent third-party valuations of our common stock, which considered estimates of our future performance and valuations of comparable companies. We also considered prices at which others have purchased our stock, and the likelihood and timing of achieving a liquidity event. When awards were granted or revalued between the dates of valuation reports, we considered the change in common stock fair value and the amount of time that lapsed between the two reports to determine whether to use the latest common stock valuation or an interpolation between two valuation dates for purposes of valuing stock-based awards. Subsequent to the completion of the IPO, the fair value of our underlying common stock is determined by the closing price, on the date of grant, of our Class A common stock, which is traded on the Nasdaq Global Select Market.</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All RSUs granted to employees before the effectiveness of the IPO Registration Statement were measured based on the fair value of the underlying common stock on the grant date, which was consistent with the factors described within the Black-Scholes option pricing model. All RSUs granted to employees after the effectiveness of the IPO Registration Statement are measured based on the fair value of the underlying common stock on the grant date, which is determined by the closing price, on the date of the grant, of our Class A common stock, which is traded on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Refer to Note 9 to our consolidated financial statements in this Annual Report on Form 10-K for further detail over stock-based compensation and our stock incentive plans.</w:t>
      </w:r>
    </w:p>
    <w:p>
      <w:pPr>
        <w:spacing w:after="0" w:line="114" w:lineRule="exact"/>
        <w:rPr>
          <w:sz w:val="20"/>
          <w:szCs w:val="20"/>
          <w:color w:val="auto"/>
        </w:rPr>
      </w:pPr>
    </w:p>
    <w:p>
      <w:pPr>
        <w:spacing w:after="0"/>
        <w:rPr>
          <w:sz w:val="20"/>
          <w:szCs w:val="20"/>
          <w:color w:val="auto"/>
        </w:rPr>
      </w:pPr>
      <w:r>
        <w:rPr>
          <w:rFonts w:ascii="Arial" w:cs="Arial" w:eastAsia="Arial" w:hAnsi="Arial"/>
          <w:sz w:val="29"/>
          <w:szCs w:val="29"/>
          <w:color w:val="auto"/>
        </w:rPr>
        <w:t>Recent Accounting Pronouncements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consolidated financial statements in this Annual Report on Form 10-K for recently adopted accounting pronouncements.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color w:val="auto"/>
        </w:rPr>
        <w:t>Emerging Growth Company Status</w:t>
      </w:r>
    </w:p>
    <w:p>
      <w:pPr>
        <w:spacing w:after="0" w:line="15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Upon the completion of our IPO, we elected to be an emerging growth company ("EGC"), as defined in the Jumpstart Our Business Startups Act of 2012, which, among other things, allowed us to take advantage of reduced disclosure requirements and an extended transition period for the implementation of new or revised accounting pronouncements.</w:t>
      </w:r>
    </w:p>
    <w:p>
      <w:pPr>
        <w:spacing w:after="0" w:line="13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Effective December 31, 2022, based on the market value of our common stock held by non-affiliates as of June 30, 2022, we were deemed to be a large accelerated filer and no longer qualified as an EGC. As a result, we must now comply with all financial disclosure and governance requirements applicable to large accelerated filers. The effect of the loss of EGC status and the impact on the adoption of new accounting pronouncements is discussed further in Note 2 to our consolidated financial statements in this Annual Report on Form 10-K.</w:t>
      </w:r>
    </w:p>
    <w:p>
      <w:pPr>
        <w:spacing w:after="0" w:line="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7A. Quantitative and Qualitative Disclosures About Market Risk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end-of-period exchange rates except for prepaid expenses, property and equipment and related depreciation and amortization and lease right-of-use assets and related amortization, which are remeasured at historical exchange rates. Revenues and expenses are remeasured at average exchange rates in effect during each period. Gains or losses from foreign currency transactions are included in the Consolidated Statements of Operations.</w:t>
      </w:r>
    </w:p>
    <w:p>
      <w:pPr>
        <w:spacing w:after="0" w:line="12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If the value of the U.S. dollar weakens relative to foreign currencies, this may have an unfavorable impact on our cash flows and operating results. We do not believe that a 10% change in the relative value of the U.S. dollar to other foreign currencies would have a material effect on our cash flows and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profitability and cash flows. Assuming the amounts outstanding under these borrowing facilities are fully drawn, a hypothetical 10% change in interest rates would not have a material impact on our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8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do not believe that inflation has had a material impact on our business, results of operations or financial condition. Nonetheless, if our costs were to become subject to significant inflationary pressures, we may not be able to fully offset such higher costs through price increases.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0" w:name="page91"/>
    <w:bookmarkEnd w:id="90"/>
    <w:p>
      <w:pPr>
        <w:spacing w:after="0" w:line="1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0" w:type="dxa"/>
            <w:vAlign w:val="bottom"/>
            <w:gridSpan w:val="9"/>
          </w:tcPr>
          <w:p>
            <w:pPr>
              <w:spacing w:after="0"/>
              <w:rPr>
                <w:sz w:val="20"/>
                <w:szCs w:val="20"/>
                <w:color w:val="auto"/>
              </w:rPr>
            </w:pPr>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3051F2"/>
              </w:rPr>
              <w:t>42</w:t>
            </w:r>
            <w:r>
              <w:rPr>
                <w:rFonts w:ascii="Arial" w:cs="Arial" w:eastAsia="Arial" w:hAnsi="Arial"/>
                <w:sz w:val="18"/>
                <w:szCs w:val="18"/>
                <w:u w:val="single" w:color="auto"/>
                <w:color w:val="0000FF"/>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89</w:t>
            </w:r>
          </w:p>
        </w:tc>
      </w:tr>
      <w:tr>
        <w:trPr>
          <w:trHeight w:val="250"/>
        </w:trPr>
        <w:tc>
          <w:tcPr>
            <w:tcW w:w="20" w:type="dxa"/>
            <w:vAlign w:val="bottom"/>
          </w:tcPr>
          <w:p>
            <w:pPr>
              <w:spacing w:after="0"/>
              <w:rPr>
                <w:sz w:val="21"/>
                <w:szCs w:val="21"/>
                <w:color w:val="auto"/>
              </w:rPr>
            </w:pPr>
          </w:p>
        </w:tc>
        <w:tc>
          <w:tcPr>
            <w:tcW w:w="568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00" w:type="dxa"/>
            <w:vAlign w:val="bottom"/>
            <w:tcBorders>
              <w:top w:val="single" w:sz="8" w:color="3051F2"/>
            </w:tcBorders>
          </w:tcPr>
          <w:p>
            <w:pPr>
              <w:spacing w:after="0"/>
              <w:rPr>
                <w:sz w:val="21"/>
                <w:szCs w:val="21"/>
                <w:color w:val="auto"/>
              </w:rPr>
            </w:pPr>
          </w:p>
        </w:tc>
        <w:tc>
          <w:tcPr>
            <w:tcW w:w="5120" w:type="dxa"/>
            <w:vAlign w:val="bottom"/>
            <w:gridSpan w:val="2"/>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20" w:type="dxa"/>
            <w:vAlign w:val="bottom"/>
            <w:gridSpan w:val="8"/>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2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89"/>
              </w:rPr>
              <w:t>93</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2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94</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80" w:type="dxa"/>
            <w:vAlign w:val="bottom"/>
            <w:gridSpan w:val="7"/>
          </w:tcPr>
          <w:p>
            <w:pPr>
              <w:spacing w:after="0"/>
              <w:rPr>
                <w:sz w:val="20"/>
                <w:szCs w:val="20"/>
                <w:color w:val="auto"/>
              </w:rPr>
            </w:pPr>
            <w:r>
              <w:rPr>
                <w:rFonts w:ascii="Arial" w:cs="Arial" w:eastAsia="Arial" w:hAnsi="Arial"/>
                <w:sz w:val="18"/>
                <w:szCs w:val="18"/>
                <w:color w:val="0000FF"/>
                <w:w w:val="99"/>
              </w:rPr>
              <w:t>Consolidated Statements of Convertible Preferred Stock and Stockholders’ Equity (Deficit)</w:t>
            </w:r>
          </w:p>
        </w:tc>
        <w:tc>
          <w:tcPr>
            <w:tcW w:w="34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95</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8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w:t>
            </w:r>
          </w:p>
        </w:tc>
        <w:tc>
          <w:tcPr>
            <w:tcW w:w="34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97</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99</w:t>
            </w:r>
          </w:p>
        </w:tc>
      </w:tr>
      <w:tr>
        <w:trPr>
          <w:trHeight w:val="74"/>
        </w:trPr>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360" w:type="dxa"/>
            <w:vAlign w:val="bottom"/>
            <w:tcBorders>
              <w:top w:val="single" w:sz="8" w:color="0000FF"/>
              <w:bottom w:val="single" w:sz="8" w:color="auto"/>
            </w:tcBorders>
          </w:tcPr>
          <w:p>
            <w:pPr>
              <w:spacing w:after="0"/>
              <w:rPr>
                <w:sz w:val="6"/>
                <w:szCs w:val="6"/>
                <w:color w:val="auto"/>
              </w:rPr>
            </w:pPr>
          </w:p>
        </w:tc>
        <w:tc>
          <w:tcPr>
            <w:tcW w:w="780" w:type="dxa"/>
            <w:vAlign w:val="bottom"/>
            <w:tcBorders>
              <w:top w:val="single" w:sz="8" w:color="0000FF"/>
              <w:bottom w:val="single" w:sz="8" w:color="auto"/>
            </w:tcBorders>
          </w:tcPr>
          <w:p>
            <w:pPr>
              <w:spacing w:after="0"/>
              <w:rPr>
                <w:sz w:val="6"/>
                <w:szCs w:val="6"/>
                <w:color w:val="auto"/>
              </w:rPr>
            </w:pPr>
          </w:p>
        </w:tc>
        <w:tc>
          <w:tcPr>
            <w:tcW w:w="60" w:type="dxa"/>
            <w:vAlign w:val="bottom"/>
            <w:tcBorders>
              <w:top w:val="single" w:sz="8" w:color="0000FF"/>
              <w:bottom w:val="single" w:sz="8" w:color="auto"/>
            </w:tcBorders>
          </w:tcPr>
          <w:p>
            <w:pPr>
              <w:spacing w:after="0"/>
              <w:rPr>
                <w:sz w:val="6"/>
                <w:szCs w:val="6"/>
                <w:color w:val="auto"/>
              </w:rPr>
            </w:pPr>
          </w:p>
        </w:tc>
        <w:tc>
          <w:tcPr>
            <w:tcW w:w="300" w:type="dxa"/>
            <w:vAlign w:val="bottom"/>
            <w:tcBorders>
              <w:top w:val="single" w:sz="8" w:color="0000FF"/>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3440" w:type="dxa"/>
            <w:vAlign w:val="bottom"/>
            <w:tcBorders>
              <w:bottom w:val="single" w:sz="8" w:color="auto"/>
            </w:tcBorders>
          </w:tcPr>
          <w:p>
            <w:pPr>
              <w:spacing w:after="0"/>
              <w:rPr>
                <w:sz w:val="6"/>
                <w:szCs w:val="6"/>
                <w:color w:val="auto"/>
              </w:rPr>
            </w:pPr>
          </w:p>
        </w:tc>
        <w:tc>
          <w:tcPr>
            <w:tcW w:w="200" w:type="dxa"/>
            <w:vAlign w:val="bottom"/>
            <w:tcBorders>
              <w:top w:val="single" w:sz="8" w:color="0000FF"/>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Report of Independent Registered Public Accounting Firm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Expensify, Inc.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Expensify, Inc. (the Company) as of December 31, 2022 and 2021, the related consolidated statements of operations, convertible preferred stock and stockholders’ equity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in December 31, 2022, in conformity with U.S. generally accepted accounting principles.</w:t>
      </w:r>
    </w:p>
    <w:p>
      <w:pPr>
        <w:spacing w:after="0" w:line="14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8, 2023 expressed an unqualified opinion thereon.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2" w:name="page93"/>
    <w:bookmarkEnd w:id="92"/>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and Employee-Related Expenses</w:t>
      </w:r>
    </w:p>
    <w:p>
      <w:pPr>
        <w:sectPr>
          <w:pgSz w:w="11900" w:h="16838" w:orient="portrait"/>
          <w:cols w:equalWidth="0" w:num="1">
            <w:col w:w="11200"/>
          </w:cols>
          <w:pgMar w:left="340" w:top="1440" w:right="3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200"/>
        <w:spacing w:after="0" w:line="232" w:lineRule="auto"/>
        <w:rPr>
          <w:sz w:val="20"/>
          <w:szCs w:val="20"/>
          <w:color w:val="auto"/>
        </w:rPr>
      </w:pPr>
      <w:r>
        <w:rPr>
          <w:rFonts w:ascii="Arial" w:cs="Arial" w:eastAsia="Arial" w:hAnsi="Arial"/>
          <w:sz w:val="17"/>
          <w:szCs w:val="17"/>
          <w:color w:val="auto"/>
        </w:rPr>
        <w:t>As described in Note 2 to the consolidated financial statements, the Company estimates the allocation of employee and employee-related expenses to the cost of revenue, net, research and development, general and administrative, and sales and marketing financial statement line items</w:t>
      </w:r>
    </w:p>
    <w:p>
      <w:pPr>
        <w:spacing w:after="0" w:line="1" w:lineRule="exact"/>
        <w:rPr>
          <w:sz w:val="20"/>
          <w:szCs w:val="20"/>
          <w:color w:val="auto"/>
        </w:rPr>
      </w:pPr>
    </w:p>
    <w:p>
      <w:pPr>
        <w:sectPr>
          <w:pgSz w:w="11900" w:h="16838" w:orient="portrait"/>
          <w:cols w:equalWidth="0" w:num="2">
            <w:col w:w="2600" w:space="720"/>
            <w:col w:w="7880"/>
          </w:cols>
          <w:pgMar w:left="340" w:top="1440" w:right="359" w:bottom="1440" w:gutter="0" w:footer="0" w:header="0"/>
          <w:type w:val="continuous"/>
        </w:sectPr>
      </w:pPr>
    </w:p>
    <w:p>
      <w:pPr>
        <w:jc w:val="both"/>
        <w:ind w:left="3320" w:right="280"/>
        <w:spacing w:after="0" w:line="208" w:lineRule="auto"/>
        <w:rPr>
          <w:sz w:val="20"/>
          <w:szCs w:val="20"/>
          <w:color w:val="auto"/>
        </w:rPr>
      </w:pPr>
      <w:r>
        <w:rPr>
          <w:rFonts w:ascii="Arial" w:cs="Arial" w:eastAsia="Arial" w:hAnsi="Arial"/>
          <w:sz w:val="18"/>
          <w:szCs w:val="18"/>
          <w:color w:val="auto"/>
        </w:rPr>
        <w:t>on the consolidated statement of income as a result of their generalist model and organizational structure. This allocation requires estimation and judgments by management based on internal productivity and team management tools.</w:t>
      </w:r>
    </w:p>
    <w:p>
      <w:pPr>
        <w:spacing w:after="0" w:line="149" w:lineRule="exact"/>
        <w:rPr>
          <w:sz w:val="20"/>
          <w:szCs w:val="20"/>
          <w:color w:val="auto"/>
        </w:rPr>
      </w:pPr>
    </w:p>
    <w:p>
      <w:pPr>
        <w:jc w:val="both"/>
        <w:ind w:left="3320" w:right="200"/>
        <w:spacing w:after="0" w:line="221" w:lineRule="auto"/>
        <w:rPr>
          <w:sz w:val="20"/>
          <w:szCs w:val="20"/>
          <w:color w:val="auto"/>
        </w:rPr>
      </w:pPr>
      <w:r>
        <w:rPr>
          <w:rFonts w:ascii="Arial" w:cs="Arial" w:eastAsia="Arial" w:hAnsi="Arial"/>
          <w:sz w:val="17"/>
          <w:szCs w:val="17"/>
          <w:color w:val="auto"/>
        </w:rPr>
        <w:t>Auditing the Company’s allocation of employee and employee-related expenses was challenging because it involved the application of subjective management judgments to the productivity and team management data and related allocation output and involved a high degree of subjective</w:t>
      </w:r>
    </w:p>
    <w:p>
      <w:pPr>
        <w:ind w:left="3320"/>
        <w:spacing w:after="0"/>
        <w:rPr>
          <w:sz w:val="20"/>
          <w:szCs w:val="20"/>
          <w:color w:val="auto"/>
        </w:rPr>
      </w:pPr>
      <w:r>
        <w:rPr>
          <w:rFonts w:ascii="Arial" w:cs="Arial" w:eastAsia="Arial" w:hAnsi="Arial"/>
          <w:sz w:val="18"/>
          <w:szCs w:val="18"/>
          <w:color w:val="auto"/>
        </w:rPr>
        <w:t>auditor judgment due to the nature of audit evidence obtained.</w:t>
      </w:r>
    </w:p>
    <w:p>
      <w:pPr>
        <w:sectPr>
          <w:pgSz w:w="11900" w:h="16838" w:orient="portrait"/>
          <w:cols w:equalWidth="0" w:num="1">
            <w:col w:w="11200"/>
          </w:cols>
          <w:pgMar w:left="340" w:top="1440" w:right="359" w:bottom="1440" w:gutter="0" w:footer="0" w:header="0"/>
          <w:type w:val="continuous"/>
        </w:sectPr>
      </w:pPr>
    </w:p>
    <w:p>
      <w:pPr>
        <w:spacing w:after="0" w:line="153"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right="320"/>
        <w:spacing w:after="0" w:line="232"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employee and employee-related expense allocation process. This included, among others, controls over the data used in the allocation process, management’s</w:t>
      </w:r>
    </w:p>
    <w:p>
      <w:pPr>
        <w:spacing w:after="0" w:line="1" w:lineRule="exact"/>
        <w:rPr>
          <w:sz w:val="20"/>
          <w:szCs w:val="20"/>
          <w:color w:val="auto"/>
        </w:rPr>
      </w:pPr>
    </w:p>
    <w:p>
      <w:pPr>
        <w:sectPr>
          <w:pgSz w:w="11900" w:h="16838" w:orient="portrait"/>
          <w:cols w:equalWidth="0" w:num="2">
            <w:col w:w="2640" w:space="680"/>
            <w:col w:w="7880"/>
          </w:cols>
          <w:pgMar w:left="340" w:top="1440" w:right="359" w:bottom="1440" w:gutter="0" w:footer="0" w:header="0"/>
          <w:type w:val="continuous"/>
        </w:sectPr>
      </w:pPr>
    </w:p>
    <w:p>
      <w:pPr>
        <w:ind w:left="3320" w:right="340"/>
        <w:spacing w:after="0" w:line="211" w:lineRule="auto"/>
        <w:rPr>
          <w:sz w:val="20"/>
          <w:szCs w:val="20"/>
          <w:color w:val="auto"/>
        </w:rPr>
      </w:pPr>
      <w:r>
        <w:rPr>
          <w:rFonts w:ascii="Arial" w:cs="Arial" w:eastAsia="Arial" w:hAnsi="Arial"/>
          <w:sz w:val="18"/>
          <w:szCs w:val="18"/>
          <w:color w:val="auto"/>
        </w:rPr>
        <w:t>review of the allocation output, and the allocation of costs to the related financial statement line items.</w:t>
      </w:r>
    </w:p>
    <w:p>
      <w:pPr>
        <w:spacing w:after="0" w:line="11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Our audit procedures included, among others, obtaining an understanding of management’s</w:t>
      </w:r>
    </w:p>
    <w:p>
      <w:pPr>
        <w:ind w:left="3320" w:right="180"/>
        <w:spacing w:after="0" w:line="221" w:lineRule="auto"/>
        <w:rPr>
          <w:sz w:val="20"/>
          <w:szCs w:val="20"/>
          <w:color w:val="auto"/>
        </w:rPr>
      </w:pPr>
      <w:r>
        <w:rPr>
          <w:rFonts w:ascii="Arial" w:cs="Arial" w:eastAsia="Arial" w:hAnsi="Arial"/>
          <w:sz w:val="17"/>
          <w:szCs w:val="17"/>
          <w:color w:val="auto"/>
        </w:rPr>
        <w:t>process and methodology, testing the completeness and accuracy of the internal productivity and team management data, and evaluating management judgments applied to the data for consistency with prior periods and the Company’s methodology. For a selection of employees we</w:t>
      </w:r>
    </w:p>
    <w:p>
      <w:pPr>
        <w:ind w:left="3320"/>
        <w:spacing w:after="0" w:line="221" w:lineRule="auto"/>
        <w:rPr>
          <w:sz w:val="20"/>
          <w:szCs w:val="20"/>
          <w:color w:val="auto"/>
        </w:rPr>
      </w:pPr>
      <w:r>
        <w:rPr>
          <w:rFonts w:ascii="Arial" w:cs="Arial" w:eastAsia="Arial" w:hAnsi="Arial"/>
          <w:sz w:val="17"/>
          <w:szCs w:val="17"/>
          <w:color w:val="auto"/>
        </w:rPr>
        <w:t>validated the employee’s team assignments and productivity metrics and independently evaluated management’s judgments and allocation output by inspecting documentation of the basis for management judgments and the allocation output. We also interviewed a selection of employees to</w:t>
      </w:r>
    </w:p>
    <w:p>
      <w:pPr>
        <w:ind w:left="3320" w:right="240"/>
        <w:spacing w:after="0" w:line="221" w:lineRule="auto"/>
        <w:rPr>
          <w:sz w:val="20"/>
          <w:szCs w:val="20"/>
          <w:color w:val="auto"/>
        </w:rPr>
      </w:pPr>
      <w:r>
        <w:rPr>
          <w:rFonts w:ascii="Arial" w:cs="Arial" w:eastAsia="Arial" w:hAnsi="Arial"/>
          <w:sz w:val="17"/>
          <w:szCs w:val="17"/>
          <w:color w:val="auto"/>
        </w:rPr>
        <w:t>obtain an understanding of their team assignments and responsibilities as well as members of management responsible for reviewing the productivity and team management data and related allocation output for a selection of employees to evaluate the documentation provided to support</w:t>
      </w:r>
    </w:p>
    <w:p>
      <w:pPr>
        <w:ind w:left="3320" w:right="260"/>
        <w:spacing w:after="0" w:line="221" w:lineRule="auto"/>
        <w:rPr>
          <w:sz w:val="20"/>
          <w:szCs w:val="20"/>
          <w:color w:val="auto"/>
        </w:rPr>
      </w:pPr>
      <w:r>
        <w:rPr>
          <w:rFonts w:ascii="Arial" w:cs="Arial" w:eastAsia="Arial" w:hAnsi="Arial"/>
          <w:sz w:val="17"/>
          <w:szCs w:val="17"/>
          <w:color w:val="auto"/>
        </w:rPr>
        <w:t>the allocation output. In addition, we performed analytical procedures to assess trends in allocations over time for a selection of employees and in aggregate for all employees and evaluated any significant deviations from expectations. Further, we recalculated the allocation of</w:t>
      </w:r>
    </w:p>
    <w:p>
      <w:pPr>
        <w:ind w:left="3320"/>
        <w:spacing w:after="0"/>
        <w:rPr>
          <w:sz w:val="20"/>
          <w:szCs w:val="20"/>
          <w:color w:val="auto"/>
        </w:rPr>
      </w:pPr>
      <w:r>
        <w:rPr>
          <w:rFonts w:ascii="Arial" w:cs="Arial" w:eastAsia="Arial" w:hAnsi="Arial"/>
          <w:sz w:val="18"/>
          <w:szCs w:val="18"/>
          <w:color w:val="auto"/>
        </w:rPr>
        <w:t>costs to the financial statement line items using the underlying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93" w:name="page94"/>
    <w:bookmarkEnd w:id="93"/>
    <w:p>
      <w:pPr>
        <w:spacing w:after="0" w:line="140" w:lineRule="exact"/>
        <w:rPr>
          <w:sz w:val="20"/>
          <w:szCs w:val="20"/>
          <w:color w:val="auto"/>
        </w:rPr>
      </w:pPr>
    </w:p>
    <w:p>
      <w:pPr>
        <w:spacing w:after="0"/>
        <w:rPr>
          <w:sz w:val="20"/>
          <w:szCs w:val="20"/>
          <w:color w:val="auto"/>
        </w:rPr>
      </w:pPr>
      <w:r>
        <w:rPr>
          <w:rFonts w:ascii="Arial" w:cs="Arial" w:eastAsia="Arial" w:hAnsi="Arial"/>
          <w:sz w:val="29"/>
          <w:szCs w:val="29"/>
          <w:color w:val="auto"/>
        </w:rPr>
        <w:t>Report of Independent Registered Public Accounting Firm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Expensify, Inc.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audited Expensify, Inc.’s internal control over financial reporting as of December 31, 2022, based on criteria established in Internal Control—Integrated Framework issued by the Committee of Sponsoring Organizations of the Treadway Commission (2013 framework) (the COSO criteria). In our opinion, Expensify, Inc. (the Company) maintained, in all material respects, effective internal control over financial reporting as of December 31, 2022, based on the COSO criteria.</w:t>
      </w:r>
    </w:p>
    <w:p>
      <w:pPr>
        <w:spacing w:after="0" w:line="13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2022 consolidated financial statements of the Company and our report dated March 8, 2023 expressed an unqualified opinion thereon.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4" w:name="page95"/>
    <w:bookmarkEnd w:id="94"/>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156210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As of December 31,</w:t>
            </w:r>
          </w:p>
        </w:tc>
      </w:tr>
      <w:tr>
        <w:trPr>
          <w:trHeight w:val="236"/>
        </w:trPr>
        <w:tc>
          <w:tcPr>
            <w:tcW w:w="79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20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103,787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98,398</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15,713</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Settlement assets,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35,838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21,880</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7,436</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Related party loan receivable</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14,201</w:t>
            </w:r>
          </w:p>
        </w:tc>
      </w:tr>
      <w:tr>
        <w:trPr>
          <w:trHeight w:val="209"/>
        </w:trPr>
        <w:tc>
          <w:tcPr>
            <w:tcW w:w="7980" w:type="dxa"/>
            <w:vAlign w:val="bottom"/>
          </w:tcPr>
          <w:p>
            <w:pPr>
              <w:ind w:left="780"/>
              <w:spacing w:after="0"/>
              <w:rPr>
                <w:sz w:val="20"/>
                <w:szCs w:val="20"/>
                <w:color w:val="auto"/>
              </w:rPr>
            </w:pPr>
            <w:r>
              <w:rPr>
                <w:rFonts w:ascii="Arial" w:cs="Arial" w:eastAsia="Arial" w:hAnsi="Arial"/>
                <w:sz w:val="16"/>
                <w:szCs w:val="16"/>
                <w:color w:val="auto"/>
              </w:rPr>
              <w:t>Total current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187,115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157,642</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6,359</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15,930</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r>
      <w:tr>
        <w:trPr>
          <w:trHeight w:val="213"/>
        </w:trPr>
        <w:tc>
          <w:tcPr>
            <w:tcW w:w="7980" w:type="dxa"/>
            <w:vAlign w:val="bottom"/>
          </w:tcPr>
          <w:p>
            <w:pPr>
              <w:ind w:left="78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210,241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183,213</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3,752</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11,046</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Borrowings under line of credit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long-term debt, net of original issue discount and debt issuance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Lease liabilities, current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1,549</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21,680</w:t>
            </w:r>
          </w:p>
        </w:tc>
      </w:tr>
      <w:tr>
        <w:trPr>
          <w:trHeight w:val="210"/>
        </w:trPr>
        <w:tc>
          <w:tcPr>
            <w:tcW w:w="7980" w:type="dxa"/>
            <w:vAlign w:val="bottom"/>
          </w:tcPr>
          <w:p>
            <w:pPr>
              <w:ind w:left="780"/>
              <w:spacing w:after="0"/>
              <w:rPr>
                <w:sz w:val="20"/>
                <w:szCs w:val="20"/>
                <w:color w:val="auto"/>
              </w:rPr>
            </w:pPr>
            <w:r>
              <w:rPr>
                <w:rFonts w:ascii="Arial" w:cs="Arial" w:eastAsia="Arial" w:hAnsi="Arial"/>
                <w:sz w:val="16"/>
                <w:szCs w:val="16"/>
                <w:color w:val="auto"/>
              </w:rPr>
              <w:t>Total current liabilities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60,362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53,576</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non-current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original issue discount and debt issuance costs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51,434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52,067</w:t>
            </w:r>
          </w:p>
        </w:tc>
      </w:tr>
      <w:tr>
        <w:trPr>
          <w:trHeight w:val="210"/>
        </w:trPr>
        <w:tc>
          <w:tcPr>
            <w:tcW w:w="7980" w:type="dxa"/>
            <w:vAlign w:val="bottom"/>
          </w:tcPr>
          <w:p>
            <w:pPr>
              <w:ind w:left="780"/>
              <w:spacing w:after="0"/>
              <w:rPr>
                <w:sz w:val="20"/>
                <w:szCs w:val="20"/>
                <w:color w:val="auto"/>
              </w:rPr>
            </w:pPr>
            <w:r>
              <w:rPr>
                <w:rFonts w:ascii="Arial" w:cs="Arial" w:eastAsia="Arial" w:hAnsi="Arial"/>
                <w:sz w:val="16"/>
                <w:szCs w:val="16"/>
                <w:color w:val="auto"/>
              </w:rPr>
              <w:t>Total liabilities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106,598</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8"/>
        </w:trPr>
        <w:tc>
          <w:tcPr>
            <w:tcW w:w="79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Preferred stock, par value $0.0001; 10,000,000 shares of preferred stock authorized as of December 31, 2022</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2"/>
        </w:trPr>
        <w:tc>
          <w:tcPr>
            <w:tcW w:w="798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and 2021, respectively; no shares of preferred stock issued and outstanding as of December 31, 2022 and</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01"/>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7980" w:type="dxa"/>
            <w:vAlign w:val="bottom"/>
          </w:tcPr>
          <w:p>
            <w:pPr>
              <w:ind w:left="20"/>
              <w:spacing w:after="0" w:line="178" w:lineRule="exact"/>
              <w:rPr>
                <w:sz w:val="20"/>
                <w:szCs w:val="20"/>
                <w:color w:val="auto"/>
              </w:rPr>
            </w:pPr>
            <w:r>
              <w:rPr>
                <w:rFonts w:ascii="Arial" w:cs="Arial" w:eastAsia="Arial" w:hAnsi="Arial"/>
                <w:sz w:val="16"/>
                <w:szCs w:val="16"/>
                <w:color w:val="auto"/>
              </w:rPr>
              <w:t>Common stock, par value $0.0001; 1,000,000,000 shares of Class A common stock authorized as of</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7980" w:type="dxa"/>
            <w:vAlign w:val="bottom"/>
          </w:tcPr>
          <w:p>
            <w:pPr>
              <w:ind w:left="180"/>
              <w:spacing w:after="0" w:line="162" w:lineRule="exact"/>
              <w:rPr>
                <w:sz w:val="20"/>
                <w:szCs w:val="20"/>
                <w:color w:val="auto"/>
              </w:rPr>
            </w:pPr>
            <w:r>
              <w:rPr>
                <w:rFonts w:ascii="Arial" w:cs="Arial" w:eastAsia="Arial" w:hAnsi="Arial"/>
                <w:sz w:val="16"/>
                <w:szCs w:val="16"/>
                <w:color w:val="auto"/>
              </w:rPr>
              <w:t>December 31, 2022 and 2021; 68,238,245 and 67,844,060 shares of Class A common stock issued and</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7980" w:type="dxa"/>
            <w:vAlign w:val="bottom"/>
          </w:tcPr>
          <w:p>
            <w:pPr>
              <w:ind w:left="180"/>
              <w:spacing w:after="0" w:line="162" w:lineRule="exact"/>
              <w:rPr>
                <w:sz w:val="20"/>
                <w:szCs w:val="20"/>
                <w:color w:val="auto"/>
              </w:rPr>
            </w:pPr>
            <w:r>
              <w:rPr>
                <w:rFonts w:ascii="Arial" w:cs="Arial" w:eastAsia="Arial" w:hAnsi="Arial"/>
                <w:sz w:val="16"/>
                <w:szCs w:val="16"/>
                <w:color w:val="auto"/>
              </w:rPr>
              <w:t>outstanding as of December 31, 2022 and 2021, respectively; 24,997,561 and 25,000,000 shares of LT10</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7980" w:type="dxa"/>
            <w:vAlign w:val="bottom"/>
          </w:tcPr>
          <w:p>
            <w:pPr>
              <w:ind w:left="180"/>
              <w:spacing w:after="0" w:line="162" w:lineRule="exact"/>
              <w:rPr>
                <w:sz w:val="20"/>
                <w:szCs w:val="20"/>
                <w:color w:val="auto"/>
              </w:rPr>
            </w:pPr>
            <w:r>
              <w:rPr>
                <w:rFonts w:ascii="Arial" w:cs="Arial" w:eastAsia="Arial" w:hAnsi="Arial"/>
                <w:sz w:val="16"/>
                <w:szCs w:val="16"/>
                <w:color w:val="auto"/>
              </w:rPr>
              <w:t>common stock authorized as of December 31, 2022 and 2021, respectively; 7,336,191 and 7,332,640</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7980" w:type="dxa"/>
            <w:vAlign w:val="bottom"/>
          </w:tcPr>
          <w:p>
            <w:pPr>
              <w:ind w:left="180"/>
              <w:spacing w:after="0" w:line="162" w:lineRule="exact"/>
              <w:rPr>
                <w:sz w:val="20"/>
                <w:szCs w:val="20"/>
                <w:color w:val="auto"/>
              </w:rPr>
            </w:pPr>
            <w:r>
              <w:rPr>
                <w:rFonts w:ascii="Arial" w:cs="Arial" w:eastAsia="Arial" w:hAnsi="Arial"/>
                <w:sz w:val="16"/>
                <w:szCs w:val="16"/>
                <w:color w:val="auto"/>
              </w:rPr>
              <w:t>shares of LT10 common stock issued and outstanding as of December 31, 2022 and 2021, respectively;</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7980" w:type="dxa"/>
            <w:vAlign w:val="bottom"/>
          </w:tcPr>
          <w:p>
            <w:pPr>
              <w:ind w:left="180"/>
              <w:spacing w:after="0" w:line="162" w:lineRule="exact"/>
              <w:rPr>
                <w:sz w:val="20"/>
                <w:szCs w:val="20"/>
                <w:color w:val="auto"/>
              </w:rPr>
            </w:pPr>
            <w:r>
              <w:rPr>
                <w:rFonts w:ascii="Arial" w:cs="Arial" w:eastAsia="Arial" w:hAnsi="Arial"/>
                <w:sz w:val="16"/>
                <w:szCs w:val="16"/>
                <w:color w:val="auto"/>
              </w:rPr>
              <w:t>24,999,020 and 25,000,000 shares of LT50 common stock authorized as of December 31, 2022 and 2021,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7980" w:type="dxa"/>
            <w:vAlign w:val="bottom"/>
          </w:tcPr>
          <w:p>
            <w:pPr>
              <w:ind w:left="180"/>
              <w:spacing w:after="0" w:line="162" w:lineRule="exact"/>
              <w:rPr>
                <w:sz w:val="20"/>
                <w:szCs w:val="20"/>
                <w:color w:val="auto"/>
              </w:rPr>
            </w:pPr>
            <w:r>
              <w:rPr>
                <w:rFonts w:ascii="Arial" w:cs="Arial" w:eastAsia="Arial" w:hAnsi="Arial"/>
                <w:sz w:val="16"/>
                <w:szCs w:val="16"/>
                <w:color w:val="auto"/>
              </w:rPr>
              <w:t>respectively; 6,854,931 and 6,224,160 shares of LT50 common stock issued and outstanding as of</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8"/>
        </w:trPr>
        <w:tc>
          <w:tcPr>
            <w:tcW w:w="7980" w:type="dxa"/>
            <w:vAlign w:val="bottom"/>
          </w:tcPr>
          <w:p>
            <w:pPr>
              <w:ind w:left="180"/>
              <w:spacing w:after="0"/>
              <w:rPr>
                <w:sz w:val="20"/>
                <w:szCs w:val="20"/>
                <w:color w:val="auto"/>
              </w:rPr>
            </w:pPr>
            <w:r>
              <w:rPr>
                <w:rFonts w:ascii="Arial" w:cs="Arial" w:eastAsia="Arial" w:hAnsi="Arial"/>
                <w:sz w:val="16"/>
                <w:szCs w:val="16"/>
                <w:color w:val="auto"/>
              </w:rPr>
              <w:t>December 31, 2022 and 2021, respectively</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142,515</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(65,906)</w:t>
            </w:r>
          </w:p>
        </w:tc>
      </w:tr>
      <w:tr>
        <w:trPr>
          <w:trHeight w:val="209"/>
        </w:trPr>
        <w:tc>
          <w:tcPr>
            <w:tcW w:w="7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97,241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76,615</w:t>
            </w:r>
          </w:p>
        </w:tc>
      </w:tr>
      <w:tr>
        <w:trPr>
          <w:trHeight w:val="213"/>
        </w:trPr>
        <w:tc>
          <w:tcPr>
            <w:tcW w:w="7980" w:type="dxa"/>
            <w:vAlign w:val="bottom"/>
          </w:tcPr>
          <w:p>
            <w:pPr>
              <w:ind w:left="76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210,241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183,213</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452120</wp:posOffset>
            </wp:positionV>
            <wp:extent cx="711517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0" w:type="dxa"/>
            <w:vAlign w:val="bottom"/>
          </w:tcPr>
          <w:p>
            <w:pPr>
              <w:spacing w:after="0"/>
              <w:rPr>
                <w:sz w:val="1"/>
                <w:szCs w:val="1"/>
                <w:color w:val="auto"/>
              </w:rPr>
            </w:pPr>
          </w:p>
        </w:tc>
      </w:tr>
      <w:tr>
        <w:trPr>
          <w:trHeight w:val="21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 net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106,826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0" w:type="dxa"/>
            <w:vAlign w:val="bottom"/>
          </w:tcPr>
          <w:p>
            <w:pPr>
              <w:spacing w:after="0"/>
              <w:rPr>
                <w:sz w:val="1"/>
                <w:szCs w:val="1"/>
                <w:color w:val="auto"/>
              </w:rPr>
            </w:pPr>
          </w:p>
        </w:tc>
      </w:tr>
      <w:tr>
        <w:trPr>
          <w:trHeight w:val="193"/>
        </w:trPr>
        <w:tc>
          <w:tcPr>
            <w:tcW w:w="59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0" w:type="dxa"/>
            <w:vAlign w:val="bottom"/>
          </w:tcPr>
          <w:p>
            <w:pPr>
              <w:spacing w:after="0"/>
              <w:rPr>
                <w:sz w:val="1"/>
                <w:szCs w:val="1"/>
                <w:color w:val="auto"/>
              </w:rPr>
            </w:pPr>
          </w:p>
        </w:tc>
      </w:tr>
      <w:tr>
        <w:trPr>
          <w:trHeight w:val="213"/>
        </w:trPr>
        <w:tc>
          <w:tcPr>
            <w:tcW w:w="596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58,490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60,742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33,372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49,876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27,664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122,058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99,394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0" w:type="dxa"/>
            <w:vAlign w:val="bottom"/>
          </w:tcPr>
          <w:p>
            <w:pPr>
              <w:spacing w:after="0"/>
              <w:rPr>
                <w:sz w:val="1"/>
                <w:szCs w:val="1"/>
                <w:color w:val="auto"/>
              </w:rPr>
            </w:pPr>
          </w:p>
        </w:tc>
      </w:tr>
      <w:tr>
        <w:trPr>
          <w:trHeight w:val="21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0" w:type="dxa"/>
            <w:vAlign w:val="bottom"/>
          </w:tcPr>
          <w:p>
            <w:pPr>
              <w:spacing w:after="0"/>
              <w:rPr>
                <w:sz w:val="1"/>
                <w:szCs w:val="1"/>
                <w:color w:val="auto"/>
              </w:rPr>
            </w:pPr>
          </w:p>
        </w:tc>
      </w:tr>
      <w:tr>
        <w:trPr>
          <w:trHeight w:val="21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0" w:type="dxa"/>
            <w:vAlign w:val="bottom"/>
          </w:tcPr>
          <w:p>
            <w:pPr>
              <w:spacing w:after="0"/>
              <w:rPr>
                <w:sz w:val="1"/>
                <w:szCs w:val="1"/>
                <w:color w:val="auto"/>
              </w:rPr>
            </w:pPr>
          </w:p>
        </w:tc>
      </w:tr>
      <w:tr>
        <w:trPr>
          <w:trHeight w:val="23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Class A, LT10 and LT50 common stockholders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Class A, LT10 and LT50 common stockholders: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Arial" w:cs="Arial" w:eastAsia="Arial" w:hAnsi="Arial"/>
                <w:sz w:val="16"/>
                <w:szCs w:val="16"/>
                <w:color w:val="auto"/>
              </w:rPr>
              <w:t>Weighted-average shares of common stock used to compute net loss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9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5960" w:type="dxa"/>
            <w:vAlign w:val="bottom"/>
          </w:tcPr>
          <w:p>
            <w:pPr>
              <w:ind w:left="20"/>
              <w:spacing w:after="0"/>
              <w:rPr>
                <w:sz w:val="20"/>
                <w:szCs w:val="20"/>
                <w:color w:val="auto"/>
              </w:rPr>
            </w:pPr>
            <w:r>
              <w:rPr>
                <w:rFonts w:ascii="Arial" w:cs="Arial" w:eastAsia="Arial" w:hAnsi="Arial"/>
                <w:sz w:val="16"/>
                <w:szCs w:val="16"/>
                <w:color w:val="auto"/>
              </w:rPr>
              <w:t>attributable to Class A, LT10 and LT50 common stockholders: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80,786,725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38,039,222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27,424,480</w:t>
            </w:r>
          </w:p>
        </w:tc>
        <w:tc>
          <w:tcPr>
            <w:tcW w:w="0" w:type="dxa"/>
            <w:vAlign w:val="bottom"/>
          </w:tcPr>
          <w:p>
            <w:pPr>
              <w:spacing w:after="0"/>
              <w:rPr>
                <w:sz w:val="1"/>
                <w:szCs w:val="1"/>
                <w:color w:val="auto"/>
              </w:rPr>
            </w:pPr>
          </w:p>
        </w:tc>
      </w:tr>
      <w:tr>
        <w:trPr>
          <w:trHeight w:val="210"/>
        </w:trPr>
        <w:tc>
          <w:tcPr>
            <w:tcW w:w="5960" w:type="dxa"/>
            <w:vAlign w:val="bottom"/>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80,786,725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38,039,222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27,424,480</w:t>
            </w:r>
          </w:p>
        </w:tc>
        <w:tc>
          <w:tcPr>
            <w:tcW w:w="0" w:type="dxa"/>
            <w:vAlign w:val="bottom"/>
          </w:tcPr>
          <w:p>
            <w:pPr>
              <w:spacing w:after="0"/>
              <w:rPr>
                <w:sz w:val="1"/>
                <w:szCs w:val="1"/>
                <w:color w:val="auto"/>
              </w:rPr>
            </w:pPr>
          </w:p>
        </w:tc>
      </w:tr>
      <w:tr>
        <w:trPr>
          <w:trHeight w:val="60"/>
        </w:trPr>
        <w:tc>
          <w:tcPr>
            <w:tcW w:w="59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Statements of Convertible Preferred Stock and Stockholders’ Equity (Deficit)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1214755</wp:posOffset>
            </wp:positionV>
            <wp:extent cx="7132320" cy="44234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44234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580" w:type="dxa"/>
            <w:vAlign w:val="bottom"/>
          </w:tcPr>
          <w:p>
            <w:pPr>
              <w:spacing w:after="0"/>
              <w:rPr>
                <w:sz w:val="19"/>
                <w:szCs w:val="19"/>
                <w:color w:val="auto"/>
              </w:rPr>
            </w:pPr>
          </w:p>
        </w:tc>
        <w:tc>
          <w:tcPr>
            <w:tcW w:w="23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Convertible preferred stock</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6"/>
                <w:szCs w:val="16"/>
                <w:color w:val="auto"/>
              </w:rPr>
              <w:t>Issuance of common stock upon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580" w:type="dxa"/>
            <w:vAlign w:val="bottom"/>
          </w:tcPr>
          <w:p>
            <w:pPr>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20"/>
                <w:szCs w:val="20"/>
                <w:color w:val="auto"/>
              </w:rPr>
            </w:pPr>
            <w:r>
              <w:rPr>
                <w:rFonts w:ascii="Arial" w:cs="Arial" w:eastAsia="Arial" w:hAnsi="Arial"/>
                <w:sz w:val="16"/>
                <w:szCs w:val="16"/>
                <w:color w:val="auto"/>
              </w:rPr>
              <w:t>Balance at December 31,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21"/>
        </w:trPr>
        <w:tc>
          <w:tcPr>
            <w:tcW w:w="2580" w:type="dxa"/>
            <w:vAlign w:val="bottom"/>
            <w:vMerge w:val="restart"/>
          </w:tcPr>
          <w:p>
            <w:pPr>
              <w:ind w:left="40"/>
              <w:spacing w:after="0"/>
              <w:rPr>
                <w:sz w:val="20"/>
                <w:szCs w:val="20"/>
                <w:color w:val="auto"/>
              </w:rPr>
            </w:pPr>
            <w:r>
              <w:rPr>
                <w:rFonts w:ascii="Arial" w:cs="Arial" w:eastAsia="Arial" w:hAnsi="Arial"/>
                <w:sz w:val="16"/>
                <w:szCs w:val="16"/>
                <w:color w:val="auto"/>
              </w:rPr>
              <w:t>Conversion of convertible</w:t>
            </w: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58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20"/>
              <w:spacing w:after="0"/>
              <w:rPr>
                <w:sz w:val="20"/>
                <w:szCs w:val="20"/>
                <w:color w:val="auto"/>
              </w:rPr>
            </w:pPr>
            <w:r>
              <w:rPr>
                <w:rFonts w:ascii="Arial" w:cs="Arial" w:eastAsia="Arial" w:hAnsi="Arial"/>
                <w:sz w:val="16"/>
                <w:szCs w:val="16"/>
                <w:color w:val="auto"/>
              </w:rPr>
              <w:t>preferred stock to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6"/>
                <w:szCs w:val="16"/>
                <w:color w:val="auto"/>
              </w:rPr>
              <w:t>Issuance of common stock upon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20"/>
              <w:spacing w:after="0"/>
              <w:rPr>
                <w:sz w:val="20"/>
                <w:szCs w:val="20"/>
                <w:color w:val="auto"/>
              </w:rPr>
            </w:pPr>
            <w:r>
              <w:rPr>
                <w:rFonts w:ascii="Arial" w:cs="Arial" w:eastAsia="Arial" w:hAnsi="Arial"/>
                <w:sz w:val="16"/>
                <w:szCs w:val="16"/>
                <w:color w:val="auto"/>
              </w:rPr>
              <w:t>exercise of warrants</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6"/>
                <w:szCs w:val="16"/>
                <w:color w:val="auto"/>
              </w:rPr>
              <w:t>Issuance of common stock upon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20"/>
              <w:spacing w:after="0"/>
              <w:rPr>
                <w:sz w:val="20"/>
                <w:szCs w:val="20"/>
                <w:color w:val="auto"/>
              </w:rPr>
            </w:pPr>
            <w:r>
              <w:rPr>
                <w:rFonts w:ascii="Arial" w:cs="Arial" w:eastAsia="Arial" w:hAnsi="Arial"/>
                <w:sz w:val="16"/>
                <w:szCs w:val="16"/>
                <w:color w:val="auto"/>
              </w:rPr>
              <w:t>initial public offering</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6"/>
                <w:szCs w:val="16"/>
                <w:color w:val="auto"/>
              </w:rPr>
              <w:t>Issuance of common stock upon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6"/>
                <w:szCs w:val="16"/>
                <w:color w:val="auto"/>
              </w:rPr>
              <w:t>Vesting of early exercised stock</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20"/>
              <w:spacing w:after="0"/>
              <w:rPr>
                <w:sz w:val="20"/>
                <w:szCs w:val="20"/>
                <w:color w:val="auto"/>
              </w:rPr>
            </w:pPr>
            <w:r>
              <w:rPr>
                <w:rFonts w:ascii="Arial" w:cs="Arial" w:eastAsia="Arial" w:hAnsi="Arial"/>
                <w:sz w:val="16"/>
                <w:szCs w:val="16"/>
                <w:color w:val="auto"/>
              </w:rPr>
              <w:t>options</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58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Balance at December 31, 2021</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40"/>
              <w:spacing w:after="0"/>
              <w:rPr>
                <w:sz w:val="20"/>
                <w:szCs w:val="20"/>
                <w:color w:val="auto"/>
              </w:rPr>
            </w:pPr>
            <w:r>
              <w:rPr>
                <w:rFonts w:ascii="Arial" w:cs="Arial" w:eastAsia="Arial" w:hAnsi="Arial"/>
                <w:sz w:val="16"/>
                <w:szCs w:val="16"/>
                <w:color w:val="auto"/>
              </w:rPr>
              <w:t>Issuance of common stock upon</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58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6"/>
                <w:szCs w:val="16"/>
                <w:color w:val="auto"/>
              </w:rPr>
              <w:t>Vesting of early exercised stock</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20"/>
              <w:spacing w:after="0"/>
              <w:rPr>
                <w:sz w:val="20"/>
                <w:szCs w:val="20"/>
                <w:color w:val="auto"/>
              </w:rPr>
            </w:pPr>
            <w:r>
              <w:rPr>
                <w:rFonts w:ascii="Arial" w:cs="Arial" w:eastAsia="Arial" w:hAnsi="Arial"/>
                <w:sz w:val="16"/>
                <w:szCs w:val="16"/>
                <w:color w:val="auto"/>
              </w:rPr>
              <w:t>options</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6"/>
                <w:szCs w:val="16"/>
                <w:color w:val="auto"/>
              </w:rPr>
              <w:t>Issuance of restricted stock units</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6"/>
                <w:szCs w:val="16"/>
                <w:color w:val="auto"/>
              </w:rPr>
              <w:t>Repurchases of early exercised</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6"/>
                <w:szCs w:val="16"/>
                <w:color w:val="auto"/>
              </w:rPr>
              <w:t>Issuance of common stock under</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20"/>
              <w:spacing w:after="0"/>
              <w:rPr>
                <w:sz w:val="20"/>
                <w:szCs w:val="20"/>
                <w:color w:val="auto"/>
              </w:rPr>
            </w:pPr>
            <w:r>
              <w:rPr>
                <w:rFonts w:ascii="Arial" w:cs="Arial" w:eastAsia="Arial" w:hAnsi="Arial"/>
                <w:sz w:val="16"/>
                <w:szCs w:val="16"/>
                <w:color w:val="auto"/>
              </w:rPr>
              <w:t>Matching Plan</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580" w:type="dxa"/>
            <w:vAlign w:val="bottom"/>
          </w:tcPr>
          <w:p>
            <w:pPr>
              <w:ind w:left="40"/>
              <w:spacing w:after="0"/>
              <w:rPr>
                <w:sz w:val="20"/>
                <w:szCs w:val="20"/>
                <w:color w:val="auto"/>
              </w:rPr>
            </w:pPr>
            <w:r>
              <w:rPr>
                <w:rFonts w:ascii="Arial" w:cs="Arial" w:eastAsia="Arial" w:hAnsi="Arial"/>
                <w:sz w:val="16"/>
                <w:szCs w:val="16"/>
                <w:color w:val="auto"/>
              </w:rPr>
              <w:t>Issuance of common stock in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120"/>
              <w:spacing w:after="0" w:line="162" w:lineRule="exact"/>
              <w:rPr>
                <w:sz w:val="20"/>
                <w:szCs w:val="20"/>
                <w:color w:val="auto"/>
              </w:rPr>
            </w:pPr>
            <w:r>
              <w:rPr>
                <w:rFonts w:ascii="Arial" w:cs="Arial" w:eastAsia="Arial" w:hAnsi="Arial"/>
                <w:sz w:val="16"/>
                <w:szCs w:val="16"/>
                <w:color w:val="auto"/>
              </w:rPr>
              <w:t>connection with restricted stock</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120"/>
              <w:spacing w:after="0"/>
              <w:rPr>
                <w:sz w:val="20"/>
                <w:szCs w:val="20"/>
                <w:color w:val="auto"/>
              </w:rPr>
            </w:pPr>
            <w:r>
              <w:rPr>
                <w:rFonts w:ascii="Arial" w:cs="Arial" w:eastAsia="Arial" w:hAnsi="Arial"/>
                <w:sz w:val="16"/>
                <w:szCs w:val="16"/>
                <w:color w:val="auto"/>
              </w:rPr>
              <w:t>units vesting</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120" w:type="dxa"/>
            <w:vAlign w:val="bottom"/>
            <w:gridSpan w:val="3"/>
            <w:vMerge w:val="restart"/>
          </w:tcPr>
          <w:p>
            <w:pPr>
              <w:jc w:val="right"/>
              <w:ind w:right="259"/>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0"/>
        </w:trPr>
        <w:tc>
          <w:tcPr>
            <w:tcW w:w="212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40"/>
              <w:spacing w:after="0" w:line="180" w:lineRule="exact"/>
              <w:rPr>
                <w:sz w:val="20"/>
                <w:szCs w:val="20"/>
                <w:color w:val="auto"/>
              </w:rPr>
            </w:pPr>
            <w:r>
              <w:rPr>
                <w:rFonts w:ascii="Arial" w:cs="Arial" w:eastAsia="Arial" w:hAnsi="Arial"/>
                <w:sz w:val="16"/>
                <w:szCs w:val="16"/>
                <w:b w:val="1"/>
                <w:bCs w:val="1"/>
                <w:color w:val="auto"/>
              </w:rPr>
              <w:t>Additional</w:t>
            </w:r>
          </w:p>
        </w:tc>
        <w:tc>
          <w:tcPr>
            <w:tcW w:w="1260" w:type="dxa"/>
            <w:vAlign w:val="bottom"/>
            <w:gridSpan w:val="3"/>
          </w:tcPr>
          <w:p>
            <w:pPr>
              <w:jc w:val="right"/>
              <w:ind w:right="160"/>
              <w:spacing w:after="0" w:line="180" w:lineRule="exact"/>
              <w:rPr>
                <w:sz w:val="20"/>
                <w:szCs w:val="20"/>
                <w:color w:val="auto"/>
              </w:rPr>
            </w:pPr>
            <w:r>
              <w:rPr>
                <w:rFonts w:ascii="Arial" w:cs="Arial" w:eastAsia="Arial" w:hAnsi="Arial"/>
                <w:sz w:val="16"/>
                <w:szCs w:val="16"/>
                <w:b w:val="1"/>
                <w:bCs w:val="1"/>
                <w:color w:val="auto"/>
              </w:rPr>
              <w:t>Accumulated</w:t>
            </w:r>
          </w:p>
        </w:tc>
        <w:tc>
          <w:tcPr>
            <w:tcW w:w="1180" w:type="dxa"/>
            <w:vAlign w:val="bottom"/>
            <w:gridSpan w:val="2"/>
          </w:tcPr>
          <w:p>
            <w:pPr>
              <w:ind w:left="40"/>
              <w:spacing w:after="0" w:line="180"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paid-in capital</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10"/>
        </w:trPr>
        <w:tc>
          <w:tcPr>
            <w:tcW w:w="1160" w:type="dxa"/>
            <w:vAlign w:val="bottom"/>
          </w:tcPr>
          <w:p>
            <w:pPr>
              <w:jc w:val="right"/>
              <w:spacing w:after="0"/>
              <w:rPr>
                <w:sz w:val="20"/>
                <w:szCs w:val="20"/>
                <w:color w:val="auto"/>
              </w:rPr>
            </w:pPr>
            <w:r>
              <w:rPr>
                <w:rFonts w:ascii="Arial" w:cs="Arial" w:eastAsia="Arial" w:hAnsi="Arial"/>
                <w:sz w:val="16"/>
                <w:szCs w:val="16"/>
                <w:color w:val="auto"/>
              </w:rPr>
              <w:t>26,589,930</w:t>
            </w:r>
          </w:p>
        </w:tc>
        <w:tc>
          <w:tcPr>
            <w:tcW w:w="8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2,174</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(50,638)</w:t>
            </w:r>
          </w:p>
        </w:tc>
        <w:tc>
          <w:tcPr>
            <w:tcW w:w="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(48,464)</w:t>
            </w:r>
          </w:p>
        </w:tc>
        <w:tc>
          <w:tcPr>
            <w:tcW w:w="0" w:type="dxa"/>
            <w:vAlign w:val="bottom"/>
          </w:tcPr>
          <w:p>
            <w:pPr>
              <w:spacing w:after="0"/>
              <w:rPr>
                <w:sz w:val="1"/>
                <w:szCs w:val="1"/>
                <w:color w:val="auto"/>
              </w:rPr>
            </w:pPr>
          </w:p>
        </w:tc>
      </w:tr>
      <w:tr>
        <w:trPr>
          <w:trHeight w:val="378"/>
        </w:trPr>
        <w:tc>
          <w:tcPr>
            <w:tcW w:w="1160" w:type="dxa"/>
            <w:vAlign w:val="bottom"/>
          </w:tcPr>
          <w:p>
            <w:pPr>
              <w:jc w:val="right"/>
              <w:spacing w:after="0"/>
              <w:rPr>
                <w:sz w:val="20"/>
                <w:szCs w:val="20"/>
                <w:color w:val="auto"/>
              </w:rPr>
            </w:pPr>
            <w:r>
              <w:rPr>
                <w:rFonts w:ascii="Arial" w:cs="Arial" w:eastAsia="Arial" w:hAnsi="Arial"/>
                <w:sz w:val="16"/>
                <w:szCs w:val="16"/>
                <w:color w:val="auto"/>
              </w:rPr>
              <w:t>2,777,010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16"/>
        </w:trPr>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17,837</w:t>
            </w:r>
          </w:p>
        </w:tc>
        <w:tc>
          <w:tcPr>
            <w:tcW w:w="0" w:type="dxa"/>
            <w:vAlign w:val="bottom"/>
          </w:tcPr>
          <w:p>
            <w:pPr>
              <w:spacing w:after="0"/>
              <w:rPr>
                <w:sz w:val="1"/>
                <w:szCs w:val="1"/>
                <w:color w:val="auto"/>
              </w:rPr>
            </w:pPr>
          </w:p>
        </w:tc>
      </w:tr>
      <w:tr>
        <w:trPr>
          <w:trHeight w:val="219"/>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09"/>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29,366,940</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21,312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(52,348)</w:t>
            </w:r>
          </w:p>
        </w:tc>
        <w:tc>
          <w:tcPr>
            <w:tcW w:w="8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(31,036)</w:t>
            </w: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160" w:type="dxa"/>
            <w:vAlign w:val="bottom"/>
          </w:tcPr>
          <w:p>
            <w:pPr>
              <w:jc w:val="right"/>
              <w:spacing w:after="0"/>
              <w:rPr>
                <w:sz w:val="20"/>
                <w:szCs w:val="20"/>
                <w:color w:val="auto"/>
              </w:rPr>
            </w:pPr>
            <w:r>
              <w:rPr>
                <w:rFonts w:ascii="Arial" w:cs="Arial" w:eastAsia="Arial" w:hAnsi="Arial"/>
                <w:sz w:val="16"/>
                <w:szCs w:val="16"/>
                <w:color w:val="auto"/>
              </w:rPr>
              <w:t>42,031,390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45,100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378"/>
        </w:trPr>
        <w:tc>
          <w:tcPr>
            <w:tcW w:w="1160" w:type="dxa"/>
            <w:vAlign w:val="bottom"/>
          </w:tcPr>
          <w:p>
            <w:pPr>
              <w:jc w:val="right"/>
              <w:spacing w:after="0"/>
              <w:rPr>
                <w:sz w:val="20"/>
                <w:szCs w:val="20"/>
                <w:color w:val="auto"/>
              </w:rPr>
            </w:pPr>
            <w:r>
              <w:rPr>
                <w:rFonts w:ascii="Arial" w:cs="Arial" w:eastAsia="Arial" w:hAnsi="Arial"/>
                <w:sz w:val="16"/>
                <w:szCs w:val="16"/>
                <w:color w:val="auto"/>
              </w:rPr>
              <w:t>428,067</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160" w:type="dxa"/>
            <w:vAlign w:val="bottom"/>
          </w:tcPr>
          <w:p>
            <w:pPr>
              <w:jc w:val="right"/>
              <w:spacing w:after="0"/>
              <w:rPr>
                <w:sz w:val="20"/>
                <w:szCs w:val="20"/>
                <w:color w:val="auto"/>
              </w:rPr>
            </w:pPr>
            <w:r>
              <w:rPr>
                <w:rFonts w:ascii="Arial" w:cs="Arial" w:eastAsia="Arial" w:hAnsi="Arial"/>
                <w:sz w:val="16"/>
                <w:szCs w:val="16"/>
                <w:color w:val="auto"/>
              </w:rPr>
              <w:t>2,608,696</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57,458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57,458</w:t>
            </w:r>
          </w:p>
        </w:tc>
        <w:tc>
          <w:tcPr>
            <w:tcW w:w="0" w:type="dxa"/>
            <w:vAlign w:val="bottom"/>
          </w:tcPr>
          <w:p>
            <w:pPr>
              <w:spacing w:after="0"/>
              <w:rPr>
                <w:sz w:val="1"/>
                <w:szCs w:val="1"/>
                <w:color w:val="auto"/>
              </w:rPr>
            </w:pPr>
          </w:p>
        </w:tc>
      </w:tr>
      <w:tr>
        <w:trPr>
          <w:trHeight w:val="378"/>
        </w:trPr>
        <w:tc>
          <w:tcPr>
            <w:tcW w:w="1160" w:type="dxa"/>
            <w:vAlign w:val="bottom"/>
          </w:tcPr>
          <w:p>
            <w:pPr>
              <w:jc w:val="right"/>
              <w:spacing w:after="0"/>
              <w:rPr>
                <w:sz w:val="20"/>
                <w:szCs w:val="20"/>
                <w:color w:val="auto"/>
              </w:rPr>
            </w:pPr>
            <w:r>
              <w:rPr>
                <w:rFonts w:ascii="Arial" w:cs="Arial" w:eastAsia="Arial" w:hAnsi="Arial"/>
                <w:sz w:val="16"/>
                <w:szCs w:val="16"/>
                <w:color w:val="auto"/>
              </w:rPr>
              <w:t>6,965,767</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3,505</w:t>
            </w:r>
          </w:p>
        </w:tc>
        <w:tc>
          <w:tcPr>
            <w:tcW w:w="0" w:type="dxa"/>
            <w:vAlign w:val="bottom"/>
          </w:tcPr>
          <w:p>
            <w:pPr>
              <w:spacing w:after="0"/>
              <w:rPr>
                <w:sz w:val="1"/>
                <w:szCs w:val="1"/>
                <w:color w:val="auto"/>
              </w:rPr>
            </w:pPr>
          </w:p>
        </w:tc>
      </w:tr>
      <w:tr>
        <w:trPr>
          <w:trHeight w:val="378"/>
        </w:trPr>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6"/>
        </w:trPr>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14,574</w:t>
            </w:r>
          </w:p>
        </w:tc>
        <w:tc>
          <w:tcPr>
            <w:tcW w:w="0" w:type="dxa"/>
            <w:vAlign w:val="bottom"/>
          </w:tcPr>
          <w:p>
            <w:pPr>
              <w:spacing w:after="0"/>
              <w:rPr>
                <w:sz w:val="1"/>
                <w:szCs w:val="1"/>
                <w:color w:val="auto"/>
              </w:rPr>
            </w:pPr>
          </w:p>
        </w:tc>
      </w:tr>
      <w:tr>
        <w:trPr>
          <w:trHeight w:val="219"/>
        </w:trPr>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(13,558)</w:t>
            </w:r>
          </w:p>
        </w:tc>
        <w:tc>
          <w:tcPr>
            <w:tcW w:w="0" w:type="dxa"/>
            <w:vAlign w:val="bottom"/>
          </w:tcPr>
          <w:p>
            <w:pPr>
              <w:spacing w:after="0"/>
              <w:rPr>
                <w:sz w:val="1"/>
                <w:szCs w:val="1"/>
                <w:color w:val="auto"/>
              </w:rPr>
            </w:pPr>
          </w:p>
        </w:tc>
      </w:tr>
      <w:tr>
        <w:trPr>
          <w:trHeight w:val="209"/>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81,400,860</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142,515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(65,906)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76,615</w:t>
            </w:r>
          </w:p>
        </w:tc>
        <w:tc>
          <w:tcPr>
            <w:tcW w:w="0" w:type="dxa"/>
            <w:vAlign w:val="bottom"/>
          </w:tcPr>
          <w:p>
            <w:pPr>
              <w:spacing w:after="0"/>
              <w:rPr>
                <w:sz w:val="1"/>
                <w:szCs w:val="1"/>
                <w:color w:val="auto"/>
              </w:rPr>
            </w:pPr>
          </w:p>
        </w:tc>
      </w:tr>
      <w:tr>
        <w:trPr>
          <w:trHeight w:val="24"/>
        </w:trPr>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160" w:type="dxa"/>
            <w:vAlign w:val="bottom"/>
          </w:tcPr>
          <w:p>
            <w:pPr>
              <w:jc w:val="right"/>
              <w:spacing w:after="0"/>
              <w:rPr>
                <w:sz w:val="20"/>
                <w:szCs w:val="20"/>
                <w:color w:val="auto"/>
              </w:rPr>
            </w:pPr>
            <w:r>
              <w:rPr>
                <w:rFonts w:ascii="Arial" w:cs="Arial" w:eastAsia="Arial" w:hAnsi="Arial"/>
                <w:sz w:val="16"/>
                <w:szCs w:val="16"/>
                <w:color w:val="auto"/>
              </w:rPr>
              <w:t>478,547</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378"/>
        </w:trPr>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6"/>
        </w:trPr>
        <w:tc>
          <w:tcPr>
            <w:tcW w:w="1160" w:type="dxa"/>
            <w:vAlign w:val="bottom"/>
          </w:tcPr>
          <w:p>
            <w:pPr>
              <w:jc w:val="right"/>
              <w:spacing w:after="0"/>
              <w:rPr>
                <w:sz w:val="20"/>
                <w:szCs w:val="20"/>
                <w:color w:val="auto"/>
              </w:rPr>
            </w:pPr>
            <w:r>
              <w:rPr>
                <w:rFonts w:ascii="Arial" w:cs="Arial" w:eastAsia="Arial" w:hAnsi="Arial"/>
                <w:sz w:val="16"/>
                <w:szCs w:val="16"/>
                <w:color w:val="auto"/>
              </w:rPr>
              <w:t>14,719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78"/>
        </w:trPr>
        <w:tc>
          <w:tcPr>
            <w:tcW w:w="1160" w:type="dxa"/>
            <w:vAlign w:val="bottom"/>
          </w:tcPr>
          <w:p>
            <w:pPr>
              <w:jc w:val="right"/>
              <w:spacing w:after="0"/>
              <w:rPr>
                <w:sz w:val="20"/>
                <w:szCs w:val="20"/>
                <w:color w:val="auto"/>
              </w:rPr>
            </w:pPr>
            <w:r>
              <w:rPr>
                <w:rFonts w:ascii="Arial" w:cs="Arial" w:eastAsia="Arial" w:hAnsi="Arial"/>
                <w:sz w:val="16"/>
                <w:szCs w:val="16"/>
                <w:color w:val="auto"/>
              </w:rPr>
              <w:t>(17,079)</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78"/>
        </w:trPr>
        <w:tc>
          <w:tcPr>
            <w:tcW w:w="1160" w:type="dxa"/>
            <w:vAlign w:val="bottom"/>
          </w:tcPr>
          <w:p>
            <w:pPr>
              <w:jc w:val="right"/>
              <w:spacing w:after="0"/>
              <w:rPr>
                <w:sz w:val="20"/>
                <w:szCs w:val="20"/>
                <w:color w:val="auto"/>
              </w:rPr>
            </w:pPr>
            <w:r>
              <w:rPr>
                <w:rFonts w:ascii="Arial" w:cs="Arial" w:eastAsia="Arial" w:hAnsi="Arial"/>
                <w:sz w:val="16"/>
                <w:szCs w:val="16"/>
                <w:color w:val="auto"/>
              </w:rPr>
              <w:t>294,397</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3,672</w:t>
            </w:r>
          </w:p>
        </w:tc>
        <w:tc>
          <w:tcPr>
            <w:tcW w:w="0" w:type="dxa"/>
            <w:vAlign w:val="bottom"/>
          </w:tcPr>
          <w:p>
            <w:pPr>
              <w:spacing w:after="0"/>
              <w:rPr>
                <w:sz w:val="1"/>
                <w:szCs w:val="1"/>
                <w:color w:val="auto"/>
              </w:rPr>
            </w:pPr>
          </w:p>
        </w:tc>
      </w:tr>
      <w:tr>
        <w:trPr>
          <w:trHeight w:val="540"/>
        </w:trPr>
        <w:tc>
          <w:tcPr>
            <w:tcW w:w="1160" w:type="dxa"/>
            <w:vAlign w:val="bottom"/>
          </w:tcPr>
          <w:p>
            <w:pPr>
              <w:jc w:val="right"/>
              <w:spacing w:after="0"/>
              <w:rPr>
                <w:sz w:val="20"/>
                <w:szCs w:val="20"/>
                <w:color w:val="auto"/>
              </w:rPr>
            </w:pPr>
            <w:r>
              <w:rPr>
                <w:rFonts w:ascii="Arial" w:cs="Arial" w:eastAsia="Arial" w:hAnsi="Arial"/>
                <w:sz w:val="16"/>
                <w:szCs w:val="16"/>
                <w:color w:val="auto"/>
              </w:rPr>
              <w:t>1,268,026</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960" w:space="160"/>
            <w:col w:w="6120"/>
          </w:cols>
          <w:pgMar w:left="320" w:top="118" w:right="339" w:bottom="1440" w:gutter="0" w:footer="0" w:header="0"/>
          <w:type w:val="continuous"/>
        </w:sect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ind w:left="60"/>
              <w:spacing w:after="0"/>
              <w:rPr>
                <w:sz w:val="20"/>
                <w:szCs w:val="20"/>
                <w:color w:val="auto"/>
              </w:rPr>
            </w:pPr>
            <w:r>
              <w:rPr>
                <w:rFonts w:ascii="Arial" w:cs="Arial" w:eastAsia="Arial" w:hAnsi="Arial"/>
                <w:sz w:val="16"/>
                <w:szCs w:val="16"/>
                <w:color w:val="auto"/>
              </w:rPr>
              <w:t>Shares withheld from common</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62"/>
        </w:trPr>
        <w:tc>
          <w:tcPr>
            <w:tcW w:w="2660" w:type="dxa"/>
            <w:vAlign w:val="bottom"/>
          </w:tcPr>
          <w:p>
            <w:pPr>
              <w:ind w:left="140"/>
              <w:spacing w:after="0" w:line="162" w:lineRule="exact"/>
              <w:rPr>
                <w:sz w:val="20"/>
                <w:szCs w:val="20"/>
                <w:color w:val="auto"/>
              </w:rPr>
            </w:pPr>
            <w:r>
              <w:rPr>
                <w:rFonts w:ascii="Arial" w:cs="Arial" w:eastAsia="Arial" w:hAnsi="Arial"/>
                <w:sz w:val="16"/>
                <w:szCs w:val="16"/>
                <w:color w:val="auto"/>
              </w:rPr>
              <w:t>stock issued to pay employee</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8"/>
        </w:trPr>
        <w:tc>
          <w:tcPr>
            <w:tcW w:w="2660" w:type="dxa"/>
            <w:vAlign w:val="bottom"/>
          </w:tcPr>
          <w:p>
            <w:pPr>
              <w:ind w:left="140"/>
              <w:spacing w:after="0"/>
              <w:rPr>
                <w:sz w:val="20"/>
                <w:szCs w:val="20"/>
                <w:color w:val="auto"/>
              </w:rPr>
            </w:pPr>
            <w:r>
              <w:rPr>
                <w:rFonts w:ascii="Arial" w:cs="Arial" w:eastAsia="Arial" w:hAnsi="Arial"/>
                <w:sz w:val="16"/>
                <w:szCs w:val="16"/>
                <w:color w:val="auto"/>
              </w:rPr>
              <w:t>payroll taxes</w:t>
            </w:r>
          </w:p>
        </w:tc>
        <w:tc>
          <w:tcPr>
            <w:tcW w:w="170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(411,023)</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(6,160)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(6,160)</w:t>
            </w:r>
          </w:p>
        </w:tc>
      </w:tr>
      <w:tr>
        <w:trPr>
          <w:trHeight w:val="180"/>
        </w:trPr>
        <w:tc>
          <w:tcPr>
            <w:tcW w:w="2660" w:type="dxa"/>
            <w:vAlign w:val="bottom"/>
            <w:shd w:val="clear" w:color="auto" w:fill="CCEEFF"/>
          </w:tcPr>
          <w:p>
            <w:pPr>
              <w:ind w:left="60"/>
              <w:spacing w:after="0" w:line="181" w:lineRule="exact"/>
              <w:rPr>
                <w:sz w:val="20"/>
                <w:szCs w:val="20"/>
                <w:color w:val="auto"/>
              </w:rPr>
            </w:pPr>
            <w:r>
              <w:rPr>
                <w:rFonts w:ascii="Arial" w:cs="Arial" w:eastAsia="Arial" w:hAnsi="Arial"/>
                <w:sz w:val="16"/>
                <w:szCs w:val="16"/>
                <w:color w:val="auto"/>
              </w:rPr>
              <w:t>Repurchase and retirement of</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1"/>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w:t>
            </w:r>
          </w:p>
        </w:tc>
        <w:tc>
          <w:tcPr>
            <w:tcW w:w="170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(599,080)</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2660" w:type="dxa"/>
            <w:vAlign w:val="bottom"/>
          </w:tcPr>
          <w:p>
            <w:pPr>
              <w:ind w:left="60"/>
              <w:spacing w:after="0"/>
              <w:rPr>
                <w:sz w:val="20"/>
                <w:szCs w:val="20"/>
                <w:color w:val="auto"/>
              </w:rPr>
            </w:pPr>
            <w:r>
              <w:rPr>
                <w:rFonts w:ascii="Arial" w:cs="Arial" w:eastAsia="Arial" w:hAnsi="Arial"/>
                <w:sz w:val="16"/>
                <w:szCs w:val="16"/>
                <w:color w:val="auto"/>
              </w:rPr>
              <w:t>Stock-based compensation</w:t>
            </w:r>
          </w:p>
        </w:tc>
        <w:tc>
          <w:tcPr>
            <w:tcW w:w="170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54,089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54,089</w:t>
            </w:r>
          </w:p>
        </w:tc>
      </w:tr>
      <w:tr>
        <w:trPr>
          <w:trHeight w:val="216"/>
        </w:trPr>
        <w:tc>
          <w:tcPr>
            <w:tcW w:w="26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(27,009)</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1700" w:type="dxa"/>
            <w:vAlign w:val="bottom"/>
            <w:gridSpan w:val="3"/>
          </w:tcPr>
          <w:p>
            <w:pPr>
              <w:ind w:left="880"/>
              <w:spacing w:after="0"/>
              <w:rPr>
                <w:sz w:val="20"/>
                <w:szCs w:val="20"/>
                <w:color w:val="auto"/>
              </w:rPr>
            </w:pPr>
            <w:r>
              <w:rPr>
                <w:rFonts w:ascii="Arial" w:cs="Arial" w:eastAsia="Arial" w:hAnsi="Arial"/>
                <w:sz w:val="16"/>
                <w:szCs w:val="16"/>
                <w:color w:val="auto"/>
              </w:rPr>
              <w:t>—  $</w:t>
            </w:r>
          </w:p>
        </w:tc>
        <w:tc>
          <w:tcPr>
            <w:tcW w:w="740" w:type="dxa"/>
            <w:vAlign w:val="bottom"/>
            <w:tcBorders>
              <w:right w:val="single" w:sz="8" w:color="auto"/>
            </w:tcBorders>
            <w:gridSpan w:val="2"/>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82,429,367</w:t>
            </w:r>
          </w:p>
        </w:tc>
        <w:tc>
          <w:tcPr>
            <w:tcW w:w="8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194,807</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(97,573)</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97,241</w:t>
            </w:r>
          </w:p>
        </w:tc>
      </w:tr>
      <w:tr>
        <w:trPr>
          <w:trHeight w:val="20"/>
        </w:trPr>
        <w:tc>
          <w:tcPr>
            <w:tcW w:w="2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7"/>
              </w:rPr>
              <w:t>(27,009)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(13,558)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cash provided by operating activities: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Reduction of operating lease right-of-use assets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4"/>
                <w:szCs w:val="14"/>
                <w:color w:val="auto"/>
              </w:rPr>
              <w:t>Loss on impairment, receivables and sale or disposal of equipment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17,837</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4"/>
                <w:szCs w:val="14"/>
                <w:color w:val="auto"/>
              </w:rPr>
              <w:t>Amortization of original issue discount and debt issuance costs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assets, net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Prepaid expenses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Related party loan receivable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Operating lease liabilities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liabilities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(16,548)</w:t>
            </w:r>
          </w:p>
        </w:tc>
        <w:tc>
          <w:tcPr>
            <w:tcW w:w="0" w:type="dxa"/>
            <w:vAlign w:val="bottom"/>
          </w:tcPr>
          <w:p>
            <w:pPr>
              <w:spacing w:after="0"/>
              <w:rPr>
                <w:sz w:val="1"/>
                <w:szCs w:val="1"/>
                <w:color w:val="auto"/>
              </w:rPr>
            </w:pPr>
          </w:p>
        </w:tc>
      </w:tr>
      <w:tr>
        <w:trPr>
          <w:trHeight w:val="213"/>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liabilities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13"/>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0" w:type="dxa"/>
            <w:vAlign w:val="bottom"/>
          </w:tcPr>
          <w:p>
            <w:pPr>
              <w:spacing w:after="0"/>
              <w:rPr>
                <w:sz w:val="1"/>
                <w:szCs w:val="1"/>
                <w:color w:val="auto"/>
              </w:rPr>
            </w:pPr>
          </w:p>
        </w:tc>
      </w:tr>
      <w:tr>
        <w:trPr>
          <w:trHeight w:val="177"/>
        </w:trPr>
        <w:tc>
          <w:tcPr>
            <w:tcW w:w="60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property and equipment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Proceeds from sale or disposal of property and equipment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Software development costs</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0" w:type="dxa"/>
            <w:vAlign w:val="bottom"/>
          </w:tcPr>
          <w:p>
            <w:pPr>
              <w:spacing w:after="0"/>
              <w:rPr>
                <w:sz w:val="1"/>
                <w:szCs w:val="1"/>
                <w:color w:val="auto"/>
              </w:rPr>
            </w:pPr>
          </w:p>
        </w:tc>
      </w:tr>
      <w:tr>
        <w:trPr>
          <w:trHeight w:val="20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(4,295)</w:t>
            </w:r>
          </w:p>
        </w:tc>
        <w:tc>
          <w:tcPr>
            <w:tcW w:w="0" w:type="dxa"/>
            <w:vAlign w:val="bottom"/>
          </w:tcPr>
          <w:p>
            <w:pPr>
              <w:spacing w:after="0"/>
              <w:rPr>
                <w:sz w:val="1"/>
                <w:szCs w:val="1"/>
                <w:color w:val="auto"/>
              </w:rPr>
            </w:pPr>
          </w:p>
        </w:tc>
      </w:tr>
      <w:tr>
        <w:trPr>
          <w:trHeight w:val="18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Principal payments of finance leases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payments of term loan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Proceeds from term loan</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payments of line of credit</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Proceeds from line of credit</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9,613</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Vesting of restricted common stock</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3"/>
        </w:trPr>
        <w:tc>
          <w:tcPr>
            <w:tcW w:w="6000" w:type="dxa"/>
            <w:vAlign w:val="bottom"/>
          </w:tcPr>
          <w:p>
            <w:pPr>
              <w:ind w:left="140"/>
              <w:spacing w:after="0" w:line="153" w:lineRule="exact"/>
              <w:rPr>
                <w:sz w:val="20"/>
                <w:szCs w:val="20"/>
                <w:color w:val="auto"/>
              </w:rPr>
            </w:pPr>
            <w:r>
              <w:rPr>
                <w:rFonts w:ascii="Arial" w:cs="Arial" w:eastAsia="Arial" w:hAnsi="Arial"/>
                <w:sz w:val="14"/>
                <w:szCs w:val="14"/>
                <w:color w:val="auto"/>
              </w:rPr>
              <w:t>Proceeds from initial public offering, net of underwriters' discounts, commissions and</w:t>
            </w:r>
          </w:p>
        </w:tc>
        <w:tc>
          <w:tcPr>
            <w:tcW w:w="104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57,458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6000" w:type="dxa"/>
            <w:vAlign w:val="bottom"/>
          </w:tcPr>
          <w:p>
            <w:pPr>
              <w:ind w:left="140"/>
              <w:spacing w:after="0"/>
              <w:rPr>
                <w:sz w:val="20"/>
                <w:szCs w:val="20"/>
                <w:color w:val="auto"/>
              </w:rPr>
            </w:pPr>
            <w:r>
              <w:rPr>
                <w:rFonts w:ascii="Arial" w:cs="Arial" w:eastAsia="Arial" w:hAnsi="Arial"/>
                <w:sz w:val="14"/>
                <w:szCs w:val="14"/>
                <w:color w:val="auto"/>
              </w:rPr>
              <w:t>offering costs</w:t>
            </w:r>
          </w:p>
        </w:tc>
        <w:tc>
          <w:tcPr>
            <w:tcW w:w="10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early exercises of common stock</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Proceeds from common stock purchased under Matching Plan</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common stock on exercise of stock options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Payments for employee taxes withheld from stock-based awards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and retirement of common stock</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5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(8,282)</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80,565</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8,787</w:t>
            </w:r>
          </w:p>
        </w:tc>
        <w:tc>
          <w:tcPr>
            <w:tcW w:w="0" w:type="dxa"/>
            <w:vAlign w:val="bottom"/>
          </w:tcPr>
          <w:p>
            <w:pPr>
              <w:spacing w:after="0"/>
              <w:rPr>
                <w:sz w:val="1"/>
                <w:szCs w:val="1"/>
                <w:color w:val="auto"/>
              </w:rPr>
            </w:pPr>
          </w:p>
        </w:tc>
      </w:tr>
      <w:tr>
        <w:trPr>
          <w:trHeight w:val="213"/>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 and restricted cash</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78,437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12,077</w:t>
            </w:r>
          </w:p>
        </w:tc>
        <w:tc>
          <w:tcPr>
            <w:tcW w:w="0" w:type="dxa"/>
            <w:vAlign w:val="bottom"/>
          </w:tcPr>
          <w:p>
            <w:pPr>
              <w:spacing w:after="0"/>
              <w:rPr>
                <w:sz w:val="1"/>
                <w:szCs w:val="1"/>
                <w:color w:val="auto"/>
              </w:rPr>
            </w:pPr>
          </w:p>
        </w:tc>
      </w:tr>
      <w:tr>
        <w:trPr>
          <w:trHeight w:val="21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125,315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46,878</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34,801</w:t>
            </w:r>
          </w:p>
        </w:tc>
        <w:tc>
          <w:tcPr>
            <w:tcW w:w="0" w:type="dxa"/>
            <w:vAlign w:val="bottom"/>
          </w:tcPr>
          <w:p>
            <w:pPr>
              <w:spacing w:after="0"/>
              <w:rPr>
                <w:sz w:val="1"/>
                <w:szCs w:val="1"/>
                <w:color w:val="auto"/>
              </w:rPr>
            </w:pPr>
          </w:p>
        </w:tc>
      </w:tr>
      <w:tr>
        <w:trPr>
          <w:trHeight w:val="23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end of period</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147,710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125,315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46,878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interest</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Cash paid for income taxes</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6,922</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5"/>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investing and financing items:</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Right-of-use assets acquired with lease liabilities</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156"/>
        </w:trPr>
        <w:tc>
          <w:tcPr>
            <w:tcW w:w="60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Reconciliation of cash and cash equivalents and restricted cash to the Consolidated Balance</w:t>
            </w:r>
          </w:p>
        </w:tc>
        <w:tc>
          <w:tcPr>
            <w:tcW w:w="5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Sheets:</w:t>
            </w: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103,787</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98,398</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34,401</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cash included in other current assets</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4"/>
                <w:szCs w:val="14"/>
                <w:color w:val="auto"/>
              </w:rPr>
              <w:t>Restricted cash included in other assets</w:t>
            </w: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cash included in settlement assets, net</w:t>
            </w: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24,381</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18,219</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10,474</w:t>
            </w:r>
          </w:p>
        </w:tc>
        <w:tc>
          <w:tcPr>
            <w:tcW w:w="0" w:type="dxa"/>
            <w:vAlign w:val="bottom"/>
          </w:tcPr>
          <w:p>
            <w:pPr>
              <w:spacing w:after="0"/>
              <w:rPr>
                <w:sz w:val="1"/>
                <w:szCs w:val="1"/>
                <w:color w:val="auto"/>
              </w:rPr>
            </w:pPr>
          </w:p>
        </w:tc>
      </w:tr>
      <w:tr>
        <w:trPr>
          <w:trHeight w:val="212"/>
        </w:trPr>
        <w:tc>
          <w:tcPr>
            <w:tcW w:w="6000" w:type="dxa"/>
            <w:vAlign w:val="bottom"/>
          </w:tcPr>
          <w:p>
            <w:pPr>
              <w:ind w:left="20"/>
              <w:spacing w:after="0"/>
              <w:rPr>
                <w:sz w:val="20"/>
                <w:szCs w:val="20"/>
                <w:color w:val="auto"/>
              </w:rPr>
            </w:pPr>
            <w:r>
              <w:rPr>
                <w:rFonts w:ascii="Arial" w:cs="Arial" w:eastAsia="Arial" w:hAnsi="Arial"/>
                <w:sz w:val="14"/>
                <w:szCs w:val="14"/>
                <w:color w:val="auto"/>
              </w:rPr>
              <w:t>Total cash and cash equivalents and restricted cash</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147,710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125,315</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46,878</w:t>
            </w: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color w:val="auto"/>
        </w:rPr>
        <w:t>NOTE 1 – DESCRIPTION OF BUSINESS AND BASIS OF PRESENTATION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8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and enterprises on a per-active-member basis.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Expensify also offers an Expensify charge card ("Expensify Card"), which is primarily distributed to corporate customers in the United States ("U.S.") that subsequently distribute the card to their employees for business use. The Expensify Card allows customers to have real-time control over their employees' spending and compliance with spending limits in addition to eReceipt reporting on purchases.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subsidiaries of Expensify is as follows:</w:t>
      </w:r>
    </w:p>
    <w:p>
      <w:pPr>
        <w:spacing w:after="0" w:line="158" w:lineRule="exact"/>
        <w:rPr>
          <w:sz w:val="20"/>
          <w:szCs w:val="20"/>
          <w:color w:val="auto"/>
        </w:rPr>
      </w:pPr>
    </w:p>
    <w:p>
      <w:pPr>
        <w:ind w:left="660" w:right="44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Expensify established a wholly-owned subsidiary in the United Kingdom ("UK"), Expensify LTD., in 2015 that primarily serves to promote and market Expensify's services to customers and potential customers of Expensify in the UK.</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Expensify established a wholly-owned subsidiary in Australia, Expensify Australia PTY LTD., in 2017 that primarily serves to promote and market Expensify's services to customers and potential customers of Expensify in Australia.</w:t>
      </w:r>
    </w:p>
    <w:p>
      <w:pPr>
        <w:spacing w:after="0" w:line="130"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Expensify established a wholly-owned subsidiary, 401 SW 5th Ave LLC, in 2019 with the subsidiary’s primary purpose being to hold title to the commercial building purchased in Portland, Oregon.</w:t>
      </w:r>
    </w:p>
    <w:p>
      <w:pPr>
        <w:spacing w:after="0" w:line="130" w:lineRule="exact"/>
        <w:rPr>
          <w:rFonts w:ascii="Arial" w:cs="Arial" w:eastAsia="Arial" w:hAnsi="Arial"/>
          <w:sz w:val="18"/>
          <w:szCs w:val="18"/>
          <w:color w:val="auto"/>
        </w:rPr>
      </w:pPr>
    </w:p>
    <w:p>
      <w:pPr>
        <w:ind w:left="660" w:right="80" w:hanging="328"/>
        <w:spacing w:after="0" w:line="252"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Expensify.org, in 2019 which is a nonprofit benefit organization. Expensify.org is included within the consolidated financial statements of Expensify as Expensify has both a majority voting interest in the board of Expensify.org and an economic interest in the organization. In early 2020 with the introduction of the Expensify Card, Expensify committed to donate 10% of its consideration received from a vendor for monetizing Expensify Card activities to Expensify.org in addition to lump sum discretionary contributions. Any contributions from Expensify.org to a charitable organization is recorded as an expense within General and administrative expenses on the consolidated financial statements upon payment.</w:t>
      </w:r>
    </w:p>
    <w:p>
      <w:pPr>
        <w:spacing w:after="0" w:line="127" w:lineRule="exact"/>
        <w:rPr>
          <w:rFonts w:ascii="Arial" w:cs="Arial" w:eastAsia="Arial" w:hAnsi="Arial"/>
          <w:sz w:val="18"/>
          <w:szCs w:val="18"/>
          <w:color w:val="auto"/>
        </w:rPr>
      </w:pPr>
    </w:p>
    <w:p>
      <w:pPr>
        <w:ind w:left="660" w:right="420" w:hanging="328"/>
        <w:spacing w:after="0" w:line="256"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Expensify established wholly-owned subsidiaries, Expensify Canada Inc. and Expensify Netherlands B.V., in 2020 that primarily serve to promote and market Expensify's services to customers and potential customers of the Company in Canada and the Netherlands, respectively.</w:t>
      </w:r>
    </w:p>
    <w:p>
      <w:pPr>
        <w:spacing w:after="0" w:line="134"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 Payments LLC, in 2020 that primarily serves as the licensed provider of money transmission services for Expensify with its expense management program.</w:t>
      </w:r>
    </w:p>
    <w:p>
      <w:pPr>
        <w:spacing w:after="0" w:line="116"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 Lounge LLC, in 2021 that primarily serves to manage, promote and market Expensify's lounge operations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6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Company’s registration statement on Form S-1 (the "IPO Registration Statement") related to its initial public offering ("IPO") was declared effective on November 9, 2021 and the Company’s Class A common stock began trading on the Nasdaq Global Select Market on November 10, 2021. On November 15, 2021, the Company closed its IPO of 11,190,392 shares of the Company's Class A common stock at $0.0001 par value per share (the "Class A common stock"), in which the Company sold 2,608,696 shares of Class A common stock, and the selling stockholders sold 8,581,696 shares of Class A common stock at an IPO price of $ 27.00 per share. This total sale of 11,190,392 shares of Class A common stock in the IPO includes the full exercise of the underwriters’ option to purchase an additional 1,459,616 shares of Class A common stock from certain selling stockholders at an IPO price of $ 27.00 per share. The Company did not receive any proceeds from the sale of shares of Class A Common Stock in the offering by the selling stockholders. The Company received aggregate net proceeds of approximately $57.5 million after deducting underwriting discounts and commissions of approximately $4.9 million and offering costs of approximately $8.0 million.</w:t>
      </w:r>
    </w:p>
    <w:p>
      <w:pPr>
        <w:spacing w:after="0" w:line="14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Immediately prior to the effectiveness of the IPO Registration Statement, the Company filed an Amendment to the Amended and Restated Certificate of Incorporation to create three classes of authorized common stock: Class A, LT10, and LT50 common stock. All shares of common stock then outstanding were reclassified as Class A common stock except for shares under the Company's exchange offer, which provided employees and other service providers the opportunity to exchange, on a one-for-one basis, their Class A common stock into LT10 or LT50 shares. Under this exchange offer, 13,556,800 shares of Class A common stock were exchanged for 7,332,640 shares of LT10 common stock and 6,224,160 shares of LT50 common stock. Upon closing of the IPO, all convertible preferred stock then outstanding, was converted into 42,031,390 shares of common stock on a ten-for-one basis and reclassified into Class A common stock. In addition, 430,080 shares of common stock warrants were converted to an equivalent number of shares of Class A common stock warrants.</w:t>
      </w:r>
    </w:p>
    <w:p>
      <w:pPr>
        <w:spacing w:after="0" w:line="13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Immediately prior to the closing of the IPO, the Company filed its Amended and Restated Certificate of Incorporation authorizing a total of 1,000,000,000 shares of Class A common stock which entitles holders to one vote per share; 25,000,000 shares of LT10 common stock, which entitles holders to 10 votes per share; and 25,000,000 shares of LT50 common stock, which entitles holders to 50 votes per share. In addition, the Amended and Restated Certificate of Incorporation authorized a total of 10,000,000 shares of undesignated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Expensify and its wholly-owned subsidiaries (the "Company") and have been prepared in accordance with U.S. generally accepted accounting principles ("GAAP"). All intercompany transactions and balances have been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16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On October 27, 2021, the Company effected a ten-for-one stock split of its common stock. All share and per share information has been retroactively adjusted to reflect the stock split for all periods presented.</w:t>
      </w:r>
    </w:p>
    <w:p>
      <w:pPr>
        <w:spacing w:after="0" w:line="127" w:lineRule="exact"/>
        <w:rPr>
          <w:sz w:val="20"/>
          <w:szCs w:val="20"/>
          <w:color w:val="auto"/>
        </w:rPr>
      </w:pPr>
    </w:p>
    <w:p>
      <w:pPr>
        <w:spacing w:after="0"/>
        <w:rPr>
          <w:sz w:val="20"/>
          <w:szCs w:val="20"/>
          <w:color w:val="auto"/>
        </w:rPr>
      </w:pPr>
      <w:r>
        <w:rPr>
          <w:rFonts w:ascii="Arial" w:cs="Arial" w:eastAsia="Arial" w:hAnsi="Arial"/>
          <w:sz w:val="29"/>
          <w:szCs w:val="29"/>
          <w:color w:val="auto"/>
        </w:rPr>
        <w:t>NOTE 2 – SUMMARY OF SIGNIFICANT ACCOUNTING POLICIES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at the date of the consolidated financial statements and the reported amounts of revenues and expenses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reporting period. Estimates and judgments are based on historical experience, forecasted events and various other assumptions that the Company believes to be reasonable under 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spacing w:after="0" w:line="1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Significant estimates and assumptions by management affect the Company’s revenues, classification of employee and employee-related expenses, the useful lives and recoverability of long-lived assets, income taxes, capitalization of internal-use software costs, and stock-based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uses the U.S. dollar as its functional currency.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Operations within Interest and other expenses,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Cash consists of funds deposited with banks. The Company considers all highly liquid investments with an original maturity of three months or less at the date of purchase to be cash equivalents. The recorded carrying amount of cash equivalents, which is cost plus accrued interest, if any, approximates fair value. As of December 31, 2022 and 2021, the Company had no cash equivalents.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6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Restricted cash includes cash in transit for funds held for customers to the Company's Payment Processor, Expensify Card collateral for funds held for customers, and cash held by Expensify.org for social justice and equity efforts of Expensify.org. Refer to Note 6 for the breakout of these amounts within Other current assets as of December 31, 2022 and 2021.</w:t>
      </w:r>
    </w:p>
    <w:p>
      <w:pPr>
        <w:spacing w:after="0" w:line="134"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Restricted cash also includes amounts included within Settlement assets, net for funds held for customers that are deposited into a commercial bank account held by the Company for the benefit of the customers until remitted to the customer's members. Refer to the Settlement assets and liabilities policy note below for further detail.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Expected Credit Losses</w:t>
      </w:r>
    </w:p>
    <w:p>
      <w:pPr>
        <w:spacing w:after="0" w:line="16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Accounts receivable are recorded at the invoiced amount, net of an allowance for expected credit losses. The allowance for expected credit losses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The Company recorded an immaterial allowance for expected credit losses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and 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accounts receivable except for the restricted cash accounts discussed in the Restricted cash policy note above. No customer represented 10% or more of revenue during the years ended December 31, 2022, 2021, and 2020. In addition, there were no customers representing 10% or more of accounts receivable as of December 31,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and Liabilities and Allowance for Expected Credit Losses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Upon an approved request for expense reimbursement from customers, the Company initiates a transaction facilitated by a third-party vendor to collect funds from customers that are deposited into a commercial bank account held by the Company for the benefit of the customers until remitted to the customer’s members after a clearing period of three business days, including the day of the transaction. The Company records a settlement receivable upon approval of the expense reimbursement until funds are cleared in the Company’s commercial bank account. A corresponding liability is recorded upon approval of the expense reimbursement until funds are remitted from the Company’s commercial bank account to the customer’s members.</w:t>
      </w:r>
    </w:p>
    <w:p>
      <w:pPr>
        <w:spacing w:after="0" w:line="1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customer transactions incurred through the Expensify Card the Company initiates a transaction facilitated by a third-party vendor to collect funds from customers that are deposited into a commercial bank account held by the Company until remitted to the issuing bank the next business day. The majority of customers settle Expensify Card transactions on a daily basis while certain customers settle Expensify Card transactions on a monthly basis. The company records a settlement receivable for Expensify Card transactions until funds are cleared in the Company’s commercial bank account. A corresponding liability is recorded until funds are remitted from the Company’s commercial bank account to the issuing bank.</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Settlement receivables are recorded net of an allowance for expected credit losses. The allowance for expected credit losses is based on the Company’s assessment of the collectability of the settlement receivables. Management considers the following factors when determining the collectability of specific customer accounts: customer creditworthiness, past transaction history with the customer, current economic industry trends and changes in customer settlement terms. The Company recorded an immaterial allowance for expected credit losses as of December 31, 2022 and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determines if an arrangement is or contains a lease at inception by evaluating whether there is an identified asset and whether the Company controls the use of the identified asset throughout the period of use. The Company determines the classification of the lease, whether operating or financing, at the lease commencement date, which is the date the leased assets are made available for use.</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and finance leases are included in lease right-of-use ("ROU") assets and lease liabilities in the Consolidated Balance Sheets.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 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Company’s lease terms may include options to extend or terminate the lease, and the Company includes those options in the lease terms when it is reasonably certain it will exercise them. Lease expense for operating lease payments is recognized on a straight-line basis over the lease term. Lease expense for finance lease payments is recognized on a straight-line basis over the lesser of the lease term or the estimated useful life of the asset. The Company made the policy election to account for short-term leases by recognizing the lease payments in the Consolidated Statements of Operations on a straight-line basis over the lease term rather than recognizing these leases on the Company’s Consolidated Balance Sheets. Variable lease payments are recognized in the Consolidated Statements of Operations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 Modifications are assessed to determine whether incremental differences result in new contract terms to accounted for as a new lease or whether the additional right-of-use should be included in the original lease and continue to be accounted with the remaining ROU asset.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are computed using the straight-line method over the estimated useful lives of the respective assets, typically three years for computer equipment, five years for furniture and fixtures and thirty years for buildings. Land has an indefinite useful life and is not depreciated. Leasehold improvements are amortized over the lesser of the lease term or the estimated useful life of the asset. Expenditures for repairs and maintenance are charged to expense as incurred. Upon disposal, the cost and related accumulated depreciation and amortization are removed from the Consolidated Balance Sheets and the resulting gain or loss is reflected in the Consolidated Statements of Operations. Gains or losses from disposition of property and equipment for the years ended December 31, 2022, 2021, and 2020 have been immaterial.</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Construction in progress is stated at cost, which includes the cost of construction and other direct costs attributable to the construction. No depreciation is recorded for construction in progress until the relevant assets are completed and put into use. Construction in progress as of December 31, 2022 and 2021 represents leasehold improvements under installation.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 Costs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capitalizes internal and external costs directly related to obtaining or developing internal-use software during the application development stage of the projects. Additionally, the Company capitalizes qualifying costs incurred for upgrades and enhancements that result in additional functionality to existing software. Maintenance activities or minor upgrades are expensed in the period performed. The Company's internal-use software is reported at cost less accumulated amortization. Amortization begins once the project is ready for its intended use, which is usually when the software code goes into production. The Company amortizes the asset on a straight-line basis over a period of three years, which is the estimated useful life. During the years ended December 31, 2022, 2021, and 2020, the Company capitalized $3.4 million, $4.9 million and $1.8 million, respectively, in software development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Long-lived assets, primarily capitalized software development costs, property and equipment and lease right-of-use assets, are evaluated for impairment when events or changes in circumstances indicate that the carrying amount of the asset may not be recoverable. When indications of impairment are present and the estimated undiscounted future cash flows from the use of the asset are less than the asset's carrying value, the related asset will be written down to fair value. Any impairment losses are included in the same financial statement caption as the related depreciation and amortization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respective asset class on the Consolidated Statements of Operations. Impairment losses on long-lived assets were immaterial for each of the years ended December 31, 2022, 2021, and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Deferred offering costs consist primarily of accounting, legal and other fees related to the IPO. Upon completion of the IPO, deferred offering costs of $8.0 million were reclassified to stockholders’ equity and recorded net against the IPO proceeds. The Company had no capitalized deferred offering costs as of December 31, 2022 and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 xml:space="preserve">The Company generates revenue from subscription fees paid by its customers to access and use the Company’s hosted software services, as well as standard customer support. The Company adopted Accounting Standard Update ("ASU") No.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(Topic 606) </w:t>
      </w:r>
      <w:r>
        <w:rPr>
          <w:rFonts w:ascii="Arial" w:cs="Arial" w:eastAsia="Arial" w:hAnsi="Arial"/>
          <w:sz w:val="18"/>
          <w:szCs w:val="18"/>
          <w:color w:val="auto"/>
        </w:rPr>
        <w:t>as of January 1, 2019, utilizing the full retrospective method of transition.</w:t>
      </w:r>
    </w:p>
    <w:p>
      <w:pPr>
        <w:spacing w:after="0" w:line="134"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the Company expects to be entitled to receive in exchange for those goods or services.</w:t>
      </w:r>
    </w:p>
    <w:p>
      <w:pPr>
        <w:spacing w:after="0" w:line="13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Annual subscription customers who wish to terminate their contracts before the end of the term are required to pay the remaining obligation in full plus any fees or penalties set forth in the agreement. In May 2020, the Company updated its terms of service, which resulted in annual contracts becoming noncancelable and a pricing change, which led to an increase in the per member price for paid members.</w:t>
      </w:r>
    </w:p>
    <w:p>
      <w:pPr>
        <w:spacing w:after="0" w:line="1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w:t>
      </w:r>
    </w:p>
    <w:p>
      <w:pPr>
        <w:spacing w:after="0" w:line="13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Revenue is recognized net of applicable taxes imposed on the related transaction. The Company charges the customer on a monthly basis, in arrears, with typical payment terms being 30 days.</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 contract asset is the right to consideration for transferred goods or services and arises when the amount of revenue recognized exceeds amounts billed to a customer. As a result of a price increase in 2020 that was applicable to certain annual contracts and billed incrementally by the Company over a twelve month period, the Company recorded revenue for such contracts on a straight line basis over the twelve month period affected by the price increase. This resulted in contract assets that consisted of unbilled receivables for revenue recognized in excess of billings. The contract assets decreased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00"/>
        <w:spacing w:after="0" w:line="273" w:lineRule="auto"/>
        <w:rPr>
          <w:sz w:val="20"/>
          <w:szCs w:val="20"/>
          <w:color w:val="auto"/>
        </w:rPr>
      </w:pPr>
      <w:r>
        <w:rPr>
          <w:rFonts w:ascii="Arial" w:cs="Arial" w:eastAsia="Arial" w:hAnsi="Arial"/>
          <w:sz w:val="17"/>
          <w:szCs w:val="17"/>
          <w:color w:val="auto"/>
        </w:rPr>
        <w:t>the price increase was applied to the amounts billed to customers, over the twelve month period. The Company recorded an immaterial amount of contract assets for unbilled receivables within Other current assets on the Company’s Consolidated Balance Sheets as of December 31, 2021. There were no contract assets as of December 31, 2022. Since the Company's performance obligation is satisfied monthly, at any reporting period, the Company has no unsatisfied, or partially unsatisfied, performance obligations.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Cashback Rewards</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August 2021, the Company began offering a cashback rewards program to all customers based on volume of Expensify card transactions and SaaS subscription tier. Cashback rewards are earned on a monthly basis are paid out the following month. The Company considers their cashback payments to customers as consideration payable to a customer under the scope of Accounting Standards Codification ("ASC") 606 and it is recorded as contra revenue within Revenue on the Consolidated Statements of Operations. The Company records a cashback rewards liability that represents the consideration payable to customers for earned cashback rewards. The cashback rewards liability is impacted over time by customers meeting eligibility requirements in conjunction with the SaaS subscription tier of the customer and the timing of payments to customers. The accrued cashback rewards liability was $0.2 million and $0.2 million as of December 31, 2022 and 2021, respectively, and is recorded within Accrued expenses and other liabilities on the Consolidated Balance Sheets. The cashback rewards cost was $2.8 million and $1.1 million for the years ended December 31, 2022 and 2021,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accounts for stock-based compensation under the fair value recognition and measurement provisions of GAAP. Those provisions require all stock-based awards granted to employees, including stock options and restricted stock units, to be measured based on fair value at the date of grant, with the resulting expense generally recognized in the Consolidated Statements of Operations over the period during which the employee is required to perform service in exchange for the award.</w:t>
      </w:r>
    </w:p>
    <w:p>
      <w:pPr>
        <w:spacing w:after="0" w:line="13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Company utilizes the Black-Scholes option pricing model to determine the estimated fair value of stock options. The Company recognizes stock-based compensation costs on a straight-line basis over the requisite service period of the award, which is generally the option vesting term of four years. Forfeitures are recorded as they occur.</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Black-Scholes option pricing model requires management to make a number of assumptions, including the fair value and expected volatility of the Company’s underlying common stock, expected life of the award, risk-free interest rate and expected dividend yield. Prior to the IPO, the fair value of common stock was determined by the Board of Directors based on a number of factors, including independent third-party valuations of our common stock, which considered estimates of our future performance and valuations of comparable companies. The Company also considered prices at which others have purchased our stock, and the likelihood and timing of achieving a liquidity event. When awards were granted or revalued between the dates of valuation reports, the Company considered the change in common stock fair value and the amount of time that lapsed between the two reports to determine whether to use the latest common stock valuation or an interpolation between two valuation dates for purposes of valuing stock-based awards. Subsequent to the completion of the IPO, the fair value of the Company’s underlying common stock is determined by the closing price, on the date of grant, of its Class A common stock, which is traded on the Nasdaq Global Select Market.</w:t>
      </w:r>
    </w:p>
    <w:p>
      <w:pPr>
        <w:spacing w:after="0" w:line="13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Company granted employees, consultants and directors (collectively, "Service Providers") restricted stock units ("RSUs") that settle in shares of Class A and LT50 common stock, effective immediately prior to the effectiveness of the IPO Registration Statement. All RSUs granted to Service Providers after the effectiveness of the IPO Registration Statement have a service condition only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are recognized on a straight-line basis over the requisite service period of the award, which is generally the RSU vesting term of eight years. The Company measures these RSUs granted based on the fair value of the underlying common stock on the grant date, which is determined by the closing price, on the date of the grant, of its Class A common stock, which is traded on the Nasdaq Global Select Market.</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All RSUs granted to Service Providers before the effectiveness of the IPO Registration Statement were considered RSUs with both a service and performance condition for accounting purposes. The Company measures these RSUs based on the fair value of the underlying common stock on the grant date, which was consistent with the factors described within the Black-Scholes option pricing model. Once the performance condition was satisfied for these RSUs on November 9, 2021, the Company recognized a cumulative one-time stock-based compensation expense for the service period satisfied prior to this date. All remaining stock-based compensation for these awards will be recognized over the remaining service period using the accelerated graded method. The service period of these awards is the RSU vesting term of eight years.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granted RSUs in November 2021 to its Non-Employee Directors, which is comprised solely of the Company's Audit Committee members, in connection with each member's initial appointment to the Board of directors and consummation of the IPO. All RSUs granted to Non-Employee Directors settle in shares of Class A common stock and are recognized on a straight-line basis over the requisite service period of the award, which is generally the initial RSU grant vesting term of three years. Subsequent to the initial RSUs granted, the Company will grant RSUs to Non-Employee Directors on an annual basis at each annual stockholders' meeting that will vest upon the earlier of the satisfaction of a service condition or a performance condition, which is considered a change in control event. These annual RSU grants will be recognized on a straight-line basis over the requisite service period of the award, which is one year. Furthermore, RSUs will be granted to Non-Employee Directors on a quarterly basis as a retainer for their services, which vest only upon the satisfaction of a service condition. These annual RSU grants will be recognized on a straight-line basis over the requisite service period of the award, which is three months. The Company measures all RSUs granted to Non-Employee Directors based on the fair value of the underlying common stock on the grant date, which is determined by the closing price, on the date of the grant, of its Class A common stock, which is traded on the Nasdaq Global Select Market. With the exception of the RSUs granted to Non-Employee Directors in November 2021, there were no other RSUs granted to Non-Employee Directors during the years ended December 31, 2022 and 2021.</w:t>
      </w:r>
    </w:p>
    <w:p>
      <w:pPr>
        <w:spacing w:after="0" w:line="14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Forfeitures are recorded as they occur for all RSUs. Refer to Note 9 for further detail over stock-based compensation and the stock incentive plans of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Exercise Cash Bonus</w:t>
      </w:r>
    </w:p>
    <w:p>
      <w:pPr>
        <w:spacing w:after="0" w:line="18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June 2021 for the Company's named executive officers and in July 2021 for all other employees, the Company determined it would pay a cash bonus to each of its employees in a value that approximated the cost of each employee exercising 45% of their total stock options issued, limited by the total stock options outstanding as of June 15, 2021, including the tax withholding applicable to each employee. The Company included both vested and unvested stock options outstanding and held by each existing employee as of June 15, 2021 in determining the cash bonus paid to each employee.</w:t>
      </w:r>
    </w:p>
    <w:p>
      <w:pPr>
        <w:spacing w:after="0" w:line="13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using the exercise cost of the stock options through June 15, 2021, the Company relied on an estimate to determine the tax withholding that could be applicable to each employee based on if they were to exercise the stock options. In order to determine this estimate, the Company relied on third-party tax consultants that reviewed a number of assumptions provided by management, including the applicable taxable income to the employee as a result of the cash bonus in 2021 and the spread of the fair value of the options based on the latest independent third-party common stock valuation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June 15, 2021 and the exercise price of the same options applicable to each employee. No employee was obligated to use the cash bonus to exercise their outstanding stock options.</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years ended December 31, 2022 and 2020, the Company recorded no bonus expenses related to the employee stock option exercise cash bonus and no bonus expenses related to the employee stock option exercise cash bonus for the Company's named executive officers. During the year ended December 31, 2021, the Company recorded bonus expenses related to the employee stock option exercise cash bonus of $48.4 million. All bonuses were fully paid to employees during the year ended December 31, 2021. Of the total bonus expenses related to the employee stock option exercise cash bonus during the year ended December 31, 2021, the bonus expense for the Company's named executive officers was $7.9 million.</w:t>
      </w:r>
    </w:p>
    <w:p>
      <w:pPr>
        <w:spacing w:after="0" w:line="14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Employee stock option exercise cash bonus is included in the following components of expenses on the accompanying Consolidated Statements of Operations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08088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Research and development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2540" w:type="dxa"/>
            <w:vAlign w:val="bottom"/>
          </w:tcPr>
          <w:p>
            <w:pPr>
              <w:jc w:val="right"/>
              <w:ind w:right="333"/>
              <w:spacing w:after="0"/>
              <w:rPr>
                <w:sz w:val="20"/>
                <w:szCs w:val="20"/>
                <w:color w:val="auto"/>
              </w:rPr>
            </w:pPr>
            <w:r>
              <w:rPr>
                <w:rFonts w:ascii="Arial" w:cs="Arial" w:eastAsia="Arial" w:hAnsi="Arial"/>
                <w:sz w:val="16"/>
                <w:szCs w:val="16"/>
                <w:b w:val="1"/>
                <w:bCs w:val="1"/>
                <w:color w:val="auto"/>
              </w:rPr>
              <w:t>Year ended December 31,</w:t>
            </w:r>
          </w:p>
        </w:tc>
      </w:tr>
      <w:tr>
        <w:trPr>
          <w:trHeight w:val="256"/>
        </w:trPr>
        <w:tc>
          <w:tcPr>
            <w:tcW w:w="26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1133"/>
              <w:spacing w:after="0"/>
              <w:rPr>
                <w:sz w:val="20"/>
                <w:szCs w:val="20"/>
                <w:color w:val="auto"/>
              </w:rPr>
            </w:pPr>
            <w:r>
              <w:rPr>
                <w:rFonts w:ascii="Arial" w:cs="Arial" w:eastAsia="Arial" w:hAnsi="Arial"/>
                <w:sz w:val="16"/>
                <w:szCs w:val="16"/>
                <w:b w:val="1"/>
                <w:bCs w:val="1"/>
                <w:color w:val="auto"/>
              </w:rPr>
              <w:t>2021</w:t>
            </w:r>
          </w:p>
        </w:tc>
      </w:tr>
      <w:tr>
        <w:trPr>
          <w:trHeight w:val="229"/>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13,708</w:t>
            </w:r>
          </w:p>
        </w:tc>
      </w:tr>
      <w:tr>
        <w:trPr>
          <w:trHeight w:val="230"/>
        </w:trPr>
        <w:tc>
          <w:tcPr>
            <w:tcW w:w="2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8,550</w:t>
            </w:r>
          </w:p>
        </w:tc>
      </w:tr>
      <w:tr>
        <w:trPr>
          <w:trHeight w:val="229"/>
        </w:trPr>
        <w:tc>
          <w:tcPr>
            <w:tcW w:w="2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21,174</w:t>
            </w:r>
          </w:p>
        </w:tc>
      </w:tr>
      <w:tr>
        <w:trPr>
          <w:trHeight w:val="229"/>
        </w:trPr>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48,416</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-779145</wp:posOffset>
            </wp:positionV>
            <wp:extent cx="708088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80885" cy="15430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-479425</wp:posOffset>
            </wp:positionV>
            <wp:extent cx="7080885"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708088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80885"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17145</wp:posOffset>
            </wp:positionV>
            <wp:extent cx="70808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2880"/>
          </w:cols>
          <w:pgMar w:left="320" w:top="118" w:right="339" w:bottom="1440" w:gutter="0" w:footer="0" w:header="0"/>
          <w:type w:val="continuous"/>
        </w:sectPr>
      </w:pPr>
    </w:p>
    <w:p>
      <w:pPr>
        <w:spacing w:after="0" w:line="69" w:lineRule="exact"/>
        <w:rPr>
          <w:sz w:val="20"/>
          <w:szCs w:val="20"/>
          <w:color w:val="auto"/>
        </w:rPr>
      </w:pPr>
    </w:p>
    <w:p>
      <w:pPr>
        <w:ind w:right="680"/>
        <w:spacing w:after="0" w:line="414" w:lineRule="auto"/>
        <w:rPr>
          <w:sz w:val="20"/>
          <w:szCs w:val="20"/>
          <w:color w:val="auto"/>
        </w:rPr>
      </w:pPr>
      <w:r>
        <w:rPr>
          <w:rFonts w:ascii="Arial" w:cs="Arial" w:eastAsia="Arial" w:hAnsi="Arial"/>
          <w:sz w:val="18"/>
          <w:szCs w:val="18"/>
          <w:color w:val="auto"/>
        </w:rPr>
        <w:t xml:space="preserve">Employee cash bonuses capitalized as internally developed software costs were $1.5 million for the year ended December 31, 2021. </w:t>
      </w:r>
      <w:r>
        <w:rPr>
          <w:rFonts w:ascii="Arial" w:cs="Arial" w:eastAsia="Arial" w:hAnsi="Arial"/>
          <w:sz w:val="18"/>
          <w:szCs w:val="18"/>
          <w:b w:val="1"/>
          <w:bCs w:val="1"/>
          <w:color w:val="auto"/>
        </w:rPr>
        <w:t>Employee and Employee-Related Expenses</w:t>
      </w:r>
    </w:p>
    <w:p>
      <w:pPr>
        <w:spacing w:after="0" w:line="1"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Allocating employee and employee-related expenses, which consist of contractor costs, employee salary and wages, stock-based compensation and travel and other employee-related costs, to their appropriate financial statement line items on the Consolidated Statements of Operations, requires the Company to make estimates and judgments as a result of a generalist model and organizational structure. The Company bases the estimates for allocating employee and employee related expenses on internal productivity and team management tools. Management reviews the estimates each reporting period to evaluate the amounts allocated to Cost of revenue, net, Research and development, General and administrative, and Sales and marketing on the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Net</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our patented scanning technology SmartScan, net of consideration from a vendor for monetizing Expensify Card activities. This consideration, net of credit card processing fees paid to the vendor, is included as a reduction to cost of revenue of $6.2 million, $2.9 million, and $1.0 million for the years ended December 31, 2022, 2021, and 2020, respectively. Additional costs include amortization expense on capitalized software development costs and personnel-related expenses, including stock-based compensation, cash bonuses and employee costs attributable to supporting our customers and maintenance of our platform.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incurred in the planning and preliminary project stage and post-implementation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8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human resources. In addition to personnel-related expenses, general and administrative expenses consist of rent, utilities, depreciation on property and equipment, amortization of operating and finance lease right-of-use assets and external professional services, including accounting, audit, tax, finance, legal and compliance, human resources and information technology. General and administrative expenses are expensed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Sales and marketing primarily consist of personnel -related expenses, including stock-based compensation, advertising expenses, branding and public relations expenses and referral fees for strategic partners and other benefits that the Company provides to its referral and affiliate partners. The Company expenses the costs of sales and marketing, including promotional expenses, as incurred. Advertising costs were $30.9 million, $15.6 million, and $3.4 million for the years ended December 31, 2022, 2021, and 2020,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Company is subject to income taxes in the U.S. and several foreign jurisdictions. The Company records a (provision for) benefit from income taxes utilizing the asset and liability method. Deferred tax assets and liabilities are recognized for the expected future tax consequences of temporary differences between financial statement carrying amounts and the tax basis of assets and liabilities, as well as net operating losses ("NOL") and tax credit carryforwards. Valuation allowances are established when necessary to reduce deferred tax assets to the amounts more likely than not expected to be realized.</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extent that the Company anticipates payment (or receipt) of cash within one year. Interest and penalties related to uncertain tax positions are recognized in the provision for income taxes.</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January 2018, the Financial Accounting Standards Board ("FASB") released guidance on the accounting for tax on the global intangible low-taxed income ("GILTI") provisions of the Tax Cuts and Jobs Act ("TCJA"). The GILTI provisions impose a tax on foreign income in excess of a deemed return on tangible assets of foreign corporations. The guidance indicates that either accounting for deferred taxes related to GILTI inclusions or treating any taxes on GILTI inclusions as period cost are both acceptable methods subject to an accounting policy election. The Company has elected to treat any potential GILTI inclusions as a period cost.</w:t>
      </w:r>
    </w:p>
    <w:p>
      <w:pPr>
        <w:spacing w:after="0" w:line="13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40"/>
        <w:spacing w:after="0" w:line="291" w:lineRule="auto"/>
        <w:rPr>
          <w:sz w:val="20"/>
          <w:szCs w:val="20"/>
          <w:color w:val="auto"/>
        </w:rPr>
      </w:pPr>
      <w:r>
        <w:rPr>
          <w:rFonts w:ascii="Arial" w:cs="Arial" w:eastAsia="Arial" w:hAnsi="Arial"/>
          <w:sz w:val="17"/>
          <w:szCs w:val="17"/>
          <w:color w:val="auto"/>
        </w:rPr>
        <w:t>On December 27, 2020, the U.S. president signed into law the Consolidated Appropriations Act of 2021, which includes further COVID-19 economic relief and extension of certain expiring tax provisions. The relief package had no material impact to the Company’s tax positions.</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16, 2022, the U.S president signed into law the Inflation Reduction Act of 2022 ("IRA"). The IRA established a corporate alternative minimum tax for certain corporations and a share repurchase excise tax. These changes are effective for tax years beginning after December 31, 2022. As of December 31, 2022, the Company has determined that neither the IRA nor changes to income tax laws or regulations in other jurisdictions are expected to have a significant impact on income tax expense. Refer to Note 10 for further discussion.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16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The Company computes net loss per share attributable to common stockholders using the two-class method required by ASC 260, </w:t>
      </w:r>
      <w:r>
        <w:rPr>
          <w:rFonts w:ascii="Arial" w:cs="Arial" w:eastAsia="Arial" w:hAnsi="Arial"/>
          <w:sz w:val="18"/>
          <w:szCs w:val="18"/>
          <w:i w:val="1"/>
          <w:iCs w:val="1"/>
          <w:color w:val="auto"/>
        </w:rPr>
        <w:t>Earnings</w:t>
      </w:r>
      <w:r>
        <w:rPr>
          <w:rFonts w:ascii="Arial" w:cs="Arial" w:eastAsia="Arial" w:hAnsi="Arial"/>
          <w:sz w:val="18"/>
          <w:szCs w:val="18"/>
          <w:color w:val="auto"/>
        </w:rPr>
        <w:t xml:space="preserve"> </w:t>
      </w:r>
      <w:r>
        <w:rPr>
          <w:rFonts w:ascii="Arial" w:cs="Arial" w:eastAsia="Arial" w:hAnsi="Arial"/>
          <w:sz w:val="18"/>
          <w:szCs w:val="18"/>
          <w:i w:val="1"/>
          <w:iCs w:val="1"/>
          <w:color w:val="auto"/>
        </w:rPr>
        <w:t>per Share</w:t>
      </w:r>
      <w:r>
        <w:rPr>
          <w:rFonts w:ascii="Arial" w:cs="Arial" w:eastAsia="Arial" w:hAnsi="Arial"/>
          <w:sz w:val="18"/>
          <w:szCs w:val="18"/>
          <w:color w:val="auto"/>
        </w:rPr>
        <w:t>, for participating securities. All series of the Company's previously outstanding convertible preferred stock were participating</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as the holders of such stock were entitled to receive stated noncumulative dividends when and if declared and then they could participate on a pari passu basis in the event that a dividend was paid on common stock. The holders of previously outstanding convertible preferred stock did not have a contractual obligation to share in the Company’s losses. The undistributed earnings were allocated between common stock and participating securities as if all earnings had been distributed during the period presented.</w:t>
      </w:r>
    </w:p>
    <w:p>
      <w:pPr>
        <w:spacing w:after="0" w:line="1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Basic net loss per share attributable to common stockholders is computed by dividing net loss for the period by the weighted-average number of outstanding shares of common stock during the period, less weighted-average shares subject to repurchase. Diluted net loss per share attributable to common stockholders is computed by dividing net loss for the period by the weighted-average number of outstanding shares of common stock and, when dilutive, potential shares of common stock outstanding during the period using the more dilutive of the treasury stock method or if-converted method, as applicable. The dilutive effect of previously outstanding participating securities is calculated using the more dilutive of the treasury method or the two-class method. For periods in which the Company reports net losses, diluted net loss per share attributable to common stockholders is the same as basic net loss per share attributable to common stockholders, because potentially dilutive common shares are anti-dilutive.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When common stock is repurchased for retirement, the Company's policy is to allocate the excess of the repurchase price over the par value of shares acquired to both accumulated deficit and additional paid in capital. The Company estimates the additional paid in capital carrying value per common stock by dividing the additional paid in capital balance from our most recent quarterly financial statements preceding the repurchase by the number of common shares issued and outstanding from our most recent quarterly financial statements preceding the retirement date. The calculated additional paid in capital carrying value per share is then applied to the number of shares to be retired to determine the portion to be allocated to additional paid in capital.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80"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The Company operates as one reportable segment because its chief operating decision maker, a committee that consists of the chief executive officer, the chief financial officer, and the chief operating officer, reviews the Company’s financial information on a consolidated basis for purposes of making decisions regarding allocating resources and assessing performance. Substantially all long-lived assets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table below provides the Company’s total revenue by geographic area (in thousands). No other individual country outside of the United States accounted for more than 10%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19"/>
                <w:szCs w:val="19"/>
                <w:color w:val="auto"/>
              </w:rPr>
            </w:pPr>
          </w:p>
        </w:tc>
      </w:tr>
      <w:tr>
        <w:trPr>
          <w:trHeight w:val="236"/>
        </w:trPr>
        <w:tc>
          <w:tcPr>
            <w:tcW w:w="6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Revenue by Customers' Geographic Locations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79,108</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Based on the closing share price and market value of the Company's common stock held by non-affiliates as of June 30, 2022, the Company was deemed to be a large-accelerated filer effective December 31, 2022. As a result, on December 31, 2022, the Company no longer qualified as an emerging growth company (“EGC”) under the Jumpstart Our Business Startups Act (“JOBS Act”). The previous EGC status allowed the Company an extended transition period to adopt new or revised accounting pronouncements until such pronouncements were applicable to private companies. The effect of the loss of EGC status and impact on the adoption of new accounting pronouncements is discussed further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June 2016, the FASB issued ASU 2016-13, Financial Instrume</w:t>
      </w:r>
      <w:r>
        <w:rPr>
          <w:rFonts w:ascii="Arial" w:cs="Arial" w:eastAsia="Arial" w:hAnsi="Arial"/>
          <w:sz w:val="18"/>
          <w:szCs w:val="18"/>
          <w:i w:val="1"/>
          <w:iCs w:val="1"/>
          <w:color w:val="auto"/>
        </w:rPr>
        <w:t>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with subsequent ASUs issued that clarify the guidance (collectively, "Topic 326"). Topic 326 requires an entity to utilize a new</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model known as the current expected credit loss ("CECL") model to estimate its “lifetime expected credit losses" using a forward-looking approach and to record an allowance that, when deducted from the amortized cost basis of the financial asset, presents the net amount expected to be collected on the financial asset. The CECL model is expected to result in more timely recognition of credit losses. Topic 326 also requires new disclosures for financial assets measured at amortized cost, loans and available-for-sale debt securities.</w:t>
      </w:r>
    </w:p>
    <w:p>
      <w:pPr>
        <w:spacing w:after="0" w:line="124"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As a result of no longer qualifying as an EGC as of December 31, 2022, the Company was required to adopt Topic 326 retroactive to January 1, 2022. The Company is not required to amend quarterly filings issued subsequent to January 1, 2022 in which the Company filed under the legacy credit loss guidance of ASC Topic 310. As such, this Annual Report on Form 10-K for the annual period ending December 31, 2022 is the first period under which the Company reports credit loss estimates in accordance with Topic 326. The adoption of Topic 326 did not have a material impact on the Company's financial position or results of operations, as of, and for the year ended, December 31, 2022.</w:t>
      </w:r>
    </w:p>
    <w:p>
      <w:pPr>
        <w:spacing w:after="0" w:line="122" w:lineRule="exact"/>
        <w:rPr>
          <w:sz w:val="20"/>
          <w:szCs w:val="20"/>
          <w:color w:val="auto"/>
        </w:rPr>
      </w:pPr>
    </w:p>
    <w:p>
      <w:pPr>
        <w:spacing w:after="0"/>
        <w:rPr>
          <w:sz w:val="20"/>
          <w:szCs w:val="20"/>
          <w:color w:val="auto"/>
        </w:rPr>
      </w:pPr>
      <w:r>
        <w:rPr>
          <w:rFonts w:ascii="Arial" w:cs="Arial" w:eastAsia="Arial" w:hAnsi="Arial"/>
          <w:sz w:val="29"/>
          <w:szCs w:val="29"/>
          <w:color w:val="auto"/>
        </w:rPr>
        <w:t>NOTE 3 – CAPITALIZED SOFTWARE, NET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6"/>
                <w:szCs w:val="16"/>
                <w:b w:val="1"/>
                <w:bCs w:val="1"/>
                <w:color w:val="auto"/>
              </w:rPr>
              <w:t>As of December 31,</w:t>
            </w:r>
          </w:p>
        </w:tc>
      </w:tr>
      <w:tr>
        <w:trPr>
          <w:trHeight w:val="236"/>
        </w:trPr>
        <w:tc>
          <w:tcPr>
            <w:tcW w:w="79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Consolidated Statements of Operations. Amortization expense for the years ended December 31, 2022, 2021, and 2020 was $2.6 million, $2.3 million, and $1.0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color w:val="auto"/>
        </w:rPr>
        <w:t>NOTE 4 – PROPERTY AND EQUIPMENT, NET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6"/>
                <w:szCs w:val="16"/>
                <w:b w:val="1"/>
                <w:bCs w:val="1"/>
                <w:color w:val="auto"/>
              </w:rPr>
              <w:t>As of December 31,</w:t>
            </w:r>
          </w:p>
        </w:tc>
      </w:tr>
      <w:tr>
        <w:trPr>
          <w:trHeight w:val="237"/>
        </w:trPr>
        <w:tc>
          <w:tcPr>
            <w:tcW w:w="79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Depreciation expense related to property and equipment is recorded in General and administrative on the Consolidated Statements of Operations. Depreciation expense related to property and equipment for the years ended December 31, 2022, 2021, and 2020 was $2.0 million, $2.1 million, and $1.4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color w:val="auto"/>
        </w:rPr>
        <w:t>NOTE 5 – LEASES</w:t>
      </w:r>
    </w:p>
    <w:p>
      <w:pPr>
        <w:spacing w:after="0" w:line="15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Company has operating leases for corporate offices and finance leases for data center equipment. The operating and finance leases have remaining lease terms of less than one year. The operating and finance leases contain options to extend or terminate the lease. However, these were not included in the original lease terms of the operating leases as the Company is not reasonably certain to exercise these options.</w:t>
      </w:r>
    </w:p>
    <w:p>
      <w:pPr>
        <w:spacing w:after="0" w:line="13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During the years ended December 31, 2022 and 2021, the Company did not enter into any new finance lease agreements to finance the acquisition of new property and equipment. There were no new operating lease agreements entered into during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reflected on the Consolidated Statements of Operations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8"/>
          </w:tcPr>
          <w:p>
            <w:pPr>
              <w:jc w:val="center"/>
              <w:ind w:right="33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9"/>
                <w:szCs w:val="19"/>
                <w:color w:val="auto"/>
              </w:rPr>
            </w:pPr>
          </w:p>
        </w:tc>
      </w:tr>
      <w:tr>
        <w:trPr>
          <w:trHeight w:val="237"/>
        </w:trPr>
        <w:tc>
          <w:tcPr>
            <w:tcW w:w="60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790</w:t>
            </w:r>
          </w:p>
        </w:tc>
        <w:tc>
          <w:tcPr>
            <w:tcW w:w="7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1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1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12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r>
      <w:tr>
        <w:trPr>
          <w:trHeight w:val="20"/>
        </w:trPr>
        <w:tc>
          <w:tcPr>
            <w:tcW w:w="7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33"/>
        </w:trPr>
        <w:tc>
          <w:tcPr>
            <w:tcW w:w="7140" w:type="dxa"/>
            <w:vAlign w:val="bottom"/>
            <w:gridSpan w:val="2"/>
          </w:tcPr>
          <w:p>
            <w:pPr>
              <w:spacing w:after="0"/>
              <w:rPr>
                <w:sz w:val="20"/>
                <w:szCs w:val="20"/>
                <w:color w:val="auto"/>
              </w:rPr>
            </w:pPr>
            <w:r>
              <w:rPr>
                <w:rFonts w:ascii="Arial" w:cs="Arial" w:eastAsia="Arial" w:hAnsi="Arial"/>
                <w:sz w:val="18"/>
                <w:szCs w:val="18"/>
                <w:color w:val="auto"/>
              </w:rPr>
              <w:t>Other information related to leases was as follows (in thousands, except as noted within):</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60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237"/>
        </w:trPr>
        <w:tc>
          <w:tcPr>
            <w:tcW w:w="6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As of December 31,</w:t>
            </w:r>
          </w:p>
        </w:tc>
        <w:tc>
          <w:tcPr>
            <w:tcW w:w="1100" w:type="dxa"/>
            <w:vAlign w:val="bottom"/>
            <w:tcBorders>
              <w:bottom w:val="single" w:sz="8" w:color="auto"/>
            </w:tcBorders>
          </w:tcPr>
          <w:p>
            <w:pPr>
              <w:spacing w:after="0"/>
              <w:rPr>
                <w:sz w:val="20"/>
                <w:szCs w:val="20"/>
                <w:color w:val="auto"/>
              </w:rPr>
            </w:pPr>
          </w:p>
        </w:tc>
      </w:tr>
      <w:tr>
        <w:trPr>
          <w:trHeight w:val="237"/>
        </w:trPr>
        <w:tc>
          <w:tcPr>
            <w:tcW w:w="60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2021</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ROU asset (included within Lease right-of-use assets)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1,251</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Operating lease ROU asset (included within Lease right-of-use assets)</w:t>
            </w:r>
          </w:p>
        </w:tc>
        <w:tc>
          <w:tcPr>
            <w:tcW w:w="1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951</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5.30 %</w:t>
            </w:r>
          </w:p>
        </w:tc>
      </w:tr>
      <w:tr>
        <w:trPr>
          <w:trHeight w:val="54"/>
        </w:trPr>
        <w:tc>
          <w:tcPr>
            <w:tcW w:w="714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453"/>
        </w:trPr>
        <w:tc>
          <w:tcPr>
            <w:tcW w:w="714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60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237"/>
        </w:trPr>
        <w:tc>
          <w:tcPr>
            <w:tcW w:w="60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8"/>
          </w:tcPr>
          <w:p>
            <w:pPr>
              <w:jc w:val="center"/>
              <w:ind w:right="33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36"/>
        </w:trPr>
        <w:tc>
          <w:tcPr>
            <w:tcW w:w="60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7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29"/>
        </w:trPr>
        <w:tc>
          <w:tcPr>
            <w:tcW w:w="6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112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0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7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finance lease liabilities</w:t>
            </w:r>
          </w:p>
        </w:tc>
        <w:tc>
          <w:tcPr>
            <w:tcW w:w="112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54"/>
        </w:trPr>
        <w:tc>
          <w:tcPr>
            <w:tcW w:w="60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calculate the ROU assets and liabilities, the Company uses the discount rate implicit in lease agreements when available. When the implicit discount rates are not readily determinable, the Company uses the incremental borrowing rate. The Company determines the incremental borrowing rate using interest rates from the Company's secured borrowings after taking into consideration the nature of the debt, such as borrowings collateralized by the exact building in the lease, and payment structure, including frequency and number of payments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2022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Finance leases</w:t>
            </w:r>
          </w:p>
        </w:tc>
        <w:tc>
          <w:tcPr>
            <w:tcW w:w="14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6"/>
                <w:szCs w:val="16"/>
                <w:b w:val="1"/>
                <w:bCs w:val="1"/>
                <w:color w:val="auto"/>
              </w:rPr>
              <w:t>Operating leases</w:t>
            </w: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778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lease liabilities, current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7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auto"/>
        </w:rPr>
        <w:t>NOTE 6 – SIGNIFICANT BALANCE SHEET COMPONENTS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74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As of December 31,</w:t>
            </w:r>
          </w:p>
        </w:tc>
        <w:tc>
          <w:tcPr>
            <w:tcW w:w="640" w:type="dxa"/>
            <w:vAlign w:val="bottom"/>
            <w:tcBorders>
              <w:bottom w:val="single" w:sz="8" w:color="auto"/>
            </w:tcBorders>
          </w:tcPr>
          <w:p>
            <w:pPr>
              <w:spacing w:after="0"/>
              <w:rPr>
                <w:sz w:val="19"/>
                <w:szCs w:val="19"/>
                <w:color w:val="auto"/>
              </w:rPr>
            </w:pPr>
          </w:p>
        </w:tc>
      </w:tr>
      <w:tr>
        <w:trPr>
          <w:trHeight w:val="237"/>
        </w:trPr>
        <w:tc>
          <w:tcPr>
            <w:tcW w:w="77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20"/>
                <w:szCs w:val="20"/>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posted collateral for funds held for customers</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11,509</w:t>
            </w:r>
          </w:p>
        </w:tc>
        <w:tc>
          <w:tcPr>
            <w:tcW w:w="114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Expensify.org restricted cash</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3,078</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Cash in transit for funds held for customers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Payments LLC restricted cash</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escrow and other restricted cash</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22,217</w:t>
            </w:r>
          </w:p>
        </w:tc>
        <w:tc>
          <w:tcPr>
            <w:tcW w:w="114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14,201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117475</wp:posOffset>
            </wp:positionV>
            <wp:extent cx="711517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74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6"/>
                <w:szCs w:val="16"/>
                <w:b w:val="1"/>
                <w:bCs w:val="1"/>
                <w:color w:val="auto"/>
              </w:rPr>
              <w:t>As of December 31,</w:t>
            </w:r>
          </w:p>
        </w:tc>
        <w:tc>
          <w:tcPr>
            <w:tcW w:w="640" w:type="dxa"/>
            <w:vAlign w:val="bottom"/>
            <w:tcBorders>
              <w:bottom w:val="single" w:sz="8" w:color="auto"/>
            </w:tcBorders>
          </w:tcPr>
          <w:p>
            <w:pPr>
              <w:spacing w:after="0"/>
              <w:rPr>
                <w:sz w:val="19"/>
                <w:szCs w:val="19"/>
                <w:color w:val="auto"/>
              </w:rPr>
            </w:pPr>
          </w:p>
        </w:tc>
      </w:tr>
      <w:tr>
        <w:trPr>
          <w:trHeight w:val="237"/>
        </w:trPr>
        <w:tc>
          <w:tcPr>
            <w:tcW w:w="77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20"/>
                <w:szCs w:val="20"/>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payroll and other taxes payable</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Restricted common stock liability for early stock option exercises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2,443</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 payouts and advertising fees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Accrued expense reports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Cashback rewards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Matching plan payroll liability</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Hosting and license fees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Credit card processing fees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08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11,046</w:t>
            </w:r>
          </w:p>
        </w:tc>
      </w:tr>
      <w:tr>
        <w:trPr>
          <w:trHeight w:val="21"/>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
        </w:trPr>
        <w:tc>
          <w:tcPr>
            <w:tcW w:w="7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9"/>
          <w:szCs w:val="29"/>
          <w:color w:val="auto"/>
        </w:rPr>
        <w:t>NOTE 7 – FINANCING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August 2019, the Company entered into an $8.3 million amortizing term mortgage agreement with Canadian Imperial Bank of Commerce ("CIBC") for the Company's commercial building located in Portland, Oregon. The agreement requires principal and interest payments to be made each month over a 30-year period. Interest accrues at a fixed rate of 5.00% per year until August 2024, at which point the interest rate changes to the Wall Street Journal Prime Rate less 0.25% for the remaining term of the mortgage. The borrowings are secured by the building. The outstanding balance of the amortizing term mortgage was $7.8 million and $8.0 million as of December 31, 2022 and 2021,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Amended Term Loan</w:t>
      </w:r>
    </w:p>
    <w:p>
      <w:pPr>
        <w:spacing w:after="0" w:line="18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September 2021, the Company amended and restated its loan and security agreement with CIBC ("2021 Amended Term Loan") to refinance the existing non-amortizing and amortizing term loans, establish a single term loan of up to $75.0 million, consisting of a $45.0 million initial term loan effective immediately with an option at a later date to enter into an additional $30.0 million delayed term loan, and increase the monthly revolving line of credit to $25.0 million. Approximately $ 23.5 million of the loan proceeds were used to immediately repay the remaining balances under the amortizing and non-amortizing term loans at the time of the amendment as well as the commitment fees and any other debt issuance costs associated with the amendment. The remaining proceeds from the initial term loan were utilized to fund the Company's normal business operations.</w:t>
      </w:r>
    </w:p>
    <w:p>
      <w:pPr>
        <w:spacing w:after="0" w:line="12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Under the 2021 Amended Term Loan, the initial term loan of $45.0 million is payable over a 60-month period with principal and accrued interest payments due each quarter, commencing on September 30, 2021. The 2021 Amended Term Loan amortizes in equal quarterly installments of $0.1 million through September 30, 2024, $0.2 million beginning October 1, 2024 and $0.6 million beginning October 1, 2025, with any remaining principal balance due and payable on maturity. The amounts borrowed bear interest at the bank’s reference rate plus</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2.25% (9.75% and 5.50% as of December 31, 2022 and 2021, respectively) beginning on September 30, 2021 and continuing on a quarterly basis through maturity of the term loan. The borrowings are secured by substantially all the Company’s assets.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the outstanding balance of the 2021 Amended Term Loan was $44.5 million and $44.9 million, respectively.</w:t>
      </w:r>
    </w:p>
    <w:p>
      <w:pPr>
        <w:spacing w:after="0" w:line="14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Upon completion of the IPO in November 2021, the Company became obligated to pay a $2.5 million success fee as part of the Company's 2021 Amended Term Loan. This amount was paid to CIBC in November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Revolving Line of Credit</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line of credit agreement, as amended with the 2021 Amended Term Loan, provides borrowings up to $25.0 million. Borrowings under the line of credit bear interest at CIBC’s reference rate plus 1.00% (8.50% and 4.25% as of December 31, 2022 and 2021, respectively) and are secured by substantially all of the Company’s assets. As of December 31, 2022 and 2021, there were $15.0 million of borrowings under the line of credit and $10.0 million of capacity available for additional borrowings.</w:t>
      </w:r>
    </w:p>
    <w:p>
      <w:pPr>
        <w:spacing w:after="0" w:line="12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connection with the amortizing term mortgage and the 2021 Amended Term Loan, the Company recorded an immaterial amount of debt issuance costs and the 2021 Amended Term Loan was subject to an original issue discount. These amounts are amortized to interest expense over the term of the respective agreements using the effective interest method. As of December 31, 2022 and 2021, unamortized original issue discount and debt issuance costs remaining were $0.3 million and $0.2 million, respectively. Interest expense included within Interest and other expense, net on the Consolidated Statements of Operations for the years ended 2022, 2021, and 2020 was $4.5 million, $3.1 million, and $2.9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Future aggregate annual principal payments on long-term debt as of December 31, 2022 is expected to be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For the years ending:</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9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42,355</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7,015</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52,253</w:t>
            </w:r>
          </w:p>
        </w:tc>
      </w:tr>
      <w:tr>
        <w:trPr>
          <w:trHeight w:val="230"/>
        </w:trPr>
        <w:tc>
          <w:tcPr>
            <w:tcW w:w="9660" w:type="dxa"/>
            <w:vAlign w:val="bottom"/>
          </w:tcPr>
          <w:p>
            <w:pPr>
              <w:ind w:left="240"/>
              <w:spacing w:after="0"/>
              <w:rPr>
                <w:sz w:val="20"/>
                <w:szCs w:val="20"/>
                <w:color w:val="auto"/>
              </w:rPr>
            </w:pPr>
            <w:r>
              <w:rPr>
                <w:rFonts w:ascii="Arial" w:cs="Arial" w:eastAsia="Arial" w:hAnsi="Arial"/>
                <w:sz w:val="18"/>
                <w:szCs w:val="18"/>
                <w:color w:val="auto"/>
              </w:rPr>
              <w:t>Less: unamortized original issue discount and debt issuance costs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current portion, net of unamortized original issue discount and debt issuance costs</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Long-term debt, net of unamortized original issue discount and debt issuance costs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51,434</w:t>
            </w:r>
          </w:p>
        </w:tc>
      </w:tr>
      <w:tr>
        <w:trPr>
          <w:trHeight w:val="46"/>
        </w:trPr>
        <w:tc>
          <w:tcPr>
            <w:tcW w:w="96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966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is subject to customary covenants under the 2021 Amended Term Loan agreement, which unless waived by CIBC, restrict its and its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If the Company fails to perform its obligations under these and other covenants, CIBC’s credit commitments could be terminated and any outstanding borrowings, together with accrued interest, under the credit or loan agreements could be declared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December 31, 2022, the Company was not in compliance with all debt covenants, specifically the covenant restricting the amount of repurchases of common stock, which includes RSU net share settlements, during the period. A waiver was obtained from CIBC. The Company does not believe non-compliance with these covenants had any material impact on the Company or its operations. The Company expects to be in compliance with all debt covenants by the end of the fiscal quarter ended March 31, 2023.</w:t>
      </w:r>
    </w:p>
    <w:p>
      <w:pPr>
        <w:spacing w:after="0" w:line="120" w:lineRule="exact"/>
        <w:rPr>
          <w:sz w:val="20"/>
          <w:szCs w:val="20"/>
          <w:color w:val="auto"/>
        </w:rPr>
      </w:pPr>
    </w:p>
    <w:p>
      <w:pPr>
        <w:ind w:right="560"/>
        <w:spacing w:after="0" w:line="262" w:lineRule="auto"/>
        <w:rPr>
          <w:sz w:val="20"/>
          <w:szCs w:val="20"/>
          <w:color w:val="auto"/>
        </w:rPr>
      </w:pPr>
      <w:r>
        <w:rPr>
          <w:rFonts w:ascii="Arial" w:cs="Arial" w:eastAsia="Arial" w:hAnsi="Arial"/>
          <w:sz w:val="29"/>
          <w:szCs w:val="29"/>
          <w:color w:val="auto"/>
        </w:rPr>
        <w:t>NOTE 8 – CONVERTIBLE PREFERRED STOCK AND STOCKHOLDERS’ EQUITY (DEFICIT)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May 10, 2022, the Executive Committee of our Board of Directors approved a share repurchase program with authorization to purchase up to $ 50.0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Securities Exchange Act of 1934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at any time by the Company at any time at its discretion without prior notice.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During 2022, the Company repurchased 599,080 shares of Class A common stock at a total cost of $6.0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18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Upon closing of the IPO, all convertible preferred stock then outstanding, was converted into 42,031,390 shares of common stock on a ten-for-one basis and reclassified into Class A common stock. As such, there is no convertible preferred stock outstanding as of December 31, 2022 or 2021. As of December 31, 2020, convertible preferred stock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(in thousands, except share and</w:t>
            </w:r>
          </w:p>
        </w:tc>
        <w:tc>
          <w:tcPr>
            <w:tcW w:w="140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Shares</w:t>
            </w:r>
          </w:p>
        </w:tc>
        <w:tc>
          <w:tcPr>
            <w:tcW w:w="142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Shares issued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Original</w:t>
            </w:r>
          </w:p>
        </w:tc>
        <w:tc>
          <w:tcPr>
            <w:tcW w:w="180" w:type="dxa"/>
            <w:vAlign w:val="bottom"/>
          </w:tcPr>
          <w:p>
            <w:pPr>
              <w:spacing w:after="0"/>
              <w:rPr>
                <w:sz w:val="17"/>
                <w:szCs w:val="1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Liquidation</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issuance price</w:t>
            </w: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60" w:type="dxa"/>
            <w:vAlign w:val="bottom"/>
            <w:tcBorders>
              <w:bottom w:val="single" w:sz="8" w:color="CCEEFF"/>
            </w:tcBorders>
          </w:tcPr>
          <w:p>
            <w:pPr>
              <w:ind w:left="1500"/>
              <w:spacing w:after="0"/>
              <w:rPr>
                <w:sz w:val="20"/>
                <w:szCs w:val="20"/>
                <w:color w:val="auto"/>
              </w:rPr>
            </w:pPr>
            <w:r>
              <w:rPr>
                <w:rFonts w:ascii="Arial" w:cs="Arial" w:eastAsia="Arial" w:hAnsi="Arial"/>
                <w:sz w:val="16"/>
                <w:szCs w:val="16"/>
                <w:b w:val="1"/>
                <w:bCs w:val="1"/>
                <w:color w:val="auto"/>
              </w:rPr>
              <w:t>per share data)</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authorized</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and outstanding</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per share</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rPr>
              <w:t>Carrying value</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1,090,868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1,090,868</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Series B</w:t>
            </w:r>
          </w:p>
        </w:tc>
        <w:tc>
          <w:tcPr>
            <w:tcW w:w="1300" w:type="dxa"/>
            <w:vAlign w:val="bottom"/>
          </w:tcPr>
          <w:p>
            <w:pPr>
              <w:jc w:val="right"/>
              <w:spacing w:after="0"/>
              <w:rPr>
                <w:sz w:val="20"/>
                <w:szCs w:val="20"/>
                <w:color w:val="auto"/>
              </w:rPr>
            </w:pPr>
            <w:r>
              <w:rPr>
                <w:rFonts w:ascii="Arial" w:cs="Arial" w:eastAsia="Arial" w:hAnsi="Arial"/>
                <w:sz w:val="18"/>
                <w:szCs w:val="18"/>
                <w:color w:val="auto"/>
              </w:rPr>
              <w:t>1,401,399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1,401,399</w:t>
            </w: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2.67903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22,827</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644,541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644,541</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Series C</w:t>
            </w:r>
          </w:p>
        </w:tc>
        <w:tc>
          <w:tcPr>
            <w:tcW w:w="1300" w:type="dxa"/>
            <w:vAlign w:val="bottom"/>
          </w:tcPr>
          <w:p>
            <w:pPr>
              <w:jc w:val="right"/>
              <w:spacing w:after="0"/>
              <w:rPr>
                <w:sz w:val="20"/>
                <w:szCs w:val="20"/>
                <w:color w:val="auto"/>
              </w:rPr>
            </w:pPr>
            <w:r>
              <w:rPr>
                <w:rFonts w:ascii="Arial" w:cs="Arial" w:eastAsia="Arial" w:hAnsi="Arial"/>
                <w:sz w:val="18"/>
                <w:szCs w:val="18"/>
                <w:color w:val="auto"/>
              </w:rPr>
              <w:t>1,066,331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1,066,331</w:t>
            </w: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15.5677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17,170</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66"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The Company issued warrants during various dates in 2013 and December 2016 to purchase 430,080 shares of common stock in relation to a previous credit agreement entered into with Silicon Valley Bank.</w:t>
      </w:r>
    </w:p>
    <w:p>
      <w:pPr>
        <w:spacing w:after="0" w:line="13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Although the credit agreement was terminated in 2018, the common stock warrants remained outstanding until exercised or expired. The warrants issued in 2013 and 2016 were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immediately at $0.07 and $0.53 per share, respectively, with expiration dates ten years after issuance. The Company recorded the common stock warrants in Additional paid-in capital at their grant date fair value which approximates the exercise price.</w:t>
      </w:r>
    </w:p>
    <w:p>
      <w:pPr>
        <w:spacing w:after="0" w:line="117"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Following the completion of the IPO, Silicon Valley Bank net exercised all common stock warrants then outstanding for 428,067 shares of Class A common stock. As such, there are no common stock warrants outstanding as of December 31, 2022 or 2021. The following table discloses information regarding common stock warrants issued and outstanding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74"/>
              <w:spacing w:after="0"/>
              <w:rPr>
                <w:sz w:val="20"/>
                <w:szCs w:val="20"/>
                <w:color w:val="auto"/>
              </w:rPr>
            </w:pPr>
            <w:r>
              <w:rPr>
                <w:rFonts w:ascii="Arial" w:cs="Arial" w:eastAsia="Arial" w:hAnsi="Arial"/>
                <w:sz w:val="16"/>
                <w:szCs w:val="16"/>
                <w:b w:val="1"/>
                <w:bCs w:val="1"/>
                <w:color w:val="auto"/>
              </w:rPr>
              <w:t>Fair value on</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9"/>
        </w:trPr>
        <w:tc>
          <w:tcPr>
            <w:tcW w:w="5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Number of warrant</w:t>
            </w:r>
          </w:p>
        </w:tc>
        <w:tc>
          <w:tcPr>
            <w:tcW w:w="180" w:type="dxa"/>
            <w:vAlign w:val="bottom"/>
          </w:tcPr>
          <w:p>
            <w:pPr>
              <w:spacing w:after="0"/>
              <w:rPr>
                <w:sz w:val="16"/>
                <w:szCs w:val="16"/>
                <w:color w:val="auto"/>
              </w:rPr>
            </w:pPr>
          </w:p>
        </w:tc>
        <w:tc>
          <w:tcPr>
            <w:tcW w:w="1400" w:type="dxa"/>
            <w:vAlign w:val="bottom"/>
          </w:tcPr>
          <w:p>
            <w:pPr>
              <w:jc w:val="center"/>
              <w:ind w:right="74"/>
              <w:spacing w:after="0"/>
              <w:rPr>
                <w:sz w:val="20"/>
                <w:szCs w:val="20"/>
                <w:color w:val="auto"/>
              </w:rPr>
            </w:pPr>
            <w:r>
              <w:rPr>
                <w:rFonts w:ascii="Arial" w:cs="Arial" w:eastAsia="Arial" w:hAnsi="Arial"/>
                <w:sz w:val="16"/>
                <w:szCs w:val="16"/>
                <w:b w:val="1"/>
                <w:bCs w:val="1"/>
                <w:color w:val="auto"/>
              </w:rPr>
              <w:t>issuance date</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41"/>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 issued</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Exercisable through</w:t>
            </w:r>
          </w:p>
        </w:tc>
      </w:tr>
      <w:tr>
        <w:trPr>
          <w:trHeight w:val="23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2013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2023</w:t>
            </w: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October 2013</w:t>
            </w:r>
          </w:p>
        </w:tc>
        <w:tc>
          <w:tcPr>
            <w:tcW w:w="1580" w:type="dxa"/>
            <w:vAlign w:val="bottom"/>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October 2023</w:t>
            </w:r>
          </w:p>
        </w:tc>
      </w:tr>
      <w:tr>
        <w:trPr>
          <w:trHeight w:val="22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2016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130,080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2026</w:t>
            </w:r>
          </w:p>
        </w:tc>
      </w:tr>
      <w:tr>
        <w:trPr>
          <w:trHeight w:val="22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430,080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
        </w:trPr>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9"/>
          <w:szCs w:val="29"/>
          <w:color w:val="auto"/>
        </w:rPr>
        <w:t>NOTE 9 – STOCK INCENTIVE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and 2019 Stock Plans</w:t>
      </w:r>
    </w:p>
    <w:p>
      <w:pPr>
        <w:spacing w:after="0" w:line="16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under the 2019 Stock Plan, the Board of Directors approved the grant of 8,679,380 restricted stock units under the 2019 Stock Plan, which consisted of an aggregate of 4,339,690 shares of each of Class A and LT50 common stock effective immediately prior to the effectiveness of the Company's IPO Registration Statement. On November 9, 2021, the Board of Directors amended and restated the 2019 Stock Plan to, among other things, increase the common stock reserved for issuance under the 2019 Stock Plan to an aggregate of 16,856,770 shares of Class A and LT50 common stock.</w:t>
      </w:r>
    </w:p>
    <w:p>
      <w:pPr>
        <w:spacing w:after="0" w:line="14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Following the completion of the IPO, the Company did not and does not intend to make any further grants under the Stock Plans. However, 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Stock Purchase and Matching Plan ("Matching Plan" and together with the 2021 Plan, "2021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Plans</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November 2021, the Company's Board of Directors adopted, and its stockholders approved, the 2021 Incentive Plans, which both became effective immediately before the effectiveness of the IPO Registration Statement and use a combined share reserve. Under the 2021 Incentive Plans, 11,676,932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shares of Class A common stock were initially reserved for issuance pursuant to a variety of stock-based awards, including incentive stock options, nonqualified stock options, stock appreciation rights ("SARs"), restricted stock awards ("RSAs"),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for issuance under the 2021 Incentive Plans as of December 31, 2022 was 17,336,973 shares. The number of shares reserved for issuance under the 2021 Incentive Plans will automatically increase each subsequent January 1 through January 1, 2031, by the lesser of (A) 6% of the aggregate number of shares of all classes of common stock outstanding on the immediately preceding calendar year, or (B) such lesser number of shares as determined by the Company’s Board of Directors or compensation committee; provided, however, that no more than 87,576,990 shares of Class A common stock may be issued upon the exercise of incentive stock options.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and Matching Plan</w:t>
      </w:r>
    </w:p>
    <w:p>
      <w:pPr>
        <w:spacing w:after="0" w:line="18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Matching Plan operates using consecutive three month offering periods that commenced on March 15, 2022. Service Providers of the Company can participate in the Matching Plan by electing to contribute compensation through payroll deductions or from fee payments or may be granted discretionary awards under the Matching Plan. On the last day of the offering period the contributions made during the offering period are used to purchase shares of Class A common stock.</w:t>
      </w:r>
    </w:p>
    <w:p>
      <w:pPr>
        <w:spacing w:after="0" w:line="13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by a Service Provider as well as any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Black-Scholes option-pricing model on the date of grant. The Company recognizes stock-based compensation expense related to the matched shares pursuant to its Matching Plan on a straight-line basis over the applicable three month offering period.</w:t>
      </w:r>
    </w:p>
    <w:p>
      <w:pPr>
        <w:spacing w:after="0" w:line="13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Service Providers who participated in the Matching Plan for the offering period ended June 14, 2022 purchased a total of 67,946 in Class A common shares, based on a purchase price of $17.42, resulting in gross cash proceeds to the Company of $1.2 million.</w:t>
      </w:r>
    </w:p>
    <w:p>
      <w:pPr>
        <w:spacing w:after="0" w:line="13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Service Providers who participated in the Matching Plan for the offering period ended September 14, 2022 purchased a total of 73,959 in Class A common shares, based on a purchase price of $16.70, resulting in gross cash proceeds to the Company of $1.2 million.</w:t>
      </w:r>
    </w:p>
    <w:p>
      <w:pPr>
        <w:spacing w:after="0" w:line="13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Service Providers who participated in the Matching Plan for the offering period ended December 15, 2022 purchased a total of 130,291 in Class A common shares, based on a purchase price of $9.51, resulting in gross cash proceeds to the Company of $1.2 million.</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elected to match each share of Class A common stock purchased by or issued under the Matching Plan with 1/20 of a share of Class A common stock. As of December 31, 2022, the Company granted 22,201 shares of Class A common stock under the Matching Plan,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2019 Stock Plan and the 2021 Plan authorize the grant of RSUs. No RSUs were granted as of December 31, 2020 for either plan. In September 2021, under the 2019 Stock Plan, the Company's Board of Directors approved and authorized 8,679,380 restricted stock units to be granted, which consisted of an aggregate of 4,339,690 shares each of Class A and LT50 common stock effective as of immediately prior to the effectiveness of the Company's IPO Registration Statement. Of this total, 2,980,260 RSUs, comprised of 1,490,130 shares of each of Class A and LT50 common stock were considered granted for accounting purposes in September 2021 to the Company's named executive officers and certain members of management as the Company and these certain Service Providers had a mutual understanding of the key terms and conditions of the award on the board approval date, which occurred on September 24, 2021. RSUs granted to Service Providers in September 2021 vest upon the satisfaction of both a performance and service condition. The performance condition was satisfied immediately prior to the effectiveness of the IPO Registration Statement. The service condition for these awards is satisfied over eight years with a cliff vest for 1/8 of the grant on September 15, 2022 and quarterly vesting of 1/32 of the grant every December 15, March 15, June 15 and September 15 thereafter until fully vested.</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November 2021, the Company granted 5,666,260 RSUs, comprised of 2,833,130 shares of each of Class A common stock and LT50 common stock, to certain Service Providers that were not included in the September RSU grant. These RSUs only have a service condition, which is equivalent with the service condition of the awards granted in September 2021, and were deemed granted for accounting purposes on November 10, 2021, the date these certain Service Providers had a mutual understanding of the key terms and conditions of the award.</w:t>
      </w:r>
    </w:p>
    <w:p>
      <w:pPr>
        <w:spacing w:after="0" w:line="13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28, 2022, the Company granted a Service Provider 43,060 RSUs, comprised of 21,530 shares each of Class A common stock and LT50 common stock, at a grant date fair value of $18.93 per share. These RSUs only have a service condition, which is satisfied over approximately eight years with a cliff vest for 1/8 of the grant on September 15, 2022 and quarterly vesting of 1/32 of the grant every December 15, March 15, June 15 and September 15 thereafter until fully vested.</w:t>
      </w:r>
    </w:p>
    <w:p>
      <w:pPr>
        <w:spacing w:after="0" w:line="1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Pursuant to the Company's Non-Employee Director Compensation Program, which was adopted under the 2021 Incentive Plans, the Company granted 20,163 Class A common stock RSUs during the year ended December 31, 2022. A total of 9,261 Class A common stock RSUs vested during the year ended December 31, 2022 related to previously granted RSU awards as the quarterly service conditions were satisfied.</w:t>
      </w:r>
    </w:p>
    <w:p>
      <w:pPr>
        <w:spacing w:after="0" w:line="13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granted 27,780 Class A common stock RSUs to members of the Company's audit committee during November 2021 in connection with each member's initial appointment to the Board of Directors and consummation of the IPO. For accounting purposes, the grant date was considered to be November 12, 2021 as this was the date the Company filed its IPO price pursuant to Rule 424(b)(4). The IPO price was a key determination of the number of RSUs awarded to members of the Audit Committee and therefore on this date the Company and each Audit Committee member had a mutual understanding of the key terms and conditions of the awards granted. The RSUs granted vest upon the earlier of the satisfaction of a service condition or a performance condition, which is considered a change in control event. The service condition for these awards is satisfied over three years with quarterly vesting of the grant until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RSU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Class A Common</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7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89"/>
        </w:trPr>
        <w:tc>
          <w:tcPr>
            <w:tcW w:w="60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28"/>
        </w:trPr>
        <w:tc>
          <w:tcPr>
            <w:tcW w:w="6020" w:type="dxa"/>
            <w:vAlign w:val="bottom"/>
          </w:tcPr>
          <w:p>
            <w:pPr>
              <w:spacing w:after="0"/>
              <w:rPr>
                <w:sz w:val="19"/>
                <w:szCs w:val="19"/>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Stock</w:t>
            </w: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LT50 Common Stock</w:t>
            </w:r>
          </w:p>
        </w:tc>
        <w:tc>
          <w:tcPr>
            <w:tcW w:w="120" w:type="dxa"/>
            <w:vAlign w:val="bottom"/>
          </w:tcPr>
          <w:p>
            <w:pPr>
              <w:spacing w:after="0"/>
              <w:rPr>
                <w:sz w:val="19"/>
                <w:szCs w:val="19"/>
                <w:color w:val="auto"/>
              </w:rPr>
            </w:pPr>
          </w:p>
        </w:tc>
        <w:tc>
          <w:tcPr>
            <w:tcW w:w="1560" w:type="dxa"/>
            <w:vAlign w:val="bottom"/>
          </w:tcPr>
          <w:p>
            <w:pPr>
              <w:jc w:val="right"/>
              <w:ind w:right="393"/>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29"/>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4,329,530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63,223</w:t>
            </w:r>
          </w:p>
        </w:tc>
        <w:tc>
          <w:tcPr>
            <w:tcW w:w="1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(645,740)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cancelled/forfeited/expired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(367,356)</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3,379,657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3,304,643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As of December 31, 2022, there was $204.2 million of unamortized stock-based compensation cost related to unvested RSUs, which is expected to be recognized over the remaining weighted average life of 6.23 years. As of December 31, 2021, there was $282.0 million of unamortized stock-based compensation cost related to unvested RSUs, which is expected to be recognized over the remaining weighted average life of 6.92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Stock Plans and the 2021 Plan provide for the grant of incentive and nonstatutory stock options to employees, non-employee directors and consultants of the Company.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variable accounting. During the year ended December 31, 2022, the Company repurchased an immaterial amount of exercised restricted common stock. There were no repurchases of exercised restricted common stock during the year ended December 31, 2021.</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December 31, 2022 and 2021, there were 813,311 and 1,437,760 shares subject to repurchase, respectively, related to unvested stock options that had been early exercised. As of December 31, 2022 and 2021, the Company recorded a liability related to shares subject to repurchase of $1.3 million and $2.4 million, respectively, which is included within Accrued expenses and other liabilities in the accompanying Consolidated Balance Sheets. These amounts are reclassified to common stock and additional paid in capital as the underlying shares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60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60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exercise price per</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contractual life</w:t>
            </w:r>
          </w:p>
        </w:tc>
      </w:tr>
      <w:tr>
        <w:trPr>
          <w:trHeight w:val="241"/>
        </w:trPr>
        <w:tc>
          <w:tcPr>
            <w:tcW w:w="60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8"/>
              </w:rPr>
              <w:t>share</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r>
      <w:tr>
        <w:trPr>
          <w:trHeight w:val="254"/>
        </w:trPr>
        <w:tc>
          <w:tcPr>
            <w:tcW w:w="6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13,512,820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r>
        <w:trPr>
          <w:trHeight w:val="203"/>
        </w:trPr>
        <w:tc>
          <w:tcPr>
            <w:tcW w:w="6020" w:type="dxa"/>
            <w:vAlign w:val="bottom"/>
          </w:tcPr>
          <w:p>
            <w:pPr>
              <w:ind w:left="60"/>
              <w:spacing w:after="0" w:line="203" w:lineRule="exact"/>
              <w:rPr>
                <w:sz w:val="20"/>
                <w:szCs w:val="20"/>
                <w:color w:val="auto"/>
              </w:rPr>
            </w:pPr>
            <w:r>
              <w:rPr>
                <w:rFonts w:ascii="Arial" w:cs="Arial" w:eastAsia="Arial" w:hAnsi="Arial"/>
                <w:sz w:val="18"/>
                <w:szCs w:val="18"/>
                <w:color w:val="auto"/>
              </w:rPr>
              <w:t>Exercisable at December 31, 2020</w:t>
            </w: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13,222,800</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0.78</w:t>
            </w:r>
          </w:p>
        </w:tc>
        <w:tc>
          <w:tcPr>
            <w:tcW w:w="8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6.31</w:t>
            </w:r>
          </w:p>
        </w:tc>
      </w:tr>
      <w:tr>
        <w:trPr>
          <w:trHeight w:val="229"/>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granted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660" w:type="dxa"/>
            <w:vAlign w:val="bottom"/>
          </w:tcPr>
          <w:p>
            <w:pPr>
              <w:jc w:val="right"/>
              <w:spacing w:after="0"/>
              <w:rPr>
                <w:sz w:val="20"/>
                <w:szCs w:val="20"/>
                <w:color w:val="auto"/>
              </w:rPr>
            </w:pPr>
            <w:r>
              <w:rPr>
                <w:rFonts w:ascii="Arial" w:cs="Arial" w:eastAsia="Arial" w:hAnsi="Arial"/>
                <w:sz w:val="18"/>
                <w:szCs w:val="18"/>
                <w:color w:val="auto"/>
              </w:rPr>
              <w:t>(6,965,767)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0.94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cancelled/forfeited/expired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(315,940)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6020" w:type="dxa"/>
            <w:vAlign w:val="bottom"/>
          </w:tcPr>
          <w:p>
            <w:pPr>
              <w:ind w:left="60"/>
              <w:spacing w:after="0"/>
              <w:rPr>
                <w:sz w:val="20"/>
                <w:szCs w:val="20"/>
                <w:color w:val="auto"/>
              </w:rPr>
            </w:pPr>
            <w:r>
              <w:rPr>
                <w:rFonts w:ascii="Arial" w:cs="Arial" w:eastAsia="Arial" w:hAnsi="Arial"/>
                <w:sz w:val="18"/>
                <w:szCs w:val="18"/>
                <w:color w:val="auto"/>
              </w:rPr>
              <w:t>Outstanding at December 31, 2021</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7,193,193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r>
      <w:tr>
        <w:trPr>
          <w:trHeight w:val="223"/>
        </w:trPr>
        <w:tc>
          <w:tcPr>
            <w:tcW w:w="6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Exercisable at December 31, 2021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7,001,403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r>
      <w:tr>
        <w:trPr>
          <w:trHeight w:val="230"/>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6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cancelled/forfeited/expired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(412,996)</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1.92</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r>
      <w:tr>
        <w:trPr>
          <w:trHeight w:val="248"/>
        </w:trPr>
        <w:tc>
          <w:tcPr>
            <w:tcW w:w="6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6,301,650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r>
        <w:trPr>
          <w:trHeight w:val="203"/>
        </w:trPr>
        <w:tc>
          <w:tcPr>
            <w:tcW w:w="6020" w:type="dxa"/>
            <w:vAlign w:val="bottom"/>
          </w:tcPr>
          <w:p>
            <w:pPr>
              <w:ind w:left="60"/>
              <w:spacing w:after="0" w:line="203" w:lineRule="exact"/>
              <w:rPr>
                <w:sz w:val="20"/>
                <w:szCs w:val="20"/>
                <w:color w:val="auto"/>
              </w:rPr>
            </w:pPr>
            <w:r>
              <w:rPr>
                <w:rFonts w:ascii="Arial" w:cs="Arial" w:eastAsia="Arial" w:hAnsi="Arial"/>
                <w:sz w:val="18"/>
                <w:szCs w:val="18"/>
                <w:color w:val="auto"/>
              </w:rPr>
              <w:t>Exercisable at December 31, 2022</w:t>
            </w: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6,130,735</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1.51</w:t>
            </w:r>
          </w:p>
        </w:tc>
        <w:tc>
          <w:tcPr>
            <w:tcW w:w="8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5.15</w:t>
            </w:r>
          </w:p>
        </w:tc>
      </w:tr>
      <w:tr>
        <w:trPr>
          <w:trHeight w:val="54"/>
        </w:trPr>
        <w:tc>
          <w:tcPr>
            <w:tcW w:w="60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8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total pretax intrinsic value of options exercised during the years ended December 31, 2022, 2021, and 2020 was $10.9 million, $ 80.7 million, and $11.3 million, respectively. The total pretax intrinsic value of options outstanding at December 31, 2022, 2021, and 2020 was $46.0 million, $ 302.8 million, and $86.8 million, respectively. The intrinsic value is the difference between the estimated fair market value of the Company’s common stock at the date of exercise and the exercise price for in-the-money options. No options were granted during the year ended December 31, 2022. The weighted average grant date fair value of options granted during the years ended December 31, 2021 and 2020 was $6.87 and $1.69, respectively.</w:t>
      </w:r>
    </w:p>
    <w:p>
      <w:pPr>
        <w:spacing w:after="0" w:line="1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December 31, 2022, there was $8.1 million of unrecognized stock-based compensation cost related to unvested stock options, which is expected to be recognized over a weighted average period of 1.21 years. As of December 31, 2021, there was $13.2 million of unrecognized stock-based compensation cost related to unvested stock options, which is expected to be recognized over a weighted average period of 1.70 years. As of December 31, 2020, there was $10.8 million of unrecognized stock-based compensation cost related to unvested stock options, which is expected to be recognized over a weighted average period of 3.70 years.</w:t>
      </w:r>
    </w:p>
    <w:p>
      <w:pPr>
        <w:spacing w:after="0" w:line="13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Cash received from option exercises and purchases of shares under the Stock Plans for the years ended December 31, 2022, 2021, and 2020 was $0.8 million, $3.5 million, and $1.3 million, respectively.</w:t>
      </w:r>
    </w:p>
    <w:p>
      <w:pPr>
        <w:spacing w:after="0" w:line="13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Prior to the IPO, the fair value of option grants was estimated using the Black-Scholes option pricing model with the following weighted average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6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9"/>
                <w:szCs w:val="19"/>
                <w:color w:val="auto"/>
              </w:rPr>
            </w:pPr>
          </w:p>
        </w:tc>
      </w:tr>
      <w:tr>
        <w:trPr>
          <w:trHeight w:val="236"/>
        </w:trPr>
        <w:tc>
          <w:tcPr>
            <w:tcW w:w="75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20"/>
                <w:szCs w:val="20"/>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 per share</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2.66</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Exercise price per share</w:t>
            </w:r>
          </w:p>
        </w:tc>
        <w:tc>
          <w:tcPr>
            <w:tcW w:w="1080" w:type="dxa"/>
            <w:vAlign w:val="bottom"/>
          </w:tcPr>
          <w:p>
            <w:pPr>
              <w:jc w:val="right"/>
              <w:ind w:right="87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2.11</w:t>
            </w: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dividend yield </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(2)</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50.5 %</w:t>
            </w:r>
          </w:p>
        </w:tc>
      </w:tr>
      <w:tr>
        <w:trPr>
          <w:trHeight w:val="301"/>
        </w:trPr>
        <w:tc>
          <w:tcPr>
            <w:tcW w:w="7560" w:type="dxa"/>
            <w:vAlign w:val="bottom"/>
          </w:tcPr>
          <w:p>
            <w:pPr>
              <w:ind w:left="20"/>
              <w:spacing w:after="0"/>
              <w:rPr>
                <w:sz w:val="20"/>
                <w:szCs w:val="20"/>
                <w:color w:val="auto"/>
              </w:rPr>
            </w:pPr>
            <w:r>
              <w:rPr>
                <w:rFonts w:ascii="Arial" w:cs="Arial" w:eastAsia="Arial" w:hAnsi="Arial"/>
                <w:sz w:val="18"/>
                <w:szCs w:val="18"/>
                <w:color w:val="auto"/>
              </w:rPr>
              <w:t xml:space="preserve">Expected life (in years) </w:t>
            </w:r>
            <w:r>
              <w:rPr>
                <w:rFonts w:ascii="Arial" w:cs="Arial" w:eastAsia="Arial" w:hAnsi="Arial"/>
                <w:sz w:val="23"/>
                <w:szCs w:val="23"/>
                <w:color w:val="auto"/>
                <w:vertAlign w:val="superscript"/>
              </w:rPr>
              <w:t>(4)</w:t>
            </w:r>
          </w:p>
        </w:tc>
        <w:tc>
          <w:tcPr>
            <w:tcW w:w="10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Company has no history or expectation of paying cash dividends on its common stock.</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risk-free interest rate is based on the U.S. Treasury yield for a term consistent with the expected life of the awards in effect at the time of grant.</w:t>
      </w:r>
    </w:p>
    <w:p>
      <w:pPr>
        <w:spacing w:after="0" w:line="12" w:lineRule="exact"/>
        <w:rPr>
          <w:rFonts w:ascii="Arial" w:cs="Arial" w:eastAsia="Arial" w:hAnsi="Arial"/>
          <w:sz w:val="13"/>
          <w:szCs w:val="13"/>
          <w:color w:val="auto"/>
        </w:rPr>
      </w:pPr>
    </w:p>
    <w:p>
      <w:pPr>
        <w:ind w:left="340" w:right="140" w:hanging="332"/>
        <w:spacing w:after="0" w:line="260" w:lineRule="auto"/>
        <w:tabs>
          <w:tab w:leader="none" w:pos="343"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Company estimates the volatility of its common stock at the date of grant based on the expected weighted-average volatility for a group of publicly traded companies in a similar industry or with similar service offerings, with a term of one year or greater. There have been no grants of stock options after the completion of the IPO.</w:t>
      </w:r>
    </w:p>
    <w:p>
      <w:pPr>
        <w:ind w:left="340" w:right="240" w:hanging="332"/>
        <w:spacing w:after="0" w:line="280" w:lineRule="auto"/>
        <w:tabs>
          <w:tab w:leader="none" w:pos="343"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expected life of stock options granted under the option plans is determined using the simplified method, which deems the expected life to be the average of the time-to-vesting and the contractual life of the stock-based awards. The expected life represents the period of time that options granted are expected to be outstanding.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following table summarizes the stock-based compensation expense recognized for options granted under the 2009 Stock Plan, options and RSUs granted under the 2019 Stock Plan, RSUs granted under the 2021 Plan and matching shares issued under the Matching Plan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19"/>
                <w:szCs w:val="19"/>
                <w:color w:val="auto"/>
              </w:rPr>
            </w:pPr>
          </w:p>
        </w:tc>
      </w:tr>
      <w:tr>
        <w:trPr>
          <w:trHeight w:val="236"/>
        </w:trPr>
        <w:tc>
          <w:tcPr>
            <w:tcW w:w="60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Secondary sales of common stock</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15,255</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shares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50,134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54,089</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is included in the following components of expenses on the accompanying Consolidated Statements of Operations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stock-based compensation expense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33261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30"/>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18,403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2,272</w:t>
            </w:r>
          </w:p>
        </w:tc>
      </w:tr>
      <w:tr>
        <w:trPr>
          <w:trHeight w:val="230"/>
        </w:trPr>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2,469</w:t>
            </w:r>
          </w:p>
        </w:tc>
      </w:tr>
      <w:tr>
        <w:trPr>
          <w:trHeight w:val="230"/>
        </w:trPr>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12,648</w:t>
            </w:r>
          </w:p>
        </w:tc>
      </w:tr>
      <w:tr>
        <w:trPr>
          <w:trHeight w:val="229"/>
        </w:trPr>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23"/>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52,332</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17,837</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-779145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-479425</wp:posOffset>
            </wp:positionV>
            <wp:extent cx="713232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-187960</wp:posOffset>
            </wp:positionV>
            <wp:extent cx="713232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5240"/>
          </w:cols>
          <w:pgMar w:left="320" w:top="118" w:right="339" w:bottom="1440" w:gutter="0" w:footer="0" w:header="0"/>
          <w:type w:val="continuous"/>
        </w:sectPr>
      </w:pPr>
    </w:p>
    <w:p>
      <w:pPr>
        <w:spacing w:after="0" w:line="8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Stock-based compensation expense capitalized as internally developed software costs was $ 1.8 million and $0.6 million for the years ended December 31, 2022 and 2021, respectively. This amount was not material for the year ended December 31, 2020.</w:t>
      </w:r>
    </w:p>
    <w:p>
      <w:pPr>
        <w:spacing w:after="0" w:line="11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For RSUs granted in September 2021, the Company recorded a cumulative one-time stock-based compensation expense on the date the performance condition was satisfied for the requisite service period satisfied by the employees prior to that date. Upon the date of the performance condition being</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satisfied on November 9, 2021, the Company recorded cumulative stock-based compensation expense of approximately $2.9 million related to these RSUs. The Company will recognize all remaining stock-based compensation expense over the vesting period using an accelerated graded method.</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2020, the Company's Chief Executive Officer, David Barrett, among other employees, sold a portion of their common stock to new investors. Due to the Company’s involvement in these transaction, the sales of common stock were determined to be compensatory, and the Company recorded $15.3 million to stock-based compensation expense for the sale price in excess of fair value.</w:t>
      </w:r>
    </w:p>
    <w:p>
      <w:pPr>
        <w:spacing w:after="0" w:line="1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RSUs granted to members of the Audit Committee, the Company records all stock-based compensation expense on a straight line basis over the requisite service period from the day of grant, which is considered one year for annual grants and three years for initial RSUs granted to members of the Audit Committee. During the years ended December 31, 2022 and 2021, total stock-based compensation recorded by the Company related to members of the Audit Committee was $0.6 million and $0.1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29"/>
          <w:szCs w:val="29"/>
          <w:color w:val="auto"/>
        </w:rPr>
        <w:t>NOTE 10 – INCOME TAXES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(loss) income before taxes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center"/>
              <w:ind w:left="832"/>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19"/>
                <w:szCs w:val="19"/>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 income before taxes</w:t>
            </w: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r>
      <w:tr>
        <w:trPr>
          <w:trHeight w:val="20"/>
        </w:trPr>
        <w:tc>
          <w:tcPr>
            <w:tcW w:w="6000" w:type="dxa"/>
            <w:vAlign w:val="bottom"/>
            <w:tcBorders>
              <w:top w:val="single" w:sz="8" w:color="CCEEFF"/>
            </w:tcBorders>
            <w:gridSpan w:val="2"/>
          </w:tcPr>
          <w:p>
            <w:pPr>
              <w:spacing w:after="0" w:line="20" w:lineRule="exact"/>
              <w:rPr>
                <w:sz w:val="1"/>
                <w:szCs w:val="1"/>
                <w:color w:val="auto"/>
              </w:rPr>
            </w:pPr>
          </w:p>
        </w:tc>
        <w:tc>
          <w:tcPr>
            <w:tcW w:w="16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20"/>
        </w:trPr>
        <w:tc>
          <w:tcPr>
            <w:tcW w:w="9560" w:type="dxa"/>
            <w:vAlign w:val="bottom"/>
            <w:gridSpan w:val="8"/>
          </w:tcPr>
          <w:p>
            <w:pPr>
              <w:spacing w:after="0"/>
              <w:rPr>
                <w:sz w:val="20"/>
                <w:szCs w:val="20"/>
                <w:color w:val="auto"/>
              </w:rPr>
            </w:pPr>
            <w:r>
              <w:rPr>
                <w:rFonts w:ascii="Arial" w:cs="Arial" w:eastAsia="Arial" w:hAnsi="Arial"/>
                <w:sz w:val="18"/>
                <w:szCs w:val="18"/>
                <w:color w:val="auto"/>
              </w:rPr>
              <w:t>The components of the Company’s (provision for) benefit from income taxes are as follows (in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5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6"/>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36"/>
        </w:trPr>
        <w:tc>
          <w:tcPr>
            <w:tcW w:w="5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center"/>
              <w:ind w:left="832"/>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Federal</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(4,052)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5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9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w:t>
            </w: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p>
      <w:pPr>
        <w:ind w:left="75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r>
      <w:tr>
        <w:trPr>
          <w:trHeight w:val="23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State tax</w:t>
            </w:r>
            <w:r>
              <w:rPr>
                <w:rFonts w:ascii="Arial" w:cs="Arial" w:eastAsia="Arial" w:hAnsi="Arial"/>
                <w:sz w:val="23"/>
                <w:szCs w:val="23"/>
                <w:color w:val="auto"/>
                <w:vertAlign w:val="superscript"/>
              </w:rPr>
              <w:t>(1)</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780" w:type="dxa"/>
            <w:vAlign w:val="bottom"/>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20.2</w:t>
            </w:r>
          </w:p>
        </w:tc>
      </w:tr>
      <w:tr>
        <w:trPr>
          <w:trHeight w:val="23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w:t>
            </w:r>
          </w:p>
        </w:tc>
      </w:tr>
      <w:tr>
        <w:trPr>
          <w:trHeight w:val="188"/>
        </w:trPr>
        <w:tc>
          <w:tcPr>
            <w:tcW w:w="68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Rate differentials for controlled foreign corporations and charitable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organizations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1780" w:type="dxa"/>
            <w:vAlign w:val="bottom"/>
          </w:tcPr>
          <w:p>
            <w:pPr>
              <w:jc w:val="right"/>
              <w:ind w:right="1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0.6</w:t>
            </w:r>
          </w:p>
        </w:tc>
      </w:tr>
      <w:tr>
        <w:trPr>
          <w:trHeight w:val="229"/>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Permanent items and others</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w:t>
            </w:r>
          </w:p>
        </w:tc>
      </w:tr>
      <w:tr>
        <w:trPr>
          <w:trHeight w:val="229"/>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(25.3)</w:t>
            </w:r>
          </w:p>
        </w:tc>
        <w:tc>
          <w:tcPr>
            <w:tcW w:w="80" w:type="dxa"/>
            <w:vAlign w:val="bottom"/>
          </w:tcPr>
          <w:p>
            <w:pPr>
              <w:spacing w:after="0"/>
              <w:rPr>
                <w:sz w:val="19"/>
                <w:szCs w:val="19"/>
                <w:color w:val="auto"/>
              </w:rPr>
            </w:pPr>
          </w:p>
        </w:tc>
        <w:tc>
          <w:tcPr>
            <w:tcW w:w="1780" w:type="dxa"/>
            <w:vAlign w:val="bottom"/>
          </w:tcPr>
          <w:p>
            <w:pPr>
              <w:jc w:val="right"/>
              <w:ind w:right="15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110.1</w:t>
            </w:r>
          </w:p>
        </w:tc>
      </w:tr>
      <w:tr>
        <w:trPr>
          <w:trHeight w:val="23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(13.4)</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162(m) limitation</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(14.1)</w:t>
            </w:r>
          </w:p>
        </w:tc>
        <w:tc>
          <w:tcPr>
            <w:tcW w:w="8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157.9 %</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State taxes include the impact of stock-based compensation expense related to secondary market transactions in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December 31,</w:t>
            </w:r>
          </w:p>
        </w:tc>
        <w:tc>
          <w:tcPr>
            <w:tcW w:w="1060" w:type="dxa"/>
            <w:vAlign w:val="bottom"/>
            <w:tcBorders>
              <w:bottom w:val="single" w:sz="8" w:color="auto"/>
            </w:tcBorders>
          </w:tcPr>
          <w:p>
            <w:pPr>
              <w:spacing w:after="0"/>
              <w:rPr>
                <w:sz w:val="19"/>
                <w:szCs w:val="19"/>
                <w:color w:val="auto"/>
              </w:rPr>
            </w:pPr>
          </w:p>
        </w:tc>
      </w:tr>
      <w:tr>
        <w:trPr>
          <w:trHeight w:val="236"/>
        </w:trPr>
        <w:tc>
          <w:tcPr>
            <w:tcW w:w="77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Interest expense limitation</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Charitable contributions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research and development</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r>
      <w:tr>
        <w:trPr>
          <w:trHeight w:val="209"/>
        </w:trPr>
        <w:tc>
          <w:tcPr>
            <w:tcW w:w="77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right-of-use assets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46"/>
        </w:trPr>
        <w:tc>
          <w:tcPr>
            <w:tcW w:w="77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778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TCJA requires taxpayers to capitalize and amortize research and experimental ("R&amp;D") expenditures under Internal Revenue Code Section 174 for tax years beginning after December 31, 2021. This rule became effective for the Company during the year ended December 31, 2022 and resulted in the capitalization of R&amp;D costs of $16.5 million which was offset by a valuation allowance.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Company will amortize these costs for tax purposes over five years for R&amp;D performed in the U.S. and over fifteen years for R&amp;D performed outside of the U.S.</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Under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Company assessed its ability to realize the benefits of its domestic deferred tax assets by evaluating all available positive and negative evidence, objective and subjective in nature, including cumulative results of operations in recent years, sources of recent pre-tax income, projected reversals of existing taxable temporary differences, and estimates of future taxable income. As of December 31, 2022, the Company concluded it is more likely than not that the Company will not have the ability to realize the benefits of its domestic deferred tax assets in excess of existing taxable temporary differences and therefore recorded a valuation allowance on the remaining domestic deferred tax assets.</w:t>
      </w:r>
    </w:p>
    <w:p>
      <w:pPr>
        <w:spacing w:after="0" w:line="1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December 31, 2022, the Company had utilized all available NOL carryforwards for U.S. federal and state tax purposes. As of December 31, 2021, the Company had NOL carryforwards for U.S. federal and state tax purposes of zero and $3.1 million, respectively. As of December 31, 2022, the Company had state research and development tax credit carryforwards of $0.9 million. As of December 31, 2021, the Company also had U.S. federal and state research and development tax credit carryforwards of $1.0 million and $1.0 million, respectively. The state tax credits do not expire and will carry forward indefinitely until utilized.</w:t>
      </w:r>
    </w:p>
    <w:p>
      <w:pPr>
        <w:spacing w:after="0" w:line="12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The Company follows the provisions of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December 31, 2022 and 2021, the Company recorded an uncertain tax position liability, exclusive of interest and penalties, of $1.2 million and $0.2 million respectively, within Other liabilities on the Consolidated Balance Sheets.</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December 31, 2022, 2021 and 2020, the Company had $1.8 million, $1.7 million and $1.3 million of unrecognized tax benefits, respectively. Approximately $1.2 million of the unrecognized tax benefits, if recognized, would affect the effective tax rate. A reconciliation of the amount of unrecognized tax benefits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19"/>
                <w:szCs w:val="19"/>
                <w:color w:val="auto"/>
              </w:rPr>
            </w:pPr>
          </w:p>
        </w:tc>
      </w:tr>
      <w:tr>
        <w:trPr>
          <w:trHeight w:val="236"/>
        </w:trPr>
        <w:tc>
          <w:tcPr>
            <w:tcW w:w="60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5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50"/>
        </w:trPr>
        <w:tc>
          <w:tcPr>
            <w:tcW w:w="600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current year</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tax positions of prior year</w:t>
            </w:r>
          </w:p>
        </w:tc>
        <w:tc>
          <w:tcPr>
            <w:tcW w:w="10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1,812</w:t>
            </w: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1,329</w:t>
            </w:r>
          </w:p>
        </w:tc>
      </w:tr>
      <w:tr>
        <w:trPr>
          <w:trHeight w:val="20"/>
        </w:trPr>
        <w:tc>
          <w:tcPr>
            <w:tcW w:w="60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6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recognizes penalties and interest expense related to income taxes as a component of tax expense. There are immaterial amounts of interest and penalties recorded in the Consolidated Statements of Operations for the years ended December 31, 2022, 2021, and 2020 and in the Consolidated Balance Sheets as of December 31, 2022 and 2021. There are no positions for which it is reasonably possible that the total amounts of unrecognized tax benefits will significantly increase or decrease within 12 months of the reporting date.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federal and state returns for the tax years ended from December 2018 to December 2021 remain open to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143510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29"/>
          <w:szCs w:val="29"/>
          <w:color w:val="auto"/>
        </w:rPr>
        <w:t>NOTE 11 – NET LOSS PER SHARE</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117475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80" w:type="dxa"/>
            <w:vAlign w:val="bottom"/>
          </w:tcPr>
          <w:p>
            <w:pPr>
              <w:ind w:left="240"/>
              <w:spacing w:after="0" w:line="178" w:lineRule="exact"/>
              <w:rPr>
                <w:sz w:val="20"/>
                <w:szCs w:val="20"/>
                <w:color w:val="auto"/>
              </w:rPr>
            </w:pPr>
            <w:r>
              <w:rPr>
                <w:rFonts w:ascii="Arial" w:cs="Arial" w:eastAsia="Arial" w:hAnsi="Arial"/>
                <w:sz w:val="16"/>
                <w:szCs w:val="16"/>
                <w:color w:val="auto"/>
              </w:rPr>
              <w:t>Net loss attributable to Class A, LT10 and LT50 common stockholders, basic</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and diluted</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(27,009)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(13,558)</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00" w:type="dxa"/>
            <w:vAlign w:val="bottom"/>
            <w:gridSpan w:val="2"/>
          </w:tcPr>
          <w:p>
            <w:pPr>
              <w:spacing w:after="0" w:line="178" w:lineRule="exact"/>
              <w:rPr>
                <w:sz w:val="20"/>
                <w:szCs w:val="20"/>
                <w:color w:val="auto"/>
              </w:rPr>
            </w:pPr>
            <w:r>
              <w:rPr>
                <w:rFonts w:ascii="Arial" w:cs="Arial" w:eastAsia="Arial" w:hAnsi="Arial"/>
                <w:sz w:val="16"/>
                <w:szCs w:val="16"/>
                <w:color w:val="auto"/>
              </w:rPr>
              <w:t>Weighted-average shares of common stock used to compute net loss per share</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attributable to common stockholders, basic and diluted</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80,786,725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38,039,222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27,424,480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8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Net loss per share attributable to Class A, LT10 and LT50 common stockholders,</w:t>
            </w:r>
          </w:p>
        </w:tc>
        <w:tc>
          <w:tcPr>
            <w:tcW w:w="40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80" w:type="dxa"/>
            <w:vAlign w:val="bottom"/>
            <w:tcBorders>
              <w:bottom w:val="single" w:sz="8" w:color="CCEEFF"/>
            </w:tcBorders>
            <w:shd w:val="clear" w:color="auto" w:fill="CCEEFF"/>
          </w:tcPr>
          <w:p>
            <w:pPr>
              <w:ind w:left="140"/>
              <w:spacing w:after="0" w:line="174" w:lineRule="exact"/>
              <w:rPr>
                <w:sz w:val="20"/>
                <w:szCs w:val="20"/>
                <w:color w:val="auto"/>
              </w:rPr>
            </w:pPr>
            <w:r>
              <w:rPr>
                <w:rFonts w:ascii="Arial" w:cs="Arial" w:eastAsia="Arial" w:hAnsi="Arial"/>
                <w:sz w:val="16"/>
                <w:szCs w:val="16"/>
                <w:color w:val="auto"/>
              </w:rPr>
              <w:t>basic and diluted</w:t>
            </w: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 w:right="60"/>
        <w:spacing w:after="0" w:line="251" w:lineRule="auto"/>
        <w:rPr>
          <w:sz w:val="20"/>
          <w:szCs w:val="20"/>
          <w:color w:val="auto"/>
        </w:rPr>
      </w:pPr>
      <w:r>
        <w:rPr>
          <w:rFonts w:ascii="Arial" w:cs="Arial" w:eastAsia="Arial" w:hAnsi="Arial"/>
          <w:sz w:val="18"/>
          <w:szCs w:val="18"/>
          <w:color w:val="auto"/>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10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10-month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weighted-average shares within each class of common stock during the period and the resulting net loss per share attributable to common stockholders will be the same for the Class A, LT10 and LT50 common stock on an individual or combined basis.</w:t>
      </w:r>
    </w:p>
    <w:p>
      <w:pPr>
        <w:spacing w:after="0" w:line="144" w:lineRule="exact"/>
        <w:rPr>
          <w:sz w:val="20"/>
          <w:szCs w:val="20"/>
          <w:color w:val="auto"/>
        </w:rPr>
      </w:pPr>
    </w:p>
    <w:p>
      <w:pPr>
        <w:ind w:left="20" w:right="80"/>
        <w:spacing w:after="0" w:line="261"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92075</wp:posOffset>
            </wp:positionV>
            <wp:extent cx="711517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00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320" w:type="dxa"/>
            <w:vAlign w:val="bottom"/>
            <w:tcBorders>
              <w:bottom w:val="single" w:sz="8" w:color="auto"/>
            </w:tcBorders>
          </w:tcPr>
          <w:p>
            <w:pPr>
              <w:spacing w:after="0"/>
              <w:rPr>
                <w:sz w:val="19"/>
                <w:szCs w:val="19"/>
                <w:color w:val="auto"/>
              </w:rPr>
            </w:pPr>
          </w:p>
        </w:tc>
      </w:tr>
      <w:tr>
        <w:trPr>
          <w:trHeight w:val="237"/>
        </w:trPr>
        <w:tc>
          <w:tcPr>
            <w:tcW w:w="60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366,982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413,040</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Weighted-average stock options</w:t>
            </w:r>
          </w:p>
        </w:tc>
        <w:tc>
          <w:tcPr>
            <w:tcW w:w="1600" w:type="dxa"/>
            <w:vAlign w:val="bottom"/>
          </w:tcPr>
          <w:p>
            <w:pPr>
              <w:jc w:val="right"/>
              <w:spacing w:after="0"/>
              <w:rPr>
                <w:sz w:val="20"/>
                <w:szCs w:val="20"/>
                <w:color w:val="auto"/>
              </w:rPr>
            </w:pPr>
            <w:r>
              <w:rPr>
                <w:rFonts w:ascii="Arial" w:cs="Arial" w:eastAsia="Arial" w:hAnsi="Arial"/>
                <w:sz w:val="16"/>
                <w:szCs w:val="16"/>
                <w:color w:val="auto"/>
              </w:rPr>
              <w:t>5,406,383</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9,419,506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10,981,370</w:t>
            </w: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Matching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Convertible preferred stock</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36,619,129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42,031,390</w:t>
            </w:r>
          </w:p>
        </w:tc>
      </w:tr>
      <w:tr>
        <w:trPr>
          <w:trHeight w:val="23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5,423,623</w:t>
            </w:r>
          </w:p>
        </w:tc>
        <w:tc>
          <w:tcPr>
            <w:tcW w:w="1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46,405,617</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53,425,800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20"/>
        <w:spacing w:after="0"/>
        <w:rPr>
          <w:sz w:val="20"/>
          <w:szCs w:val="20"/>
          <w:color w:val="auto"/>
        </w:rPr>
      </w:pPr>
      <w:r>
        <w:rPr>
          <w:rFonts w:ascii="Arial" w:cs="Arial" w:eastAsia="Arial" w:hAnsi="Arial"/>
          <w:sz w:val="29"/>
          <w:szCs w:val="29"/>
          <w:color w:val="auto"/>
        </w:rPr>
        <w:t>NOTE 12 – COMMITMENTS AND CONTINGENCIES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Litigation</w:t>
      </w:r>
    </w:p>
    <w:p>
      <w:pPr>
        <w:spacing w:after="0" w:line="166" w:lineRule="exact"/>
        <w:rPr>
          <w:sz w:val="20"/>
          <w:szCs w:val="20"/>
          <w:color w:val="auto"/>
        </w:rPr>
      </w:pPr>
    </w:p>
    <w:p>
      <w:pPr>
        <w:ind w:left="20" w:right="140"/>
        <w:spacing w:after="0" w:line="256" w:lineRule="auto"/>
        <w:rPr>
          <w:sz w:val="20"/>
          <w:szCs w:val="20"/>
          <w:color w:val="auto"/>
        </w:rPr>
      </w:pPr>
      <w:r>
        <w:rPr>
          <w:rFonts w:ascii="Arial" w:cs="Arial" w:eastAsia="Arial" w:hAnsi="Arial"/>
          <w:sz w:val="18"/>
          <w:szCs w:val="18"/>
          <w:color w:val="auto"/>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these provisions at least quarterly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adjusts provisions to reflect the impact of negotiations, settlements, rulings, advice of legal counsel and other information and events pertaining to a particular case.</w:t>
      </w:r>
    </w:p>
    <w:p>
      <w:pPr>
        <w:spacing w:after="0" w:line="1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 of December 31, 2022 and 2021, there were no legal contingency matters, either individually or in aggregate, that would have a material adverse effect on the Company's financial position, results of operations or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Consolidated Statements of Convertible Preferred Stock and Stockholders' Equity (Deficit), or Consolidated Statements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color w:val="auto"/>
        </w:rPr>
        <w:t>NOTE 13 – EMPLOYEE BENEFIT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6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fiscal 2009, the Company sponsored a U.S. 401(k) defined contribution plan covering eligible employees who elect to participate. The Company is allowed to make discretionary profit sharing and 401(k) matching contributions as defined in the plan and as approved by the Board of Directors. Effective January 1, 2018, the Company matches up to 4.50% of each participant’s eligible compensation. The Company’s actual contribution may be reduced by certain available forfeitures, if any, during the plan year. No discretionary profit-sharing contributions were made for the years ended December 31, 2022, 2021, and 2020. The Company’s 401(k) matching contributions for the years ended December 31, 2022, 2021, and 2020 were $0.8 million, $0.7 million, and $0.7 million, respectively.</w:t>
      </w:r>
    </w:p>
    <w:p>
      <w:pPr>
        <w:spacing w:after="0" w:line="14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accordance with local laws and customs of the UK, the Company sponsored a UK pension plan covering eligible employees who elect to participate. The Company is allowed to make discretionary profit sharing and matching contributions as defined in the plan and as approved by the Board of Directors. The Company matches up to 4.50% of each participant's eligible compensation. The Company’s actual contribution may be reduced by certain available forfeitures, if any, during the plan year. No discretionary profit-sharing contributions were made for the years ended December 31, 2022, 2021, and 2020. The discretionary matching contributions were $0.1 million for each of the years ended December 31, 2022, 2021, and 2020.</w:t>
      </w:r>
    </w:p>
    <w:p>
      <w:pPr>
        <w:spacing w:after="0" w:line="137" w:lineRule="exact"/>
        <w:rPr>
          <w:sz w:val="20"/>
          <w:szCs w:val="20"/>
          <w:color w:val="auto"/>
        </w:rPr>
      </w:pPr>
    </w:p>
    <w:p>
      <w:pPr>
        <w:spacing w:after="0"/>
        <w:rPr>
          <w:sz w:val="20"/>
          <w:szCs w:val="20"/>
          <w:color w:val="auto"/>
        </w:rPr>
      </w:pPr>
      <w:r>
        <w:rPr>
          <w:rFonts w:ascii="Arial" w:cs="Arial" w:eastAsia="Arial" w:hAnsi="Arial"/>
          <w:sz w:val="29"/>
          <w:szCs w:val="29"/>
          <w:color w:val="auto"/>
        </w:rPr>
        <w:t>NOTE 14 – RELATED PARTY TRANSACTIONS</w:t>
      </w:r>
    </w:p>
    <w:p>
      <w:pPr>
        <w:spacing w:after="0" w:line="156"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During the years ended December 31, 2022, 2021, and 2020 Expensify, Inc. contributed $2.4 million, $3.1 million, and $0.1 million, respectively, to its wholly-owned subsidiary, Expensify.org. There was an immaterial amount of commitments from Expensify, Inc. that remained open for contribution as of December 31, 2022 and $0.3 million as of December 31, 2021.</w:t>
      </w:r>
    </w:p>
    <w:p>
      <w:pPr>
        <w:spacing w:after="0" w:line="12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During the year ended December 31, 2021, the Company incurred sales and marketing expenses of $0.4 million, related to partner payouts and advertising fees paid to CPA.com. CPA.com is considered a related party to the Company as Timothy L. Christen, the Chairman of the Company's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1"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Expensify, Inc.</w:t>
      </w:r>
    </w:p>
    <w:p>
      <w:pPr>
        <w:spacing w:after="0" w:line="11"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being a Director on the Company's Board of Directors, also serves as a Director on CPA.com's Board of Directors.</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 are no other significant related party transactions for the Company as of December 31, 2022, 2021, and 2020, except as noted elsewhere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18" w:right="9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52" w:lineRule="auto"/>
        <w:rPr>
          <w:sz w:val="20"/>
          <w:szCs w:val="20"/>
          <w:color w:val="auto"/>
        </w:rPr>
      </w:pPr>
      <w:r>
        <w:rPr>
          <w:rFonts w:ascii="Arial" w:cs="Arial" w:eastAsia="Arial" w:hAnsi="Arial"/>
          <w:sz w:val="29"/>
          <w:szCs w:val="29"/>
          <w:color w:val="auto"/>
        </w:rPr>
        <w:t>Item 9. Changes in and Disagreements With Accountants on Accounting and Financial Disclosure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color w:val="auto"/>
        </w:rPr>
        <w:t>Item 9A. Controls and Procedures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Annual Report on Form 10-K.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Based on such evaluation, our chief executive officer and chief financial officer have concluded that as of December 31, 2022, our disclosure controls and procedures were</w:t>
      </w:r>
    </w:p>
    <w:p>
      <w:pPr>
        <w:spacing w:after="0" w:line="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effective at a reasonable assurance level. Please see below for a discussion of the Company’s remediation of a previously-reported material weakness.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GAAP.</w:t>
      </w:r>
    </w:p>
    <w:p>
      <w:pPr>
        <w:spacing w:after="0" w:line="1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management, under the supervision of our chief executive officer and our chief financial officer, conducted an evaluation of the effectiveness of our internal control over financial reporting as of December 31, 2022 based on the framework in Internal Control-Integrated Framework (2013), issued by the Committee of Sponsoring Organizations of the Treadway Commission. Based on this evaluation, management, including our chief executive officer and chief financial officer, concluded that our internal control over financial reporting was effective as of December 31, 2022.</w:t>
      </w:r>
    </w:p>
    <w:p>
      <w:pPr>
        <w:spacing w:after="0" w:line="13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Ernst &amp; Young LLP, an independent registered public accounting firm, as stated in its report included in Item 8 of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THE PREVIOUSLY DISCLOSED MATERIAL WEAKNESS</w:t>
      </w:r>
    </w:p>
    <w:p>
      <w:pPr>
        <w:spacing w:after="0" w:line="16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connection with management’s assessment of controls over financial reporting during the years ended December 31, 2021, 2020 and 2019, we identified a material weakness in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that we identified related to insufficient technical skills to address complex issues and accounting matters combined with insufficient accounting staff and internal control knowledge to design and implement processes and controls, as well as perform said reviews, including reviews of the completeness and accuracy of reports used to record journal entries, necessary to ensure material misstatements do not occur. To address this material weakness, we developed and refined our disclosure controls and other procedures to ensure that information required to be disclosed by us in the reports that we will file with the SEC is recorded, processed, summarized, and reported within the time periods specified in SEC rules and forms and that information required to be disclosed in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under the Exchange Act is accumulated and communicated to our principal executive and financial officers. We also worked to improve our internal control over financial reporting, including improving the controls around our key accounting processes and our quarterly close process, and we hired additional accounting and finance personnel to help us implement these processes and controls.</w:t>
      </w:r>
    </w:p>
    <w:p>
      <w:pPr>
        <w:spacing w:after="0" w:line="121"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The remediation efforts were intended both to address the identified material weakness and to enhance our overall financial control environment. As a result of the remediation activities and controls in place as of December 31, 2022, the material weakness has been remediated.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0"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Ernst &amp; Young LLP, an independent registered public accounting firm, as stated in its report included in Item 8 of this Annual Report on Form 10-K.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Except for the remediation efforts described above, there were no changes in our internal control over financial reporting identified in connection with the evaluation required by Rules 13a-15(d) and 15d-15(d) of the Exchange Act that occurred during the period covered by this Annual Report on Form 10-K that has materially affected, or is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EFFECTIVENESS OF CONTROLS AND PROCEDURES</w:t>
      </w:r>
    </w:p>
    <w:p>
      <w:pPr>
        <w:spacing w:after="0" w:line="1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29"/>
          <w:szCs w:val="29"/>
          <w:color w:val="auto"/>
        </w:rPr>
        <w:t>Item 9B. Other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set forth below is being voluntarily provided under this Item 9B.</w:t>
      </w:r>
    </w:p>
    <w:p>
      <w:pPr>
        <w:spacing w:after="0" w:line="1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February 13, 2023, Ryan Schaffer submitted his resignation as one of the three trustees of the Voting Trust, effective as of May 14, 2023 or, if earlier, the date on which certain applicable state regulatory approvals have been received, due to his no longer satisfying the beneficial ownership requirements of Section 1(b)(iii) of the Voting Trust Agreement. Pursuant to Section 1(b)(iii) of the Voting Trust Agreement, the remaining trustees voted to appoint Garrett Knight, and Mr. Knight consented, to succeed Mr. Schaffer as trustee upon the effectiveness of Mr. Schaffer’s resignation. Mr. Knight has also agreed to execute a joinder to become a party to the Voting Trust Agreement, as trustee, in connection with the effectiveness of his appointment.</w:t>
      </w:r>
    </w:p>
    <w:p>
      <w:pPr>
        <w:spacing w:after="0" w:line="124" w:lineRule="exact"/>
        <w:rPr>
          <w:sz w:val="20"/>
          <w:szCs w:val="20"/>
          <w:color w:val="auto"/>
        </w:rPr>
      </w:pPr>
    </w:p>
    <w:p>
      <w:pPr>
        <w:spacing w:after="0"/>
        <w:rPr>
          <w:sz w:val="20"/>
          <w:szCs w:val="20"/>
          <w:color w:val="auto"/>
        </w:rPr>
      </w:pPr>
      <w:r>
        <w:rPr>
          <w:rFonts w:ascii="Arial" w:cs="Arial" w:eastAsia="Arial" w:hAnsi="Arial"/>
          <w:sz w:val="29"/>
          <w:szCs w:val="29"/>
          <w:color w:val="auto"/>
        </w:rPr>
        <w:t>Item 9C. Disclosure Regarding Foreign Jurisdictions that Prevent Inspections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III</w:t>
      </w:r>
    </w:p>
    <w:p>
      <w:pPr>
        <w:spacing w:after="0" w:line="339" w:lineRule="exact"/>
        <w:rPr>
          <w:sz w:val="20"/>
          <w:szCs w:val="20"/>
          <w:color w:val="auto"/>
        </w:rPr>
      </w:pPr>
    </w:p>
    <w:p>
      <w:pPr>
        <w:spacing w:after="0"/>
        <w:rPr>
          <w:sz w:val="20"/>
          <w:szCs w:val="20"/>
          <w:color w:val="auto"/>
        </w:rPr>
      </w:pPr>
      <w:r>
        <w:rPr>
          <w:rFonts w:ascii="Arial" w:cs="Arial" w:eastAsia="Arial" w:hAnsi="Arial"/>
          <w:sz w:val="29"/>
          <w:szCs w:val="29"/>
          <w:color w:val="auto"/>
        </w:rPr>
        <w:t>Item 10. Directors, Executive Officers and Corporate Governance</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will be set forth in, and is incorporated by reference to, our 2023 Proxy Statement (the “2023 Proxy Statement”) to be filed with the SEC within 120 days after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8" w:right="7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Item 11. Executive Compensation</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will be set forth in, and is incorporated by reference to, the 2023 Proxy Statement to be filed with the SEC within 120 days after December 31, 2022.</w:t>
      </w:r>
    </w:p>
    <w:p>
      <w:pPr>
        <w:spacing w:after="0" w:line="127" w:lineRule="exact"/>
        <w:rPr>
          <w:sz w:val="20"/>
          <w:szCs w:val="20"/>
          <w:color w:val="auto"/>
        </w:rPr>
      </w:pPr>
    </w:p>
    <w:p>
      <w:pPr>
        <w:ind w:right="700"/>
        <w:spacing w:after="0" w:line="252" w:lineRule="auto"/>
        <w:rPr>
          <w:sz w:val="20"/>
          <w:szCs w:val="20"/>
          <w:color w:val="auto"/>
        </w:rPr>
      </w:pPr>
      <w:r>
        <w:rPr>
          <w:rFonts w:ascii="Arial" w:cs="Arial" w:eastAsia="Arial" w:hAnsi="Arial"/>
          <w:sz w:val="29"/>
          <w:szCs w:val="29"/>
          <w:color w:val="auto"/>
        </w:rPr>
        <w:t>Item 12. Security Ownership of Certain Beneficial Owners and Management and Related Stockholder Matters</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will be set forth in, and is incorporated by reference to, the 2023 Proxy Statement to be filed with the SEC within 120 days after December 31, 2022.</w:t>
      </w:r>
    </w:p>
    <w:p>
      <w:pPr>
        <w:spacing w:after="0" w:line="127" w:lineRule="exact"/>
        <w:rPr>
          <w:sz w:val="20"/>
          <w:szCs w:val="20"/>
          <w:color w:val="auto"/>
        </w:rPr>
      </w:pPr>
    </w:p>
    <w:p>
      <w:pPr>
        <w:spacing w:after="0"/>
        <w:rPr>
          <w:sz w:val="20"/>
          <w:szCs w:val="20"/>
          <w:color w:val="auto"/>
        </w:rPr>
      </w:pPr>
      <w:r>
        <w:rPr>
          <w:rFonts w:ascii="Arial" w:cs="Arial" w:eastAsia="Arial" w:hAnsi="Arial"/>
          <w:sz w:val="29"/>
          <w:szCs w:val="29"/>
          <w:color w:val="auto"/>
        </w:rPr>
        <w:t>Item 13. Certain Relationships and Related Transactions, and Director Independence</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will be set forth in, and is incorporated by reference to, the 2023 Proxy Statement to be filed with the SEC within 120 days after December 31, 2022.</w:t>
      </w:r>
    </w:p>
    <w:p>
      <w:pPr>
        <w:spacing w:after="0" w:line="127" w:lineRule="exact"/>
        <w:rPr>
          <w:sz w:val="20"/>
          <w:szCs w:val="20"/>
          <w:color w:val="auto"/>
        </w:rPr>
      </w:pPr>
    </w:p>
    <w:p>
      <w:pPr>
        <w:spacing w:after="0"/>
        <w:rPr>
          <w:sz w:val="20"/>
          <w:szCs w:val="20"/>
          <w:color w:val="auto"/>
        </w:rPr>
      </w:pPr>
      <w:r>
        <w:rPr>
          <w:rFonts w:ascii="Arial" w:cs="Arial" w:eastAsia="Arial" w:hAnsi="Arial"/>
          <w:sz w:val="29"/>
          <w:szCs w:val="29"/>
          <w:color w:val="auto"/>
        </w:rPr>
        <w:t>Item 14. Principal Accountant Fees and Services</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will be set forth in, and is incorporated by reference to, the 2023 Proxy Statement to be filed with the SEC within 120 days after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8" w:right="6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IV</w:t>
      </w:r>
    </w:p>
    <w:p>
      <w:pPr>
        <w:spacing w:after="0" w:line="339" w:lineRule="exact"/>
        <w:rPr>
          <w:sz w:val="20"/>
          <w:szCs w:val="20"/>
          <w:color w:val="auto"/>
        </w:rPr>
      </w:pPr>
    </w:p>
    <w:p>
      <w:pPr>
        <w:spacing w:after="0"/>
        <w:rPr>
          <w:sz w:val="20"/>
          <w:szCs w:val="20"/>
          <w:color w:val="auto"/>
        </w:rPr>
      </w:pPr>
      <w:r>
        <w:rPr>
          <w:rFonts w:ascii="Arial" w:cs="Arial" w:eastAsia="Arial" w:hAnsi="Arial"/>
          <w:sz w:val="29"/>
          <w:szCs w:val="29"/>
          <w:color w:val="auto"/>
        </w:rPr>
        <w:t>Item 15. Exhibit and Financial Statement Schedules</w:t>
      </w:r>
    </w:p>
    <w:p>
      <w:pPr>
        <w:spacing w:after="0" w:line="156" w:lineRule="exact"/>
        <w:rPr>
          <w:sz w:val="20"/>
          <w:szCs w:val="20"/>
          <w:color w:val="auto"/>
        </w:rPr>
      </w:pPr>
    </w:p>
    <w:p>
      <w:pPr>
        <w:ind w:left="600" w:hanging="268"/>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following documents are refiled as part of this report:</w:t>
      </w:r>
    </w:p>
    <w:p>
      <w:pPr>
        <w:spacing w:after="0" w:line="63" w:lineRule="exact"/>
        <w:rPr>
          <w:rFonts w:ascii="Arial" w:cs="Arial" w:eastAsia="Arial" w:hAnsi="Arial"/>
          <w:sz w:val="18"/>
          <w:szCs w:val="18"/>
          <w:color w:val="auto"/>
        </w:rPr>
      </w:pPr>
    </w:p>
    <w:p>
      <w:pPr>
        <w:ind w:left="1320" w:hanging="340"/>
        <w:spacing w:after="0"/>
        <w:tabs>
          <w:tab w:leader="none" w:pos="13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5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Index to Financial Statements in Item 8 of this report.</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57" w:lineRule="exact"/>
        <w:rPr>
          <w:rFonts w:ascii="Arial" w:cs="Arial" w:eastAsia="Arial" w:hAnsi="Arial"/>
          <w:sz w:val="18"/>
          <w:szCs w:val="18"/>
          <w:color w:val="auto"/>
        </w:rPr>
      </w:pPr>
    </w:p>
    <w:p>
      <w:pPr>
        <w:ind w:left="1300" w:right="60"/>
        <w:spacing w:after="0" w:line="256"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spacing w:after="0" w:line="134" w:lineRule="exact"/>
        <w:rPr>
          <w:rFonts w:ascii="Arial" w:cs="Arial" w:eastAsia="Arial" w:hAnsi="Arial"/>
          <w:sz w:val="18"/>
          <w:szCs w:val="18"/>
          <w:color w:val="auto"/>
        </w:rPr>
      </w:pPr>
    </w:p>
    <w:p>
      <w:pPr>
        <w:ind w:left="1300" w:hanging="320"/>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documents set forth below are filed herewith or incorporated herein by reference to the location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b w:val="1"/>
                <w:bCs w:val="1"/>
                <w:color w:val="auto"/>
              </w:rPr>
              <w:t>Incorporated by Reference</w:t>
            </w:r>
          </w:p>
        </w:tc>
        <w:tc>
          <w:tcPr>
            <w:tcW w:w="1560" w:type="dxa"/>
            <w:vAlign w:val="bottom"/>
            <w:tcBorders>
              <w:bottom w:val="single" w:sz="8" w:color="auto"/>
            </w:tcBorders>
          </w:tcPr>
          <w:p>
            <w:pPr>
              <w:spacing w:after="0"/>
              <w:rPr>
                <w:sz w:val="18"/>
                <w:szCs w:val="18"/>
                <w:color w:val="auto"/>
              </w:rPr>
            </w:pPr>
          </w:p>
        </w:tc>
      </w:tr>
      <w:tr>
        <w:trPr>
          <w:trHeight w:val="412"/>
        </w:trPr>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Exhibit No.</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6"/>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24"/>
                <w:szCs w:val="24"/>
                <w:color w:val="auto"/>
              </w:rPr>
            </w:pPr>
          </w:p>
        </w:tc>
        <w:tc>
          <w:tcPr>
            <w:tcW w:w="13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Form</w:t>
            </w:r>
          </w:p>
        </w:tc>
        <w:tc>
          <w:tcPr>
            <w:tcW w:w="160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File No.</w:t>
            </w: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Exhibit</w:t>
            </w:r>
          </w:p>
        </w:tc>
        <w:tc>
          <w:tcPr>
            <w:tcW w:w="156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Filing Date</w:t>
            </w:r>
          </w:p>
        </w:tc>
      </w:tr>
      <w:tr>
        <w:trPr>
          <w:trHeight w:val="172"/>
        </w:trPr>
        <w:tc>
          <w:tcPr>
            <w:tcW w:w="1380" w:type="dxa"/>
            <w:vAlign w:val="bottom"/>
          </w:tcPr>
          <w:p>
            <w:pPr>
              <w:jc w:val="center"/>
              <w:spacing w:after="0" w:line="172" w:lineRule="exact"/>
              <w:rPr>
                <w:sz w:val="20"/>
                <w:szCs w:val="20"/>
                <w:color w:val="auto"/>
              </w:rPr>
            </w:pPr>
            <w:r>
              <w:rPr>
                <w:rFonts w:ascii="Arial" w:cs="Arial" w:eastAsia="Arial" w:hAnsi="Arial"/>
                <w:sz w:val="16"/>
                <w:szCs w:val="16"/>
                <w:color w:val="auto"/>
                <w:w w:val="98"/>
              </w:rPr>
              <w:t>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gridSpan w:val="19"/>
          </w:tcPr>
          <w:p>
            <w:pPr>
              <w:spacing w:after="0" w:line="172" w:lineRule="exact"/>
              <w:rPr>
                <w:sz w:val="20"/>
                <w:szCs w:val="20"/>
                <w:color w:val="auto"/>
              </w:rPr>
            </w:pPr>
            <w:r>
              <w:rPr>
                <w:rFonts w:ascii="Arial" w:cs="Arial" w:eastAsia="Arial" w:hAnsi="Arial"/>
                <w:sz w:val="16"/>
                <w:szCs w:val="16"/>
                <w:color w:val="0000FF"/>
              </w:rPr>
              <w:t>Amended and Restated Certificate of Incorporation of</w:t>
            </w: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the Registrant.</w:t>
            </w:r>
          </w:p>
        </w:tc>
        <w:tc>
          <w:tcPr>
            <w:tcW w:w="220" w:type="dxa"/>
            <w:vAlign w:val="bottom"/>
            <w:gridSpan w:val="2"/>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19"/>
          </w:tcPr>
          <w:p>
            <w:pPr>
              <w:spacing w:after="0"/>
              <w:rPr>
                <w:rFonts w:ascii="Arial" w:cs="Arial" w:eastAsia="Arial" w:hAnsi="Arial"/>
                <w:sz w:val="16"/>
                <w:szCs w:val="16"/>
                <w:color w:val="0000FF"/>
              </w:rPr>
            </w:pPr>
            <w:hyperlink r:id="rId238">
              <w:r>
                <w:rPr>
                  <w:rFonts w:ascii="Arial" w:cs="Arial" w:eastAsia="Arial" w:hAnsi="Arial"/>
                  <w:sz w:val="16"/>
                  <w:szCs w:val="16"/>
                  <w:color w:val="0000FF"/>
                </w:rPr>
                <w:t>Amended and Restated Bylaws of the Registrant.</w:t>
              </w:r>
            </w:hyperlink>
          </w:p>
        </w:tc>
        <w:tc>
          <w:tcPr>
            <w:tcW w:w="1300" w:type="dxa"/>
            <w:vAlign w:val="bottom"/>
          </w:tcPr>
          <w:p>
            <w:pPr>
              <w:jc w:val="center"/>
              <w:ind w:left="39"/>
              <w:spacing w:after="0"/>
              <w:rPr>
                <w:sz w:val="20"/>
                <w:szCs w:val="20"/>
                <w:color w:val="auto"/>
              </w:rPr>
            </w:pPr>
            <w:r>
              <w:rPr>
                <w:rFonts w:ascii="Arial" w:cs="Arial" w:eastAsia="Arial" w:hAnsi="Arial"/>
                <w:sz w:val="16"/>
                <w:szCs w:val="16"/>
                <w:color w:val="auto"/>
              </w:rPr>
              <w:t>8-K</w:t>
            </w:r>
          </w:p>
        </w:tc>
        <w:tc>
          <w:tcPr>
            <w:tcW w:w="1600" w:type="dxa"/>
            <w:vAlign w:val="bottom"/>
          </w:tcPr>
          <w:p>
            <w:pPr>
              <w:jc w:val="center"/>
              <w:spacing w:after="0"/>
              <w:rPr>
                <w:sz w:val="20"/>
                <w:szCs w:val="20"/>
                <w:color w:val="auto"/>
              </w:rPr>
            </w:pPr>
            <w:r>
              <w:rPr>
                <w:rFonts w:ascii="Arial" w:cs="Arial" w:eastAsia="Arial" w:hAnsi="Arial"/>
                <w:sz w:val="16"/>
                <w:szCs w:val="16"/>
                <w:color w:val="auto"/>
              </w:rPr>
              <w:t>001-41043</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November 15,</w:t>
            </w:r>
          </w:p>
        </w:tc>
      </w:tr>
      <w:tr>
        <w:trPr>
          <w:trHeight w:val="176"/>
        </w:trPr>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jc w:val="center"/>
              <w:ind w:left="79"/>
              <w:spacing w:after="0" w:line="177" w:lineRule="exact"/>
              <w:rPr>
                <w:sz w:val="20"/>
                <w:szCs w:val="20"/>
                <w:color w:val="auto"/>
              </w:rPr>
            </w:pPr>
            <w:r>
              <w:rPr>
                <w:rFonts w:ascii="Arial" w:cs="Arial" w:eastAsia="Arial" w:hAnsi="Arial"/>
                <w:sz w:val="16"/>
                <w:szCs w:val="16"/>
                <w:color w:val="auto"/>
              </w:rPr>
              <w:t>2021</w:t>
            </w:r>
          </w:p>
        </w:tc>
      </w:tr>
      <w:tr>
        <w:trPr>
          <w:trHeight w:val="236"/>
        </w:trPr>
        <w:tc>
          <w:tcPr>
            <w:tcW w:w="13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19"/>
          </w:tcPr>
          <w:p>
            <w:pPr>
              <w:spacing w:after="0"/>
              <w:rPr>
                <w:rFonts w:ascii="Arial" w:cs="Arial" w:eastAsia="Arial" w:hAnsi="Arial"/>
                <w:sz w:val="16"/>
                <w:szCs w:val="16"/>
                <w:color w:val="0000FF"/>
              </w:rPr>
            </w:pPr>
            <w:hyperlink r:id="rId239">
              <w:r>
                <w:rPr>
                  <w:rFonts w:ascii="Arial" w:cs="Arial" w:eastAsia="Arial" w:hAnsi="Arial"/>
                  <w:sz w:val="16"/>
                  <w:szCs w:val="16"/>
                  <w:color w:val="0000FF"/>
                </w:rPr>
                <w:t>Form of Class A Common Stock Certificate.</w:t>
              </w:r>
            </w:hyperlink>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99"/>
              </w:rPr>
              <w:t>S-1/A</w:t>
            </w:r>
          </w:p>
        </w:tc>
        <w:tc>
          <w:tcPr>
            <w:tcW w:w="160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November 01,</w:t>
            </w:r>
          </w:p>
        </w:tc>
      </w:tr>
      <w:tr>
        <w:trPr>
          <w:trHeight w:val="176"/>
        </w:trPr>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jc w:val="center"/>
              <w:ind w:left="79"/>
              <w:spacing w:after="0" w:line="177" w:lineRule="exact"/>
              <w:rPr>
                <w:sz w:val="20"/>
                <w:szCs w:val="20"/>
                <w:color w:val="auto"/>
              </w:rPr>
            </w:pPr>
            <w:r>
              <w:rPr>
                <w:rFonts w:ascii="Arial" w:cs="Arial" w:eastAsia="Arial" w:hAnsi="Arial"/>
                <w:sz w:val="16"/>
                <w:szCs w:val="16"/>
                <w:color w:val="auto"/>
              </w:rPr>
              <w:t>2021</w:t>
            </w:r>
          </w:p>
        </w:tc>
      </w:tr>
      <w:tr>
        <w:trPr>
          <w:trHeight w:val="235"/>
        </w:trPr>
        <w:tc>
          <w:tcPr>
            <w:tcW w:w="138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19"/>
          </w:tcPr>
          <w:p>
            <w:pPr>
              <w:spacing w:after="0"/>
              <w:rPr>
                <w:rFonts w:ascii="Arial" w:cs="Arial" w:eastAsia="Arial" w:hAnsi="Arial"/>
                <w:sz w:val="16"/>
                <w:szCs w:val="16"/>
                <w:color w:val="0000FF"/>
              </w:rPr>
            </w:pPr>
            <w:hyperlink r:id="rId240">
              <w:r>
                <w:rPr>
                  <w:rFonts w:ascii="Arial" w:cs="Arial" w:eastAsia="Arial" w:hAnsi="Arial"/>
                  <w:sz w:val="16"/>
                  <w:szCs w:val="16"/>
                  <w:color w:val="0000FF"/>
                </w:rPr>
                <w:t>Amended and Restated Investors’ Rights Agreement,</w:t>
              </w:r>
            </w:hyperlink>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99"/>
              </w:rPr>
              <w:t>S-1/A</w:t>
            </w:r>
          </w:p>
        </w:tc>
        <w:tc>
          <w:tcPr>
            <w:tcW w:w="160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60" w:type="dxa"/>
            <w:vAlign w:val="bottom"/>
          </w:tcPr>
          <w:p>
            <w:pPr>
              <w:jc w:val="center"/>
              <w:ind w:left="79"/>
              <w:spacing w:after="0"/>
              <w:rPr>
                <w:sz w:val="20"/>
                <w:szCs w:val="20"/>
                <w:color w:val="auto"/>
              </w:rPr>
            </w:pPr>
            <w:r>
              <w:rPr>
                <w:rFonts w:ascii="Arial" w:cs="Arial" w:eastAsia="Arial" w:hAnsi="Arial"/>
                <w:sz w:val="16"/>
                <w:szCs w:val="16"/>
                <w:color w:val="auto"/>
              </w:rPr>
              <w:t>October 18, 2021</w:t>
            </w: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dated as of January 22, 2015, by and among the</w:t>
              </w:r>
            </w:hyperlink>
          </w:p>
        </w:tc>
        <w:tc>
          <w:tcPr>
            <w:tcW w:w="240" w:type="dxa"/>
            <w:vAlign w:val="bottom"/>
            <w:gridSpan w:val="3"/>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Registrant and certain of its stockholders.</w:t>
              </w:r>
            </w:hyperlink>
          </w:p>
        </w:tc>
        <w:tc>
          <w:tcPr>
            <w:tcW w:w="2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4"/>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19"/>
          </w:tcPr>
          <w:p>
            <w:pPr>
              <w:spacing w:after="0"/>
              <w:rPr>
                <w:rFonts w:ascii="Arial" w:cs="Arial" w:eastAsia="Arial" w:hAnsi="Arial"/>
                <w:sz w:val="16"/>
                <w:szCs w:val="16"/>
                <w:color w:val="0000FF"/>
              </w:rPr>
            </w:pPr>
            <w:hyperlink r:id="rId241">
              <w:r>
                <w:rPr>
                  <w:rFonts w:ascii="Arial" w:cs="Arial" w:eastAsia="Arial" w:hAnsi="Arial"/>
                  <w:sz w:val="16"/>
                  <w:szCs w:val="16"/>
                  <w:color w:val="0000FF"/>
                </w:rPr>
                <w:t>Warrant to Purchase Common Stock, dated</w:t>
              </w:r>
            </w:hyperlink>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99"/>
              </w:rPr>
              <w:t>S-1/A</w:t>
            </w:r>
          </w:p>
        </w:tc>
        <w:tc>
          <w:tcPr>
            <w:tcW w:w="160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560" w:type="dxa"/>
            <w:vAlign w:val="bottom"/>
          </w:tcPr>
          <w:p>
            <w:pPr>
              <w:jc w:val="center"/>
              <w:ind w:left="79"/>
              <w:spacing w:after="0"/>
              <w:rPr>
                <w:sz w:val="20"/>
                <w:szCs w:val="20"/>
                <w:color w:val="auto"/>
              </w:rPr>
            </w:pPr>
            <w:r>
              <w:rPr>
                <w:rFonts w:ascii="Arial" w:cs="Arial" w:eastAsia="Arial" w:hAnsi="Arial"/>
                <w:sz w:val="16"/>
                <w:szCs w:val="16"/>
                <w:color w:val="auto"/>
              </w:rPr>
              <w:t>October 18, 2021</w:t>
            </w: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September 19, 2013, by and between the</w:t>
              </w:r>
            </w:hyperlink>
          </w:p>
        </w:tc>
        <w:tc>
          <w:tcPr>
            <w:tcW w:w="940" w:type="dxa"/>
            <w:vAlign w:val="bottom"/>
            <w:gridSpan w:val="11"/>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Registrant</w:t>
              </w:r>
            </w:hyperlink>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241">
              <w:r>
                <w:rPr>
                  <w:rFonts w:ascii="Arial" w:cs="Arial" w:eastAsia="Arial" w:hAnsi="Arial"/>
                  <w:sz w:val="16"/>
                  <w:szCs w:val="16"/>
                  <w:color w:val="0000FF"/>
                  <w:w w:val="99"/>
                </w:rPr>
                <w:t>and Silicon Valley Bank.</w:t>
              </w:r>
            </w:hyperlink>
          </w:p>
        </w:tc>
        <w:tc>
          <w:tcPr>
            <w:tcW w:w="20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4"/>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19"/>
          </w:tcPr>
          <w:p>
            <w:pPr>
              <w:spacing w:after="0"/>
              <w:rPr>
                <w:rFonts w:ascii="Arial" w:cs="Arial" w:eastAsia="Arial" w:hAnsi="Arial"/>
                <w:sz w:val="16"/>
                <w:szCs w:val="16"/>
                <w:color w:val="0000FF"/>
              </w:rPr>
            </w:pPr>
            <w:hyperlink r:id="rId242">
              <w:r>
                <w:rPr>
                  <w:rFonts w:ascii="Arial" w:cs="Arial" w:eastAsia="Arial" w:hAnsi="Arial"/>
                  <w:sz w:val="16"/>
                  <w:szCs w:val="16"/>
                  <w:color w:val="0000FF"/>
                </w:rPr>
                <w:t>Warrant to Purchase Common Stock, dated</w:t>
              </w:r>
            </w:hyperlink>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99"/>
              </w:rPr>
              <w:t>S-1/A</w:t>
            </w:r>
          </w:p>
        </w:tc>
        <w:tc>
          <w:tcPr>
            <w:tcW w:w="160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560" w:type="dxa"/>
            <w:vAlign w:val="bottom"/>
          </w:tcPr>
          <w:p>
            <w:pPr>
              <w:jc w:val="center"/>
              <w:ind w:left="79"/>
              <w:spacing w:after="0"/>
              <w:rPr>
                <w:sz w:val="20"/>
                <w:szCs w:val="20"/>
                <w:color w:val="auto"/>
              </w:rPr>
            </w:pPr>
            <w:r>
              <w:rPr>
                <w:rFonts w:ascii="Arial" w:cs="Arial" w:eastAsia="Arial" w:hAnsi="Arial"/>
                <w:sz w:val="16"/>
                <w:szCs w:val="16"/>
                <w:color w:val="auto"/>
              </w:rPr>
              <w:t>October 18, 2021</w:t>
            </w: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December 20, 2016, by and between the</w:t>
              </w:r>
            </w:hyperlink>
          </w:p>
        </w:tc>
        <w:tc>
          <w:tcPr>
            <w:tcW w:w="940" w:type="dxa"/>
            <w:vAlign w:val="bottom"/>
            <w:gridSpan w:val="11"/>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Registrant</w:t>
              </w:r>
            </w:hyperlink>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242">
              <w:r>
                <w:rPr>
                  <w:rFonts w:ascii="Arial" w:cs="Arial" w:eastAsia="Arial" w:hAnsi="Arial"/>
                  <w:sz w:val="16"/>
                  <w:szCs w:val="16"/>
                  <w:color w:val="0000FF"/>
                  <w:w w:val="99"/>
                </w:rPr>
                <w:t>and Silicon Valley Bank.</w:t>
              </w:r>
            </w:hyperlink>
          </w:p>
        </w:tc>
        <w:tc>
          <w:tcPr>
            <w:tcW w:w="1980" w:type="dxa"/>
            <w:vAlign w:val="bottom"/>
            <w:tcBorders>
              <w:top w:val="single" w:sz="8" w:color="0000FF"/>
            </w:tcBorders>
            <w:gridSpan w:val="10"/>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4"/>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Description of Registrant's Securities.</w:t>
            </w:r>
          </w:p>
        </w:tc>
        <w:tc>
          <w:tcPr>
            <w:tcW w:w="1380" w:type="dxa"/>
            <w:vAlign w:val="bottom"/>
            <w:gridSpan w:val="15"/>
          </w:tcPr>
          <w:p>
            <w:pPr>
              <w:spacing w:after="0"/>
              <w:rPr>
                <w:sz w:val="21"/>
                <w:szCs w:val="21"/>
                <w:color w:val="auto"/>
              </w:rPr>
            </w:pPr>
          </w:p>
        </w:tc>
        <w:tc>
          <w:tcPr>
            <w:tcW w:w="1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6"/>
                <w:szCs w:val="16"/>
                <w:color w:val="auto"/>
                <w:w w:val="98"/>
              </w:rPr>
              <w:t>9.1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tcBorders>
              <w:bottom w:val="single" w:sz="8" w:color="0000FF"/>
            </w:tcBorders>
            <w:gridSpan w:val="3"/>
          </w:tcPr>
          <w:p>
            <w:pPr>
              <w:spacing w:after="0"/>
              <w:rPr>
                <w:rFonts w:ascii="Arial" w:cs="Arial" w:eastAsia="Arial" w:hAnsi="Arial"/>
                <w:sz w:val="16"/>
                <w:szCs w:val="16"/>
                <w:color w:val="0000FF"/>
                <w:w w:val="99"/>
              </w:rPr>
            </w:pPr>
            <w:hyperlink r:id="rId243">
              <w:r>
                <w:rPr>
                  <w:rFonts w:ascii="Arial" w:cs="Arial" w:eastAsia="Arial" w:hAnsi="Arial"/>
                  <w:sz w:val="16"/>
                  <w:szCs w:val="16"/>
                  <w:color w:val="0000FF"/>
                  <w:w w:val="99"/>
                </w:rPr>
                <w:t>Expensify Voting Trust Agreement</w:t>
              </w:r>
            </w:hyperlink>
          </w:p>
        </w:tc>
        <w:tc>
          <w:tcPr>
            <w:tcW w:w="1620" w:type="dxa"/>
            <w:vAlign w:val="bottom"/>
            <w:gridSpan w:val="16"/>
          </w:tcPr>
          <w:p>
            <w:pPr>
              <w:spacing w:after="0"/>
              <w:rPr>
                <w:sz w:val="21"/>
                <w:szCs w:val="21"/>
                <w:color w:val="auto"/>
              </w:rPr>
            </w:pPr>
          </w:p>
        </w:tc>
        <w:tc>
          <w:tcPr>
            <w:tcW w:w="1300" w:type="dxa"/>
            <w:vAlign w:val="bottom"/>
          </w:tcPr>
          <w:p>
            <w:pPr>
              <w:jc w:val="center"/>
              <w:ind w:left="39"/>
              <w:spacing w:after="0"/>
              <w:rPr>
                <w:sz w:val="20"/>
                <w:szCs w:val="20"/>
                <w:color w:val="auto"/>
              </w:rPr>
            </w:pPr>
            <w:r>
              <w:rPr>
                <w:rFonts w:ascii="Arial" w:cs="Arial" w:eastAsia="Arial" w:hAnsi="Arial"/>
                <w:sz w:val="16"/>
                <w:szCs w:val="16"/>
                <w:color w:val="auto"/>
              </w:rPr>
              <w:t>10-K</w:t>
            </w:r>
          </w:p>
        </w:tc>
        <w:tc>
          <w:tcPr>
            <w:tcW w:w="1600" w:type="dxa"/>
            <w:vAlign w:val="bottom"/>
          </w:tcPr>
          <w:p>
            <w:pPr>
              <w:jc w:val="center"/>
              <w:spacing w:after="0"/>
              <w:rPr>
                <w:sz w:val="20"/>
                <w:szCs w:val="20"/>
                <w:color w:val="auto"/>
              </w:rPr>
            </w:pPr>
            <w:r>
              <w:rPr>
                <w:rFonts w:ascii="Arial" w:cs="Arial" w:eastAsia="Arial" w:hAnsi="Arial"/>
                <w:sz w:val="16"/>
                <w:szCs w:val="16"/>
                <w:color w:val="auto"/>
              </w:rPr>
              <w:t>001-41043</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9.1</w:t>
            </w:r>
          </w:p>
        </w:tc>
        <w:tc>
          <w:tcPr>
            <w:tcW w:w="1560" w:type="dxa"/>
            <w:vAlign w:val="bottom"/>
          </w:tcPr>
          <w:p>
            <w:pPr>
              <w:jc w:val="center"/>
              <w:ind w:left="79"/>
              <w:spacing w:after="0"/>
              <w:rPr>
                <w:sz w:val="20"/>
                <w:szCs w:val="20"/>
                <w:color w:val="auto"/>
              </w:rPr>
            </w:pPr>
            <w:r>
              <w:rPr>
                <w:rFonts w:ascii="Arial" w:cs="Arial" w:eastAsia="Arial" w:hAnsi="Arial"/>
                <w:sz w:val="16"/>
                <w:szCs w:val="16"/>
                <w:color w:val="auto"/>
              </w:rPr>
              <w:t>March 31, 2022</w:t>
            </w:r>
          </w:p>
        </w:tc>
      </w:tr>
      <w:tr>
        <w:trPr>
          <w:trHeight w:val="250"/>
        </w:trPr>
        <w:tc>
          <w:tcPr>
            <w:tcW w:w="1380" w:type="dxa"/>
            <w:vAlign w:val="bottom"/>
          </w:tcPr>
          <w:p>
            <w:pPr>
              <w:jc w:val="center"/>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19"/>
          </w:tcPr>
          <w:p>
            <w:pPr>
              <w:spacing w:after="0"/>
              <w:rPr>
                <w:rFonts w:ascii="Arial" w:cs="Arial" w:eastAsia="Arial" w:hAnsi="Arial"/>
                <w:sz w:val="16"/>
                <w:szCs w:val="16"/>
                <w:color w:val="0000FF"/>
              </w:rPr>
            </w:pPr>
            <w:hyperlink r:id="rId244">
              <w:r>
                <w:rPr>
                  <w:rFonts w:ascii="Arial" w:cs="Arial" w:eastAsia="Arial" w:hAnsi="Arial"/>
                  <w:sz w:val="16"/>
                  <w:szCs w:val="16"/>
                  <w:color w:val="0000FF"/>
                </w:rPr>
                <w:t>Amended and Restated Loan and Security</w:t>
              </w:r>
            </w:hyperlink>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99"/>
              </w:rPr>
              <w:t>S-1/A</w:t>
            </w:r>
          </w:p>
        </w:tc>
        <w:tc>
          <w:tcPr>
            <w:tcW w:w="160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60" w:type="dxa"/>
            <w:vAlign w:val="bottom"/>
          </w:tcPr>
          <w:p>
            <w:pPr>
              <w:jc w:val="center"/>
              <w:spacing w:after="0"/>
              <w:rPr>
                <w:sz w:val="20"/>
                <w:szCs w:val="20"/>
                <w:color w:val="auto"/>
              </w:rPr>
            </w:pPr>
            <w:r>
              <w:rPr>
                <w:rFonts w:ascii="Arial" w:cs="Arial" w:eastAsia="Arial" w:hAnsi="Arial"/>
                <w:sz w:val="16"/>
                <w:szCs w:val="16"/>
                <w:color w:val="auto"/>
              </w:rPr>
              <w:t>10.1</w:t>
            </w:r>
          </w:p>
        </w:tc>
        <w:tc>
          <w:tcPr>
            <w:tcW w:w="1560" w:type="dxa"/>
            <w:vAlign w:val="bottom"/>
          </w:tcPr>
          <w:p>
            <w:pPr>
              <w:jc w:val="center"/>
              <w:ind w:left="79"/>
              <w:spacing w:after="0"/>
              <w:rPr>
                <w:sz w:val="20"/>
                <w:szCs w:val="20"/>
                <w:color w:val="auto"/>
              </w:rPr>
            </w:pPr>
            <w:r>
              <w:rPr>
                <w:rFonts w:ascii="Arial" w:cs="Arial" w:eastAsia="Arial" w:hAnsi="Arial"/>
                <w:sz w:val="16"/>
                <w:szCs w:val="16"/>
                <w:color w:val="auto"/>
              </w:rPr>
              <w:t>October 18, 2021</w:t>
            </w: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gridSpan w:val="19"/>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Agreement, dated as of September 21, 2021, by and</w:t>
              </w:r>
            </w:hyperlink>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between the Registrant, the Borrowers party thereto,</w:t>
              </w:r>
            </w:hyperlink>
          </w:p>
        </w:tc>
        <w:tc>
          <w:tcPr>
            <w:tcW w:w="280" w:type="dxa"/>
            <w:vAlign w:val="bottom"/>
            <w:gridSpan w:val="4"/>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and Canadian Imperial Bank of Commerce.</w:t>
              </w:r>
            </w:hyperlink>
          </w:p>
        </w:tc>
        <w:tc>
          <w:tcPr>
            <w:tcW w:w="660" w:type="dxa"/>
            <w:vAlign w:val="bottom"/>
            <w:tcBorders>
              <w:top w:val="single" w:sz="8" w:color="0000FF"/>
            </w:tcBorders>
            <w:gridSpan w:val="7"/>
          </w:tcPr>
          <w:p>
            <w:pPr>
              <w:spacing w:after="0"/>
              <w:rPr>
                <w:sz w:val="12"/>
                <w:szCs w:val="12"/>
                <w:color w:val="auto"/>
              </w:rPr>
            </w:pPr>
          </w:p>
        </w:tc>
        <w:tc>
          <w:tcPr>
            <w:tcW w:w="300" w:type="dxa"/>
            <w:vAlign w:val="bottom"/>
            <w:gridSpan w:val="5"/>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60" w:hanging="1011"/>
        <w:spacing w:after="0" w:line="211" w:lineRule="auto"/>
        <w:tabs>
          <w:tab w:leader="none" w:pos="1540" w:val="left"/>
        </w:tabs>
        <w:rPr>
          <w:rFonts w:ascii="Arial" w:cs="Arial" w:eastAsia="Arial" w:hAnsi="Arial"/>
          <w:sz w:val="16"/>
          <w:szCs w:val="16"/>
          <w:u w:val="single" w:color="auto"/>
          <w:color w:val="0000FF"/>
        </w:rPr>
      </w:pPr>
      <w:r>
        <w:rPr>
          <w:rFonts w:ascii="Arial" w:cs="Arial" w:eastAsia="Arial" w:hAnsi="Arial"/>
          <w:sz w:val="16"/>
          <w:szCs w:val="16"/>
          <w:color w:val="auto"/>
        </w:rPr>
        <w:t>10.2</w:t>
      </w:r>
      <w:r>
        <w:rPr>
          <w:sz w:val="20"/>
          <w:szCs w:val="20"/>
          <w:color w:val="auto"/>
        </w:rPr>
        <w:tab/>
      </w:r>
      <w:hyperlink r:id="rId246">
        <w:r>
          <w:rPr>
            <w:rFonts w:ascii="Arial" w:cs="Arial" w:eastAsia="Arial" w:hAnsi="Arial"/>
            <w:sz w:val="16"/>
            <w:szCs w:val="16"/>
            <w:u w:val="single" w:color="auto"/>
            <w:color w:val="0000FF"/>
          </w:rPr>
          <w:t xml:space="preserve">Loan Agreement, dated as of August 22, 2019, by and </w:t>
        </w:r>
      </w:hyperlink>
      <w:r>
        <w:rPr>
          <w:rFonts w:ascii="Arial" w:cs="Arial" w:eastAsia="Arial" w:hAnsi="Arial"/>
          <w:sz w:val="16"/>
          <w:szCs w:val="16"/>
          <w:color w:val="000000"/>
        </w:rPr>
        <w:t>S-1/A 333-260297 10.2 October 18, 2021</w:t>
      </w:r>
      <w:r>
        <w:rPr>
          <w:rFonts w:ascii="Arial" w:cs="Arial" w:eastAsia="Arial" w:hAnsi="Arial"/>
          <w:sz w:val="16"/>
          <w:szCs w:val="16"/>
          <w:u w:val="single" w:color="auto"/>
          <w:color w:val="0000FF"/>
        </w:rPr>
        <w:t xml:space="preserve"> </w:t>
      </w:r>
      <w:hyperlink r:id="rId246">
        <w:r>
          <w:rPr>
            <w:rFonts w:ascii="Arial" w:cs="Arial" w:eastAsia="Arial" w:hAnsi="Arial"/>
            <w:sz w:val="16"/>
            <w:szCs w:val="16"/>
            <w:u w:val="single" w:color="auto"/>
            <w:color w:val="0000FF"/>
          </w:rPr>
          <w:t>between the Borrower party thereto, the Registrant, as</w:t>
        </w:r>
      </w:hyperlink>
    </w:p>
    <w:p>
      <w:pPr>
        <w:ind w:left="1560"/>
        <w:spacing w:after="0" w:line="211" w:lineRule="auto"/>
        <w:rPr>
          <w:rFonts w:ascii="Arial" w:cs="Arial" w:eastAsia="Arial" w:hAnsi="Arial"/>
          <w:sz w:val="16"/>
          <w:szCs w:val="16"/>
          <w:u w:val="single" w:color="auto"/>
          <w:color w:val="0000FF"/>
        </w:rPr>
      </w:pPr>
      <w:hyperlink r:id="rId246">
        <w:r>
          <w:rPr>
            <w:rFonts w:ascii="Arial" w:cs="Arial" w:eastAsia="Arial" w:hAnsi="Arial"/>
            <w:sz w:val="16"/>
            <w:szCs w:val="16"/>
            <w:u w:val="single" w:color="auto"/>
            <w:color w:val="0000FF"/>
          </w:rPr>
          <w:t>Guarantor, and Canadian Imperial Bank of</w:t>
        </w:r>
      </w:hyperlink>
    </w:p>
    <w:p>
      <w:pPr>
        <w:spacing w:after="0" w:line="1" w:lineRule="exact"/>
        <w:rPr>
          <w:sz w:val="20"/>
          <w:szCs w:val="20"/>
          <w:color w:val="auto"/>
        </w:rPr>
      </w:pPr>
    </w:p>
    <w:p>
      <w:pPr>
        <w:ind w:left="1560"/>
        <w:spacing w:after="0"/>
        <w:rPr>
          <w:rFonts w:ascii="Arial" w:cs="Arial" w:eastAsia="Arial" w:hAnsi="Arial"/>
          <w:sz w:val="16"/>
          <w:szCs w:val="16"/>
          <w:u w:val="single" w:color="auto"/>
          <w:color w:val="0000FF"/>
        </w:rPr>
      </w:pPr>
      <w:hyperlink r:id="rId246">
        <w:r>
          <w:rPr>
            <w:rFonts w:ascii="Arial" w:cs="Arial" w:eastAsia="Arial" w:hAnsi="Arial"/>
            <w:sz w:val="16"/>
            <w:szCs w:val="16"/>
            <w:u w:val="single" w:color="auto"/>
            <w:color w:val="0000FF"/>
          </w:rPr>
          <w:t>Commerce.</w:t>
        </w:r>
      </w:hyperlink>
    </w:p>
    <w:p>
      <w:pPr>
        <w:sectPr>
          <w:pgSz w:w="11900" w:h="16838" w:orient="portrait"/>
          <w:cols w:equalWidth="0" w:num="1">
            <w:col w:w="11160"/>
          </w:cols>
          <w:pgMar w:left="320" w:top="118" w:right="419" w:bottom="1440" w:gutter="0" w:footer="0" w:header="0"/>
        </w:sectPr>
      </w:pPr>
    </w:p>
    <w:p>
      <w:pPr>
        <w:spacing w:after="0" w:line="5"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1060" w:type="dxa"/>
            <w:vAlign w:val="bottom"/>
          </w:tcPr>
          <w:p>
            <w:pPr>
              <w:spacing w:after="0"/>
              <w:rPr>
                <w:sz w:val="20"/>
                <w:szCs w:val="20"/>
                <w:color w:val="auto"/>
              </w:rPr>
            </w:pPr>
            <w:r>
              <w:rPr>
                <w:rFonts w:ascii="Arial" w:cs="Arial" w:eastAsia="Arial" w:hAnsi="Arial"/>
                <w:sz w:val="16"/>
                <w:szCs w:val="16"/>
                <w:color w:val="auto"/>
              </w:rPr>
              <w:t>10.3</w:t>
            </w:r>
            <w:r>
              <w:rPr>
                <w:rFonts w:ascii="Arial" w:cs="Arial" w:eastAsia="Arial" w:hAnsi="Arial"/>
                <w:sz w:val="21"/>
                <w:szCs w:val="21"/>
                <w:color w:val="auto"/>
                <w:vertAlign w:val="superscript"/>
              </w:rPr>
              <w:t>†</w:t>
            </w:r>
          </w:p>
        </w:tc>
        <w:tc>
          <w:tcPr>
            <w:tcW w:w="3180" w:type="dxa"/>
            <w:vAlign w:val="bottom"/>
            <w:tcBorders>
              <w:bottom w:val="single" w:sz="8" w:color="0000FF"/>
            </w:tcBorders>
            <w:gridSpan w:val="5"/>
          </w:tcPr>
          <w:p>
            <w:pPr>
              <w:spacing w:after="0"/>
              <w:rPr>
                <w:rFonts w:ascii="Arial" w:cs="Arial" w:eastAsia="Arial" w:hAnsi="Arial"/>
                <w:sz w:val="16"/>
                <w:szCs w:val="16"/>
                <w:color w:val="0000FF"/>
              </w:rPr>
            </w:pPr>
            <w:hyperlink r:id="rId247">
              <w:r>
                <w:rPr>
                  <w:rFonts w:ascii="Arial" w:cs="Arial" w:eastAsia="Arial" w:hAnsi="Arial"/>
                  <w:sz w:val="16"/>
                  <w:szCs w:val="16"/>
                  <w:color w:val="0000FF"/>
                </w:rPr>
                <w:t>Employment Agreement by and between the</w:t>
              </w:r>
            </w:hyperlink>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3180" w:type="dxa"/>
            <w:vAlign w:val="bottom"/>
            <w:gridSpan w:val="5"/>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Registrant and David Barrett.</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tc>
        <w:tc>
          <w:tcPr>
            <w:tcW w:w="1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180" w:type="dxa"/>
            <w:vAlign w:val="bottom"/>
            <w:tcBorders>
              <w:bottom w:val="single" w:sz="8" w:color="0000FF"/>
            </w:tcBorders>
            <w:gridSpan w:val="5"/>
          </w:tcPr>
          <w:p>
            <w:pPr>
              <w:spacing w:after="0"/>
              <w:rPr>
                <w:rFonts w:ascii="Arial" w:cs="Arial" w:eastAsia="Arial" w:hAnsi="Arial"/>
                <w:sz w:val="16"/>
                <w:szCs w:val="16"/>
                <w:color w:val="0000FF"/>
              </w:rPr>
            </w:pPr>
            <w:hyperlink r:id="rId248">
              <w:r>
                <w:rPr>
                  <w:rFonts w:ascii="Arial" w:cs="Arial" w:eastAsia="Arial" w:hAnsi="Arial"/>
                  <w:sz w:val="16"/>
                  <w:szCs w:val="16"/>
                  <w:color w:val="0000FF"/>
                </w:rPr>
                <w:t>Employment Agreement by and between the</w:t>
              </w:r>
            </w:hyperlink>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3180" w:type="dxa"/>
            <w:vAlign w:val="bottom"/>
            <w:gridSpan w:val="5"/>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Registrant and Ryan Schaffer.</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Arial" w:cs="Arial" w:eastAsia="Arial" w:hAnsi="Arial"/>
                <w:sz w:val="16"/>
                <w:szCs w:val="16"/>
                <w:color w:val="auto"/>
              </w:rPr>
              <w:t>10.5</w:t>
            </w:r>
            <w:r>
              <w:rPr>
                <w:rFonts w:ascii="Arial" w:cs="Arial" w:eastAsia="Arial" w:hAnsi="Arial"/>
                <w:sz w:val="21"/>
                <w:szCs w:val="21"/>
                <w:color w:val="auto"/>
                <w:vertAlign w:val="superscript"/>
              </w:rPr>
              <w:t>†</w:t>
            </w:r>
          </w:p>
        </w:tc>
        <w:tc>
          <w:tcPr>
            <w:tcW w:w="11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180" w:type="dxa"/>
            <w:vAlign w:val="bottom"/>
            <w:tcBorders>
              <w:bottom w:val="single" w:sz="8" w:color="0000FF"/>
            </w:tcBorders>
            <w:gridSpan w:val="5"/>
          </w:tcPr>
          <w:p>
            <w:pPr>
              <w:spacing w:after="0"/>
              <w:rPr>
                <w:rFonts w:ascii="Arial" w:cs="Arial" w:eastAsia="Arial" w:hAnsi="Arial"/>
                <w:sz w:val="16"/>
                <w:szCs w:val="16"/>
                <w:color w:val="0000FF"/>
              </w:rPr>
            </w:pPr>
            <w:hyperlink r:id="rId249">
              <w:r>
                <w:rPr>
                  <w:rFonts w:ascii="Arial" w:cs="Arial" w:eastAsia="Arial" w:hAnsi="Arial"/>
                  <w:sz w:val="16"/>
                  <w:szCs w:val="16"/>
                  <w:color w:val="0000FF"/>
                </w:rPr>
                <w:t>Employment Agreement by and between the</w:t>
              </w:r>
            </w:hyperlink>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3180" w:type="dxa"/>
            <w:vAlign w:val="bottom"/>
            <w:gridSpan w:val="5"/>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Registrant and Anuradha Muralidharan.</w:t>
              </w:r>
            </w:hyperlink>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6"/>
                <w:szCs w:val="16"/>
                <w:color w:val="auto"/>
              </w:rPr>
              <w:t>10.6</w:t>
            </w:r>
            <w:r>
              <w:rPr>
                <w:rFonts w:ascii="Arial" w:cs="Arial" w:eastAsia="Arial" w:hAnsi="Arial"/>
                <w:sz w:val="21"/>
                <w:szCs w:val="21"/>
                <w:color w:val="auto"/>
                <w:vertAlign w:val="superscript"/>
              </w:rPr>
              <w:t>†</w:t>
            </w:r>
          </w:p>
        </w:tc>
        <w:tc>
          <w:tcPr>
            <w:tcW w:w="1180" w:type="dxa"/>
            <w:vAlign w:val="bottom"/>
            <w:tcBorders>
              <w:top w:val="single" w:sz="8" w:color="0000FF"/>
              <w:bottom w:val="single" w:sz="8" w:color="0000FF"/>
            </w:tcBorders>
          </w:tcPr>
          <w:p>
            <w:pPr>
              <w:spacing w:after="0"/>
              <w:rPr>
                <w:rFonts w:ascii="Arial" w:cs="Arial" w:eastAsia="Arial" w:hAnsi="Arial"/>
                <w:sz w:val="16"/>
                <w:szCs w:val="16"/>
                <w:color w:val="0000FF"/>
                <w:w w:val="99"/>
              </w:rPr>
            </w:pPr>
            <w:hyperlink r:id="rId250">
              <w:r>
                <w:rPr>
                  <w:rFonts w:ascii="Arial" w:cs="Arial" w:eastAsia="Arial" w:hAnsi="Arial"/>
                  <w:sz w:val="16"/>
                  <w:szCs w:val="16"/>
                  <w:color w:val="0000FF"/>
                  <w:w w:val="99"/>
                </w:rPr>
                <w:t>2009 Stock Plan</w:t>
              </w:r>
            </w:hyperlink>
          </w:p>
        </w:tc>
        <w:tc>
          <w:tcPr>
            <w:tcW w:w="1640" w:type="dxa"/>
            <w:vAlign w:val="bottom"/>
            <w:tcBorders>
              <w:top w:val="single" w:sz="8" w:color="0000FF"/>
            </w:tcBorders>
            <w:gridSpan w:val="3"/>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00" w:type="dxa"/>
            <w:vAlign w:val="bottom"/>
          </w:tcPr>
          <w:p>
            <w:pPr>
              <w:spacing w:after="0"/>
              <w:rPr>
                <w:sz w:val="20"/>
                <w:szCs w:val="20"/>
                <w:color w:val="auto"/>
              </w:rPr>
            </w:pPr>
            <w:r>
              <w:rPr>
                <w:rFonts w:ascii="Arial" w:cs="Arial" w:eastAsia="Arial" w:hAnsi="Arial"/>
                <w:sz w:val="16"/>
                <w:szCs w:val="16"/>
                <w:color w:val="auto"/>
              </w:rPr>
              <w:t>S-1/A</w:t>
            </w:r>
          </w:p>
        </w:tc>
        <w:tc>
          <w:tcPr>
            <w:tcW w:w="1640" w:type="dxa"/>
            <w:vAlign w:val="bottom"/>
          </w:tcPr>
          <w:p>
            <w:pPr>
              <w:jc w:val="right"/>
              <w:ind w:right="319"/>
              <w:spacing w:after="0"/>
              <w:rPr>
                <w:sz w:val="20"/>
                <w:szCs w:val="20"/>
                <w:color w:val="auto"/>
              </w:rPr>
            </w:pPr>
            <w:r>
              <w:rPr>
                <w:rFonts w:ascii="Arial" w:cs="Arial" w:eastAsia="Arial" w:hAnsi="Arial"/>
                <w:sz w:val="16"/>
                <w:szCs w:val="16"/>
                <w:color w:val="auto"/>
              </w:rPr>
              <w:t>333-260297</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10.3</w:t>
            </w:r>
          </w:p>
        </w:tc>
        <w:tc>
          <w:tcPr>
            <w:tcW w:w="1560" w:type="dxa"/>
            <w:vAlign w:val="bottom"/>
          </w:tcPr>
          <w:p>
            <w:pPr>
              <w:jc w:val="center"/>
              <w:ind w:left="239"/>
              <w:spacing w:after="0"/>
              <w:rPr>
                <w:sz w:val="20"/>
                <w:szCs w:val="20"/>
                <w:color w:val="auto"/>
              </w:rPr>
            </w:pPr>
            <w:r>
              <w:rPr>
                <w:rFonts w:ascii="Arial" w:cs="Arial" w:eastAsia="Arial" w:hAnsi="Arial"/>
                <w:sz w:val="16"/>
                <w:szCs w:val="16"/>
                <w:color w:val="auto"/>
              </w:rPr>
              <w:t>October 18, 2021</w:t>
            </w:r>
          </w:p>
        </w:tc>
      </w:tr>
      <w:tr>
        <w:trPr>
          <w:trHeight w:val="432"/>
        </w:trPr>
        <w:tc>
          <w:tcPr>
            <w:tcW w:w="800" w:type="dxa"/>
            <w:vAlign w:val="bottom"/>
          </w:tcPr>
          <w:p>
            <w:pPr>
              <w:spacing w:after="0"/>
              <w:rPr>
                <w:sz w:val="20"/>
                <w:szCs w:val="20"/>
                <w:color w:val="auto"/>
              </w:rPr>
            </w:pPr>
            <w:r>
              <w:rPr>
                <w:rFonts w:ascii="Arial" w:cs="Arial" w:eastAsia="Arial" w:hAnsi="Arial"/>
                <w:sz w:val="16"/>
                <w:szCs w:val="16"/>
                <w:color w:val="auto"/>
              </w:rPr>
              <w:t>S-1/A</w:t>
            </w:r>
          </w:p>
        </w:tc>
        <w:tc>
          <w:tcPr>
            <w:tcW w:w="1640" w:type="dxa"/>
            <w:vAlign w:val="bottom"/>
          </w:tcPr>
          <w:p>
            <w:pPr>
              <w:jc w:val="right"/>
              <w:ind w:right="319"/>
              <w:spacing w:after="0"/>
              <w:rPr>
                <w:sz w:val="20"/>
                <w:szCs w:val="20"/>
                <w:color w:val="auto"/>
              </w:rPr>
            </w:pPr>
            <w:r>
              <w:rPr>
                <w:rFonts w:ascii="Arial" w:cs="Arial" w:eastAsia="Arial" w:hAnsi="Arial"/>
                <w:sz w:val="16"/>
                <w:szCs w:val="16"/>
                <w:color w:val="auto"/>
              </w:rPr>
              <w:t>333-260297</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10.4</w:t>
            </w:r>
          </w:p>
        </w:tc>
        <w:tc>
          <w:tcPr>
            <w:tcW w:w="1560" w:type="dxa"/>
            <w:vAlign w:val="bottom"/>
          </w:tcPr>
          <w:p>
            <w:pPr>
              <w:jc w:val="center"/>
              <w:ind w:left="239"/>
              <w:spacing w:after="0"/>
              <w:rPr>
                <w:sz w:val="20"/>
                <w:szCs w:val="20"/>
                <w:color w:val="auto"/>
              </w:rPr>
            </w:pPr>
            <w:r>
              <w:rPr>
                <w:rFonts w:ascii="Arial" w:cs="Arial" w:eastAsia="Arial" w:hAnsi="Arial"/>
                <w:sz w:val="16"/>
                <w:szCs w:val="16"/>
                <w:color w:val="auto"/>
              </w:rPr>
              <w:t>October 18, 2021</w:t>
            </w:r>
          </w:p>
        </w:tc>
      </w:tr>
      <w:tr>
        <w:trPr>
          <w:trHeight w:val="432"/>
        </w:trPr>
        <w:tc>
          <w:tcPr>
            <w:tcW w:w="800" w:type="dxa"/>
            <w:vAlign w:val="bottom"/>
          </w:tcPr>
          <w:p>
            <w:pPr>
              <w:spacing w:after="0"/>
              <w:rPr>
                <w:sz w:val="20"/>
                <w:szCs w:val="20"/>
                <w:color w:val="auto"/>
              </w:rPr>
            </w:pPr>
            <w:r>
              <w:rPr>
                <w:rFonts w:ascii="Arial" w:cs="Arial" w:eastAsia="Arial" w:hAnsi="Arial"/>
                <w:sz w:val="16"/>
                <w:szCs w:val="16"/>
                <w:color w:val="auto"/>
              </w:rPr>
              <w:t>S-1/A</w:t>
            </w:r>
          </w:p>
        </w:tc>
        <w:tc>
          <w:tcPr>
            <w:tcW w:w="1640" w:type="dxa"/>
            <w:vAlign w:val="bottom"/>
          </w:tcPr>
          <w:p>
            <w:pPr>
              <w:jc w:val="right"/>
              <w:ind w:right="319"/>
              <w:spacing w:after="0"/>
              <w:rPr>
                <w:sz w:val="20"/>
                <w:szCs w:val="20"/>
                <w:color w:val="auto"/>
              </w:rPr>
            </w:pPr>
            <w:r>
              <w:rPr>
                <w:rFonts w:ascii="Arial" w:cs="Arial" w:eastAsia="Arial" w:hAnsi="Arial"/>
                <w:sz w:val="16"/>
                <w:szCs w:val="16"/>
                <w:color w:val="auto"/>
              </w:rPr>
              <w:t>333-260297</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10.5</w:t>
            </w:r>
          </w:p>
        </w:tc>
        <w:tc>
          <w:tcPr>
            <w:tcW w:w="1560" w:type="dxa"/>
            <w:vAlign w:val="bottom"/>
          </w:tcPr>
          <w:p>
            <w:pPr>
              <w:jc w:val="center"/>
              <w:ind w:left="239"/>
              <w:spacing w:after="0"/>
              <w:rPr>
                <w:sz w:val="20"/>
                <w:szCs w:val="20"/>
                <w:color w:val="auto"/>
              </w:rPr>
            </w:pPr>
            <w:r>
              <w:rPr>
                <w:rFonts w:ascii="Arial" w:cs="Arial" w:eastAsia="Arial" w:hAnsi="Arial"/>
                <w:sz w:val="16"/>
                <w:szCs w:val="16"/>
                <w:color w:val="auto"/>
              </w:rPr>
              <w:t>October 18, 2021</w:t>
            </w:r>
          </w:p>
        </w:tc>
      </w:tr>
      <w:tr>
        <w:trPr>
          <w:trHeight w:val="399"/>
        </w:trPr>
        <w:tc>
          <w:tcPr>
            <w:tcW w:w="800" w:type="dxa"/>
            <w:vAlign w:val="bottom"/>
          </w:tcPr>
          <w:p>
            <w:pPr>
              <w:spacing w:after="0"/>
              <w:rPr>
                <w:sz w:val="20"/>
                <w:szCs w:val="20"/>
                <w:color w:val="auto"/>
              </w:rPr>
            </w:pPr>
            <w:r>
              <w:rPr>
                <w:rFonts w:ascii="Arial" w:cs="Arial" w:eastAsia="Arial" w:hAnsi="Arial"/>
                <w:sz w:val="16"/>
                <w:szCs w:val="16"/>
                <w:color w:val="auto"/>
              </w:rPr>
              <w:t>S-1/A</w:t>
            </w:r>
          </w:p>
        </w:tc>
        <w:tc>
          <w:tcPr>
            <w:tcW w:w="1640" w:type="dxa"/>
            <w:vAlign w:val="bottom"/>
          </w:tcPr>
          <w:p>
            <w:pPr>
              <w:jc w:val="right"/>
              <w:ind w:right="319"/>
              <w:spacing w:after="0"/>
              <w:rPr>
                <w:sz w:val="20"/>
                <w:szCs w:val="20"/>
                <w:color w:val="auto"/>
              </w:rPr>
            </w:pPr>
            <w:r>
              <w:rPr>
                <w:rFonts w:ascii="Arial" w:cs="Arial" w:eastAsia="Arial" w:hAnsi="Arial"/>
                <w:sz w:val="16"/>
                <w:szCs w:val="16"/>
                <w:color w:val="auto"/>
              </w:rPr>
              <w:t>333-260297</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10.6</w:t>
            </w:r>
          </w:p>
        </w:tc>
        <w:tc>
          <w:tcPr>
            <w:tcW w:w="156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r>
      <w:tr>
        <w:trPr>
          <w:trHeight w:val="195"/>
        </w:trPr>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tcPr>
          <w:p>
            <w:pPr>
              <w:jc w:val="center"/>
              <w:ind w:left="239"/>
              <w:spacing w:after="0"/>
              <w:rPr>
                <w:sz w:val="20"/>
                <w:szCs w:val="20"/>
                <w:color w:val="auto"/>
              </w:rPr>
            </w:pPr>
            <w:r>
              <w:rPr>
                <w:rFonts w:ascii="Arial" w:cs="Arial" w:eastAsia="Arial" w:hAnsi="Arial"/>
                <w:sz w:val="16"/>
                <w:szCs w:val="16"/>
                <w:color w:val="auto"/>
              </w:rPr>
              <w:t>2021</w:t>
            </w:r>
          </w:p>
        </w:tc>
      </w:tr>
    </w:tbl>
    <w:p>
      <w:pPr>
        <w:spacing w:after="0" w:line="1" w:lineRule="exact"/>
        <w:rPr>
          <w:sz w:val="20"/>
          <w:szCs w:val="20"/>
          <w:color w:val="auto"/>
        </w:rPr>
      </w:pPr>
    </w:p>
    <w:p>
      <w:pPr>
        <w:sectPr>
          <w:pgSz w:w="11900" w:h="16838" w:orient="portrait"/>
          <w:cols w:equalWidth="0" w:num="2">
            <w:col w:w="5400" w:space="720"/>
            <w:col w:w="5040"/>
          </w:cols>
          <w:pgMar w:left="320" w:top="118" w:right="419" w:bottom="1440" w:gutter="0" w:footer="0" w:header="0"/>
          <w:type w:val="continuous"/>
        </w:sectPr>
      </w:pPr>
    </w:p>
    <w:tbl>
      <w:tblPr>
        <w:tblLayout w:type="fixed"/>
        <w:tblInd w:w="460" w:type="dxa"/>
        <w:tblCellMar>
          <w:top w:w="0" w:type="dxa"/>
          <w:left w:w="0" w:type="dxa"/>
          <w:bottom w:w="0" w:type="dxa"/>
          <w:right w:w="0" w:type="dxa"/>
        </w:tblCellMar>
      </w:tblPr>
      <w:tr>
        <w:trPr>
          <w:trHeight w:val="235"/>
        </w:trPr>
        <w:tc>
          <w:tcPr>
            <w:tcW w:w="1100" w:type="dxa"/>
            <w:vAlign w:val="bottom"/>
          </w:tcPr>
          <w:p>
            <w:pPr>
              <w:jc w:val="center"/>
              <w:ind w:right="559"/>
              <w:spacing w:after="0" w:line="236" w:lineRule="exact"/>
              <w:rPr>
                <w:sz w:val="20"/>
                <w:szCs w:val="20"/>
                <w:color w:val="auto"/>
              </w:rPr>
            </w:pPr>
            <w:r>
              <w:rPr>
                <w:rFonts w:ascii="Arial" w:cs="Arial" w:eastAsia="Arial" w:hAnsi="Arial"/>
                <w:sz w:val="16"/>
                <w:szCs w:val="16"/>
                <w:color w:val="auto"/>
                <w:w w:val="97"/>
              </w:rPr>
              <w:t>10.7</w:t>
            </w:r>
            <w:r>
              <w:rPr>
                <w:rFonts w:ascii="Arial" w:cs="Arial" w:eastAsia="Arial" w:hAnsi="Arial"/>
                <w:sz w:val="21"/>
                <w:szCs w:val="21"/>
                <w:color w:val="auto"/>
                <w:w w:val="97"/>
                <w:vertAlign w:val="superscript"/>
              </w:rPr>
              <w:t>†</w:t>
            </w:r>
          </w:p>
        </w:tc>
        <w:tc>
          <w:tcPr>
            <w:tcW w:w="380" w:type="dxa"/>
            <w:vAlign w:val="bottom"/>
          </w:tcPr>
          <w:p>
            <w:pPr>
              <w:spacing w:after="0"/>
              <w:rPr>
                <w:rFonts w:ascii="Arial" w:cs="Arial" w:eastAsia="Arial" w:hAnsi="Arial"/>
                <w:sz w:val="16"/>
                <w:szCs w:val="16"/>
                <w:color w:val="0000FF"/>
              </w:rPr>
            </w:pPr>
            <w:hyperlink r:id="rId251">
              <w:r>
                <w:rPr>
                  <w:rFonts w:ascii="Arial" w:cs="Arial" w:eastAsia="Arial" w:hAnsi="Arial"/>
                  <w:sz w:val="16"/>
                  <w:szCs w:val="16"/>
                  <w:color w:val="0000FF"/>
                </w:rPr>
                <w:t>2009</w:t>
              </w:r>
            </w:hyperlink>
          </w:p>
        </w:tc>
        <w:tc>
          <w:tcPr>
            <w:tcW w:w="3480" w:type="dxa"/>
            <w:vAlign w:val="bottom"/>
            <w:gridSpan w:val="20"/>
          </w:tcPr>
          <w:p>
            <w:pPr>
              <w:ind w:left="20"/>
              <w:spacing w:after="0"/>
              <w:rPr>
                <w:rFonts w:ascii="Arial" w:cs="Arial" w:eastAsia="Arial" w:hAnsi="Arial"/>
                <w:sz w:val="16"/>
                <w:szCs w:val="16"/>
                <w:color w:val="0000FF"/>
              </w:rPr>
            </w:pPr>
            <w:hyperlink r:id="rId251">
              <w:r>
                <w:rPr>
                  <w:rFonts w:ascii="Arial" w:cs="Arial" w:eastAsia="Arial" w:hAnsi="Arial"/>
                  <w:sz w:val="16"/>
                  <w:szCs w:val="16"/>
                  <w:color w:val="0000FF"/>
                </w:rPr>
                <w:t>Stock Plan – Form of Notice of Stock Option</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rPr>
              <w:t>10.7</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8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8"/>
              </w:rPr>
            </w:pPr>
            <w:hyperlink r:id="rId251">
              <w:r>
                <w:rPr>
                  <w:rFonts w:ascii="Arial" w:cs="Arial" w:eastAsia="Arial" w:hAnsi="Arial"/>
                  <w:sz w:val="16"/>
                  <w:szCs w:val="16"/>
                  <w:color w:val="0000FF"/>
                  <w:w w:val="98"/>
                </w:rPr>
                <w:t>Grant (EMI)</w:t>
              </w:r>
            </w:hyperlink>
          </w:p>
        </w:tc>
        <w:tc>
          <w:tcPr>
            <w:tcW w:w="2720" w:type="dxa"/>
            <w:vAlign w:val="bottom"/>
            <w:tcBorders>
              <w:top w:val="single" w:sz="8" w:color="0000FF"/>
            </w:tcBorders>
            <w:gridSpan w:val="12"/>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50"/>
        </w:trPr>
        <w:tc>
          <w:tcPr>
            <w:tcW w:w="1100" w:type="dxa"/>
            <w:vAlign w:val="bottom"/>
          </w:tcPr>
          <w:p>
            <w:pPr>
              <w:jc w:val="center"/>
              <w:ind w:right="559"/>
              <w:spacing w:after="0"/>
              <w:rPr>
                <w:sz w:val="20"/>
                <w:szCs w:val="20"/>
                <w:color w:val="auto"/>
              </w:rPr>
            </w:pPr>
            <w:r>
              <w:rPr>
                <w:rFonts w:ascii="Arial" w:cs="Arial" w:eastAsia="Arial" w:hAnsi="Arial"/>
                <w:sz w:val="16"/>
                <w:szCs w:val="16"/>
                <w:color w:val="auto"/>
                <w:w w:val="97"/>
              </w:rPr>
              <w:t>10.8</w:t>
            </w:r>
            <w:r>
              <w:rPr>
                <w:rFonts w:ascii="Arial" w:cs="Arial" w:eastAsia="Arial" w:hAnsi="Arial"/>
                <w:sz w:val="21"/>
                <w:szCs w:val="21"/>
                <w:color w:val="auto"/>
                <w:w w:val="97"/>
                <w:vertAlign w:val="superscript"/>
              </w:rPr>
              <w:t>†</w:t>
            </w:r>
          </w:p>
        </w:tc>
        <w:tc>
          <w:tcPr>
            <w:tcW w:w="380" w:type="dxa"/>
            <w:vAlign w:val="bottom"/>
          </w:tcPr>
          <w:p>
            <w:pPr>
              <w:spacing w:after="0"/>
              <w:rPr>
                <w:rFonts w:ascii="Arial" w:cs="Arial" w:eastAsia="Arial" w:hAnsi="Arial"/>
                <w:sz w:val="16"/>
                <w:szCs w:val="16"/>
                <w:color w:val="0000FF"/>
              </w:rPr>
            </w:pPr>
            <w:hyperlink r:id="rId252">
              <w:r>
                <w:rPr>
                  <w:rFonts w:ascii="Arial" w:cs="Arial" w:eastAsia="Arial" w:hAnsi="Arial"/>
                  <w:sz w:val="16"/>
                  <w:szCs w:val="16"/>
                  <w:color w:val="0000FF"/>
                </w:rPr>
                <w:t>2009</w:t>
              </w:r>
            </w:hyperlink>
          </w:p>
        </w:tc>
        <w:tc>
          <w:tcPr>
            <w:tcW w:w="3480" w:type="dxa"/>
            <w:vAlign w:val="bottom"/>
            <w:gridSpan w:val="20"/>
          </w:tcPr>
          <w:p>
            <w:pPr>
              <w:ind w:left="20"/>
              <w:spacing w:after="0"/>
              <w:rPr>
                <w:rFonts w:ascii="Arial" w:cs="Arial" w:eastAsia="Arial" w:hAnsi="Arial"/>
                <w:sz w:val="16"/>
                <w:szCs w:val="16"/>
                <w:color w:val="0000FF"/>
              </w:rPr>
            </w:pPr>
            <w:hyperlink r:id="rId252">
              <w:r>
                <w:rPr>
                  <w:rFonts w:ascii="Arial" w:cs="Arial" w:eastAsia="Arial" w:hAnsi="Arial"/>
                  <w:sz w:val="16"/>
                  <w:szCs w:val="16"/>
                  <w:color w:val="0000FF"/>
                </w:rPr>
                <w:t>Stock Plan – Form of Option Agreement</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rPr>
              <w:t>10.8</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77"/>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7"/>
              </w:rPr>
              <w:t>10.9</w:t>
            </w:r>
            <w:r>
              <w:rPr>
                <w:rFonts w:ascii="Arial" w:cs="Arial" w:eastAsia="Arial" w:hAnsi="Arial"/>
                <w:sz w:val="21"/>
                <w:szCs w:val="21"/>
                <w:color w:val="auto"/>
                <w:w w:val="97"/>
                <w:vertAlign w:val="superscript"/>
              </w:rPr>
              <w:t>†</w:t>
            </w:r>
          </w:p>
        </w:tc>
        <w:tc>
          <w:tcPr>
            <w:tcW w:w="3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jc w:val="center"/>
              <w:ind w:left="239"/>
              <w:spacing w:after="0" w:line="177"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35"/>
        </w:trPr>
        <w:tc>
          <w:tcPr>
            <w:tcW w:w="1100" w:type="dxa"/>
            <w:vAlign w:val="bottom"/>
            <w:vMerge w:val="continue"/>
          </w:tcPr>
          <w:p>
            <w:pPr>
              <w:spacing w:after="0"/>
              <w:rPr>
                <w:sz w:val="20"/>
                <w:szCs w:val="20"/>
                <w:color w:val="auto"/>
              </w:rPr>
            </w:pPr>
          </w:p>
        </w:tc>
        <w:tc>
          <w:tcPr>
            <w:tcW w:w="380" w:type="dxa"/>
            <w:vAlign w:val="bottom"/>
          </w:tcPr>
          <w:p>
            <w:pPr>
              <w:spacing w:after="0"/>
              <w:rPr>
                <w:rFonts w:ascii="Arial" w:cs="Arial" w:eastAsia="Arial" w:hAnsi="Arial"/>
                <w:sz w:val="16"/>
                <w:szCs w:val="16"/>
                <w:color w:val="0000FF"/>
              </w:rPr>
            </w:pPr>
            <w:hyperlink r:id="rId253">
              <w:r>
                <w:rPr>
                  <w:rFonts w:ascii="Arial" w:cs="Arial" w:eastAsia="Arial" w:hAnsi="Arial"/>
                  <w:sz w:val="16"/>
                  <w:szCs w:val="16"/>
                  <w:color w:val="0000FF"/>
                </w:rPr>
                <w:t>2019</w:t>
              </w:r>
            </w:hyperlink>
          </w:p>
        </w:tc>
        <w:tc>
          <w:tcPr>
            <w:tcW w:w="3480" w:type="dxa"/>
            <w:vAlign w:val="bottom"/>
            <w:gridSpan w:val="20"/>
          </w:tcPr>
          <w:p>
            <w:pPr>
              <w:ind w:left="20"/>
              <w:spacing w:after="0"/>
              <w:rPr>
                <w:rFonts w:ascii="Arial" w:cs="Arial" w:eastAsia="Arial" w:hAnsi="Arial"/>
                <w:sz w:val="16"/>
                <w:szCs w:val="16"/>
                <w:color w:val="0000FF"/>
              </w:rPr>
            </w:pPr>
            <w:hyperlink r:id="rId253">
              <w:r>
                <w:rPr>
                  <w:rFonts w:ascii="Arial" w:cs="Arial" w:eastAsia="Arial" w:hAnsi="Arial"/>
                  <w:sz w:val="16"/>
                  <w:szCs w:val="16"/>
                  <w:color w:val="0000FF"/>
                </w:rPr>
                <w:t>Stock Plan</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rPr>
              <w:t>10.9</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77"/>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10.10</w:t>
            </w:r>
            <w:r>
              <w:rPr>
                <w:rFonts w:ascii="Arial" w:cs="Arial" w:eastAsia="Arial" w:hAnsi="Arial"/>
                <w:sz w:val="21"/>
                <w:szCs w:val="21"/>
                <w:color w:val="auto"/>
                <w:w w:val="96"/>
                <w:vertAlign w:val="superscript"/>
              </w:rPr>
              <w:t>†</w:t>
            </w:r>
          </w:p>
        </w:tc>
        <w:tc>
          <w:tcPr>
            <w:tcW w:w="3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jc w:val="center"/>
              <w:ind w:left="239"/>
              <w:spacing w:after="0" w:line="177"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35"/>
        </w:trPr>
        <w:tc>
          <w:tcPr>
            <w:tcW w:w="1100" w:type="dxa"/>
            <w:vAlign w:val="bottom"/>
            <w:vMerge w:val="continue"/>
          </w:tcPr>
          <w:p>
            <w:pPr>
              <w:spacing w:after="0"/>
              <w:rPr>
                <w:sz w:val="20"/>
                <w:szCs w:val="20"/>
                <w:color w:val="auto"/>
              </w:rPr>
            </w:pPr>
          </w:p>
        </w:tc>
        <w:tc>
          <w:tcPr>
            <w:tcW w:w="380" w:type="dxa"/>
            <w:vAlign w:val="bottom"/>
          </w:tcPr>
          <w:p>
            <w:pPr>
              <w:spacing w:after="0"/>
              <w:rPr>
                <w:rFonts w:ascii="Arial" w:cs="Arial" w:eastAsia="Arial" w:hAnsi="Arial"/>
                <w:sz w:val="16"/>
                <w:szCs w:val="16"/>
                <w:color w:val="0000FF"/>
              </w:rPr>
            </w:pPr>
            <w:hyperlink r:id="rId254">
              <w:r>
                <w:rPr>
                  <w:rFonts w:ascii="Arial" w:cs="Arial" w:eastAsia="Arial" w:hAnsi="Arial"/>
                  <w:sz w:val="16"/>
                  <w:szCs w:val="16"/>
                  <w:color w:val="0000FF"/>
                </w:rPr>
                <w:t>2019</w:t>
              </w:r>
            </w:hyperlink>
          </w:p>
        </w:tc>
        <w:tc>
          <w:tcPr>
            <w:tcW w:w="3480" w:type="dxa"/>
            <w:vAlign w:val="bottom"/>
            <w:gridSpan w:val="20"/>
          </w:tcPr>
          <w:p>
            <w:pPr>
              <w:ind w:left="20"/>
              <w:spacing w:after="0"/>
              <w:rPr>
                <w:rFonts w:ascii="Arial" w:cs="Arial" w:eastAsia="Arial" w:hAnsi="Arial"/>
                <w:sz w:val="16"/>
                <w:szCs w:val="16"/>
                <w:color w:val="0000FF"/>
              </w:rPr>
            </w:pPr>
            <w:hyperlink r:id="rId254">
              <w:r>
                <w:rPr>
                  <w:rFonts w:ascii="Arial" w:cs="Arial" w:eastAsia="Arial" w:hAnsi="Arial"/>
                  <w:sz w:val="16"/>
                  <w:szCs w:val="16"/>
                  <w:color w:val="0000FF"/>
                </w:rPr>
                <w:t>Stock Plan – Form of Early Exercise Notice and</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Restricted Stock Purchase Agreement</w:t>
              </w:r>
            </w:hyperlink>
          </w:p>
        </w:tc>
        <w:tc>
          <w:tcPr>
            <w:tcW w:w="1060" w:type="dxa"/>
            <w:vAlign w:val="bottom"/>
            <w:tcBorders>
              <w:top w:val="single" w:sz="8" w:color="0000FF"/>
            </w:tcBorders>
            <w:gridSpan w:val="10"/>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50"/>
        </w:trPr>
        <w:tc>
          <w:tcPr>
            <w:tcW w:w="1100" w:type="dxa"/>
            <w:vAlign w:val="bottom"/>
          </w:tcPr>
          <w:p>
            <w:pPr>
              <w:jc w:val="center"/>
              <w:ind w:right="559"/>
              <w:spacing w:after="0"/>
              <w:rPr>
                <w:sz w:val="20"/>
                <w:szCs w:val="20"/>
                <w:color w:val="auto"/>
              </w:rPr>
            </w:pPr>
            <w:r>
              <w:rPr>
                <w:rFonts w:ascii="Arial" w:cs="Arial" w:eastAsia="Arial" w:hAnsi="Arial"/>
                <w:sz w:val="16"/>
                <w:szCs w:val="16"/>
                <w:color w:val="auto"/>
                <w:w w:val="96"/>
              </w:rPr>
              <w:t>10.11</w:t>
            </w:r>
            <w:r>
              <w:rPr>
                <w:rFonts w:ascii="Arial" w:cs="Arial" w:eastAsia="Arial" w:hAnsi="Arial"/>
                <w:sz w:val="21"/>
                <w:szCs w:val="21"/>
                <w:color w:val="auto"/>
                <w:w w:val="96"/>
                <w:vertAlign w:val="superscript"/>
              </w:rPr>
              <w:t>†</w:t>
            </w:r>
          </w:p>
        </w:tc>
        <w:tc>
          <w:tcPr>
            <w:tcW w:w="380" w:type="dxa"/>
            <w:vAlign w:val="bottom"/>
            <w:tcBorders>
              <w:bottom w:val="single" w:sz="8" w:color="0000FF"/>
            </w:tcBorders>
          </w:tcPr>
          <w:p>
            <w:pPr>
              <w:spacing w:after="0"/>
              <w:rPr>
                <w:rFonts w:ascii="Arial" w:cs="Arial" w:eastAsia="Arial" w:hAnsi="Arial"/>
                <w:sz w:val="16"/>
                <w:szCs w:val="16"/>
                <w:color w:val="0000FF"/>
              </w:rPr>
            </w:pPr>
            <w:hyperlink r:id="rId255">
              <w:r>
                <w:rPr>
                  <w:rFonts w:ascii="Arial" w:cs="Arial" w:eastAsia="Arial" w:hAnsi="Arial"/>
                  <w:sz w:val="16"/>
                  <w:szCs w:val="16"/>
                  <w:color w:val="0000FF"/>
                </w:rPr>
                <w:t>2019</w:t>
              </w:r>
            </w:hyperlink>
          </w:p>
        </w:tc>
        <w:tc>
          <w:tcPr>
            <w:tcW w:w="3480" w:type="dxa"/>
            <w:vAlign w:val="bottom"/>
            <w:tcBorders>
              <w:bottom w:val="single" w:sz="8" w:color="0000FF"/>
            </w:tcBorders>
            <w:gridSpan w:val="20"/>
          </w:tcPr>
          <w:p>
            <w:pPr>
              <w:ind w:left="20"/>
              <w:spacing w:after="0"/>
              <w:rPr>
                <w:rFonts w:ascii="Arial" w:cs="Arial" w:eastAsia="Arial" w:hAnsi="Arial"/>
                <w:sz w:val="16"/>
                <w:szCs w:val="16"/>
                <w:color w:val="0000FF"/>
              </w:rPr>
            </w:pPr>
            <w:hyperlink r:id="rId255">
              <w:r>
                <w:rPr>
                  <w:rFonts w:ascii="Arial" w:cs="Arial" w:eastAsia="Arial" w:hAnsi="Arial"/>
                  <w:sz w:val="16"/>
                  <w:szCs w:val="16"/>
                  <w:color w:val="0000FF"/>
                </w:rPr>
                <w:t>Stock Plan – Form of Exercise Agreement (EMI)</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77"/>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10.12</w:t>
            </w:r>
            <w:r>
              <w:rPr>
                <w:rFonts w:ascii="Arial" w:cs="Arial" w:eastAsia="Arial" w:hAnsi="Arial"/>
                <w:sz w:val="21"/>
                <w:szCs w:val="21"/>
                <w:color w:val="auto"/>
                <w:w w:val="96"/>
                <w:vertAlign w:val="superscript"/>
              </w:rPr>
              <w:t>†</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jc w:val="center"/>
              <w:ind w:left="239"/>
              <w:spacing w:after="0" w:line="177"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35"/>
        </w:trPr>
        <w:tc>
          <w:tcPr>
            <w:tcW w:w="1100" w:type="dxa"/>
            <w:vAlign w:val="bottom"/>
            <w:vMerge w:val="continue"/>
          </w:tcPr>
          <w:p>
            <w:pPr>
              <w:spacing w:after="0"/>
              <w:rPr>
                <w:sz w:val="20"/>
                <w:szCs w:val="20"/>
                <w:color w:val="auto"/>
              </w:rPr>
            </w:pPr>
          </w:p>
        </w:tc>
        <w:tc>
          <w:tcPr>
            <w:tcW w:w="380" w:type="dxa"/>
            <w:vAlign w:val="bottom"/>
          </w:tcPr>
          <w:p>
            <w:pPr>
              <w:spacing w:after="0"/>
              <w:rPr>
                <w:rFonts w:ascii="Arial" w:cs="Arial" w:eastAsia="Arial" w:hAnsi="Arial"/>
                <w:sz w:val="16"/>
                <w:szCs w:val="16"/>
                <w:color w:val="0000FF"/>
              </w:rPr>
            </w:pPr>
            <w:hyperlink r:id="rId256">
              <w:r>
                <w:rPr>
                  <w:rFonts w:ascii="Arial" w:cs="Arial" w:eastAsia="Arial" w:hAnsi="Arial"/>
                  <w:sz w:val="16"/>
                  <w:szCs w:val="16"/>
                  <w:color w:val="0000FF"/>
                </w:rPr>
                <w:t>2019</w:t>
              </w:r>
            </w:hyperlink>
          </w:p>
        </w:tc>
        <w:tc>
          <w:tcPr>
            <w:tcW w:w="3480" w:type="dxa"/>
            <w:vAlign w:val="bottom"/>
            <w:gridSpan w:val="20"/>
          </w:tcPr>
          <w:p>
            <w:pPr>
              <w:ind w:left="20"/>
              <w:spacing w:after="0"/>
              <w:rPr>
                <w:rFonts w:ascii="Arial" w:cs="Arial" w:eastAsia="Arial" w:hAnsi="Arial"/>
                <w:sz w:val="16"/>
                <w:szCs w:val="16"/>
                <w:color w:val="0000FF"/>
              </w:rPr>
            </w:pPr>
            <w:hyperlink r:id="rId256">
              <w:r>
                <w:rPr>
                  <w:rFonts w:ascii="Arial" w:cs="Arial" w:eastAsia="Arial" w:hAnsi="Arial"/>
                  <w:sz w:val="16"/>
                  <w:szCs w:val="16"/>
                  <w:color w:val="0000FF"/>
                </w:rPr>
                <w:t>Stock Plan – Form of Exercise Agreement</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10.12</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76"/>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10.13</w:t>
            </w:r>
            <w:r>
              <w:rPr>
                <w:rFonts w:ascii="Arial" w:cs="Arial" w:eastAsia="Arial" w:hAnsi="Arial"/>
                <w:sz w:val="21"/>
                <w:szCs w:val="21"/>
                <w:color w:val="auto"/>
                <w:w w:val="96"/>
                <w:vertAlign w:val="superscript"/>
              </w:rPr>
              <w:t>†</w:t>
            </w:r>
          </w:p>
        </w:tc>
        <w:tc>
          <w:tcPr>
            <w:tcW w:w="3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jc w:val="center"/>
              <w:ind w:left="239"/>
              <w:spacing w:after="0" w:line="177"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36"/>
        </w:trPr>
        <w:tc>
          <w:tcPr>
            <w:tcW w:w="1100" w:type="dxa"/>
            <w:vAlign w:val="bottom"/>
            <w:vMerge w:val="continue"/>
          </w:tcPr>
          <w:p>
            <w:pPr>
              <w:spacing w:after="0"/>
              <w:rPr>
                <w:sz w:val="20"/>
                <w:szCs w:val="20"/>
                <w:color w:val="auto"/>
              </w:rPr>
            </w:pPr>
          </w:p>
        </w:tc>
        <w:tc>
          <w:tcPr>
            <w:tcW w:w="380" w:type="dxa"/>
            <w:vAlign w:val="bottom"/>
          </w:tcPr>
          <w:p>
            <w:pPr>
              <w:spacing w:after="0"/>
              <w:rPr>
                <w:rFonts w:ascii="Arial" w:cs="Arial" w:eastAsia="Arial" w:hAnsi="Arial"/>
                <w:sz w:val="16"/>
                <w:szCs w:val="16"/>
                <w:color w:val="0000FF"/>
              </w:rPr>
            </w:pPr>
            <w:hyperlink r:id="rId257">
              <w:r>
                <w:rPr>
                  <w:rFonts w:ascii="Arial" w:cs="Arial" w:eastAsia="Arial" w:hAnsi="Arial"/>
                  <w:sz w:val="16"/>
                  <w:szCs w:val="16"/>
                  <w:color w:val="0000FF"/>
                </w:rPr>
                <w:t>2019</w:t>
              </w:r>
            </w:hyperlink>
          </w:p>
        </w:tc>
        <w:tc>
          <w:tcPr>
            <w:tcW w:w="3480" w:type="dxa"/>
            <w:vAlign w:val="bottom"/>
            <w:gridSpan w:val="20"/>
          </w:tcPr>
          <w:p>
            <w:pPr>
              <w:ind w:left="20"/>
              <w:spacing w:after="0"/>
              <w:rPr>
                <w:rFonts w:ascii="Arial" w:cs="Arial" w:eastAsia="Arial" w:hAnsi="Arial"/>
                <w:sz w:val="16"/>
                <w:szCs w:val="16"/>
                <w:color w:val="0000FF"/>
              </w:rPr>
            </w:pPr>
            <w:hyperlink r:id="rId257">
              <w:r>
                <w:rPr>
                  <w:rFonts w:ascii="Arial" w:cs="Arial" w:eastAsia="Arial" w:hAnsi="Arial"/>
                  <w:sz w:val="16"/>
                  <w:szCs w:val="16"/>
                  <w:color w:val="0000FF"/>
                </w:rPr>
                <w:t>Stock Plan – Form of Option Agreement (early</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10.13</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126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9"/>
              </w:rPr>
            </w:pPr>
            <w:hyperlink r:id="rId257">
              <w:r>
                <w:rPr>
                  <w:rFonts w:ascii="Arial" w:cs="Arial" w:eastAsia="Arial" w:hAnsi="Arial"/>
                  <w:sz w:val="16"/>
                  <w:szCs w:val="16"/>
                  <w:color w:val="0000FF"/>
                  <w:w w:val="99"/>
                </w:rPr>
                <w:t>exercise) (Reg S)</w:t>
              </w:r>
            </w:hyperlink>
          </w:p>
        </w:tc>
        <w:tc>
          <w:tcPr>
            <w:tcW w:w="2460" w:type="dxa"/>
            <w:vAlign w:val="bottom"/>
            <w:tcBorders>
              <w:top w:val="single" w:sz="8" w:color="0000FF"/>
            </w:tcBorders>
            <w:gridSpan w:val="11"/>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50"/>
        </w:trPr>
        <w:tc>
          <w:tcPr>
            <w:tcW w:w="1100" w:type="dxa"/>
            <w:vAlign w:val="bottom"/>
          </w:tcPr>
          <w:p>
            <w:pPr>
              <w:jc w:val="center"/>
              <w:ind w:right="559"/>
              <w:spacing w:after="0"/>
              <w:rPr>
                <w:sz w:val="20"/>
                <w:szCs w:val="20"/>
                <w:color w:val="auto"/>
              </w:rPr>
            </w:pPr>
            <w:r>
              <w:rPr>
                <w:rFonts w:ascii="Arial" w:cs="Arial" w:eastAsia="Arial" w:hAnsi="Arial"/>
                <w:sz w:val="16"/>
                <w:szCs w:val="16"/>
                <w:color w:val="auto"/>
                <w:w w:val="96"/>
              </w:rPr>
              <w:t>10.14</w:t>
            </w:r>
            <w:r>
              <w:rPr>
                <w:rFonts w:ascii="Arial" w:cs="Arial" w:eastAsia="Arial" w:hAnsi="Arial"/>
                <w:sz w:val="21"/>
                <w:szCs w:val="21"/>
                <w:color w:val="auto"/>
                <w:w w:val="96"/>
                <w:vertAlign w:val="superscript"/>
              </w:rPr>
              <w:t>†</w:t>
            </w:r>
          </w:p>
        </w:tc>
        <w:tc>
          <w:tcPr>
            <w:tcW w:w="380" w:type="dxa"/>
            <w:vAlign w:val="bottom"/>
          </w:tcPr>
          <w:p>
            <w:pPr>
              <w:spacing w:after="0"/>
              <w:rPr>
                <w:rFonts w:ascii="Arial" w:cs="Arial" w:eastAsia="Arial" w:hAnsi="Arial"/>
                <w:sz w:val="16"/>
                <w:szCs w:val="16"/>
                <w:color w:val="0000FF"/>
              </w:rPr>
            </w:pPr>
            <w:hyperlink r:id="rId258">
              <w:r>
                <w:rPr>
                  <w:rFonts w:ascii="Arial" w:cs="Arial" w:eastAsia="Arial" w:hAnsi="Arial"/>
                  <w:sz w:val="16"/>
                  <w:szCs w:val="16"/>
                  <w:color w:val="0000FF"/>
                </w:rPr>
                <w:t>2019</w:t>
              </w:r>
            </w:hyperlink>
          </w:p>
        </w:tc>
        <w:tc>
          <w:tcPr>
            <w:tcW w:w="3480" w:type="dxa"/>
            <w:vAlign w:val="bottom"/>
            <w:gridSpan w:val="20"/>
          </w:tcPr>
          <w:p>
            <w:pPr>
              <w:ind w:left="20"/>
              <w:spacing w:after="0"/>
              <w:rPr>
                <w:rFonts w:ascii="Arial" w:cs="Arial" w:eastAsia="Arial" w:hAnsi="Arial"/>
                <w:sz w:val="16"/>
                <w:szCs w:val="16"/>
                <w:color w:val="0000FF"/>
              </w:rPr>
            </w:pPr>
            <w:hyperlink r:id="rId258">
              <w:r>
                <w:rPr>
                  <w:rFonts w:ascii="Arial" w:cs="Arial" w:eastAsia="Arial" w:hAnsi="Arial"/>
                  <w:sz w:val="16"/>
                  <w:szCs w:val="16"/>
                  <w:color w:val="0000FF"/>
                </w:rPr>
                <w:t>Stock Plan – Form of Option Agreement (early</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37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exercise)</w:t>
              </w:r>
            </w:hyperlink>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10.15</w:t>
            </w:r>
            <w:r>
              <w:rPr>
                <w:rFonts w:ascii="Arial" w:cs="Arial" w:eastAsia="Arial" w:hAnsi="Arial"/>
                <w:sz w:val="21"/>
                <w:szCs w:val="21"/>
                <w:color w:val="auto"/>
                <w:w w:val="96"/>
                <w:vertAlign w:val="superscript"/>
              </w:rPr>
              <w:t>†</w:t>
            </w: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vMerge w:val="continue"/>
          </w:tcPr>
          <w:p>
            <w:pPr>
              <w:spacing w:after="0"/>
              <w:rPr>
                <w:sz w:val="21"/>
                <w:szCs w:val="21"/>
                <w:color w:val="auto"/>
              </w:rPr>
            </w:pPr>
          </w:p>
        </w:tc>
        <w:tc>
          <w:tcPr>
            <w:tcW w:w="380" w:type="dxa"/>
            <w:vAlign w:val="bottom"/>
          </w:tcPr>
          <w:p>
            <w:pPr>
              <w:spacing w:after="0"/>
              <w:rPr>
                <w:rFonts w:ascii="Arial" w:cs="Arial" w:eastAsia="Arial" w:hAnsi="Arial"/>
                <w:sz w:val="16"/>
                <w:szCs w:val="16"/>
                <w:color w:val="0000FF"/>
              </w:rPr>
            </w:pPr>
            <w:hyperlink r:id="rId259">
              <w:r>
                <w:rPr>
                  <w:rFonts w:ascii="Arial" w:cs="Arial" w:eastAsia="Arial" w:hAnsi="Arial"/>
                  <w:sz w:val="16"/>
                  <w:szCs w:val="16"/>
                  <w:color w:val="0000FF"/>
                </w:rPr>
                <w:t>2019</w:t>
              </w:r>
            </w:hyperlink>
          </w:p>
        </w:tc>
        <w:tc>
          <w:tcPr>
            <w:tcW w:w="3480" w:type="dxa"/>
            <w:vAlign w:val="bottom"/>
            <w:gridSpan w:val="20"/>
          </w:tcPr>
          <w:p>
            <w:pPr>
              <w:ind w:left="20"/>
              <w:spacing w:after="0"/>
              <w:rPr>
                <w:rFonts w:ascii="Arial" w:cs="Arial" w:eastAsia="Arial" w:hAnsi="Arial"/>
                <w:sz w:val="16"/>
                <w:szCs w:val="16"/>
                <w:color w:val="0000FF"/>
              </w:rPr>
            </w:pPr>
            <w:hyperlink r:id="rId259">
              <w:r>
                <w:rPr>
                  <w:rFonts w:ascii="Arial" w:cs="Arial" w:eastAsia="Arial" w:hAnsi="Arial"/>
                  <w:sz w:val="16"/>
                  <w:szCs w:val="16"/>
                  <w:color w:val="0000FF"/>
                </w:rPr>
                <w:t>Stock Plan – Form of Notice of Stock Option</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10.15</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8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8"/>
              </w:rPr>
            </w:pPr>
            <w:hyperlink r:id="rId259">
              <w:r>
                <w:rPr>
                  <w:rFonts w:ascii="Arial" w:cs="Arial" w:eastAsia="Arial" w:hAnsi="Arial"/>
                  <w:sz w:val="16"/>
                  <w:szCs w:val="16"/>
                  <w:color w:val="0000FF"/>
                  <w:w w:val="98"/>
                </w:rPr>
                <w:t>Grant (EMI)</w:t>
              </w:r>
            </w:hyperlink>
          </w:p>
        </w:tc>
        <w:tc>
          <w:tcPr>
            <w:tcW w:w="2720" w:type="dxa"/>
            <w:vAlign w:val="bottom"/>
            <w:tcBorders>
              <w:top w:val="single" w:sz="8" w:color="0000FF"/>
            </w:tcBorders>
            <w:gridSpan w:val="12"/>
          </w:tcPr>
          <w:p>
            <w:pPr>
              <w:spacing w:after="0"/>
              <w:rPr>
                <w:sz w:val="12"/>
                <w:szCs w:val="12"/>
                <w:color w:val="auto"/>
              </w:rPr>
            </w:pPr>
          </w:p>
        </w:tc>
        <w:tc>
          <w:tcPr>
            <w:tcW w:w="20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50"/>
        </w:trPr>
        <w:tc>
          <w:tcPr>
            <w:tcW w:w="1100" w:type="dxa"/>
            <w:vAlign w:val="bottom"/>
          </w:tcPr>
          <w:p>
            <w:pPr>
              <w:jc w:val="center"/>
              <w:ind w:right="559"/>
              <w:spacing w:after="0"/>
              <w:rPr>
                <w:sz w:val="20"/>
                <w:szCs w:val="20"/>
                <w:color w:val="auto"/>
              </w:rPr>
            </w:pPr>
            <w:r>
              <w:rPr>
                <w:rFonts w:ascii="Arial" w:cs="Arial" w:eastAsia="Arial" w:hAnsi="Arial"/>
                <w:sz w:val="16"/>
                <w:szCs w:val="16"/>
                <w:color w:val="auto"/>
                <w:w w:val="96"/>
              </w:rPr>
              <w:t>10.16</w:t>
            </w:r>
            <w:r>
              <w:rPr>
                <w:rFonts w:ascii="Arial" w:cs="Arial" w:eastAsia="Arial" w:hAnsi="Arial"/>
                <w:sz w:val="21"/>
                <w:szCs w:val="21"/>
                <w:color w:val="auto"/>
                <w:w w:val="96"/>
                <w:vertAlign w:val="superscript"/>
              </w:rPr>
              <w:t>†</w:t>
            </w:r>
          </w:p>
        </w:tc>
        <w:tc>
          <w:tcPr>
            <w:tcW w:w="380" w:type="dxa"/>
            <w:vAlign w:val="bottom"/>
          </w:tcPr>
          <w:p>
            <w:pPr>
              <w:spacing w:after="0"/>
              <w:rPr>
                <w:rFonts w:ascii="Arial" w:cs="Arial" w:eastAsia="Arial" w:hAnsi="Arial"/>
                <w:sz w:val="16"/>
                <w:szCs w:val="16"/>
                <w:color w:val="0000FF"/>
              </w:rPr>
            </w:pPr>
            <w:hyperlink r:id="rId260">
              <w:r>
                <w:rPr>
                  <w:rFonts w:ascii="Arial" w:cs="Arial" w:eastAsia="Arial" w:hAnsi="Arial"/>
                  <w:sz w:val="16"/>
                  <w:szCs w:val="16"/>
                  <w:color w:val="0000FF"/>
                </w:rPr>
                <w:t>2019</w:t>
              </w:r>
            </w:hyperlink>
          </w:p>
        </w:tc>
        <w:tc>
          <w:tcPr>
            <w:tcW w:w="3480" w:type="dxa"/>
            <w:vAlign w:val="bottom"/>
            <w:gridSpan w:val="20"/>
          </w:tcPr>
          <w:p>
            <w:pPr>
              <w:ind w:left="20"/>
              <w:spacing w:after="0"/>
              <w:rPr>
                <w:rFonts w:ascii="Arial" w:cs="Arial" w:eastAsia="Arial" w:hAnsi="Arial"/>
                <w:sz w:val="16"/>
                <w:szCs w:val="16"/>
                <w:color w:val="0000FF"/>
              </w:rPr>
            </w:pPr>
            <w:hyperlink r:id="rId260">
              <w:r>
                <w:rPr>
                  <w:rFonts w:ascii="Arial" w:cs="Arial" w:eastAsia="Arial" w:hAnsi="Arial"/>
                  <w:sz w:val="16"/>
                  <w:szCs w:val="16"/>
                  <w:color w:val="0000FF"/>
                </w:rPr>
                <w:t>Stock Plan - Form of Contingent Exercise</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10.16</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33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Agreement</w:t>
              </w:r>
            </w:hyperlink>
          </w:p>
        </w:tc>
        <w:tc>
          <w:tcPr>
            <w:tcW w:w="80" w:type="dxa"/>
            <w:vAlign w:val="bottom"/>
            <w:gridSpan w:val="2"/>
          </w:tcPr>
          <w:p>
            <w:pPr>
              <w:spacing w:after="0"/>
              <w:rPr>
                <w:sz w:val="12"/>
                <w:szCs w:val="12"/>
                <w:color w:val="auto"/>
              </w:rPr>
            </w:pPr>
          </w:p>
        </w:tc>
        <w:tc>
          <w:tcPr>
            <w:tcW w:w="32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10.17</w:t>
            </w:r>
            <w:r>
              <w:rPr>
                <w:rFonts w:ascii="Arial" w:cs="Arial" w:eastAsia="Arial" w:hAnsi="Arial"/>
                <w:sz w:val="21"/>
                <w:szCs w:val="21"/>
                <w:color w:val="auto"/>
                <w:w w:val="96"/>
                <w:vertAlign w:val="superscript"/>
              </w:rPr>
              <w:t>†</w:t>
            </w: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vMerge w:val="continue"/>
          </w:tcPr>
          <w:p>
            <w:pPr>
              <w:spacing w:after="0"/>
              <w:rPr>
                <w:sz w:val="21"/>
                <w:szCs w:val="21"/>
                <w:color w:val="auto"/>
              </w:rPr>
            </w:pPr>
          </w:p>
        </w:tc>
        <w:tc>
          <w:tcPr>
            <w:tcW w:w="380" w:type="dxa"/>
            <w:vAlign w:val="bottom"/>
          </w:tcPr>
          <w:p>
            <w:pPr>
              <w:spacing w:after="0"/>
              <w:rPr>
                <w:rFonts w:ascii="Arial" w:cs="Arial" w:eastAsia="Arial" w:hAnsi="Arial"/>
                <w:sz w:val="16"/>
                <w:szCs w:val="16"/>
                <w:color w:val="0000FF"/>
              </w:rPr>
            </w:pPr>
            <w:hyperlink r:id="rId261">
              <w:r>
                <w:rPr>
                  <w:rFonts w:ascii="Arial" w:cs="Arial" w:eastAsia="Arial" w:hAnsi="Arial"/>
                  <w:sz w:val="16"/>
                  <w:szCs w:val="16"/>
                  <w:color w:val="0000FF"/>
                </w:rPr>
                <w:t>2019</w:t>
              </w:r>
            </w:hyperlink>
          </w:p>
        </w:tc>
        <w:tc>
          <w:tcPr>
            <w:tcW w:w="3480" w:type="dxa"/>
            <w:vAlign w:val="bottom"/>
            <w:gridSpan w:val="20"/>
          </w:tcPr>
          <w:p>
            <w:pPr>
              <w:ind w:left="20"/>
              <w:spacing w:after="0"/>
              <w:rPr>
                <w:rFonts w:ascii="Arial" w:cs="Arial" w:eastAsia="Arial" w:hAnsi="Arial"/>
                <w:sz w:val="16"/>
                <w:szCs w:val="16"/>
                <w:color w:val="0000FF"/>
              </w:rPr>
            </w:pPr>
            <w:hyperlink r:id="rId261">
              <w:r>
                <w:rPr>
                  <w:rFonts w:ascii="Arial" w:cs="Arial" w:eastAsia="Arial" w:hAnsi="Arial"/>
                  <w:sz w:val="16"/>
                  <w:szCs w:val="16"/>
                  <w:color w:val="0000FF"/>
                </w:rPr>
                <w:t>Plan - Form of RSU Agreement</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10.17</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76"/>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10.18</w:t>
            </w:r>
            <w:r>
              <w:rPr>
                <w:rFonts w:ascii="Arial" w:cs="Arial" w:eastAsia="Arial" w:hAnsi="Arial"/>
                <w:sz w:val="21"/>
                <w:szCs w:val="21"/>
                <w:color w:val="auto"/>
                <w:w w:val="96"/>
                <w:vertAlign w:val="superscript"/>
              </w:rPr>
              <w:t>†</w:t>
            </w:r>
          </w:p>
        </w:tc>
        <w:tc>
          <w:tcPr>
            <w:tcW w:w="3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jc w:val="center"/>
              <w:ind w:left="239"/>
              <w:spacing w:after="0" w:line="177"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35"/>
        </w:trPr>
        <w:tc>
          <w:tcPr>
            <w:tcW w:w="1100" w:type="dxa"/>
            <w:vAlign w:val="bottom"/>
            <w:vMerge w:val="continue"/>
          </w:tcPr>
          <w:p>
            <w:pPr>
              <w:spacing w:after="0"/>
              <w:rPr>
                <w:sz w:val="20"/>
                <w:szCs w:val="20"/>
                <w:color w:val="auto"/>
              </w:rPr>
            </w:pPr>
          </w:p>
        </w:tc>
        <w:tc>
          <w:tcPr>
            <w:tcW w:w="380" w:type="dxa"/>
            <w:vAlign w:val="bottom"/>
          </w:tcPr>
          <w:p>
            <w:pPr>
              <w:spacing w:after="0"/>
              <w:rPr>
                <w:rFonts w:ascii="Arial" w:cs="Arial" w:eastAsia="Arial" w:hAnsi="Arial"/>
                <w:sz w:val="16"/>
                <w:szCs w:val="16"/>
                <w:color w:val="0000FF"/>
              </w:rPr>
            </w:pPr>
            <w:hyperlink r:id="rId262">
              <w:r>
                <w:rPr>
                  <w:rFonts w:ascii="Arial" w:cs="Arial" w:eastAsia="Arial" w:hAnsi="Arial"/>
                  <w:sz w:val="16"/>
                  <w:szCs w:val="16"/>
                  <w:color w:val="0000FF"/>
                </w:rPr>
                <w:t>2021</w:t>
              </w:r>
            </w:hyperlink>
          </w:p>
        </w:tc>
        <w:tc>
          <w:tcPr>
            <w:tcW w:w="3480" w:type="dxa"/>
            <w:vAlign w:val="bottom"/>
            <w:gridSpan w:val="20"/>
          </w:tcPr>
          <w:p>
            <w:pPr>
              <w:ind w:left="20"/>
              <w:spacing w:after="0"/>
              <w:rPr>
                <w:rFonts w:ascii="Arial" w:cs="Arial" w:eastAsia="Arial" w:hAnsi="Arial"/>
                <w:sz w:val="16"/>
                <w:szCs w:val="16"/>
                <w:color w:val="0000FF"/>
              </w:rPr>
            </w:pPr>
            <w:hyperlink r:id="rId262">
              <w:r>
                <w:rPr>
                  <w:rFonts w:ascii="Arial" w:cs="Arial" w:eastAsia="Arial" w:hAnsi="Arial"/>
                  <w:sz w:val="16"/>
                  <w:szCs w:val="16"/>
                  <w:color w:val="0000FF"/>
                </w:rPr>
                <w:t>Incentive Award Plan</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77"/>
        </w:trPr>
        <w:tc>
          <w:tcPr>
            <w:tcW w:w="110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jc w:val="center"/>
              <w:ind w:left="239"/>
              <w:spacing w:after="0" w:line="177"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35"/>
        </w:trPr>
        <w:tc>
          <w:tcPr>
            <w:tcW w:w="1100" w:type="dxa"/>
            <w:vAlign w:val="bottom"/>
          </w:tcPr>
          <w:p>
            <w:pPr>
              <w:jc w:val="center"/>
              <w:ind w:right="539"/>
              <w:spacing w:after="0"/>
              <w:rPr>
                <w:sz w:val="20"/>
                <w:szCs w:val="20"/>
                <w:color w:val="auto"/>
              </w:rPr>
            </w:pPr>
            <w:r>
              <w:rPr>
                <w:rFonts w:ascii="Arial" w:cs="Arial" w:eastAsia="Arial" w:hAnsi="Arial"/>
                <w:sz w:val="16"/>
                <w:szCs w:val="16"/>
                <w:color w:val="auto"/>
                <w:w w:val="99"/>
              </w:rPr>
              <w:t>10.19</w:t>
            </w:r>
          </w:p>
        </w:tc>
        <w:tc>
          <w:tcPr>
            <w:tcW w:w="380" w:type="dxa"/>
            <w:vAlign w:val="bottom"/>
            <w:tcBorders>
              <w:bottom w:val="single" w:sz="8" w:color="0000FF"/>
            </w:tcBorders>
          </w:tcPr>
          <w:p>
            <w:pPr>
              <w:spacing w:after="0"/>
              <w:rPr>
                <w:rFonts w:ascii="Arial" w:cs="Arial" w:eastAsia="Arial" w:hAnsi="Arial"/>
                <w:sz w:val="16"/>
                <w:szCs w:val="16"/>
                <w:color w:val="0000FF"/>
              </w:rPr>
            </w:pPr>
            <w:hyperlink r:id="rId263">
              <w:r>
                <w:rPr>
                  <w:rFonts w:ascii="Arial" w:cs="Arial" w:eastAsia="Arial" w:hAnsi="Arial"/>
                  <w:sz w:val="16"/>
                  <w:szCs w:val="16"/>
                  <w:color w:val="0000FF"/>
                </w:rPr>
                <w:t>2021</w:t>
              </w:r>
            </w:hyperlink>
          </w:p>
        </w:tc>
        <w:tc>
          <w:tcPr>
            <w:tcW w:w="2540" w:type="dxa"/>
            <w:vAlign w:val="bottom"/>
            <w:tcBorders>
              <w:bottom w:val="single" w:sz="8" w:color="0000FF"/>
            </w:tcBorders>
            <w:gridSpan w:val="11"/>
          </w:tcPr>
          <w:p>
            <w:pPr>
              <w:ind w:left="20"/>
              <w:spacing w:after="0"/>
              <w:rPr>
                <w:rFonts w:ascii="Arial" w:cs="Arial" w:eastAsia="Arial" w:hAnsi="Arial"/>
                <w:sz w:val="16"/>
                <w:szCs w:val="16"/>
                <w:color w:val="0000FF"/>
              </w:rPr>
            </w:pPr>
            <w:hyperlink r:id="rId263">
              <w:r>
                <w:rPr>
                  <w:rFonts w:ascii="Arial" w:cs="Arial" w:eastAsia="Arial" w:hAnsi="Arial"/>
                  <w:sz w:val="16"/>
                  <w:szCs w:val="16"/>
                  <w:color w:val="0000FF"/>
                </w:rPr>
                <w:t>Stock Purchase and Matching Plan</w:t>
              </w:r>
            </w:hyperlink>
          </w:p>
        </w:tc>
        <w:tc>
          <w:tcPr>
            <w:tcW w:w="940" w:type="dxa"/>
            <w:vAlign w:val="bottom"/>
            <w:gridSpan w:val="9"/>
          </w:tcPr>
          <w:p>
            <w:pPr>
              <w:spacing w:after="0"/>
              <w:rPr>
                <w:sz w:val="20"/>
                <w:szCs w:val="20"/>
                <w:color w:val="auto"/>
              </w:rPr>
            </w:pPr>
          </w:p>
        </w:tc>
        <w:tc>
          <w:tcPr>
            <w:tcW w:w="150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620" w:type="dxa"/>
            <w:vAlign w:val="bottom"/>
          </w:tcPr>
          <w:p>
            <w:pPr>
              <w:jc w:val="center"/>
              <w:spacing w:after="0"/>
              <w:rPr>
                <w:sz w:val="20"/>
                <w:szCs w:val="20"/>
                <w:color w:val="auto"/>
              </w:rPr>
            </w:pPr>
            <w:r>
              <w:rPr>
                <w:rFonts w:ascii="Arial" w:cs="Arial" w:eastAsia="Arial" w:hAnsi="Arial"/>
                <w:sz w:val="16"/>
                <w:szCs w:val="16"/>
                <w:color w:val="auto"/>
              </w:rPr>
              <w:t>001-41043</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10.19</w:t>
            </w:r>
          </w:p>
        </w:tc>
        <w:tc>
          <w:tcPr>
            <w:tcW w:w="1440" w:type="dxa"/>
            <w:vAlign w:val="bottom"/>
          </w:tcPr>
          <w:p>
            <w:pPr>
              <w:jc w:val="center"/>
              <w:ind w:left="239"/>
              <w:spacing w:after="0"/>
              <w:rPr>
                <w:sz w:val="20"/>
                <w:szCs w:val="20"/>
                <w:color w:val="auto"/>
              </w:rPr>
            </w:pPr>
            <w:r>
              <w:rPr>
                <w:rFonts w:ascii="Arial" w:cs="Arial" w:eastAsia="Arial" w:hAnsi="Arial"/>
                <w:sz w:val="16"/>
                <w:szCs w:val="16"/>
                <w:color w:val="auto"/>
              </w:rPr>
              <w:t>March 31, 2022</w:t>
            </w:r>
          </w:p>
        </w:tc>
        <w:tc>
          <w:tcPr>
            <w:tcW w:w="0" w:type="dxa"/>
            <w:vAlign w:val="bottom"/>
          </w:tcPr>
          <w:p>
            <w:pPr>
              <w:spacing w:after="0"/>
              <w:rPr>
                <w:sz w:val="1"/>
                <w:szCs w:val="1"/>
                <w:color w:val="auto"/>
              </w:rPr>
            </w:pPr>
          </w:p>
        </w:tc>
      </w:tr>
      <w:tr>
        <w:trPr>
          <w:trHeight w:val="250"/>
        </w:trPr>
        <w:tc>
          <w:tcPr>
            <w:tcW w:w="1100" w:type="dxa"/>
            <w:vAlign w:val="bottom"/>
          </w:tcPr>
          <w:p>
            <w:pPr>
              <w:jc w:val="center"/>
              <w:ind w:right="559"/>
              <w:spacing w:after="0"/>
              <w:rPr>
                <w:sz w:val="20"/>
                <w:szCs w:val="20"/>
                <w:color w:val="auto"/>
              </w:rPr>
            </w:pPr>
            <w:r>
              <w:rPr>
                <w:rFonts w:ascii="Arial" w:cs="Arial" w:eastAsia="Arial" w:hAnsi="Arial"/>
                <w:sz w:val="16"/>
                <w:szCs w:val="16"/>
                <w:color w:val="auto"/>
                <w:w w:val="96"/>
              </w:rPr>
              <w:t>10.20</w:t>
            </w:r>
            <w:r>
              <w:rPr>
                <w:rFonts w:ascii="Arial" w:cs="Arial" w:eastAsia="Arial" w:hAnsi="Arial"/>
                <w:sz w:val="21"/>
                <w:szCs w:val="21"/>
                <w:color w:val="auto"/>
                <w:w w:val="96"/>
                <w:vertAlign w:val="superscript"/>
              </w:rPr>
              <w:t>†</w:t>
            </w:r>
          </w:p>
        </w:tc>
        <w:tc>
          <w:tcPr>
            <w:tcW w:w="380" w:type="dxa"/>
            <w:vAlign w:val="bottom"/>
          </w:tcPr>
          <w:p>
            <w:pPr>
              <w:spacing w:after="0"/>
              <w:rPr>
                <w:rFonts w:ascii="Arial" w:cs="Arial" w:eastAsia="Arial" w:hAnsi="Arial"/>
                <w:sz w:val="16"/>
                <w:szCs w:val="16"/>
                <w:color w:val="0000FF"/>
              </w:rPr>
            </w:pPr>
            <w:hyperlink r:id="rId264">
              <w:r>
                <w:rPr>
                  <w:rFonts w:ascii="Arial" w:cs="Arial" w:eastAsia="Arial" w:hAnsi="Arial"/>
                  <w:sz w:val="16"/>
                  <w:szCs w:val="16"/>
                  <w:color w:val="0000FF"/>
                </w:rPr>
                <w:t>2021</w:t>
              </w:r>
            </w:hyperlink>
          </w:p>
        </w:tc>
        <w:tc>
          <w:tcPr>
            <w:tcW w:w="3480" w:type="dxa"/>
            <w:vAlign w:val="bottom"/>
            <w:gridSpan w:val="20"/>
          </w:tcPr>
          <w:p>
            <w:pPr>
              <w:ind w:left="20"/>
              <w:spacing w:after="0"/>
              <w:rPr>
                <w:rFonts w:ascii="Arial" w:cs="Arial" w:eastAsia="Arial" w:hAnsi="Arial"/>
                <w:sz w:val="16"/>
                <w:szCs w:val="16"/>
                <w:color w:val="0000FF"/>
              </w:rPr>
            </w:pPr>
            <w:hyperlink r:id="rId264">
              <w:r>
                <w:rPr>
                  <w:rFonts w:ascii="Arial" w:cs="Arial" w:eastAsia="Arial" w:hAnsi="Arial"/>
                  <w:sz w:val="16"/>
                  <w:szCs w:val="16"/>
                  <w:color w:val="0000FF"/>
                </w:rPr>
                <w:t>Plan - Form of RSU Agreement</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10.20</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77"/>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10.21</w:t>
            </w:r>
            <w:r>
              <w:rPr>
                <w:rFonts w:ascii="Arial" w:cs="Arial" w:eastAsia="Arial" w:hAnsi="Arial"/>
                <w:sz w:val="21"/>
                <w:szCs w:val="21"/>
                <w:color w:val="auto"/>
                <w:w w:val="96"/>
                <w:vertAlign w:val="superscript"/>
              </w:rPr>
              <w:t>†</w:t>
            </w:r>
          </w:p>
        </w:tc>
        <w:tc>
          <w:tcPr>
            <w:tcW w:w="3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jc w:val="center"/>
              <w:ind w:left="239"/>
              <w:spacing w:after="0" w:line="177"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35"/>
        </w:trPr>
        <w:tc>
          <w:tcPr>
            <w:tcW w:w="1100" w:type="dxa"/>
            <w:vAlign w:val="bottom"/>
            <w:vMerge w:val="continue"/>
          </w:tcPr>
          <w:p>
            <w:pPr>
              <w:spacing w:after="0"/>
              <w:rPr>
                <w:sz w:val="20"/>
                <w:szCs w:val="20"/>
                <w:color w:val="auto"/>
              </w:rPr>
            </w:pPr>
          </w:p>
        </w:tc>
        <w:tc>
          <w:tcPr>
            <w:tcW w:w="380" w:type="dxa"/>
            <w:vAlign w:val="bottom"/>
          </w:tcPr>
          <w:p>
            <w:pPr>
              <w:spacing w:after="0"/>
              <w:rPr>
                <w:rFonts w:ascii="Arial" w:cs="Arial" w:eastAsia="Arial" w:hAnsi="Arial"/>
                <w:sz w:val="16"/>
                <w:szCs w:val="16"/>
                <w:color w:val="0000FF"/>
              </w:rPr>
            </w:pPr>
            <w:hyperlink r:id="rId265">
              <w:r>
                <w:rPr>
                  <w:rFonts w:ascii="Arial" w:cs="Arial" w:eastAsia="Arial" w:hAnsi="Arial"/>
                  <w:sz w:val="16"/>
                  <w:szCs w:val="16"/>
                  <w:color w:val="0000FF"/>
                </w:rPr>
                <w:t>2021</w:t>
              </w:r>
            </w:hyperlink>
          </w:p>
        </w:tc>
        <w:tc>
          <w:tcPr>
            <w:tcW w:w="3480" w:type="dxa"/>
            <w:vAlign w:val="bottom"/>
            <w:gridSpan w:val="20"/>
          </w:tcPr>
          <w:p>
            <w:pPr>
              <w:ind w:left="20"/>
              <w:spacing w:after="0"/>
              <w:rPr>
                <w:rFonts w:ascii="Arial" w:cs="Arial" w:eastAsia="Arial" w:hAnsi="Arial"/>
                <w:sz w:val="16"/>
                <w:szCs w:val="16"/>
                <w:color w:val="0000FF"/>
              </w:rPr>
            </w:pPr>
            <w:hyperlink r:id="rId265">
              <w:r>
                <w:rPr>
                  <w:rFonts w:ascii="Arial" w:cs="Arial" w:eastAsia="Arial" w:hAnsi="Arial"/>
                  <w:sz w:val="16"/>
                  <w:szCs w:val="16"/>
                  <w:color w:val="0000FF"/>
                </w:rPr>
                <w:t>Plan - Form of Option Agreement</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10.21</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76"/>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10.22</w:t>
            </w:r>
            <w:r>
              <w:rPr>
                <w:rFonts w:ascii="Arial" w:cs="Arial" w:eastAsia="Arial" w:hAnsi="Arial"/>
                <w:sz w:val="21"/>
                <w:szCs w:val="21"/>
                <w:color w:val="auto"/>
                <w:w w:val="96"/>
                <w:vertAlign w:val="superscript"/>
              </w:rPr>
              <w:t>†</w:t>
            </w:r>
          </w:p>
        </w:tc>
        <w:tc>
          <w:tcPr>
            <w:tcW w:w="3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jc w:val="center"/>
              <w:ind w:left="239"/>
              <w:spacing w:after="0" w:line="177"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36"/>
        </w:trPr>
        <w:tc>
          <w:tcPr>
            <w:tcW w:w="1100" w:type="dxa"/>
            <w:vAlign w:val="bottom"/>
            <w:vMerge w:val="continue"/>
          </w:tcPr>
          <w:p>
            <w:pPr>
              <w:spacing w:after="0"/>
              <w:rPr>
                <w:sz w:val="20"/>
                <w:szCs w:val="20"/>
                <w:color w:val="auto"/>
              </w:rPr>
            </w:pPr>
          </w:p>
        </w:tc>
        <w:tc>
          <w:tcPr>
            <w:tcW w:w="3860" w:type="dxa"/>
            <w:vAlign w:val="bottom"/>
            <w:gridSpan w:val="21"/>
          </w:tcPr>
          <w:p>
            <w:pPr>
              <w:spacing w:after="0"/>
              <w:rPr>
                <w:rFonts w:ascii="Arial" w:cs="Arial" w:eastAsia="Arial" w:hAnsi="Arial"/>
                <w:sz w:val="16"/>
                <w:szCs w:val="16"/>
                <w:color w:val="0000FF"/>
              </w:rPr>
            </w:pPr>
            <w:hyperlink r:id="rId266">
              <w:r>
                <w:rPr>
                  <w:rFonts w:ascii="Arial" w:cs="Arial" w:eastAsia="Arial" w:hAnsi="Arial"/>
                  <w:sz w:val="16"/>
                  <w:szCs w:val="16"/>
                  <w:color w:val="0000FF"/>
                </w:rPr>
                <w:t>Non-Employee Director Compensation Program</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10.22</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76"/>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10.23</w:t>
            </w:r>
            <w:r>
              <w:rPr>
                <w:rFonts w:ascii="Arial" w:cs="Arial" w:eastAsia="Arial" w:hAnsi="Arial"/>
                <w:sz w:val="21"/>
                <w:szCs w:val="21"/>
                <w:color w:val="auto"/>
                <w:w w:val="96"/>
                <w:vertAlign w:val="superscript"/>
              </w:rPr>
              <w:t>†</w:t>
            </w:r>
          </w:p>
        </w:tc>
        <w:tc>
          <w:tcPr>
            <w:tcW w:w="3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jc w:val="center"/>
              <w:ind w:left="239"/>
              <w:spacing w:after="0" w:line="177"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35"/>
        </w:trPr>
        <w:tc>
          <w:tcPr>
            <w:tcW w:w="1100" w:type="dxa"/>
            <w:vAlign w:val="bottom"/>
            <w:vMerge w:val="continue"/>
          </w:tcPr>
          <w:p>
            <w:pPr>
              <w:spacing w:after="0"/>
              <w:rPr>
                <w:sz w:val="20"/>
                <w:szCs w:val="20"/>
                <w:color w:val="auto"/>
              </w:rPr>
            </w:pPr>
          </w:p>
        </w:tc>
        <w:tc>
          <w:tcPr>
            <w:tcW w:w="3860" w:type="dxa"/>
            <w:vAlign w:val="bottom"/>
            <w:gridSpan w:val="21"/>
          </w:tcPr>
          <w:p>
            <w:pPr>
              <w:spacing w:after="0"/>
              <w:rPr>
                <w:rFonts w:ascii="Arial" w:cs="Arial" w:eastAsia="Arial" w:hAnsi="Arial"/>
                <w:sz w:val="16"/>
                <w:szCs w:val="16"/>
                <w:color w:val="0000FF"/>
              </w:rPr>
            </w:pPr>
            <w:hyperlink r:id="rId267">
              <w:r>
                <w:rPr>
                  <w:rFonts w:ascii="Arial" w:cs="Arial" w:eastAsia="Arial" w:hAnsi="Arial"/>
                  <w:sz w:val="16"/>
                  <w:szCs w:val="16"/>
                  <w:color w:val="0000FF"/>
                </w:rPr>
                <w:t>Form of Indemnification Agreement for Directors and</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10.23</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37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Officers</w:t>
              </w:r>
            </w:hyperlink>
          </w:p>
        </w:tc>
        <w:tc>
          <w:tcPr>
            <w:tcW w:w="100" w:type="dxa"/>
            <w:vAlign w:val="bottom"/>
            <w:gridSpan w:val="2"/>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jc w:val="center"/>
              <w:ind w:right="79"/>
              <w:spacing w:after="0"/>
              <w:rPr>
                <w:sz w:val="20"/>
                <w:szCs w:val="20"/>
                <w:color w:val="auto"/>
              </w:rPr>
            </w:pPr>
            <w:r>
              <w:rPr>
                <w:rFonts w:ascii="Arial" w:cs="Arial" w:eastAsia="Arial" w:hAnsi="Arial"/>
                <w:sz w:val="16"/>
                <w:szCs w:val="16"/>
                <w:color w:val="auto"/>
              </w:rPr>
              <w:t>21.1</w:t>
            </w:r>
          </w:p>
        </w:tc>
        <w:tc>
          <w:tcPr>
            <w:tcW w:w="3920" w:type="dxa"/>
            <w:vAlign w:val="bottom"/>
            <w:gridSpan w:val="13"/>
          </w:tcPr>
          <w:p>
            <w:pPr>
              <w:spacing w:after="0"/>
              <w:rPr>
                <w:rFonts w:ascii="Arial" w:cs="Arial" w:eastAsia="Arial" w:hAnsi="Arial"/>
                <w:sz w:val="16"/>
                <w:szCs w:val="16"/>
                <w:color w:val="0000FF"/>
              </w:rPr>
            </w:pPr>
            <w:hyperlink r:id="rId269">
              <w:r>
                <w:rPr>
                  <w:rFonts w:ascii="Arial" w:cs="Arial" w:eastAsia="Arial" w:hAnsi="Arial"/>
                  <w:sz w:val="16"/>
                  <w:szCs w:val="16"/>
                  <w:color w:val="0000FF"/>
                </w:rPr>
                <w:t>List of Subsidiaries of the Registrant.</w:t>
              </w:r>
            </w:hyperlink>
          </w:p>
        </w:tc>
        <w:tc>
          <w:tcPr>
            <w:tcW w:w="1440" w:type="dxa"/>
            <w:vAlign w:val="bottom"/>
          </w:tcPr>
          <w:p>
            <w:pPr>
              <w:ind w:left="640"/>
              <w:spacing w:after="0"/>
              <w:rPr>
                <w:sz w:val="20"/>
                <w:szCs w:val="20"/>
                <w:color w:val="auto"/>
              </w:rPr>
            </w:pPr>
            <w:r>
              <w:rPr>
                <w:rFonts w:ascii="Arial" w:cs="Arial" w:eastAsia="Arial" w:hAnsi="Arial"/>
                <w:sz w:val="16"/>
                <w:szCs w:val="16"/>
                <w:color w:val="auto"/>
              </w:rPr>
              <w:t>S-1/A</w:t>
            </w:r>
          </w:p>
        </w:tc>
        <w:tc>
          <w:tcPr>
            <w:tcW w:w="1640" w:type="dxa"/>
            <w:vAlign w:val="bottom"/>
          </w:tcPr>
          <w:p>
            <w:pPr>
              <w:jc w:val="right"/>
              <w:ind w:right="319"/>
              <w:spacing w:after="0"/>
              <w:rPr>
                <w:sz w:val="20"/>
                <w:szCs w:val="20"/>
                <w:color w:val="auto"/>
              </w:rPr>
            </w:pPr>
            <w:r>
              <w:rPr>
                <w:rFonts w:ascii="Arial" w:cs="Arial" w:eastAsia="Arial" w:hAnsi="Arial"/>
                <w:sz w:val="16"/>
                <w:szCs w:val="16"/>
                <w:color w:val="auto"/>
              </w:rPr>
              <w:t>333-260297</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21.1</w:t>
            </w:r>
          </w:p>
        </w:tc>
        <w:tc>
          <w:tcPr>
            <w:tcW w:w="1380" w:type="dxa"/>
            <w:vAlign w:val="bottom"/>
          </w:tcPr>
          <w:p>
            <w:pPr>
              <w:jc w:val="center"/>
              <w:ind w:left="27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vMerge w:val="restart"/>
          </w:tcPr>
          <w:p>
            <w:pPr>
              <w:jc w:val="right"/>
              <w:ind w:righ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line="20" w:lineRule="exact"/>
              <w:rPr>
                <w:sz w:val="1"/>
                <w:szCs w:val="1"/>
                <w:color w:val="auto"/>
              </w:rPr>
            </w:pPr>
          </w:p>
        </w:tc>
      </w:tr>
      <w:tr>
        <w:trPr>
          <w:trHeight w:val="177"/>
        </w:trPr>
        <w:tc>
          <w:tcPr>
            <w:tcW w:w="1560" w:type="dxa"/>
            <w:vAlign w:val="bottom"/>
            <w:vMerge w:val="restart"/>
          </w:tcPr>
          <w:p>
            <w:pPr>
              <w:jc w:val="center"/>
              <w:ind w:right="59"/>
              <w:spacing w:after="0"/>
              <w:rPr>
                <w:sz w:val="20"/>
                <w:szCs w:val="20"/>
                <w:color w:val="auto"/>
              </w:rPr>
            </w:pPr>
            <w:r>
              <w:rPr>
                <w:rFonts w:ascii="Arial" w:cs="Arial" w:eastAsia="Arial" w:hAnsi="Arial"/>
                <w:sz w:val="16"/>
                <w:szCs w:val="16"/>
                <w:color w:val="auto"/>
              </w:rPr>
              <w:t>23.1*</w:t>
            </w:r>
          </w:p>
        </w:tc>
        <w:tc>
          <w:tcPr>
            <w:tcW w:w="3700" w:type="dxa"/>
            <w:vAlign w:val="bottom"/>
            <w:gridSpan w:val="10"/>
            <w:vMerge w:val="restart"/>
          </w:tcPr>
          <w:p>
            <w:pPr>
              <w:spacing w:after="0"/>
              <w:rPr>
                <w:sz w:val="20"/>
                <w:szCs w:val="20"/>
                <w:color w:val="auto"/>
              </w:rPr>
            </w:pPr>
            <w:r>
              <w:rPr>
                <w:rFonts w:ascii="Arial" w:cs="Arial" w:eastAsia="Arial" w:hAnsi="Arial"/>
                <w:sz w:val="16"/>
                <w:szCs w:val="16"/>
                <w:color w:val="0000FF"/>
              </w:rPr>
              <w:t>Consent of Ernst &amp; Young LLP as to the Registrant.</w:t>
            </w:r>
          </w:p>
        </w:tc>
        <w:tc>
          <w:tcPr>
            <w:tcW w:w="220" w:type="dxa"/>
            <w:vAlign w:val="bottom"/>
            <w:gridSpan w:val="3"/>
            <w:vMerge w:val="restart"/>
          </w:tcPr>
          <w:p>
            <w:pPr>
              <w:spacing w:after="0"/>
              <w:rPr>
                <w:sz w:val="15"/>
                <w:szCs w:val="15"/>
                <w:color w:val="auto"/>
              </w:rPr>
            </w:pPr>
          </w:p>
        </w:tc>
        <w:tc>
          <w:tcPr>
            <w:tcW w:w="1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560" w:type="dxa"/>
            <w:vAlign w:val="bottom"/>
            <w:vMerge w:val="continue"/>
          </w:tcPr>
          <w:p>
            <w:pPr>
              <w:spacing w:after="0"/>
              <w:rPr>
                <w:sz w:val="20"/>
                <w:szCs w:val="20"/>
                <w:color w:val="auto"/>
              </w:rPr>
            </w:pPr>
          </w:p>
        </w:tc>
        <w:tc>
          <w:tcPr>
            <w:tcW w:w="3700" w:type="dxa"/>
            <w:vAlign w:val="bottom"/>
            <w:tcBorders>
              <w:bottom w:val="single" w:sz="8" w:color="0000FF"/>
            </w:tcBorders>
            <w:gridSpan w:val="10"/>
            <w:vMerge w:val="continue"/>
          </w:tcPr>
          <w:p>
            <w:pPr>
              <w:spacing w:after="0"/>
              <w:rPr>
                <w:sz w:val="20"/>
                <w:szCs w:val="20"/>
                <w:color w:val="auto"/>
              </w:rPr>
            </w:pPr>
          </w:p>
        </w:tc>
        <w:tc>
          <w:tcPr>
            <w:tcW w:w="220" w:type="dxa"/>
            <w:vAlign w:val="bottom"/>
            <w:gridSpan w:val="3"/>
            <w:vMerge w:val="continue"/>
          </w:tcPr>
          <w:p>
            <w:pPr>
              <w:spacing w:after="0"/>
              <w:rPr>
                <w:sz w:val="20"/>
                <w:szCs w:val="20"/>
                <w:color w:val="auto"/>
              </w:rPr>
            </w:pPr>
          </w:p>
        </w:tc>
        <w:tc>
          <w:tcPr>
            <w:tcW w:w="1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560" w:type="dxa"/>
            <w:vAlign w:val="bottom"/>
          </w:tcPr>
          <w:p>
            <w:pPr>
              <w:jc w:val="center"/>
              <w:ind w:right="59"/>
              <w:spacing w:after="0"/>
              <w:rPr>
                <w:sz w:val="20"/>
                <w:szCs w:val="20"/>
                <w:color w:val="auto"/>
              </w:rPr>
            </w:pPr>
            <w:r>
              <w:rPr>
                <w:rFonts w:ascii="Arial" w:cs="Arial" w:eastAsia="Arial" w:hAnsi="Arial"/>
                <w:sz w:val="16"/>
                <w:szCs w:val="16"/>
                <w:color w:val="auto"/>
              </w:rPr>
              <w:t>24.1*</w:t>
            </w:r>
          </w:p>
        </w:tc>
        <w:tc>
          <w:tcPr>
            <w:tcW w:w="34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Power of Attorney (included on signature page).</w:t>
            </w:r>
          </w:p>
        </w:tc>
        <w:tc>
          <w:tcPr>
            <w:tcW w:w="480" w:type="dxa"/>
            <w:vAlign w:val="bottom"/>
            <w:gridSpan w:val="6"/>
          </w:tcPr>
          <w:p>
            <w:pPr>
              <w:spacing w:after="0"/>
              <w:rPr>
                <w:sz w:val="21"/>
                <w:szCs w:val="21"/>
                <w:color w:val="auto"/>
              </w:rPr>
            </w:pPr>
          </w:p>
        </w:tc>
        <w:tc>
          <w:tcPr>
            <w:tcW w:w="1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60" w:type="dxa"/>
            <w:vAlign w:val="bottom"/>
          </w:tcPr>
          <w:p>
            <w:pPr>
              <w:jc w:val="center"/>
              <w:ind w:right="59"/>
              <w:spacing w:after="0"/>
              <w:rPr>
                <w:sz w:val="20"/>
                <w:szCs w:val="20"/>
                <w:color w:val="auto"/>
              </w:rPr>
            </w:pPr>
            <w:r>
              <w:rPr>
                <w:rFonts w:ascii="Arial" w:cs="Arial" w:eastAsia="Arial" w:hAnsi="Arial"/>
                <w:sz w:val="16"/>
                <w:szCs w:val="16"/>
                <w:color w:val="auto"/>
              </w:rPr>
              <w:t>31.1*</w:t>
            </w:r>
          </w:p>
        </w:tc>
        <w:tc>
          <w:tcPr>
            <w:tcW w:w="328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Certification of the Principal Executive Officer,</w:t>
            </w:r>
          </w:p>
        </w:tc>
        <w:tc>
          <w:tcPr>
            <w:tcW w:w="640" w:type="dxa"/>
            <w:vAlign w:val="bottom"/>
            <w:gridSpan w:val="7"/>
          </w:tcPr>
          <w:p>
            <w:pPr>
              <w:spacing w:after="0"/>
              <w:rPr>
                <w:sz w:val="21"/>
                <w:szCs w:val="21"/>
                <w:color w:val="auto"/>
              </w:rPr>
            </w:pPr>
          </w:p>
        </w:tc>
        <w:tc>
          <w:tcPr>
            <w:tcW w:w="1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920" w:type="dxa"/>
            <w:vAlign w:val="bottom"/>
            <w:gridSpan w:val="13"/>
          </w:tcPr>
          <w:p>
            <w:pPr>
              <w:spacing w:after="0" w:line="142" w:lineRule="exact"/>
              <w:rPr>
                <w:sz w:val="20"/>
                <w:szCs w:val="20"/>
                <w:color w:val="auto"/>
              </w:rPr>
            </w:pPr>
            <w:r>
              <w:rPr>
                <w:rFonts w:ascii="Arial" w:cs="Arial" w:eastAsia="Arial" w:hAnsi="Arial"/>
                <w:sz w:val="16"/>
                <w:szCs w:val="16"/>
                <w:color w:val="0000FF"/>
              </w:rPr>
              <w:t>pursuant to Rules 13a-14(a) and 15d-14(a) under the</w:t>
            </w: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82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Securities Exchange Act of 1934, as amended, as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58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adopted pursuant to Section 302 of the Sarbanes-</w:t>
            </w:r>
          </w:p>
        </w:tc>
        <w:tc>
          <w:tcPr>
            <w:tcW w:w="20" w:type="dxa"/>
            <w:vAlign w:val="bottom"/>
            <w:tcBorders>
              <w:bottom w:val="single" w:sz="8" w:color="0000FF"/>
            </w:tcBorders>
          </w:tcPr>
          <w:p>
            <w:pPr>
              <w:spacing w:after="0"/>
              <w:rPr>
                <w:sz w:val="12"/>
                <w:szCs w:val="12"/>
                <w:color w:val="auto"/>
              </w:rPr>
            </w:pPr>
          </w:p>
        </w:tc>
        <w:tc>
          <w:tcPr>
            <w:tcW w:w="24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600" w:type="dxa"/>
            <w:vAlign w:val="bottom"/>
            <w:gridSpan w:val="9"/>
          </w:tcPr>
          <w:p>
            <w:pPr>
              <w:spacing w:after="0" w:line="142" w:lineRule="exact"/>
              <w:rPr>
                <w:sz w:val="20"/>
                <w:szCs w:val="20"/>
                <w:color w:val="auto"/>
              </w:rPr>
            </w:pPr>
            <w:r>
              <w:rPr>
                <w:rFonts w:ascii="Arial" w:cs="Arial" w:eastAsia="Arial" w:hAnsi="Arial"/>
                <w:sz w:val="16"/>
                <w:szCs w:val="16"/>
                <w:color w:val="0000FF"/>
              </w:rPr>
              <w:t>Oxley Act of 2002.</w:t>
            </w:r>
          </w:p>
        </w:tc>
        <w:tc>
          <w:tcPr>
            <w:tcW w:w="24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60" w:type="dxa"/>
            <w:vAlign w:val="bottom"/>
          </w:tcPr>
          <w:p>
            <w:pPr>
              <w:jc w:val="center"/>
              <w:ind w:right="59"/>
              <w:spacing w:after="0"/>
              <w:rPr>
                <w:sz w:val="20"/>
                <w:szCs w:val="20"/>
                <w:color w:val="auto"/>
              </w:rPr>
            </w:pPr>
            <w:r>
              <w:rPr>
                <w:rFonts w:ascii="Arial" w:cs="Arial" w:eastAsia="Arial" w:hAnsi="Arial"/>
                <w:sz w:val="16"/>
                <w:szCs w:val="16"/>
                <w:color w:val="auto"/>
              </w:rPr>
              <w:t>31.2*</w:t>
            </w:r>
          </w:p>
        </w:tc>
        <w:tc>
          <w:tcPr>
            <w:tcW w:w="3920" w:type="dxa"/>
            <w:vAlign w:val="bottom"/>
            <w:gridSpan w:val="13"/>
          </w:tcPr>
          <w:p>
            <w:pPr>
              <w:spacing w:after="0"/>
              <w:rPr>
                <w:sz w:val="20"/>
                <w:szCs w:val="20"/>
                <w:color w:val="auto"/>
              </w:rPr>
            </w:pPr>
            <w:r>
              <w:rPr>
                <w:rFonts w:ascii="Arial" w:cs="Arial" w:eastAsia="Arial" w:hAnsi="Arial"/>
                <w:sz w:val="16"/>
                <w:szCs w:val="16"/>
                <w:color w:val="0000FF"/>
              </w:rPr>
              <w:t>Certification of the Principal Financial Officer,</w:t>
            </w:r>
          </w:p>
        </w:tc>
        <w:tc>
          <w:tcPr>
            <w:tcW w:w="1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22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pursuant to Rules 13a-14(a) and 15d-14(a)</w:t>
            </w:r>
          </w:p>
        </w:tc>
        <w:tc>
          <w:tcPr>
            <w:tcW w:w="700" w:type="dxa"/>
            <w:vAlign w:val="bottom"/>
            <w:gridSpan w:val="8"/>
          </w:tcPr>
          <w:p>
            <w:pPr>
              <w:spacing w:after="0" w:line="142" w:lineRule="exact"/>
              <w:rPr>
                <w:sz w:val="20"/>
                <w:szCs w:val="20"/>
                <w:color w:val="auto"/>
              </w:rPr>
            </w:pPr>
            <w:r>
              <w:rPr>
                <w:rFonts w:ascii="Arial" w:cs="Arial" w:eastAsia="Arial" w:hAnsi="Arial"/>
                <w:sz w:val="16"/>
                <w:szCs w:val="16"/>
                <w:color w:val="0000FF"/>
              </w:rPr>
              <w:t>under the</w:t>
            </w: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82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Securities Exchange Act of 1934, as amended, as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58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adopted pursuant to Section 302 of the Sarbanes-</w:t>
            </w:r>
          </w:p>
        </w:tc>
        <w:tc>
          <w:tcPr>
            <w:tcW w:w="26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60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Oxley Act of 2002.</w:t>
            </w:r>
          </w:p>
        </w:tc>
        <w:tc>
          <w:tcPr>
            <w:tcW w:w="24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60" w:type="dxa"/>
            <w:vAlign w:val="bottom"/>
          </w:tcPr>
          <w:p>
            <w:pPr>
              <w:jc w:val="center"/>
              <w:ind w:right="79"/>
              <w:spacing w:after="0"/>
              <w:rPr>
                <w:sz w:val="20"/>
                <w:szCs w:val="20"/>
                <w:color w:val="auto"/>
              </w:rPr>
            </w:pPr>
            <w:r>
              <w:rPr>
                <w:rFonts w:ascii="Arial" w:cs="Arial" w:eastAsia="Arial" w:hAnsi="Arial"/>
                <w:sz w:val="16"/>
                <w:szCs w:val="16"/>
                <w:color w:val="auto"/>
              </w:rPr>
              <w:t>32.1**</w:t>
            </w:r>
          </w:p>
        </w:tc>
        <w:tc>
          <w:tcPr>
            <w:tcW w:w="328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Certification of the Principal Executive Officer,</w:t>
            </w:r>
          </w:p>
        </w:tc>
        <w:tc>
          <w:tcPr>
            <w:tcW w:w="640" w:type="dxa"/>
            <w:vAlign w:val="bottom"/>
            <w:gridSpan w:val="7"/>
          </w:tcPr>
          <w:p>
            <w:pPr>
              <w:spacing w:after="0"/>
              <w:rPr>
                <w:sz w:val="21"/>
                <w:szCs w:val="21"/>
                <w:color w:val="auto"/>
              </w:rPr>
            </w:pPr>
          </w:p>
        </w:tc>
        <w:tc>
          <w:tcPr>
            <w:tcW w:w="1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920" w:type="dxa"/>
            <w:vAlign w:val="bottom"/>
            <w:gridSpan w:val="13"/>
          </w:tcPr>
          <w:p>
            <w:pPr>
              <w:spacing w:after="0" w:line="142" w:lineRule="exact"/>
              <w:rPr>
                <w:sz w:val="20"/>
                <w:szCs w:val="20"/>
                <w:color w:val="auto"/>
              </w:rPr>
            </w:pPr>
            <w:r>
              <w:rPr>
                <w:rFonts w:ascii="Arial" w:cs="Arial" w:eastAsia="Arial" w:hAnsi="Arial"/>
                <w:sz w:val="16"/>
                <w:szCs w:val="16"/>
                <w:color w:val="0000FF"/>
              </w:rPr>
              <w:t>pursuant to 18 U.S.C. Section 1350, as adopted</w:t>
            </w: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44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pursuant to Section 906 of the Sarbanes-Oxley</w:t>
            </w:r>
          </w:p>
        </w:tc>
        <w:tc>
          <w:tcPr>
            <w:tcW w:w="480" w:type="dxa"/>
            <w:vAlign w:val="bottom"/>
            <w:gridSpan w:val="6"/>
          </w:tcPr>
          <w:p>
            <w:pPr>
              <w:spacing w:after="0" w:line="142" w:lineRule="exact"/>
              <w:rPr>
                <w:sz w:val="20"/>
                <w:szCs w:val="20"/>
                <w:color w:val="auto"/>
              </w:rPr>
            </w:pPr>
            <w:r>
              <w:rPr>
                <w:rFonts w:ascii="Arial" w:cs="Arial" w:eastAsia="Arial" w:hAnsi="Arial"/>
                <w:sz w:val="16"/>
                <w:szCs w:val="16"/>
                <w:color w:val="0000FF"/>
              </w:rPr>
              <w:t>Act of</w:t>
            </w: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44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2002.</w:t>
            </w:r>
          </w:p>
        </w:tc>
        <w:tc>
          <w:tcPr>
            <w:tcW w:w="880" w:type="dxa"/>
            <w:vAlign w:val="bottom"/>
            <w:tcBorders>
              <w:top w:val="single" w:sz="8" w:color="0000FF"/>
            </w:tcBorders>
          </w:tcPr>
          <w:p>
            <w:pPr>
              <w:spacing w:after="0"/>
              <w:rPr>
                <w:sz w:val="12"/>
                <w:szCs w:val="12"/>
                <w:color w:val="auto"/>
              </w:rPr>
            </w:pPr>
          </w:p>
        </w:tc>
        <w:tc>
          <w:tcPr>
            <w:tcW w:w="13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560" w:type="dxa"/>
            <w:vAlign w:val="bottom"/>
          </w:tcPr>
          <w:p>
            <w:pPr>
              <w:jc w:val="center"/>
              <w:ind w:right="79"/>
              <w:spacing w:after="0"/>
              <w:rPr>
                <w:sz w:val="20"/>
                <w:szCs w:val="20"/>
                <w:color w:val="auto"/>
              </w:rPr>
            </w:pPr>
            <w:r>
              <w:rPr>
                <w:rFonts w:ascii="Arial" w:cs="Arial" w:eastAsia="Arial" w:hAnsi="Arial"/>
                <w:sz w:val="16"/>
                <w:szCs w:val="16"/>
                <w:color w:val="auto"/>
              </w:rPr>
              <w:t>32.2**</w:t>
            </w:r>
          </w:p>
        </w:tc>
        <w:tc>
          <w:tcPr>
            <w:tcW w:w="3920" w:type="dxa"/>
            <w:vAlign w:val="bottom"/>
            <w:gridSpan w:val="13"/>
          </w:tcPr>
          <w:p>
            <w:pPr>
              <w:spacing w:after="0"/>
              <w:rPr>
                <w:sz w:val="20"/>
                <w:szCs w:val="20"/>
                <w:color w:val="auto"/>
              </w:rPr>
            </w:pPr>
            <w:r>
              <w:rPr>
                <w:rFonts w:ascii="Arial" w:cs="Arial" w:eastAsia="Arial" w:hAnsi="Arial"/>
                <w:sz w:val="16"/>
                <w:szCs w:val="16"/>
                <w:color w:val="0000FF"/>
              </w:rPr>
              <w:t>Certification of the Principal Financial Officer,</w:t>
            </w:r>
          </w:p>
        </w:tc>
        <w:tc>
          <w:tcPr>
            <w:tcW w:w="1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60" w:type="dxa"/>
            <w:vAlign w:val="bottom"/>
          </w:tcPr>
          <w:p>
            <w:pPr>
              <w:spacing w:after="0"/>
              <w:rPr>
                <w:sz w:val="12"/>
                <w:szCs w:val="12"/>
                <w:color w:val="auto"/>
              </w:rPr>
            </w:pPr>
          </w:p>
        </w:tc>
        <w:tc>
          <w:tcPr>
            <w:tcW w:w="3920" w:type="dxa"/>
            <w:vAlign w:val="bottom"/>
            <w:gridSpan w:val="13"/>
          </w:tcPr>
          <w:p>
            <w:pPr>
              <w:spacing w:after="0" w:line="142" w:lineRule="exact"/>
              <w:rPr>
                <w:sz w:val="20"/>
                <w:szCs w:val="20"/>
                <w:color w:val="auto"/>
              </w:rPr>
            </w:pPr>
            <w:r>
              <w:rPr>
                <w:rFonts w:ascii="Arial" w:cs="Arial" w:eastAsia="Arial" w:hAnsi="Arial"/>
                <w:sz w:val="16"/>
                <w:szCs w:val="16"/>
                <w:color w:val="0000FF"/>
              </w:rPr>
              <w:t>pursuant to 18 U.S.C. Section 1350, as adopted</w:t>
            </w: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44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pursuant to Section 906 of the Sarbanes-Oxley</w:t>
            </w:r>
          </w:p>
        </w:tc>
        <w:tc>
          <w:tcPr>
            <w:tcW w:w="480" w:type="dxa"/>
            <w:vAlign w:val="bottom"/>
            <w:gridSpan w:val="6"/>
          </w:tcPr>
          <w:p>
            <w:pPr>
              <w:spacing w:after="0" w:line="142" w:lineRule="exact"/>
              <w:rPr>
                <w:sz w:val="20"/>
                <w:szCs w:val="20"/>
                <w:color w:val="auto"/>
              </w:rPr>
            </w:pPr>
            <w:r>
              <w:rPr>
                <w:rFonts w:ascii="Arial" w:cs="Arial" w:eastAsia="Arial" w:hAnsi="Arial"/>
                <w:sz w:val="16"/>
                <w:szCs w:val="16"/>
                <w:color w:val="0000FF"/>
              </w:rPr>
              <w:t>Act of</w:t>
            </w: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9"/>
              </w:rPr>
              <w:t>2002.</w:t>
            </w:r>
          </w:p>
        </w:tc>
        <w:tc>
          <w:tcPr>
            <w:tcW w:w="2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13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1560" w:type="dxa"/>
            <w:vAlign w:val="bottom"/>
          </w:tcPr>
          <w:p>
            <w:pPr>
              <w:jc w:val="center"/>
              <w:ind w:right="79"/>
              <w:spacing w:after="0"/>
              <w:rPr>
                <w:sz w:val="20"/>
                <w:szCs w:val="20"/>
                <w:color w:val="auto"/>
              </w:rPr>
            </w:pPr>
            <w:r>
              <w:rPr>
                <w:rFonts w:ascii="Arial" w:cs="Arial" w:eastAsia="Arial" w:hAnsi="Arial"/>
                <w:sz w:val="16"/>
                <w:szCs w:val="16"/>
                <w:color w:val="auto"/>
                <w:w w:val="99"/>
              </w:rPr>
              <w:t>101.INS*</w:t>
            </w:r>
          </w:p>
        </w:tc>
        <w:tc>
          <w:tcPr>
            <w:tcW w:w="3920" w:type="dxa"/>
            <w:vAlign w:val="bottom"/>
            <w:gridSpan w:val="13"/>
          </w:tcPr>
          <w:p>
            <w:pPr>
              <w:spacing w:after="0"/>
              <w:rPr>
                <w:sz w:val="20"/>
                <w:szCs w:val="20"/>
                <w:color w:val="auto"/>
              </w:rPr>
            </w:pPr>
            <w:r>
              <w:rPr>
                <w:rFonts w:ascii="Arial" w:cs="Arial" w:eastAsia="Arial" w:hAnsi="Arial"/>
                <w:sz w:val="16"/>
                <w:szCs w:val="16"/>
                <w:color w:val="auto"/>
              </w:rPr>
              <w:t>Inline XBRL Instance Document.</w:t>
            </w: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60" w:type="dxa"/>
            <w:vAlign w:val="bottom"/>
          </w:tcPr>
          <w:p>
            <w:pPr>
              <w:jc w:val="center"/>
              <w:ind w:right="79"/>
              <w:spacing w:after="0"/>
              <w:rPr>
                <w:sz w:val="20"/>
                <w:szCs w:val="20"/>
                <w:color w:val="auto"/>
              </w:rPr>
            </w:pPr>
            <w:r>
              <w:rPr>
                <w:rFonts w:ascii="Arial" w:cs="Arial" w:eastAsia="Arial" w:hAnsi="Arial"/>
                <w:sz w:val="16"/>
                <w:szCs w:val="16"/>
                <w:color w:val="auto"/>
              </w:rPr>
              <w:t>101.SCH*</w:t>
            </w:r>
          </w:p>
        </w:tc>
        <w:tc>
          <w:tcPr>
            <w:tcW w:w="3920" w:type="dxa"/>
            <w:vAlign w:val="bottom"/>
            <w:gridSpan w:val="13"/>
          </w:tcPr>
          <w:p>
            <w:pPr>
              <w:spacing w:after="0"/>
              <w:rPr>
                <w:sz w:val="20"/>
                <w:szCs w:val="20"/>
                <w:color w:val="auto"/>
              </w:rPr>
            </w:pPr>
            <w:r>
              <w:rPr>
                <w:rFonts w:ascii="Arial" w:cs="Arial" w:eastAsia="Arial" w:hAnsi="Arial"/>
                <w:sz w:val="16"/>
                <w:szCs w:val="16"/>
                <w:color w:val="auto"/>
              </w:rPr>
              <w:t>Inline XBRL Taxonomy Extension Schema Document.</w:t>
            </w:r>
          </w:p>
        </w:tc>
        <w:tc>
          <w:tcPr>
            <w:tcW w:w="1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560" w:type="dxa"/>
            <w:vAlign w:val="bottom"/>
          </w:tcPr>
          <w:p>
            <w:pPr>
              <w:jc w:val="center"/>
              <w:ind w:right="79"/>
              <w:spacing w:after="0"/>
              <w:rPr>
                <w:sz w:val="20"/>
                <w:szCs w:val="20"/>
                <w:color w:val="auto"/>
              </w:rPr>
            </w:pPr>
            <w:r>
              <w:rPr>
                <w:rFonts w:ascii="Arial" w:cs="Arial" w:eastAsia="Arial" w:hAnsi="Arial"/>
                <w:sz w:val="16"/>
                <w:szCs w:val="16"/>
                <w:color w:val="auto"/>
                <w:w w:val="99"/>
              </w:rPr>
              <w:t>101.CAL*</w:t>
            </w:r>
          </w:p>
        </w:tc>
        <w:tc>
          <w:tcPr>
            <w:tcW w:w="3920" w:type="dxa"/>
            <w:vAlign w:val="bottom"/>
            <w:gridSpan w:val="13"/>
          </w:tcPr>
          <w:p>
            <w:pPr>
              <w:spacing w:after="0"/>
              <w:rPr>
                <w:sz w:val="20"/>
                <w:szCs w:val="20"/>
                <w:color w:val="auto"/>
              </w:rPr>
            </w:pPr>
            <w:r>
              <w:rPr>
                <w:rFonts w:ascii="Arial" w:cs="Arial" w:eastAsia="Arial" w:hAnsi="Arial"/>
                <w:sz w:val="16"/>
                <w:szCs w:val="16"/>
                <w:color w:val="auto"/>
              </w:rPr>
              <w:t>Inline XBRL Taxonomy Extension Calculation</w:t>
            </w:r>
          </w:p>
        </w:tc>
        <w:tc>
          <w:tcPr>
            <w:tcW w:w="1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Linkbase Document.</w:t>
            </w:r>
          </w:p>
        </w:tc>
        <w:tc>
          <w:tcPr>
            <w:tcW w:w="1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60" w:type="dxa"/>
            <w:vAlign w:val="bottom"/>
          </w:tcPr>
          <w:p>
            <w:pPr>
              <w:jc w:val="center"/>
              <w:ind w:right="59"/>
              <w:spacing w:after="0"/>
              <w:rPr>
                <w:sz w:val="20"/>
                <w:szCs w:val="20"/>
                <w:color w:val="auto"/>
              </w:rPr>
            </w:pPr>
            <w:r>
              <w:rPr>
                <w:rFonts w:ascii="Arial" w:cs="Arial" w:eastAsia="Arial" w:hAnsi="Arial"/>
                <w:sz w:val="16"/>
                <w:szCs w:val="16"/>
                <w:color w:val="auto"/>
              </w:rPr>
              <w:t>101.DEF*</w:t>
            </w:r>
          </w:p>
        </w:tc>
        <w:tc>
          <w:tcPr>
            <w:tcW w:w="3920" w:type="dxa"/>
            <w:vAlign w:val="bottom"/>
            <w:gridSpan w:val="13"/>
          </w:tcPr>
          <w:p>
            <w:pPr>
              <w:spacing w:after="0"/>
              <w:rPr>
                <w:sz w:val="20"/>
                <w:szCs w:val="20"/>
                <w:color w:val="auto"/>
              </w:rPr>
            </w:pPr>
            <w:r>
              <w:rPr>
                <w:rFonts w:ascii="Arial" w:cs="Arial" w:eastAsia="Arial" w:hAnsi="Arial"/>
                <w:sz w:val="16"/>
                <w:szCs w:val="16"/>
                <w:color w:val="auto"/>
              </w:rPr>
              <w:t>Inline XBRL Taxonomy Extension Definition Linkbase</w:t>
            </w:r>
          </w:p>
        </w:tc>
        <w:tc>
          <w:tcPr>
            <w:tcW w:w="1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Document.</w:t>
            </w:r>
          </w:p>
        </w:tc>
        <w:tc>
          <w:tcPr>
            <w:tcW w:w="1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60" w:type="dxa"/>
            <w:vAlign w:val="bottom"/>
          </w:tcPr>
          <w:p>
            <w:pPr>
              <w:jc w:val="center"/>
              <w:ind w:right="79"/>
              <w:spacing w:after="0"/>
              <w:rPr>
                <w:sz w:val="20"/>
                <w:szCs w:val="20"/>
                <w:color w:val="auto"/>
              </w:rPr>
            </w:pPr>
            <w:r>
              <w:rPr>
                <w:rFonts w:ascii="Arial" w:cs="Arial" w:eastAsia="Arial" w:hAnsi="Arial"/>
                <w:sz w:val="16"/>
                <w:szCs w:val="16"/>
                <w:color w:val="auto"/>
              </w:rPr>
              <w:t>101.PRE*</w:t>
            </w:r>
          </w:p>
        </w:tc>
        <w:tc>
          <w:tcPr>
            <w:tcW w:w="3920" w:type="dxa"/>
            <w:vAlign w:val="bottom"/>
            <w:gridSpan w:val="13"/>
          </w:tcPr>
          <w:p>
            <w:pPr>
              <w:spacing w:after="0"/>
              <w:rPr>
                <w:sz w:val="20"/>
                <w:szCs w:val="20"/>
                <w:color w:val="auto"/>
              </w:rPr>
            </w:pPr>
            <w:r>
              <w:rPr>
                <w:rFonts w:ascii="Arial" w:cs="Arial" w:eastAsia="Arial" w:hAnsi="Arial"/>
                <w:sz w:val="16"/>
                <w:szCs w:val="16"/>
                <w:color w:val="auto"/>
              </w:rPr>
              <w:t>Inline XBRL Taxonomy Extension Presentation</w:t>
            </w:r>
          </w:p>
        </w:tc>
        <w:tc>
          <w:tcPr>
            <w:tcW w:w="1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Linkable Document.</w:t>
            </w:r>
          </w:p>
        </w:tc>
        <w:tc>
          <w:tcPr>
            <w:tcW w:w="1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60" w:type="dxa"/>
            <w:vAlign w:val="bottom"/>
          </w:tcPr>
          <w:p>
            <w:pPr>
              <w:jc w:val="center"/>
              <w:ind w:right="79"/>
              <w:spacing w:after="0"/>
              <w:rPr>
                <w:sz w:val="20"/>
                <w:szCs w:val="20"/>
                <w:color w:val="auto"/>
              </w:rPr>
            </w:pPr>
            <w:r>
              <w:rPr>
                <w:rFonts w:ascii="Arial" w:cs="Arial" w:eastAsia="Arial" w:hAnsi="Arial"/>
                <w:sz w:val="16"/>
                <w:szCs w:val="16"/>
                <w:color w:val="auto"/>
                <w:w w:val="97"/>
              </w:rPr>
              <w:t>104*</w:t>
            </w:r>
          </w:p>
        </w:tc>
        <w:tc>
          <w:tcPr>
            <w:tcW w:w="3920" w:type="dxa"/>
            <w:vAlign w:val="bottom"/>
            <w:gridSpan w:val="13"/>
          </w:tcPr>
          <w:p>
            <w:pPr>
              <w:spacing w:after="0"/>
              <w:rPr>
                <w:sz w:val="20"/>
                <w:szCs w:val="20"/>
                <w:color w:val="auto"/>
              </w:rPr>
            </w:pPr>
            <w:r>
              <w:rPr>
                <w:rFonts w:ascii="Arial" w:cs="Arial" w:eastAsia="Arial" w:hAnsi="Arial"/>
                <w:sz w:val="16"/>
                <w:szCs w:val="16"/>
                <w:color w:val="auto"/>
              </w:rPr>
              <w:t>Cover Page Interactive Data File (embedded within</w:t>
            </w:r>
          </w:p>
        </w:tc>
        <w:tc>
          <w:tcPr>
            <w:tcW w:w="1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the Inline XBRL document).</w:t>
            </w:r>
          </w:p>
        </w:tc>
        <w:tc>
          <w:tcPr>
            <w:tcW w:w="1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15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00" w:hanging="374"/>
        <w:spacing w:after="0"/>
        <w:tabs>
          <w:tab w:leader="none" w:pos="4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53" w:lineRule="exact"/>
        <w:rPr>
          <w:sz w:val="20"/>
          <w:szCs w:val="20"/>
          <w:color w:val="auto"/>
        </w:rPr>
      </w:pPr>
    </w:p>
    <w:p>
      <w:pPr>
        <w:ind w:left="400" w:hanging="374"/>
        <w:spacing w:after="0"/>
        <w:tabs>
          <w:tab w:leader="none" w:pos="4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202" w:lineRule="exact"/>
        <w:rPr>
          <w:sz w:val="20"/>
          <w:szCs w:val="20"/>
          <w:color w:val="auto"/>
        </w:rPr>
      </w:pPr>
    </w:p>
    <w:p>
      <w:pPr>
        <w:ind w:left="400" w:hanging="374"/>
        <w:spacing w:after="0" w:line="231" w:lineRule="auto"/>
        <w:tabs>
          <w:tab w:leader="none" w:pos="4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Furnished herewith. The certifications attached as Exhibits 32.1 and 32.2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pacing w:after="0" w:line="348" w:lineRule="exact"/>
        <w:rPr>
          <w:sz w:val="20"/>
          <w:szCs w:val="20"/>
          <w:color w:val="auto"/>
        </w:rPr>
      </w:pPr>
    </w:p>
    <w:p>
      <w:pPr>
        <w:spacing w:after="0"/>
        <w:rPr>
          <w:sz w:val="20"/>
          <w:szCs w:val="20"/>
          <w:color w:val="auto"/>
        </w:rPr>
      </w:pPr>
      <w:r>
        <w:rPr>
          <w:rFonts w:ascii="Arial" w:cs="Arial" w:eastAsia="Arial" w:hAnsi="Arial"/>
          <w:sz w:val="29"/>
          <w:szCs w:val="29"/>
          <w:color w:val="auto"/>
        </w:rPr>
        <w:t>Item 16. Form 10-K Summary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Signatures</w:t>
      </w:r>
    </w:p>
    <w:p>
      <w:pPr>
        <w:spacing w:after="0" w:line="15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EXPENSIFY, INC.</w:t>
      </w:r>
    </w:p>
    <w:p>
      <w:pPr>
        <w:spacing w:after="0" w:line="30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6350</wp:posOffset>
            </wp:positionV>
            <wp:extent cx="30346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1">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David Barrett</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8, 2023</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auto"/>
        </w:rPr>
        <w:t>Power of Attorney</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KNOWN BY ALL PERSONS BY THESE PRESENTS, that each person whose signature appears below constitutes and appoints David Barrett and Ryan Schaffer,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attorneys-in-factor,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1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945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0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1945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David Barrett</w:t>
      </w:r>
    </w:p>
    <w:p>
      <w:pPr>
        <w:spacing w:after="0" w:line="25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1945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Ryan Schaffer</w:t>
      </w:r>
    </w:p>
    <w:p>
      <w:pPr>
        <w:spacing w:after="0" w:line="239"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Anuradha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1945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Anuradha Muralidharan</w:t>
      </w:r>
    </w:p>
    <w:p>
      <w:pPr>
        <w:spacing w:after="0" w:line="17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1945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Daniel Vidal</w:t>
      </w:r>
    </w:p>
    <w:p>
      <w:pPr>
        <w:spacing w:after="0" w:line="19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1945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Jason Mills</w:t>
      </w:r>
    </w:p>
    <w:p>
      <w:pPr>
        <w:spacing w:after="0" w:line="2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Tim Christen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1945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Tim Christen</w:t>
      </w:r>
    </w:p>
    <w:p>
      <w:pPr>
        <w:spacing w:after="0" w:line="2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Ellen Pao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1945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Ellen Pao</w:t>
      </w:r>
    </w:p>
    <w:p>
      <w:pPr>
        <w:spacing w:after="0" w:line="2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Ying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1945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Ying (Vivian) Liu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26035</wp:posOffset>
            </wp:positionV>
            <wp:extent cx="32232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9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Chief Executive Officer and Director (Principal Executive</w:t>
      </w:r>
    </w:p>
    <w:p>
      <w:pPr>
        <w:jc w:val="center"/>
        <w:ind w:right="220"/>
        <w:spacing w:after="0"/>
        <w:rPr>
          <w:sz w:val="20"/>
          <w:szCs w:val="20"/>
          <w:color w:val="auto"/>
        </w:rPr>
      </w:pPr>
      <w:r>
        <w:rPr>
          <w:rFonts w:ascii="Arial" w:cs="Arial" w:eastAsia="Arial" w:hAnsi="Arial"/>
          <w:sz w:val="18"/>
          <w:szCs w:val="18"/>
          <w:color w:val="auto"/>
        </w:rPr>
        <w:t>Officer)</w:t>
      </w:r>
    </w:p>
    <w:p>
      <w:pPr>
        <w:spacing w:after="0" w:line="28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Chief Financial Officer and Director (Principal Financial and</w:t>
      </w:r>
    </w:p>
    <w:p>
      <w:pPr>
        <w:jc w:val="center"/>
        <w:ind w:right="2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1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26035</wp:posOffset>
            </wp:positionV>
            <wp:extent cx="15944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ectPr>
          <w:pgSz w:w="11900" w:h="16838" w:orient="portrait"/>
          <w:cols w:equalWidth="0" w:num="3">
            <w:col w:w="3020" w:space="720"/>
            <w:col w:w="4940" w:space="720"/>
            <w:col w:w="1160"/>
          </w:cols>
          <w:pgMar w:left="320" w:top="118" w:right="10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 OF</w:t>
      </w:r>
    </w:p>
    <w:p>
      <w:pPr>
        <w:spacing w:after="0" w:line="260"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EXPENSIFY, INC.</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Expensify, Inc., a corporation organized and existing under the General Corporation Law of the State of Delaware (the “</w:t>
      </w:r>
      <w:r>
        <w:rPr>
          <w:rFonts w:ascii="Arial" w:cs="Arial" w:eastAsia="Arial" w:hAnsi="Arial"/>
          <w:sz w:val="19"/>
          <w:szCs w:val="19"/>
          <w:u w:val="single" w:color="auto"/>
          <w:color w:val="auto"/>
        </w:rPr>
        <w:t>DGCL</w:t>
      </w:r>
      <w:r>
        <w:rPr>
          <w:rFonts w:ascii="Arial" w:cs="Arial" w:eastAsia="Arial" w:hAnsi="Arial"/>
          <w:sz w:val="19"/>
          <w:szCs w:val="19"/>
          <w:color w:val="auto"/>
        </w:rPr>
        <w: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hereby certifies as follows:</w:t>
      </w:r>
    </w:p>
    <w:p>
      <w:pPr>
        <w:spacing w:after="0" w:line="202" w:lineRule="exact"/>
        <w:rPr>
          <w:sz w:val="20"/>
          <w:szCs w:val="20"/>
          <w:color w:val="auto"/>
        </w:rPr>
      </w:pPr>
    </w:p>
    <w:p>
      <w:pPr>
        <w:jc w:val="center"/>
        <w:ind w:left="2900" w:right="400" w:hanging="2499"/>
        <w:spacing w:after="0" w:line="274" w:lineRule="auto"/>
        <w:tabs>
          <w:tab w:leader="none" w:pos="619" w:val="left"/>
        </w:tabs>
        <w:numPr>
          <w:ilvl w:val="1"/>
          <w:numId w:val="55"/>
        </w:numPr>
        <w:rPr>
          <w:rFonts w:ascii="Arial" w:cs="Arial" w:eastAsia="Arial" w:hAnsi="Arial"/>
          <w:sz w:val="21"/>
          <w:szCs w:val="21"/>
          <w:color w:val="auto"/>
        </w:rPr>
      </w:pPr>
      <w:r>
        <w:rPr>
          <w:rFonts w:ascii="Arial" w:cs="Arial" w:eastAsia="Arial" w:hAnsi="Arial"/>
          <w:sz w:val="21"/>
          <w:szCs w:val="21"/>
          <w:color w:val="auto"/>
        </w:rPr>
        <w:t>The name of the corporation is Expensify, Inc. The date of the filing of its original certificate of incorporation with the Secretary of State of the State of Delaware was April 29, 2009.</w:t>
      </w:r>
    </w:p>
    <w:p>
      <w:pPr>
        <w:spacing w:after="0" w:line="150" w:lineRule="exact"/>
        <w:rPr>
          <w:rFonts w:ascii="Arial" w:cs="Arial" w:eastAsia="Arial" w:hAnsi="Arial"/>
          <w:sz w:val="21"/>
          <w:szCs w:val="21"/>
          <w:color w:val="auto"/>
        </w:rPr>
      </w:pPr>
    </w:p>
    <w:p>
      <w:pPr>
        <w:ind w:left="100" w:right="100" w:firstLine="90"/>
        <w:spacing w:after="0" w:line="297" w:lineRule="auto"/>
        <w:tabs>
          <w:tab w:leader="none" w:pos="403"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This Amended and Restated Certificate of Incorporation (this “</w:t>
      </w:r>
      <w:r>
        <w:rPr>
          <w:rFonts w:ascii="Arial" w:cs="Arial" w:eastAsia="Arial" w:hAnsi="Arial"/>
          <w:sz w:val="19"/>
          <w:szCs w:val="19"/>
          <w:u w:val="single" w:color="auto"/>
          <w:color w:val="auto"/>
        </w:rPr>
        <w:t>Certificate of Incorporation</w:t>
      </w:r>
      <w:r>
        <w:rPr>
          <w:rFonts w:ascii="Arial" w:cs="Arial" w:eastAsia="Arial" w:hAnsi="Arial"/>
          <w:sz w:val="19"/>
          <w:szCs w:val="19"/>
          <w:color w:val="auto"/>
        </w:rPr>
        <w:t>”), which restates, integrates and further amends the certificate of incorporation of this corporation as heretofore amended and restated, has been duly adopted by the corporation in accordance with Sections 242 and 245 of the DGCL and has been adopted by the requisite vote of the stockholders of the corporation, acting by written consent in lieu of a meeting in accordance with Section 228 of the DGCL.</w:t>
      </w:r>
    </w:p>
    <w:p>
      <w:pPr>
        <w:spacing w:after="0" w:line="133" w:lineRule="exact"/>
        <w:rPr>
          <w:rFonts w:ascii="Arial" w:cs="Arial" w:eastAsia="Arial" w:hAnsi="Arial"/>
          <w:sz w:val="19"/>
          <w:szCs w:val="19"/>
          <w:color w:val="auto"/>
        </w:rPr>
      </w:pPr>
    </w:p>
    <w:p>
      <w:pPr>
        <w:ind w:left="760" w:hanging="222"/>
        <w:spacing w:after="0"/>
        <w:tabs>
          <w:tab w:leader="none" w:pos="760" w:val="left"/>
        </w:tabs>
        <w:numPr>
          <w:ilvl w:val="2"/>
          <w:numId w:val="56"/>
        </w:numPr>
        <w:rPr>
          <w:rFonts w:ascii="Arial" w:cs="Arial" w:eastAsia="Arial" w:hAnsi="Arial"/>
          <w:sz w:val="19"/>
          <w:szCs w:val="19"/>
          <w:color w:val="auto"/>
        </w:rPr>
      </w:pPr>
      <w:r>
        <w:rPr>
          <w:rFonts w:ascii="Arial" w:cs="Arial" w:eastAsia="Arial" w:hAnsi="Arial"/>
          <w:sz w:val="19"/>
          <w:szCs w:val="19"/>
          <w:color w:val="auto"/>
        </w:rPr>
        <w:t>The certificate of incorporation of this corporation is hereby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217805</wp:posOffset>
            </wp:positionV>
            <wp:extent cx="22802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b w:val="1"/>
          <w:bCs w:val="1"/>
          <w:u w:val="single" w:color="auto"/>
          <w:color w:val="auto"/>
        </w:rPr>
        <w:t>NAME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“Expensify, Inc.” (hereinafter called the “</w:t>
      </w:r>
      <w:r>
        <w:rPr>
          <w:rFonts w:ascii="Arial" w:cs="Arial" w:eastAsia="Arial" w:hAnsi="Arial"/>
          <w:sz w:val="22"/>
          <w:szCs w:val="22"/>
          <w:u w:val="single" w:color="auto"/>
          <w:color w:val="auto"/>
        </w:rPr>
        <w:t>Corporation</w:t>
      </w:r>
      <w:r>
        <w:rPr>
          <w:rFonts w:ascii="Arial" w:cs="Arial" w:eastAsia="Arial" w:hAnsi="Arial"/>
          <w:sz w:val="22"/>
          <w:szCs w:val="22"/>
          <w:color w:val="auto"/>
        </w:rPr>
        <w:t>”).</w:t>
      </w:r>
    </w:p>
    <w:p>
      <w:pPr>
        <w:spacing w:after="0" w:line="200"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II</w:t>
      </w:r>
    </w:p>
    <w:p>
      <w:pPr>
        <w:spacing w:after="0" w:line="220" w:lineRule="exact"/>
        <w:rPr>
          <w:sz w:val="20"/>
          <w:szCs w:val="20"/>
          <w:color w:val="auto"/>
        </w:rPr>
      </w:pPr>
    </w:p>
    <w:p>
      <w:pPr>
        <w:ind w:left="3800"/>
        <w:spacing w:after="0"/>
        <w:rPr>
          <w:sz w:val="20"/>
          <w:szCs w:val="20"/>
          <w:color w:val="auto"/>
        </w:rPr>
      </w:pPr>
      <w:r>
        <w:rPr>
          <w:rFonts w:ascii="Arial" w:cs="Arial" w:eastAsia="Arial" w:hAnsi="Arial"/>
          <w:sz w:val="22"/>
          <w:szCs w:val="22"/>
          <w:b w:val="1"/>
          <w:bCs w:val="1"/>
          <w:u w:val="single" w:color="auto"/>
          <w:color w:val="auto"/>
        </w:rPr>
        <w:t>REGISTERED OFFICE AND AGENT</w:t>
      </w:r>
    </w:p>
    <w:p>
      <w:pPr>
        <w:spacing w:after="0" w:line="212"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The address of the Corporation’s registered office in the State of Delaware is 3500 South DuPont Highway, Dover, Delaware, County of Kent, 19901. The name of its registered agent at such address is Incorporating Services, Ltd.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PURPOSE</w:t>
      </w:r>
    </w:p>
    <w:p>
      <w:pPr>
        <w:spacing w:after="0" w:line="21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141" w:name="page142"/>
    <w:bookmarkEnd w:id="141"/>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CAPITAL STOCK</w:t>
      </w:r>
    </w:p>
    <w:p>
      <w:pPr>
        <w:spacing w:after="0" w:line="21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Authorized Shares</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The total number of shares of all classes of capital stock which the Corporation shall have authority to issue is 1,060,000,000 shares, consisting of one billion (1,000,000,000) shares of Class A Common Stock, par value $0.0001 per share (“</w:t>
      </w:r>
      <w:r>
        <w:rPr>
          <w:rFonts w:ascii="Arial" w:cs="Arial" w:eastAsia="Arial" w:hAnsi="Arial"/>
          <w:sz w:val="19"/>
          <w:szCs w:val="19"/>
          <w:u w:val="single" w:color="auto"/>
          <w:color w:val="auto"/>
        </w:rPr>
        <w:t>Class A Common Stock</w:t>
      </w:r>
      <w:r>
        <w:rPr>
          <w:rFonts w:ascii="Arial" w:cs="Arial" w:eastAsia="Arial" w:hAnsi="Arial"/>
          <w:sz w:val="19"/>
          <w:szCs w:val="19"/>
          <w:color w:val="auto"/>
        </w:rPr>
        <w:t>”), 25 million (25,000,000) shares of LT10 Common Stock, par value $0.0001 per share (“</w:t>
      </w:r>
      <w:r>
        <w:rPr>
          <w:rFonts w:ascii="Arial" w:cs="Arial" w:eastAsia="Arial" w:hAnsi="Arial"/>
          <w:sz w:val="19"/>
          <w:szCs w:val="19"/>
          <w:u w:val="single" w:color="auto"/>
          <w:color w:val="auto"/>
        </w:rPr>
        <w:t>LT10</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Common Stock</w:t>
      </w:r>
      <w:r>
        <w:rPr>
          <w:rFonts w:ascii="Arial" w:cs="Arial" w:eastAsia="Arial" w:hAnsi="Arial"/>
          <w:sz w:val="19"/>
          <w:szCs w:val="19"/>
          <w:color w:val="auto"/>
        </w:rPr>
        <w:t>”), 25 million (25,000,000) shares of LT50 Common Stock, par value $0.0001 per share (“</w:t>
      </w:r>
      <w:r>
        <w:rPr>
          <w:rFonts w:ascii="Arial" w:cs="Arial" w:eastAsia="Arial" w:hAnsi="Arial"/>
          <w:sz w:val="19"/>
          <w:szCs w:val="19"/>
          <w:u w:val="single" w:color="auto"/>
          <w:color w:val="auto"/>
        </w:rPr>
        <w:t>LT50 Common Stock</w:t>
      </w:r>
      <w:r>
        <w:rPr>
          <w:rFonts w:ascii="Arial" w:cs="Arial" w:eastAsia="Arial" w:hAnsi="Arial"/>
          <w:sz w:val="19"/>
          <w:szCs w:val="19"/>
          <w:color w:val="auto"/>
        </w:rPr>
        <w:t>,” and together with the LT10 Common Stock, the “</w:t>
      </w:r>
      <w:r>
        <w:rPr>
          <w:rFonts w:ascii="Arial" w:cs="Arial" w:eastAsia="Arial" w:hAnsi="Arial"/>
          <w:sz w:val="19"/>
          <w:szCs w:val="19"/>
          <w:u w:val="single" w:color="auto"/>
          <w:color w:val="auto"/>
        </w:rPr>
        <w:t>LT Common Stock</w:t>
      </w:r>
      <w:r>
        <w:rPr>
          <w:rFonts w:ascii="Arial" w:cs="Arial" w:eastAsia="Arial" w:hAnsi="Arial"/>
          <w:sz w:val="19"/>
          <w:szCs w:val="19"/>
          <w:color w:val="auto"/>
        </w:rPr>
        <w:t>,” and together with the Class A Common Stock, the “</w:t>
      </w:r>
      <w:r>
        <w:rPr>
          <w:rFonts w:ascii="Arial" w:cs="Arial" w:eastAsia="Arial" w:hAnsi="Arial"/>
          <w:sz w:val="19"/>
          <w:szCs w:val="19"/>
          <w:u w:val="single" w:color="auto"/>
          <w:color w:val="auto"/>
        </w:rPr>
        <w:t>Common Stock</w:t>
      </w:r>
      <w:r>
        <w:rPr>
          <w:rFonts w:ascii="Arial" w:cs="Arial" w:eastAsia="Arial" w:hAnsi="Arial"/>
          <w:sz w:val="19"/>
          <w:szCs w:val="19"/>
          <w:color w:val="auto"/>
        </w:rPr>
        <w:t>”), and ten million (10,000,000) shares of Preferred Stock, par value $0.0001 per share (“</w:t>
      </w:r>
      <w:r>
        <w:rPr>
          <w:rFonts w:ascii="Arial" w:cs="Arial" w:eastAsia="Arial" w:hAnsi="Arial"/>
          <w:sz w:val="19"/>
          <w:szCs w:val="19"/>
          <w:u w:val="single" w:color="auto"/>
          <w:color w:val="auto"/>
        </w:rPr>
        <w:t>Preferred Stock</w:t>
      </w:r>
      <w:r>
        <w:rPr>
          <w:rFonts w:ascii="Arial" w:cs="Arial" w:eastAsia="Arial" w:hAnsi="Arial"/>
          <w:sz w:val="19"/>
          <w:szCs w:val="19"/>
          <w:color w:val="auto"/>
        </w:rPr>
        <w:t>”).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 pursuant to Section 3(G)(ix)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Preferred Stock</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(the “</w:t>
      </w:r>
      <w:r>
        <w:rPr>
          <w:rFonts w:ascii="Arial" w:cs="Arial" w:eastAsia="Arial" w:hAnsi="Arial"/>
          <w:sz w:val="22"/>
          <w:szCs w:val="22"/>
          <w:u w:val="single" w:color="auto"/>
          <w:color w:val="auto"/>
        </w:rPr>
        <w:t>Board</w:t>
      </w:r>
      <w:r>
        <w:rPr>
          <w:rFonts w:ascii="Arial" w:cs="Arial" w:eastAsia="Arial" w:hAnsi="Arial"/>
          <w:sz w:val="22"/>
          <w:szCs w:val="22"/>
          <w:color w:val="auto"/>
        </w:rPr>
        <w:t>”) as hereinafter provided. Subject to the rights of the holders of any series of Preferred Stock and except as otherwise provided by law, any shares of Preferred Stock that may be redeemed, purchased or acquired by the Corporation may be reissued by the Corporation.</w:t>
      </w:r>
    </w:p>
    <w:p>
      <w:pPr>
        <w:spacing w:after="0" w:line="198"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equal or junior to any other series of Preferred Stock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5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Common Stock</w:t>
      </w:r>
    </w:p>
    <w:p>
      <w:pPr>
        <w:spacing w:after="0" w:line="220" w:lineRule="exact"/>
        <w:rPr>
          <w:sz w:val="20"/>
          <w:szCs w:val="20"/>
          <w:color w:val="auto"/>
        </w:rPr>
      </w:pPr>
    </w:p>
    <w:p>
      <w:pPr>
        <w:jc w:val="both"/>
        <w:ind w:firstLine="656"/>
        <w:spacing w:after="0" w:line="253" w:lineRule="auto"/>
        <w:tabs>
          <w:tab w:leader="none" w:pos="1177"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Equal Status</w:t>
      </w:r>
      <w:r>
        <w:rPr>
          <w:rFonts w:ascii="Arial" w:cs="Arial" w:eastAsia="Arial" w:hAnsi="Arial"/>
          <w:sz w:val="21"/>
          <w:szCs w:val="21"/>
          <w:color w:val="auto"/>
        </w:rPr>
        <w:t>. Except as otherwise required by law or as expressly set forth in this Section 3 of Article IV, shares of Class A Common Stock, LT10 Common Stock and LT50 Common Stock shall have the same rights, privileges and powers, rank equally, share ratably and be identical in all respects as to all matters. The voting, dividend, liquidation and other rights, powers and preferences of the holders of Class A Common Stock, LT10 Common Stock and LT50 Common Stock are subject to, and qualified by, the rights, powers and preferences of holders of the Preferred Stock of any series as may be designated by the Board upon any issuance of the Preferred Stock of any series.</w:t>
      </w:r>
    </w:p>
    <w:p>
      <w:pPr>
        <w:spacing w:after="0" w:line="173" w:lineRule="exact"/>
        <w:rPr>
          <w:rFonts w:ascii="Arial" w:cs="Arial" w:eastAsia="Arial" w:hAnsi="Arial"/>
          <w:sz w:val="21"/>
          <w:szCs w:val="21"/>
          <w:color w:val="auto"/>
        </w:rPr>
      </w:pPr>
    </w:p>
    <w:p>
      <w:pPr>
        <w:jc w:val="both"/>
        <w:ind w:firstLine="656"/>
        <w:spacing w:after="0" w:line="284" w:lineRule="auto"/>
        <w:tabs>
          <w:tab w:leader="none" w:pos="1165"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Voting</w:t>
      </w:r>
      <w:r>
        <w:rPr>
          <w:rFonts w:ascii="Arial" w:cs="Arial" w:eastAsia="Arial" w:hAnsi="Arial"/>
          <w:sz w:val="19"/>
          <w:szCs w:val="19"/>
          <w:color w:val="auto"/>
        </w:rPr>
        <w:t>. Except as otherwise required by applicable law, at all meetings of stockholders and on all matters submitted to a vote of stockholders of the Corporation generally, each holder of Class A Common Stock, as such, shall have the right to one</w:t>
      </w:r>
    </w:p>
    <w:p>
      <w:pPr>
        <w:jc w:val="both"/>
        <w:ind w:firstLine="8"/>
        <w:spacing w:after="0" w:line="276" w:lineRule="auto"/>
        <w:tabs>
          <w:tab w:leader="none" w:pos="316" w:val="left"/>
        </w:tabs>
        <w:numPr>
          <w:ilvl w:val="0"/>
          <w:numId w:val="58"/>
        </w:numPr>
        <w:rPr>
          <w:rFonts w:ascii="Arial" w:cs="Arial" w:eastAsia="Arial" w:hAnsi="Arial"/>
          <w:sz w:val="19"/>
          <w:szCs w:val="19"/>
          <w:color w:val="auto"/>
        </w:rPr>
      </w:pPr>
      <w:r>
        <w:rPr>
          <w:rFonts w:ascii="Arial" w:cs="Arial" w:eastAsia="Arial" w:hAnsi="Arial"/>
          <w:sz w:val="19"/>
          <w:szCs w:val="19"/>
          <w:color w:val="auto"/>
        </w:rPr>
        <w:t>vote per share of Class A Common Stock held of record by such holder, each holder of LT10 Common Stock, as such, shall have the right to ten (10) votes per share of LT10 Common Stock held of record by such holder, and each holder of LT50 Common Stock, as such, shall have the right to fifty (50) votes per share of LT50 Common Stock held of record by such holder. Except as otherwise required by applicable law or provided in this Certificate of Incorporation, the holders of shares of Class A Common Stock, LT10 Common Stock and LT50 Common Stock, as such, shall (i) at all times vote together as a single class on all matters (including the election of directors) submitted to a vote of the stockholders of the Corporation generally, (ii) be entitled to notice of any stockholders’ meeting in accordance with the Amended and Restated Bylaws of the Corporation (as the same may be amended and/or restated from time to time, the “</w:t>
      </w:r>
      <w:r>
        <w:rPr>
          <w:rFonts w:ascii="Arial" w:cs="Arial" w:eastAsia="Arial" w:hAnsi="Arial"/>
          <w:sz w:val="19"/>
          <w:szCs w:val="19"/>
          <w:u w:val="single" w:color="auto"/>
          <w:color w:val="auto"/>
        </w:rPr>
        <w:t>Bylaws</w:t>
      </w:r>
      <w:r>
        <w:rPr>
          <w:rFonts w:ascii="Arial" w:cs="Arial" w:eastAsia="Arial" w:hAnsi="Arial"/>
          <w:sz w:val="19"/>
          <w:szCs w:val="19"/>
          <w:color w:val="auto"/>
        </w:rPr>
        <w:t xml:space="preserve">”), and (iii) be entitled to vote upon such matters and in such manner as may be provided by applicable law; </w:t>
      </w:r>
      <w:r>
        <w:rPr>
          <w:rFonts w:ascii="Arial" w:cs="Arial" w:eastAsia="Arial" w:hAnsi="Arial"/>
          <w:sz w:val="19"/>
          <w:szCs w:val="19"/>
          <w:i w:val="1"/>
          <w:iCs w:val="1"/>
          <w:color w:val="auto"/>
        </w:rPr>
        <w:t>provided, however</w:t>
      </w:r>
      <w:r>
        <w:rPr>
          <w:rFonts w:ascii="Arial" w:cs="Arial" w:eastAsia="Arial" w:hAnsi="Arial"/>
          <w:sz w:val="19"/>
          <w:szCs w:val="19"/>
          <w:color w:val="auto"/>
        </w:rPr>
        <w:t>, that, except as otherwise required by applicable law, holders of Class A Common Stock, LT10 Common Stock and LT50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applicable law. There shall be no cumulative voting.</w:t>
      </w:r>
    </w:p>
    <w:p>
      <w:pPr>
        <w:spacing w:after="0" w:line="158" w:lineRule="exact"/>
        <w:rPr>
          <w:rFonts w:ascii="Arial" w:cs="Arial" w:eastAsia="Arial" w:hAnsi="Arial"/>
          <w:sz w:val="19"/>
          <w:szCs w:val="19"/>
          <w:color w:val="auto"/>
        </w:rPr>
      </w:pPr>
    </w:p>
    <w:p>
      <w:pPr>
        <w:jc w:val="both"/>
        <w:ind w:firstLine="656"/>
        <w:spacing w:after="0" w:line="279" w:lineRule="auto"/>
        <w:tabs>
          <w:tab w:leader="none" w:pos="1287"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Dividend Rights</w:t>
      </w:r>
      <w:r>
        <w:rPr>
          <w:rFonts w:ascii="Arial" w:cs="Arial" w:eastAsia="Arial" w:hAnsi="Arial"/>
          <w:sz w:val="19"/>
          <w:szCs w:val="19"/>
          <w:color w:val="auto"/>
        </w:rPr>
        <w:t xml:space="preserve">. Subject to applicable law and the rights, if any, of the holders of any outstanding series of Preferred Stock or any class or series of stock having a preference over or the right to participate with the Class A Common Stock, LT10 Common Stock or LT50 Common Stock with respect to the payment of dividends in cash, property or shares of capital stock of the Corporation, dividends may be declared and paid on the shares of Class A Common Stock, LT10 Common Stock or LT50 Common Stock, out of any assets of the Corporation legally available therefore at such times and in such amounts as the Board in its discretion shall determine;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the event a dividend is paid in the form of shares of Class A Common Stock, LT10 Common Stock or LT50 Common Stock (or in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holders of LT10 Common Stock shall be entitled to receive shares of LT10 Common Stock (or rights to acquire, or securities convertible into or exchangeable for, such shares, as the case may be), and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of LT50 Common Stock shall be entitled to receive shares of LT50 Common Stock (or rights to acquire, or securities convertible into or exchangeable for, such shares, as the case may be), with holders of shares of Class A Common Stock, LT10 Common Stock and LT50 Common Stock receiving, on a per share basis, an identical number of shares of Class A Common Stock, LT10 Common Stock or LT50 Common Stock as the case may be (or rights to acquire, or securities convertible into or exchangeable for, such shares, as the case may be), as applicable. Notwithstanding the foregoing, the Board may declare and the Corporation may pay a disparate dividend per share of Class A Common Stock, LT10 Common Stock or LT50 Common Stock (whether the disparity shall be in the amount of such dividend payable per share, the form in which such dividend is payable (whether it shall be payable in cash, shares of capital stock of the Corporation, other securities of the Corporation, or any combination of the foregoing), the timing of the payment, or otherwise).</w:t>
      </w:r>
    </w:p>
    <w:p>
      <w:pPr>
        <w:spacing w:after="0" w:line="163" w:lineRule="exact"/>
        <w:rPr>
          <w:sz w:val="20"/>
          <w:szCs w:val="20"/>
          <w:color w:val="auto"/>
        </w:rPr>
      </w:pPr>
    </w:p>
    <w:p>
      <w:pPr>
        <w:jc w:val="both"/>
        <w:ind w:firstLine="656"/>
        <w:spacing w:after="0" w:line="282" w:lineRule="auto"/>
        <w:tabs>
          <w:tab w:leader="none" w:pos="1272"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Subdivisions, Combinations or Reclassifications</w:t>
      </w:r>
      <w:r>
        <w:rPr>
          <w:rFonts w:ascii="Arial" w:cs="Arial" w:eastAsia="Arial" w:hAnsi="Arial"/>
          <w:sz w:val="19"/>
          <w:szCs w:val="19"/>
          <w:color w:val="auto"/>
        </w:rPr>
        <w:t xml:space="preserve">. Shares of Class A Common Stock, LT10 Common Stock and LT50 Common Stock may not be subdivided, combined or reclassified unless the shares of the other classes are concurrently therewith proportionately subdivided, combined or reclassified in a manner that maintains the same proportionate equity ownership between the holders of the outstanding Class A Common Stock, LT10 Common Stock and LT50 Common Stock on the record date for such subdivision, combination or reclassification;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LT10 Common Stock and LT50 Common Stock, each voting separately as a class.</w:t>
      </w:r>
    </w:p>
    <w:p>
      <w:pPr>
        <w:spacing w:after="0" w:line="146" w:lineRule="exact"/>
        <w:rPr>
          <w:rFonts w:ascii="Arial" w:cs="Arial" w:eastAsia="Arial" w:hAnsi="Arial"/>
          <w:sz w:val="19"/>
          <w:szCs w:val="19"/>
          <w:color w:val="auto"/>
        </w:rPr>
      </w:pPr>
    </w:p>
    <w:p>
      <w:pPr>
        <w:jc w:val="both"/>
        <w:ind w:firstLine="656"/>
        <w:spacing w:after="0" w:line="251" w:lineRule="auto"/>
        <w:tabs>
          <w:tab w:leader="none" w:pos="1153"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Liquidation, Dissolution or Winding Up</w:t>
      </w:r>
      <w:r>
        <w:rPr>
          <w:rFonts w:ascii="Arial" w:cs="Arial" w:eastAsia="Arial" w:hAnsi="Arial"/>
          <w:sz w:val="21"/>
          <w:szCs w:val="21"/>
          <w:color w:val="auto"/>
        </w:rPr>
        <w:t>. Subject to the preferential or other rights of any holders of Preferred Stock then outstanding, upon the dissolution, distribution of assets, liquidation or winding up of the Corporation, whether voluntary or involuntary, holders of Class A Common Stock, LT10 Common Stock and LT50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LT10 Common Stock and LT50 Common Stock, each voting separately as a class.</w:t>
      </w:r>
    </w:p>
    <w:p>
      <w:pPr>
        <w:spacing w:after="0" w:line="189" w:lineRule="exact"/>
        <w:rPr>
          <w:rFonts w:ascii="Arial" w:cs="Arial" w:eastAsia="Arial" w:hAnsi="Arial"/>
          <w:sz w:val="21"/>
          <w:szCs w:val="21"/>
          <w:color w:val="auto"/>
        </w:rPr>
      </w:pPr>
    </w:p>
    <w:p>
      <w:pPr>
        <w:ind w:left="1140" w:hanging="484"/>
        <w:spacing w:after="0"/>
        <w:tabs>
          <w:tab w:leader="none" w:pos="11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Restrictions on Transfers of Shares of LT Common Stock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51" w:lineRule="auto"/>
        <w:tabs>
          <w:tab w:leader="none" w:pos="1817" w:val="left"/>
        </w:tabs>
        <w:numPr>
          <w:ilvl w:val="1"/>
          <w:numId w:val="59"/>
        </w:numPr>
        <w:rPr>
          <w:rFonts w:ascii="Arial" w:cs="Arial" w:eastAsia="Arial" w:hAnsi="Arial"/>
          <w:sz w:val="21"/>
          <w:szCs w:val="21"/>
          <w:color w:val="auto"/>
        </w:rPr>
      </w:pPr>
      <w:r>
        <w:rPr>
          <w:rFonts w:ascii="Arial" w:cs="Arial" w:eastAsia="Arial" w:hAnsi="Arial"/>
          <w:sz w:val="21"/>
          <w:szCs w:val="21"/>
          <w:color w:val="auto"/>
        </w:rPr>
        <w:t>To the maximum extent permitted under applicable law, no holder of LT Common Stock shall Transfer any shares of LT Common Stock to any person or entity unless the requirements set forth in Section 3(H) of this Article IV have been satisfied. “Transfer” of a share of LT Common Stock means any sale, contract to sell, assignment, transfer, conveyance, hypothecation, pledge, sale of any option or contract to purchase, purchase of any option or contract to sell, grant of any option, right or warrant to purchase, hedging, swap or other agreement or transaction that transfers, in whole or in part, any of the economic consequences of ownership, (including, without limitation, any short sale or the purchase or sale of, or entry into, any put or call option, or combination thereof, forward, swap or any other derivative transaction or instrument, however described or defined), loan, or other transfer or disposition of such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or any legal or beneficial interest in such share, whether or not for value, whether direct or indirect, whether any such transaction is to be settled by delivery of such share of LT Common Stock, in cash or otherwise, and whether voluntary or involuntary or by operation of law, and shall include, without limitation, (a) a transfer of a share of LT Common Stock to a broker or other nominee (regardless of whether or not there is a corresponding change in beneficial ownership) or (b) the transfer of, or entering into a binding agreement with respect to, the exclusive power (whether directly or indirectly) to vote or direct the voting of such share of LT Common Stock, including by proxy, voting agreement or otherwise;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“Transfer” shall not include:</w:t>
      </w:r>
    </w:p>
    <w:p>
      <w:pPr>
        <w:spacing w:after="0" w:line="3" w:lineRule="exact"/>
        <w:rPr>
          <w:sz w:val="20"/>
          <w:szCs w:val="20"/>
          <w:color w:val="auto"/>
        </w:rPr>
      </w:pPr>
    </w:p>
    <w:p>
      <w:pPr>
        <w:jc w:val="both"/>
        <w:ind w:firstLine="8"/>
        <w:spacing w:after="0" w:line="248" w:lineRule="auto"/>
        <w:tabs>
          <w:tab w:leader="none" w:pos="324"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grant of a proxy to officers or directors of the Corporation at the request of the Board in connection with actions to be taken at an annual or special meeting of stockholders; (2) any Transfer to or by the trust (the “</w:t>
      </w:r>
      <w:r>
        <w:rPr>
          <w:rFonts w:ascii="Arial" w:cs="Arial" w:eastAsia="Arial" w:hAnsi="Arial"/>
          <w:sz w:val="21"/>
          <w:szCs w:val="21"/>
          <w:u w:val="single" w:color="auto"/>
          <w:color w:val="auto"/>
        </w:rPr>
        <w:t>Expensify Voting Trust</w:t>
      </w:r>
      <w:r>
        <w:rPr>
          <w:rFonts w:ascii="Arial" w:cs="Arial" w:eastAsia="Arial" w:hAnsi="Arial"/>
          <w:sz w:val="21"/>
          <w:szCs w:val="21"/>
          <w:color w:val="auto"/>
        </w:rPr>
        <w:t>”) established under that certain Voting Trust Agreement, dated as of November 9, 2021, by and between the Company and the holders named therein (as it may be amended and/or restated from time to time in accordance with its terms, the “</w:t>
      </w:r>
      <w:r>
        <w:rPr>
          <w:rFonts w:ascii="Arial" w:cs="Arial" w:eastAsia="Arial" w:hAnsi="Arial"/>
          <w:sz w:val="21"/>
          <w:szCs w:val="21"/>
          <w:u w:val="single" w:color="auto"/>
          <w:color w:val="auto"/>
        </w:rPr>
        <w:t>Voting Trust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(3) a Transfer to a decedent’s estate upon the death of a holder of LT Common Stock; (4) an Exchange as defined in and pursuant to Section 3(H)(iii) of this Article IV; or (5) the fact that the spouse of any holder of LT Common Stock possesses or obtains an interest in such holder’s shares of LT Common Stock arising solely by reason of the application of the property transfer laws of any jurisdiction, so long as no other event or circumstance shall exist or have occurred that constitutes a Transfer of such shares of LT Common Stock.</w:t>
      </w:r>
    </w:p>
    <w:p>
      <w:pPr>
        <w:spacing w:after="0" w:line="179" w:lineRule="exact"/>
        <w:rPr>
          <w:rFonts w:ascii="Arial" w:cs="Arial" w:eastAsia="Arial" w:hAnsi="Arial"/>
          <w:sz w:val="21"/>
          <w:szCs w:val="21"/>
          <w:color w:val="auto"/>
        </w:rPr>
      </w:pPr>
    </w:p>
    <w:p>
      <w:pPr>
        <w:jc w:val="both"/>
        <w:ind w:right="20" w:firstLine="1304"/>
        <w:spacing w:after="0" w:line="247" w:lineRule="auto"/>
        <w:tabs>
          <w:tab w:leader="none" w:pos="1817" w:val="left"/>
        </w:tabs>
        <w:numPr>
          <w:ilvl w:val="2"/>
          <w:numId w:val="60"/>
        </w:numPr>
        <w:rPr>
          <w:rFonts w:ascii="Arial" w:cs="Arial" w:eastAsia="Arial" w:hAnsi="Arial"/>
          <w:sz w:val="22"/>
          <w:szCs w:val="22"/>
          <w:color w:val="auto"/>
        </w:rPr>
      </w:pPr>
      <w:r>
        <w:rPr>
          <w:rFonts w:ascii="Arial" w:cs="Arial" w:eastAsia="Arial" w:hAnsi="Arial"/>
          <w:sz w:val="22"/>
          <w:szCs w:val="22"/>
          <w:color w:val="auto"/>
        </w:rPr>
        <w:t>Notwithstanding the foregoing, the Board shall be able to waive, upon the affirmative vote of a majority of the members of the Board, any or all of the requirements of Section 3(H) of this Article IV with respect to the Transfer of any shares of LT Common Stock.</w:t>
      </w:r>
    </w:p>
    <w:p>
      <w:pPr>
        <w:spacing w:after="0" w:line="177" w:lineRule="exact"/>
        <w:rPr>
          <w:rFonts w:ascii="Arial" w:cs="Arial" w:eastAsia="Arial" w:hAnsi="Arial"/>
          <w:sz w:val="22"/>
          <w:szCs w:val="22"/>
          <w:color w:val="auto"/>
        </w:rPr>
      </w:pPr>
    </w:p>
    <w:p>
      <w:pPr>
        <w:jc w:val="both"/>
        <w:ind w:firstLine="1304"/>
        <w:spacing w:after="0" w:line="247" w:lineRule="auto"/>
        <w:tabs>
          <w:tab w:leader="none" w:pos="1899" w:val="left"/>
        </w:tabs>
        <w:numPr>
          <w:ilvl w:val="2"/>
          <w:numId w:val="60"/>
        </w:numPr>
        <w:rPr>
          <w:rFonts w:ascii="Arial" w:cs="Arial" w:eastAsia="Arial" w:hAnsi="Arial"/>
          <w:sz w:val="22"/>
          <w:szCs w:val="22"/>
          <w:color w:val="auto"/>
        </w:rPr>
      </w:pPr>
      <w:r>
        <w:rPr>
          <w:rFonts w:ascii="Arial" w:cs="Arial" w:eastAsia="Arial" w:hAnsi="Arial"/>
          <w:sz w:val="22"/>
          <w:szCs w:val="22"/>
          <w:color w:val="auto"/>
        </w:rPr>
        <w:t xml:space="preserve">Any Transfer of shares of LT Common Stock not made in accordance with this Section 3(F) and Section 3(H), or pursuant to Section 3(G), of this Article IV shall be void </w:t>
      </w:r>
      <w:r>
        <w:rPr>
          <w:rFonts w:ascii="Arial" w:cs="Arial" w:eastAsia="Arial" w:hAnsi="Arial"/>
          <w:sz w:val="22"/>
          <w:szCs w:val="22"/>
          <w:i w:val="1"/>
          <w:iCs w:val="1"/>
          <w:color w:val="auto"/>
        </w:rPr>
        <w:t>ab initio</w:t>
      </w:r>
      <w:r>
        <w:rPr>
          <w:rFonts w:ascii="Arial" w:cs="Arial" w:eastAsia="Arial" w:hAnsi="Arial"/>
          <w:sz w:val="22"/>
          <w:szCs w:val="22"/>
          <w:color w:val="auto"/>
        </w:rPr>
        <w:t>, and the Corporation shall not treat the transferee in such transaction as a holder of such shares for any purpose.</w:t>
      </w:r>
    </w:p>
    <w:p>
      <w:pPr>
        <w:spacing w:after="0" w:line="190" w:lineRule="exact"/>
        <w:rPr>
          <w:rFonts w:ascii="Arial" w:cs="Arial" w:eastAsia="Arial" w:hAnsi="Arial"/>
          <w:sz w:val="22"/>
          <w:szCs w:val="22"/>
          <w:color w:val="auto"/>
        </w:rPr>
      </w:pPr>
    </w:p>
    <w:p>
      <w:pPr>
        <w:ind w:left="1180" w:hanging="524"/>
        <w:spacing w:after="0"/>
        <w:tabs>
          <w:tab w:leader="none" w:pos="1180"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Conversion of LT Common Stock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47" w:lineRule="auto"/>
        <w:tabs>
          <w:tab w:leader="none" w:pos="1729" w:val="left"/>
        </w:tabs>
        <w:numPr>
          <w:ilvl w:val="2"/>
          <w:numId w:val="61"/>
        </w:numPr>
        <w:rPr>
          <w:rFonts w:ascii="Arial" w:cs="Arial" w:eastAsia="Arial" w:hAnsi="Arial"/>
          <w:sz w:val="22"/>
          <w:szCs w:val="22"/>
          <w:color w:val="auto"/>
        </w:rPr>
      </w:pPr>
      <w:r>
        <w:rPr>
          <w:rFonts w:ascii="Arial" w:cs="Arial" w:eastAsia="Arial" w:hAnsi="Arial"/>
          <w:sz w:val="22"/>
          <w:szCs w:val="22"/>
          <w:u w:val="single" w:color="auto"/>
          <w:color w:val="auto"/>
        </w:rPr>
        <w:t>Optional Conversion by Holder of LT Common Stock</w:t>
      </w:r>
      <w:r>
        <w:rPr>
          <w:rFonts w:ascii="Arial" w:cs="Arial" w:eastAsia="Arial" w:hAnsi="Arial"/>
          <w:sz w:val="22"/>
          <w:szCs w:val="22"/>
          <w:color w:val="auto"/>
        </w:rPr>
        <w:t>. Each share of LT Common Stock shall be convertible into one (1) fully paid and nonassessable share of Class A Common Stock at the option of the holder thereof solely upon the satisfaction of and subject to the requirements set forth in Section 3(H) of this Article IV.</w:t>
      </w:r>
    </w:p>
    <w:p>
      <w:pPr>
        <w:spacing w:after="0" w:line="177" w:lineRule="exact"/>
        <w:rPr>
          <w:rFonts w:ascii="Arial" w:cs="Arial" w:eastAsia="Arial" w:hAnsi="Arial"/>
          <w:sz w:val="22"/>
          <w:szCs w:val="22"/>
          <w:color w:val="auto"/>
        </w:rPr>
      </w:pPr>
    </w:p>
    <w:p>
      <w:pPr>
        <w:jc w:val="both"/>
        <w:ind w:firstLine="1304"/>
        <w:spacing w:after="0" w:line="251" w:lineRule="auto"/>
        <w:tabs>
          <w:tab w:leader="none" w:pos="1789" w:val="left"/>
        </w:tabs>
        <w:numPr>
          <w:ilvl w:val="2"/>
          <w:numId w:val="61"/>
        </w:numPr>
        <w:rPr>
          <w:rFonts w:ascii="Arial" w:cs="Arial" w:eastAsia="Arial" w:hAnsi="Arial"/>
          <w:sz w:val="21"/>
          <w:szCs w:val="21"/>
          <w:color w:val="auto"/>
        </w:rPr>
      </w:pPr>
      <w:r>
        <w:rPr>
          <w:rFonts w:ascii="Arial" w:cs="Arial" w:eastAsia="Arial" w:hAnsi="Arial"/>
          <w:sz w:val="21"/>
          <w:szCs w:val="21"/>
          <w:u w:val="single" w:color="auto"/>
          <w:color w:val="auto"/>
        </w:rPr>
        <w:t>Automatic Conversion Upon Certain Transfers</w:t>
      </w:r>
      <w:r>
        <w:rPr>
          <w:rFonts w:ascii="Arial" w:cs="Arial" w:eastAsia="Arial" w:hAnsi="Arial"/>
          <w:sz w:val="21"/>
          <w:szCs w:val="21"/>
          <w:color w:val="auto"/>
        </w:rPr>
        <w:t xml:space="preserve">. Except in the case of a Non-Converting Transfer, each share of LT Common Stock shall automatically, without further action by the Corporation or the holder thereof, convert into one (1) fully paid and nonassessable share of Class A Common Stock upon the occurrence of a Transfer of such share of LT Common Stock,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such Transfer is made in compliance with the requirements outlined in Section 3(F) and Section 3(H) of this Article IV. For the avoidance of doubt, any Transfer of shares of LT Common Stock not made in accordance with such provisions shall be void and the Corporation shall not treat the transferee in such transaction as a holder of such shares for any purposes. A “</w:t>
      </w:r>
      <w:r>
        <w:rPr>
          <w:rFonts w:ascii="Arial" w:cs="Arial" w:eastAsia="Arial" w:hAnsi="Arial"/>
          <w:sz w:val="21"/>
          <w:szCs w:val="21"/>
          <w:u w:val="single" w:color="auto"/>
          <w:color w:val="auto"/>
        </w:rPr>
        <w:t>Non-Converting Transfer</w:t>
      </w:r>
      <w:r>
        <w:rPr>
          <w:rFonts w:ascii="Arial" w:cs="Arial" w:eastAsia="Arial" w:hAnsi="Arial"/>
          <w:sz w:val="21"/>
          <w:szCs w:val="21"/>
          <w:color w:val="auto"/>
        </w:rPr>
        <w:t>” means a Transfer of shares of LT Common Stock (i) to be held in trust by the Trustees of the Expensify Voting Trust; (ii) in an Exchange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and pursuant to Section 3(H)(iii) of this Article IV; (iii) to the estate of a decedent holder of LT Common Stock, upon such holder’s death; or (iv) approved in advance by the affirmative vote of a majority of the members of the Board.</w:t>
      </w:r>
    </w:p>
    <w:p>
      <w:pPr>
        <w:spacing w:after="0" w:line="161" w:lineRule="exact"/>
        <w:rPr>
          <w:sz w:val="20"/>
          <w:szCs w:val="20"/>
          <w:color w:val="auto"/>
        </w:rPr>
      </w:pPr>
    </w:p>
    <w:p>
      <w:pPr>
        <w:jc w:val="both"/>
        <w:ind w:firstLine="1304"/>
        <w:spacing w:after="0" w:line="256" w:lineRule="auto"/>
        <w:tabs>
          <w:tab w:leader="none" w:pos="1957"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Automatic Conversion Upon Reduction in Outstanding Shares</w:t>
      </w:r>
      <w:r>
        <w:rPr>
          <w:rFonts w:ascii="Arial" w:cs="Arial" w:eastAsia="Arial" w:hAnsi="Arial"/>
          <w:sz w:val="21"/>
          <w:szCs w:val="21"/>
          <w:color w:val="auto"/>
        </w:rPr>
        <w:t>. Each outstanding share of LT Common Stock shall automatically, without further action by the Corporation or the holder thereof, convert into one (1) fully paid and nonassessable share of Class A Common Stock upon the first date on which the then-outstanding shares of LT Common Stock represent less than two percent (2%) of all then-outstanding shares of Common Stock.</w:t>
      </w:r>
    </w:p>
    <w:p>
      <w:pPr>
        <w:spacing w:after="0" w:line="184" w:lineRule="exact"/>
        <w:rPr>
          <w:rFonts w:ascii="Arial" w:cs="Arial" w:eastAsia="Arial" w:hAnsi="Arial"/>
          <w:sz w:val="21"/>
          <w:szCs w:val="21"/>
          <w:color w:val="auto"/>
        </w:rPr>
      </w:pPr>
    </w:p>
    <w:p>
      <w:pPr>
        <w:jc w:val="both"/>
        <w:ind w:firstLine="1304"/>
        <w:spacing w:after="0" w:line="279" w:lineRule="auto"/>
        <w:tabs>
          <w:tab w:leader="none" w:pos="1891"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Policies and Procedures</w:t>
      </w:r>
      <w:r>
        <w:rPr>
          <w:rFonts w:ascii="Arial" w:cs="Arial" w:eastAsia="Arial" w:hAnsi="Arial"/>
          <w:sz w:val="19"/>
          <w:szCs w:val="19"/>
          <w:color w:val="auto"/>
        </w:rPr>
        <w:t>. The Corporation may, from time to time, establish such policies and procedures, not in violation of applicable law or the other provisions of this Certificate of Incorporation, relating to the conversion of the LT Common Stock into Class A Common Stock and the general administration of this multi-class stock structure, including the issuance of stock certificates with respect thereto, as it may deem necessary or advisable, and may from time to time request that holders of shares of LT Common Stock furnish such certifications, affidavits or other proof to the Corporation as it deems necessary to verify the ownership of LT Common Stock and to confirm that a conversion to Class A Common Stock has not previously occurred. A determination by the Board that a Transfer has resulted or will result in a conversion of the LT Common Stock to Class A Common Stock shall be conclusive and binding on all persons to the fullest extent permitted by law.</w:t>
      </w:r>
    </w:p>
    <w:p>
      <w:pPr>
        <w:spacing w:after="0" w:line="168" w:lineRule="exact"/>
        <w:rPr>
          <w:rFonts w:ascii="Arial" w:cs="Arial" w:eastAsia="Arial" w:hAnsi="Arial"/>
          <w:sz w:val="19"/>
          <w:szCs w:val="19"/>
          <w:color w:val="auto"/>
        </w:rPr>
      </w:pPr>
    </w:p>
    <w:p>
      <w:pPr>
        <w:jc w:val="both"/>
        <w:ind w:firstLine="1304"/>
        <w:spacing w:after="0" w:line="247" w:lineRule="auto"/>
        <w:tabs>
          <w:tab w:leader="none" w:pos="1764"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Status of Converted Stock</w:t>
      </w:r>
      <w:r>
        <w:rPr>
          <w:rFonts w:ascii="Arial" w:cs="Arial" w:eastAsia="Arial" w:hAnsi="Arial"/>
          <w:sz w:val="22"/>
          <w:szCs w:val="22"/>
          <w:color w:val="auto"/>
        </w:rPr>
        <w:t>. In the event any shares of LT Common Stock are converted into shares of Class A Common Stock pursuant to this Section 3, the shares of LT Common Stock so converted shall be retired and shall not be reissued by the Corporation.</w:t>
      </w:r>
    </w:p>
    <w:p>
      <w:pPr>
        <w:spacing w:after="0" w:line="177" w:lineRule="exact"/>
        <w:rPr>
          <w:rFonts w:ascii="Arial" w:cs="Arial" w:eastAsia="Arial" w:hAnsi="Arial"/>
          <w:sz w:val="22"/>
          <w:szCs w:val="22"/>
          <w:color w:val="auto"/>
        </w:rPr>
      </w:pPr>
    </w:p>
    <w:p>
      <w:pPr>
        <w:jc w:val="both"/>
        <w:ind w:firstLine="1304"/>
        <w:spacing w:after="0" w:line="280" w:lineRule="auto"/>
        <w:tabs>
          <w:tab w:leader="none" w:pos="1905"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Effect of Conversion on Payment of Dividends</w:t>
      </w:r>
      <w:r>
        <w:rPr>
          <w:rFonts w:ascii="Arial" w:cs="Arial" w:eastAsia="Arial" w:hAnsi="Arial"/>
          <w:sz w:val="19"/>
          <w:szCs w:val="19"/>
          <w:color w:val="auto"/>
        </w:rPr>
        <w:t xml:space="preserve">. Notwithstanding anything to the contrary in this Section 3(G), if the date on which any share of LT Common Stock is converted into Class A Common Stock pursuant to the provisions of this Section 3(G) occurs after the record date for the determination of holders of LT Common Stock entitled to receive any dividend to be paid on the shares of LT Common Stock, the holder of such shares of LT Common Stock as of such record date will be entitled to receive such dividend on such payment date; </w:t>
      </w:r>
      <w:r>
        <w:rPr>
          <w:rFonts w:ascii="Arial" w:cs="Arial" w:eastAsia="Arial" w:hAnsi="Arial"/>
          <w:sz w:val="19"/>
          <w:szCs w:val="19"/>
          <w:i w:val="1"/>
          <w:iCs w:val="1"/>
          <w:color w:val="auto"/>
        </w:rPr>
        <w:t>provided</w:t>
      </w:r>
      <w:r>
        <w:rPr>
          <w:rFonts w:ascii="Arial" w:cs="Arial" w:eastAsia="Arial" w:hAnsi="Arial"/>
          <w:sz w:val="19"/>
          <w:szCs w:val="19"/>
          <w:color w:val="auto"/>
        </w:rPr>
        <w:t>, that, notwithstanding any other provision of this Certificate of Incorporation, to the extent that any such dividend is payable in shares of LT Common Stock (or rights to acquire, or securities convertible into or exchangeable for, such shares, as the case may be), such dividend shall be deemed to have been declared, and shall be payable in, shares of Class A Common Stock (or rights to acquire, or securities convertible into or exchangeable for, such shares, as the case may be), and no shares of LT Common Stock shall be issued in payment thereof.</w:t>
      </w:r>
    </w:p>
    <w:p>
      <w:pPr>
        <w:spacing w:after="0" w:line="149" w:lineRule="exact"/>
        <w:rPr>
          <w:sz w:val="20"/>
          <w:szCs w:val="20"/>
          <w:color w:val="auto"/>
        </w:rPr>
      </w:pPr>
    </w:p>
    <w:p>
      <w:pPr>
        <w:jc w:val="both"/>
        <w:ind w:firstLine="1304"/>
        <w:spacing w:after="0" w:line="261" w:lineRule="auto"/>
        <w:tabs>
          <w:tab w:leader="none" w:pos="1959"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Shares Reserved for Issuance</w:t>
      </w:r>
      <w:r>
        <w:rPr>
          <w:rFonts w:ascii="Arial" w:cs="Arial" w:eastAsia="Arial" w:hAnsi="Arial"/>
          <w:sz w:val="21"/>
          <w:szCs w:val="21"/>
          <w:color w:val="auto"/>
        </w:rPr>
        <w:t>. The Corporation shall at all times reserve and keep available out of its authorized but unissued shares of Class A Common Stock, solely for the purpose of effecting the conversion of the shares of LT Common Stock, such number of shares of Class A Common Stock as shall from time to time be sufficient to effect the conversion of all outstanding shares of LT Common Stock into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50" w:lineRule="exact"/>
        <w:rPr>
          <w:sz w:val="20"/>
          <w:szCs w:val="20"/>
          <w:color w:val="auto"/>
        </w:rPr>
      </w:pPr>
    </w:p>
    <w:p>
      <w:pPr>
        <w:ind w:left="1180" w:hanging="524"/>
        <w:spacing w:after="0"/>
        <w:tabs>
          <w:tab w:leader="none" w:pos="118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LT Common Stock Transfer and Conversion Requirements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49" w:lineRule="auto"/>
        <w:tabs>
          <w:tab w:leader="none" w:pos="1824" w:val="left"/>
        </w:tabs>
        <w:numPr>
          <w:ilvl w:val="1"/>
          <w:numId w:val="64"/>
        </w:numPr>
        <w:rPr>
          <w:rFonts w:ascii="Arial" w:cs="Arial" w:eastAsia="Arial" w:hAnsi="Arial"/>
          <w:sz w:val="21"/>
          <w:szCs w:val="21"/>
          <w:color w:val="auto"/>
        </w:rPr>
      </w:pPr>
      <w:r>
        <w:rPr>
          <w:rFonts w:ascii="Arial" w:cs="Arial" w:eastAsia="Arial" w:hAnsi="Arial"/>
          <w:sz w:val="21"/>
          <w:szCs w:val="21"/>
          <w:u w:val="single" w:color="auto"/>
          <w:color w:val="auto"/>
        </w:rPr>
        <w:t>Notice Requirement</w:t>
      </w:r>
      <w:r>
        <w:rPr>
          <w:rFonts w:ascii="Arial" w:cs="Arial" w:eastAsia="Arial" w:hAnsi="Arial"/>
          <w:sz w:val="21"/>
          <w:szCs w:val="21"/>
          <w:color w:val="auto"/>
        </w:rPr>
        <w:t>. Before any shares of LT Common Stock shall be converted into shares of Class A Common Stock pursuant to Section 3(G)(i) of this Article IV or Transferred pursuant to Section 3(F) of this Article IV, the holder of such shares, or if such shares are held in the Expensify Voting Trust, the beneficial holder of such shares, shall provide written notice of such conversion or Transfer intent, delivered simultaneously to the Trustees (as defined in the Voting Trust Agreement) of the Expensify Voting Trust in the manner set forth in the Voting Trust Agreement and to the Corporation at its principal corporate office, and shall state therein the number of shares of LT10 Common Stock and/or LT50 Common Stock to be so converted or Transferred. From and after the time that a holder of LT Common Stock is no longer an employee of or other service provider to the Corporation or any of its subsidiaries, the Corporation shall have the right to submit a written notice of conversion on such holder’s behalf, without the consent of such holder, delivered to the holder at the address of such holder set forth in the Company’s books and records.</w:t>
      </w:r>
    </w:p>
    <w:p>
      <w:pPr>
        <w:spacing w:after="0" w:line="194" w:lineRule="exact"/>
        <w:rPr>
          <w:rFonts w:ascii="Arial" w:cs="Arial" w:eastAsia="Arial" w:hAnsi="Arial"/>
          <w:sz w:val="21"/>
          <w:szCs w:val="21"/>
          <w:color w:val="auto"/>
        </w:rPr>
      </w:pPr>
    </w:p>
    <w:p>
      <w:pPr>
        <w:jc w:val="both"/>
        <w:ind w:firstLine="1304"/>
        <w:spacing w:after="0"/>
        <w:tabs>
          <w:tab w:leader="none" w:pos="1789"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Notice Period</w:t>
      </w:r>
      <w:r>
        <w:rPr>
          <w:rFonts w:ascii="Arial" w:cs="Arial" w:eastAsia="Arial" w:hAnsi="Arial"/>
          <w:sz w:val="22"/>
          <w:szCs w:val="22"/>
          <w:color w:val="auto"/>
        </w:rPr>
        <w:t>. The “Notice Period” for each share of LT10 Common Stock shall be ten (10) months, and for each share of LT50 Common Stock shall be fifty (50) months, following the receipt of notice as set forth in Section 3(H)(i) of this Article IV.</w:t>
      </w:r>
    </w:p>
    <w:p>
      <w:pPr>
        <w:spacing w:after="0" w:line="199" w:lineRule="exact"/>
        <w:rPr>
          <w:rFonts w:ascii="Arial" w:cs="Arial" w:eastAsia="Arial" w:hAnsi="Arial"/>
          <w:sz w:val="22"/>
          <w:szCs w:val="22"/>
          <w:color w:val="auto"/>
        </w:rPr>
      </w:pPr>
    </w:p>
    <w:p>
      <w:pPr>
        <w:jc w:val="both"/>
        <w:ind w:firstLine="1304"/>
        <w:spacing w:after="0" w:line="276" w:lineRule="auto"/>
        <w:tabs>
          <w:tab w:leader="none" w:pos="1876"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Exchange</w:t>
      </w:r>
      <w:r>
        <w:rPr>
          <w:rFonts w:ascii="Arial" w:cs="Arial" w:eastAsia="Arial" w:hAnsi="Arial"/>
          <w:sz w:val="19"/>
          <w:szCs w:val="19"/>
          <w:color w:val="auto"/>
        </w:rPr>
        <w:t>. During the applicable Notice Period, the Trustees shall attempt to identify a holder of shares of Class A Common Stock who is an employee of or other service provider to the Corporation or a subsidiary and is interested in exchanging shares of Class A Common Stock (a “</w:t>
      </w:r>
      <w:r>
        <w:rPr>
          <w:rFonts w:ascii="Arial" w:cs="Arial" w:eastAsia="Arial" w:hAnsi="Arial"/>
          <w:sz w:val="19"/>
          <w:szCs w:val="19"/>
          <w:u w:val="single" w:color="auto"/>
          <w:color w:val="auto"/>
        </w:rPr>
        <w:t>Class A Transferor</w:t>
      </w:r>
      <w:r>
        <w:rPr>
          <w:rFonts w:ascii="Arial" w:cs="Arial" w:eastAsia="Arial" w:hAnsi="Arial"/>
          <w:sz w:val="19"/>
          <w:szCs w:val="19"/>
          <w:color w:val="auto"/>
        </w:rPr>
        <w:t>”) for the shares of LT Common Stock subject to the notice, on a one-for-one basis (an “</w:t>
      </w:r>
      <w:r>
        <w:rPr>
          <w:rFonts w:ascii="Arial" w:cs="Arial" w:eastAsia="Arial" w:hAnsi="Arial"/>
          <w:sz w:val="19"/>
          <w:szCs w:val="19"/>
          <w:u w:val="single" w:color="auto"/>
          <w:color w:val="auto"/>
        </w:rPr>
        <w:t>Exchange</w:t>
      </w:r>
      <w:r>
        <w:rPr>
          <w:rFonts w:ascii="Arial" w:cs="Arial" w:eastAsia="Arial" w:hAnsi="Arial"/>
          <w:sz w:val="19"/>
          <w:szCs w:val="19"/>
          <w:color w:val="auto"/>
        </w:rPr>
        <w:t>”). If a Class A Transferor is identified, the Trustees shall provide written notice to the holder of shares of LT Common Stock seeking to convert or Transfer shares of LT Common Stock pursuant to this Section 3(H) (the “</w:t>
      </w:r>
      <w:r>
        <w:rPr>
          <w:rFonts w:ascii="Arial" w:cs="Arial" w:eastAsia="Arial" w:hAnsi="Arial"/>
          <w:sz w:val="19"/>
          <w:szCs w:val="19"/>
          <w:u w:val="single" w:color="auto"/>
          <w:color w:val="auto"/>
        </w:rPr>
        <w:t>LT Holder</w:t>
      </w:r>
      <w:r>
        <w:rPr>
          <w:rFonts w:ascii="Arial" w:cs="Arial" w:eastAsia="Arial" w:hAnsi="Arial"/>
          <w:sz w:val="19"/>
          <w:szCs w:val="19"/>
          <w:color w:val="auto"/>
        </w:rPr>
        <w:t>”), the Class A Transferor and the Corporation, at its principal corporate office, stating the names of such LT Holder and Class A Transferor, the date on which the applicable notice period expires (the “</w:t>
      </w:r>
      <w:r>
        <w:rPr>
          <w:rFonts w:ascii="Arial" w:cs="Arial" w:eastAsia="Arial" w:hAnsi="Arial"/>
          <w:sz w:val="19"/>
          <w:szCs w:val="19"/>
          <w:u w:val="single" w:color="auto"/>
          <w:color w:val="auto"/>
        </w:rPr>
        <w:t>Notice Expiration Date</w:t>
      </w:r>
      <w:r>
        <w:rPr>
          <w:rFonts w:ascii="Arial" w:cs="Arial" w:eastAsia="Arial" w:hAnsi="Arial"/>
          <w:sz w:val="19"/>
          <w:szCs w:val="19"/>
          <w:color w:val="auto"/>
        </w:rPr>
        <w:t xml:space="preserve">”), and any applicable instructions to facilitate the Exchange. Prior to the Notice Expiration Date, (x) the Class A Transferor shall be required to deliver to the Corporation a written instrument or instruments of transfer with respect to the shares of Class A Common Stock that are the subject of the Exchange, in form satisfactory to the Corporation, duly executed by such Class A Transferor, as well as, if applicable, a certificate or certificates representing such shares,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such shares of Class A Common Stock are held in the Expensify Voting Trust, such items shall be provided by the Trustees, (y) the LT Holder shall be required to deliver to the Trustees any written instrument or instruments requested by the Trustees, and (z) if the Class A Transferor is not a party to the Voting Trust Agreement, the Class A Transferor shall deliver to the Trustees an executed joinder agreement such that following the Exchange the Class A Transferor shall be a party to the Voting Trust Agreement and the shares of LT Common Stock subject to the Exchange shall remain in the Voting Trust. The Exchange shall be deemed effective immediately prior to the close of business on the first business day following the Notice Expiration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Corporation may extend such effective date by up to five (5) days if necessary to effectuate the Exchange (such date, the “</w:t>
      </w:r>
      <w:r>
        <w:rPr>
          <w:rFonts w:ascii="Arial" w:cs="Arial" w:eastAsia="Arial" w:hAnsi="Arial"/>
          <w:sz w:val="19"/>
          <w:szCs w:val="19"/>
          <w:u w:val="single" w:color="auto"/>
          <w:color w:val="auto"/>
        </w:rPr>
        <w:t>Effective Date</w:t>
      </w:r>
      <w:r>
        <w:rPr>
          <w:rFonts w:ascii="Arial" w:cs="Arial" w:eastAsia="Arial" w:hAnsi="Arial"/>
          <w:sz w:val="19"/>
          <w:szCs w:val="19"/>
          <w:color w:val="auto"/>
        </w:rPr>
        <w:t>”). The Corporation shall, as soon as practicable after the Effective Date, issue and deliver to such LT Holder a certificate or certificates representing the number of shares of Class A Common Stock to which such holder is entitled upon the Exchange (if such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Class A Common Stock are certificated) or shall register such shares of Class A Common Stock in book-entry form (if such shares of Class A Common Stock are uncertificated), and the Trustees shall revise the Trust Register (as defined in the Voting Trust Agreement) accordingly, in each case effective as of the Effective Date.</w:t>
      </w:r>
    </w:p>
    <w:p>
      <w:pPr>
        <w:spacing w:after="0" w:line="191" w:lineRule="exact"/>
        <w:rPr>
          <w:sz w:val="20"/>
          <w:szCs w:val="20"/>
          <w:color w:val="auto"/>
        </w:rPr>
      </w:pPr>
    </w:p>
    <w:p>
      <w:pPr>
        <w:jc w:val="both"/>
        <w:ind w:firstLine="1304"/>
        <w:spacing w:after="0" w:line="274" w:lineRule="auto"/>
        <w:tabs>
          <w:tab w:leader="none" w:pos="1999"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Conversion of LT Common Stock if No Exchange</w:t>
      </w:r>
      <w:r>
        <w:rPr>
          <w:rFonts w:ascii="Arial" w:cs="Arial" w:eastAsia="Arial" w:hAnsi="Arial"/>
          <w:sz w:val="19"/>
          <w:szCs w:val="19"/>
          <w:color w:val="auto"/>
        </w:rPr>
        <w:t>. If the Trustees are unable to identify a Class A Transferor to participate in an Exchange prior to the Notice Expiration Date, they shall provide written notice to the Corporation no later than one business day prior to the Notice Expiration Date, and the Corporation shall, as soon as practicable following the Notice Expiration Date, effectuate the conversion of the shares of LT Common Stock subject to the notice into shares of Class A Common Stock on a one-for-one basis in accordance with this Section 3(H)(iv). In the event of such a conversion, as soon as practicable following the Notice Expiration Date, the holder of record of LT Common Stock shall surrender the certificate or certificates therefor (if any), duly endorsed, at the principal corporate office of the Corporation and shall provide written notice (the “</w:t>
      </w:r>
      <w:r>
        <w:rPr>
          <w:rFonts w:ascii="Arial" w:cs="Arial" w:eastAsia="Arial" w:hAnsi="Arial"/>
          <w:sz w:val="19"/>
          <w:szCs w:val="19"/>
          <w:u w:val="single" w:color="auto"/>
          <w:color w:val="auto"/>
        </w:rPr>
        <w:t>Conversion Notice</w:t>
      </w:r>
      <w:r>
        <w:rPr>
          <w:rFonts w:ascii="Arial" w:cs="Arial" w:eastAsia="Arial" w:hAnsi="Arial"/>
          <w:sz w:val="19"/>
          <w:szCs w:val="19"/>
          <w:color w:val="auto"/>
        </w:rPr>
        <w:t>”) to the Corporation at its principal corporate office stating therein the name or names (i) in which the certificate or certificates representing the shares of Class A Common Stock into which the shares of LT Common Stock being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shares of LT Common Stock are to be converted are to be issued in a name or names other than the name of the beneficial holder of the shares of LT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a certificate or certificates representing the number of shares of Class A Common Stock to which such holder shall be entitled upon conversion (if such shares of Class A Common Stock are certificated) or shall register such shares of Class A Common Stock in book-entry form (if such shares of Class A Common Stock are uncertificated). Any such conversion shall be deemed effective immediately prior to the close of business on the date of such surrender of the shares of LT Common Stock to be converted(the “</w:t>
      </w:r>
      <w:r>
        <w:rPr>
          <w:rFonts w:ascii="Arial" w:cs="Arial" w:eastAsia="Arial" w:hAnsi="Arial"/>
          <w:sz w:val="19"/>
          <w:szCs w:val="19"/>
          <w:u w:val="single" w:color="auto"/>
          <w:color w:val="auto"/>
        </w:rPr>
        <w:t>Conversion Effective Time</w:t>
      </w:r>
      <w:r>
        <w:rPr>
          <w:rFonts w:ascii="Arial" w:cs="Arial" w:eastAsia="Arial" w:hAnsi="Arial"/>
          <w:sz w:val="19"/>
          <w:szCs w:val="19"/>
          <w:color w:val="auto"/>
        </w:rPr>
        <w:t>”), which may occur following or contemporaneously with the provision of the Conversion Notice. The shares of Class A Common Stock issuable upon such conversion shall be deemed outstanding as of the Conversion Effective Time, and the person or persons entitled to receive the shares of Class A Common Stock issuable upon such conversion shall be deemed to be the record holder or holders of such shares of Class A Common Stock as of the Conversion Effective Time.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OF THE CERTIFICATE OF INCORPORATION</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notwithstanding any other provision of this Certificate of Incorporation or any provision of law that might otherwise permit a lesser vote or no vote, but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any vote of the holders of shares of any class or series of capital stock of the Corporation required by law or by this Certificate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Incorporation:</w:t>
      </w:r>
    </w:p>
    <w:p>
      <w:pPr>
        <w:spacing w:after="0" w:line="188" w:lineRule="exact"/>
        <w:rPr>
          <w:sz w:val="20"/>
          <w:szCs w:val="20"/>
          <w:color w:val="auto"/>
        </w:rPr>
      </w:pPr>
    </w:p>
    <w:p>
      <w:pPr>
        <w:jc w:val="both"/>
        <w:ind w:firstLine="656"/>
        <w:spacing w:after="0" w:line="278" w:lineRule="auto"/>
        <w:tabs>
          <w:tab w:leader="none" w:pos="1042" w:val="left"/>
        </w:tabs>
        <w:numPr>
          <w:ilvl w:val="0"/>
          <w:numId w:val="66"/>
        </w:numPr>
        <w:rPr>
          <w:rFonts w:ascii="Arial" w:cs="Arial" w:eastAsia="Arial" w:hAnsi="Arial"/>
          <w:sz w:val="19"/>
          <w:szCs w:val="19"/>
          <w:color w:val="auto"/>
        </w:rPr>
      </w:pPr>
      <w:r>
        <w:rPr>
          <w:rFonts w:ascii="Arial" w:cs="Arial" w:eastAsia="Arial" w:hAnsi="Arial"/>
          <w:sz w:val="19"/>
          <w:szCs w:val="19"/>
          <w:color w:val="auto"/>
        </w:rPr>
        <w:t>so long as any shares of LT10 Common Stock remain outstanding, the Corporation shall not, without the prior affirmative vote of the holders of a majority of the outstanding shares of LT10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LT10 Common Stock or other rights, powers, preferences or privileges of the shares of LT10 Common Stock; (2) to provide for each share of LT50 Common Stock to have more than fifty (50) votes per share or for each share of Class A Common Stock to have more than one (1) vote per share or any rights to a separate class vote of the holders of the LT50 Common Stock or the shares of Class A Common Stock other than as provided by this Certificate of Incorporation or required by the DGCL; or (3) to otherwise adversely impact the rights, powers, preferences or privileges of the shares of LT10 Common Stock in a manner that is disparate from the manner in which it affects the rights, powers, preferences or privileges of the shares of LT50 Common Stock or the shares of Class A Common Stock;</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656"/>
        <w:spacing w:after="0" w:line="278" w:lineRule="auto"/>
        <w:tabs>
          <w:tab w:leader="none" w:pos="103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so long as any shares of LT50 Common Stock remain outstanding, the Corporation shall not, without the prior affirmative vote of the holders of a majority of the outstanding shares of LT50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LT50 Common Stock or other rights, powers, preferences or privileges of the shares of LT50 Common Stock; (2) to provide for each share of LT10 Common Stock to have more than ten (10) votes per share or for each share of Class A Common Stock to have more than one (1) vote per share or any rights to a separate class vote of the holders of the LT10 Common Stock or the shares of Class A Common Stock other than as provided by this Certificate of Incorporation or required by the DGCL; or (3) to otherwise adversely impact the rights, powers, preferences or privileges of the shares of LT50 Common Stock in a manner that is disparate from the manner in which it affects the rights, powers, preferences or privileges of the shares of LT10 Common Stock or the shares of Class A Common Stock; and</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firstLine="656"/>
        <w:spacing w:after="0" w:line="284" w:lineRule="auto"/>
        <w:tabs>
          <w:tab w:leader="none" w:pos="1016" w:val="left"/>
        </w:tabs>
        <w:numPr>
          <w:ilvl w:val="0"/>
          <w:numId w:val="66"/>
        </w:numPr>
        <w:rPr>
          <w:rFonts w:ascii="Arial" w:cs="Arial" w:eastAsia="Arial" w:hAnsi="Arial"/>
          <w:sz w:val="19"/>
          <w:szCs w:val="19"/>
          <w:color w:val="auto"/>
        </w:rPr>
      </w:pPr>
      <w:r>
        <w:rPr>
          <w:rFonts w:ascii="Arial" w:cs="Arial" w:eastAsia="Arial" w:hAnsi="Arial"/>
          <w:sz w:val="19"/>
          <w:szCs w:val="19"/>
          <w:color w:val="auto"/>
        </w:rPr>
        <w:t>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to provide for each share of LT10 Common Stock to have more than ten (10) votes per share or for each share of LT50 Common Stock to have more than fifty (50) votes per share or for any rights to a separate class vote of the holders of shares of LT10 Common Stock or LT50 Common Stock, or of LT10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and LT50 Common Stock voting together as a single class, other than as provided by this Certificate of Incorporation or required by the DGCL.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OF BYLAWS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In furtherance and not in limitation of the powers conferred by the DGCL, the Board shall have the power to adopt, amend, alter or repeal the Bylaws. The stockholders shall also have the power to adopt, amend, alter or repeal the Bylaws; provided, however, that in addition to any vote of the holders of any class or series of stock of the Corporation required by law or by this Certificate of Incorporation, such action by stockholders shall require the affirmative vote of the holders of at least a majority of the voting power of all of the then-outstanding shares of capital stock of the corporation entitled to vote generally in the election of directors, voting together as a single class.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BOARD OF DIRECTORS</w:t>
      </w:r>
    </w:p>
    <w:p>
      <w:pPr>
        <w:spacing w:after="0" w:line="21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Number of Directors</w:t>
      </w:r>
      <w:r>
        <w:rPr>
          <w:rFonts w:ascii="Arial" w:cs="Arial" w:eastAsia="Arial" w:hAnsi="Arial"/>
          <w:sz w:val="19"/>
          <w:szCs w:val="19"/>
          <w:color w:val="auto"/>
        </w:rPr>
        <w:t>.</w:t>
      </w:r>
    </w:p>
    <w:p>
      <w:pPr>
        <w:spacing w:after="0" w:line="206" w:lineRule="exact"/>
        <w:rPr>
          <w:sz w:val="20"/>
          <w:szCs w:val="20"/>
          <w:color w:val="auto"/>
        </w:rPr>
      </w:pPr>
    </w:p>
    <w:p>
      <w:pPr>
        <w:ind w:right="20" w:firstLine="656"/>
        <w:spacing w:after="0" w:line="263" w:lineRule="auto"/>
        <w:tabs>
          <w:tab w:leader="none" w:pos="1315"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business and affairs of the Corporation shall be managed by or under the direction of the Board, except as otherwise provided by law.</w:t>
      </w:r>
    </w:p>
    <w:p>
      <w:pPr>
        <w:spacing w:after="0" w:line="161" w:lineRule="exact"/>
        <w:rPr>
          <w:rFonts w:ascii="Arial" w:cs="Arial" w:eastAsia="Arial" w:hAnsi="Arial"/>
          <w:sz w:val="22"/>
          <w:szCs w:val="22"/>
          <w:color w:val="auto"/>
        </w:rPr>
      </w:pPr>
    </w:p>
    <w:p>
      <w:pPr>
        <w:jc w:val="both"/>
        <w:ind w:firstLine="656"/>
        <w:spacing w:after="0" w:line="305" w:lineRule="auto"/>
        <w:tabs>
          <w:tab w:leader="none" w:pos="1174" w:val="left"/>
        </w:tabs>
        <w:numPr>
          <w:ilvl w:val="0"/>
          <w:numId w:val="67"/>
        </w:numPr>
        <w:rPr>
          <w:rFonts w:ascii="Arial" w:cs="Arial" w:eastAsia="Arial" w:hAnsi="Arial"/>
          <w:sz w:val="19"/>
          <w:szCs w:val="19"/>
          <w:color w:val="auto"/>
        </w:rPr>
      </w:pPr>
      <w:r>
        <w:rPr>
          <w:rFonts w:ascii="Arial" w:cs="Arial" w:eastAsia="Arial" w:hAnsi="Arial"/>
          <w:sz w:val="19"/>
          <w:szCs w:val="19"/>
          <w:color w:val="auto"/>
        </w:rPr>
        <w:t>Subject to the rights of holders of any series of Preferred Stock to elect directors, the number of the directors of the Corporation shall be fixed from time to time by resolution of the Board, but shall initially be eight (8) members. Unless and except to the extent that the Bylaws shall so require, the election of directors of the Corporation need not be by written ballot.</w:t>
      </w:r>
    </w:p>
    <w:p>
      <w:pPr>
        <w:spacing w:after="0" w:line="12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Terms of Office</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color w:val="auto"/>
        </w:rPr>
        <w:t xml:space="preserve">Subject to the rights of holders of any series of Preferred Stock to elect directors, each director shall serve for a term ending on the date of the next annual meeting of stockholders following the annual meeting of stockholders at which such director was elected;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the term of each director shall continue until the election and qualification of his or her successor and be subject to his or her earlier death, disqualification, resignation or removal.</w:t>
      </w:r>
    </w:p>
    <w:p>
      <w:pPr>
        <w:spacing w:after="0" w:line="17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8"/>
          <w:szCs w:val="18"/>
          <w:u w:val="single" w:color="auto"/>
          <w:color w:val="auto"/>
        </w:rPr>
        <w:t>Vacancies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Subject to the rights of holders of any series of Preferred Stock, any newly created directorship that results from an increase in the number of directors or any vacancies on the Board that result from the death, resignation, disqualification or removal from office or from any other cause shall be filled solely by the affirmative vote of a majority of the members of the Board then in office, even if less than a quorum of the Board, or by a sole remaining director, and shall not be filled by the stockholders. Any director so chosen shall hold office until his or her successor shall be duly elected and qualified or until his or her earlier death, disqualification,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5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Removal</w:t>
      </w:r>
    </w:p>
    <w:p>
      <w:pPr>
        <w:spacing w:after="0" w:line="220"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Subject to the rights of the holders of any series of Preferred Stock, any director may be removed from office at any time, with or without cause, by the affirmative vote of stockholders holding at least a majority in voting power of the shares of capital stock of the Corporation then entitled to vote generally in the election of directors, voting together as a single class.</w:t>
      </w:r>
    </w:p>
    <w:p>
      <w:pPr>
        <w:spacing w:after="0" w:line="12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Committees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 xml:space="preserve">For as long as the Expensify Voting Trust holds securities representing at least 50% of the voting power of outstanding capital stock of the Corporation, there shall be an Executive Committee of the Board, consisting of five (5) directors of the Corporation, which shall have and may exercise all the powers and authority of the Board in the management of the business and affairs of the Corporation, and may authorize the seal of the Corporation to be affixed to all papers that may require it;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committee shall not have power or authority in reference to the following matters: (i) matters that must be approved by an Audit Committee of the Board, (ii) matters that must be approved by a committee qualified to grant equity to persons subject to Section 16 of the Securities and Exchange Act of 1934, as amended, for purposes of exempting transactions pursuant to Section 16b-3 thereunder, (iii) matters required under the DGCL to be approved by the full Board, or (iv) as otherwise required by SEC rules and the Stock Exchange Rules. The Executive Committee may not delegate any or all of its powers and authority to a subcommittee.</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Stockholder Nominations and Introduction of Business</w:t>
      </w:r>
      <w:r>
        <w:rPr>
          <w:rFonts w:ascii="Arial" w:cs="Arial" w:eastAsia="Arial" w:hAnsi="Arial"/>
          <w:sz w:val="19"/>
          <w:szCs w:val="19"/>
          <w:color w:val="auto"/>
        </w:rPr>
        <w:t>.</w:t>
      </w:r>
    </w:p>
    <w:p>
      <w:pPr>
        <w:spacing w:after="0" w:line="22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Advance notice of stockholder nominations for election of directors and other business to be brought by stockholders before a meeting of stockholders shall be given in the manner provided by the Bylaws.</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Preferred Stock Directors</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During any period when the holders of any series of Preferred Stock have the right to elect additional directors as provided for or fixed pursuant to the provisions of Article IV hereof or any certificate of designation of any series of Preferred Stock,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the provisions of Article IV hereof or any certificate of designation of any series of Preferred Stock,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terms of office of all such directors shall forthwith terminate and the total authorized number of directors of the Corporation shall be reduced accordingly.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LIMITATION OF DIRECTOR LIABILITY</w:t>
      </w:r>
    </w:p>
    <w:p>
      <w:pPr>
        <w:spacing w:after="0" w:line="2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contained in this Article VIII shall eliminate or limit the liability of a director</w:t>
      </w:r>
    </w:p>
    <w:p>
      <w:pPr>
        <w:spacing w:after="0" w:line="1" w:lineRule="exact"/>
        <w:rPr>
          <w:sz w:val="20"/>
          <w:szCs w:val="20"/>
          <w:color w:val="auto"/>
        </w:rPr>
      </w:pPr>
    </w:p>
    <w:p>
      <w:pPr>
        <w:jc w:val="both"/>
        <w:ind w:firstLine="8"/>
        <w:spacing w:after="0" w:line="249" w:lineRule="auto"/>
        <w:tabs>
          <w:tab w:leader="none" w:pos="277" w:val="left"/>
        </w:tabs>
        <w:numPr>
          <w:ilvl w:val="0"/>
          <w:numId w:val="68"/>
        </w:numPr>
        <w:rPr>
          <w:rFonts w:ascii="Arial" w:cs="Arial" w:eastAsia="Arial" w:hAnsi="Arial"/>
          <w:sz w:val="21"/>
          <w:szCs w:val="21"/>
          <w:color w:val="auto"/>
        </w:rPr>
      </w:pPr>
      <w:r>
        <w:rPr>
          <w:rFonts w:ascii="Arial" w:cs="Arial" w:eastAsia="Arial" w:hAnsi="Arial"/>
          <w:sz w:val="21"/>
          <w:szCs w:val="21"/>
          <w:color w:val="auto"/>
        </w:rPr>
        <w:t>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No amendment, repeal or modification of this Article VIII shall apply to or have any adverse effect on any right or protection of, or any limitation of the liability of, a director of the Corporation existing at the time of such amendment, repeal or modification with respect to acts or omissions occurring prior to such repeal or modification.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39"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STOCKHOLDERS IN LIEU OF MEETING</w:t>
      </w:r>
    </w:p>
    <w:p>
      <w:pPr>
        <w:spacing w:after="0" w:line="21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Subject to the terms of any series of Preferred Stock, (i) prior to the date on which the Expensify Voting Trust ceases to hold securities representing at least a majority of the voting power of outstanding capital stock of the Corporation, any action required or permitted to be taken by the stockholders of the Corporation may be effected by consent in lieu of a meeting and (ii) following such date, any action required or permitted to be taken by the stockholders of the Corporation must be effected at an annual or special meeting of the stockholders and may not be effected by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SPECIAL MEETING OF STOCKHOLDERS</w:t>
      </w:r>
    </w:p>
    <w:p>
      <w:pPr>
        <w:spacing w:after="0" w:line="21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Subject to the terms of any series of Preferred Stock, special meetings of stockholders for any purpose or purposes may be called at any time by or at the direction of (i) the Board, (ii) the Chairman of the Board, (iii) the Chief Executive Officer of the Corporation or (iv) prior to the date on which the Expensify Voting Trust ceases to hold securities representing at least a majority of the voting power of outstanding capital stock of the Corporation, the holders of a majority of the total voting power of the outstanding shares of capital stock of the Corporation entitled to vote generally in the election of directors. Business transacted at any special meeting of stockholders shall be limited to matters relating to the purpose or purposes stated in the notice of meeting.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FORUM SELECTION</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Unless the Corporation consents in writing to the selection of an alternative forum, (a) the Court of Chancery (the “</w:t>
      </w:r>
      <w:r>
        <w:rPr>
          <w:rFonts w:ascii="Arial" w:cs="Arial" w:eastAsia="Arial" w:hAnsi="Arial"/>
          <w:sz w:val="19"/>
          <w:szCs w:val="19"/>
          <w:u w:val="single" w:color="auto"/>
          <w:color w:val="auto"/>
        </w:rPr>
        <w:t>Chancery Court</w:t>
      </w:r>
      <w:r>
        <w:rPr>
          <w:rFonts w:ascii="Arial" w:cs="Arial" w:eastAsia="Arial" w:hAnsi="Arial"/>
          <w:sz w:val="19"/>
          <w:szCs w:val="19"/>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other employee or stockholder of the Corporation to the Corporation or to the Corporation’s stockholders, (iii) any action, suit or proceeding arising pursuant to any provision of the DGCL or the bylaws of the Corporation or this Restated Certificate (as either may be amended or restated from time to time) or as to which the DGCL confers jurisdiction on the Chancery Court or (iv) any action, suit or proceeding asserting a claim against the Corporation governed by the internal affairs doctrine of the law of the State of Delaware; and (b) subject to the preceding provisions of this Article X, the federal district courts of the United States of America shall be the exclusive forum for the resolution of any complaint asserting a cause or causes of action arising under the Securities Act of 1933, as amended. If any action the subject matter of which is within the scope of clause (a) of the immediately preceding sentence is filed in a court other than the courts in the State of Delaware (a “</w:t>
      </w:r>
      <w:r>
        <w:rPr>
          <w:rFonts w:ascii="Arial" w:cs="Arial" w:eastAsia="Arial" w:hAnsi="Arial"/>
          <w:sz w:val="19"/>
          <w:szCs w:val="19"/>
          <w:u w:val="single" w:color="auto"/>
          <w:color w:val="auto"/>
        </w:rPr>
        <w:t>Foreign Action</w:t>
      </w:r>
      <w:r>
        <w:rPr>
          <w:rFonts w:ascii="Arial" w:cs="Arial" w:eastAsia="Arial" w:hAnsi="Arial"/>
          <w:sz w:val="19"/>
          <w:szCs w:val="19"/>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color w:val="auto"/>
        </w:rPr>
        <w:t>Any person or entity purchasing or otherwise acquiring or holding any interest in any security of the Corporation shall be deemed to have notice of and consented to this Article X.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tabs>
          <w:tab w:leader="none" w:pos="200" w:val="left"/>
          <w:tab w:leader="none" w:pos="200" w:val="left"/>
        </w:tabs>
        <w:rPr>
          <w:sz w:val="20"/>
          <w:szCs w:val="20"/>
          <w:color w:val="auto"/>
        </w:rPr>
      </w:pPr>
      <w:r>
        <w:rPr>
          <w:rFonts w:ascii="Arial" w:cs="Arial" w:eastAsia="Arial" w:hAnsi="Arial"/>
          <w:sz w:val="22"/>
          <w:szCs w:val="22"/>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77" w:lineRule="exact"/>
        <w:rPr>
          <w:sz w:val="20"/>
          <w:szCs w:val="20"/>
          <w:color w:val="auto"/>
        </w:rPr>
      </w:pPr>
    </w:p>
    <w:p>
      <w:pPr>
        <w:ind w:right="340" w:firstLine="648"/>
        <w:spacing w:after="0" w:line="302" w:lineRule="auto"/>
        <w:rPr>
          <w:sz w:val="20"/>
          <w:szCs w:val="20"/>
          <w:color w:val="auto"/>
        </w:rPr>
      </w:pPr>
      <w:r>
        <w:rPr>
          <w:rFonts w:ascii="Arial" w:cs="Arial" w:eastAsia="Arial" w:hAnsi="Arial"/>
          <w:sz w:val="22"/>
          <w:szCs w:val="22"/>
          <w:color w:val="auto"/>
        </w:rPr>
        <w:t>IN WITNESS WHEREOF, this Amended and Restated Certificate of Incorporation has been executed this 15th day of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40"/>
        <w:spacing w:after="0"/>
        <w:rPr>
          <w:sz w:val="20"/>
          <w:szCs w:val="20"/>
          <w:color w:val="auto"/>
        </w:rPr>
      </w:pPr>
      <w:r>
        <w:rPr>
          <w:rFonts w:ascii="Arial" w:cs="Arial" w:eastAsia="Arial" w:hAnsi="Arial"/>
          <w:sz w:val="22"/>
          <w:szCs w:val="22"/>
          <w:b w:val="1"/>
          <w:bCs w:val="1"/>
          <w:color w:val="auto"/>
        </w:rPr>
        <w:t>EXPENSIFY, INC.</w:t>
      </w:r>
    </w:p>
    <w:p>
      <w:pPr>
        <w:spacing w:after="0" w:line="200" w:lineRule="exact"/>
        <w:rPr>
          <w:sz w:val="20"/>
          <w:szCs w:val="20"/>
          <w:color w:val="auto"/>
        </w:rPr>
      </w:pPr>
    </w:p>
    <w:p>
      <w:pPr>
        <w:spacing w:after="0" w:line="36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22"/>
          <w:szCs w:val="22"/>
          <w:color w:val="auto"/>
        </w:rPr>
        <w:t>By:</w:t>
        <w:tab/>
        <w:t>/s/ David Barrett</w:t>
      </w:r>
    </w:p>
    <w:p>
      <w:pPr>
        <w:spacing w:after="0" w:line="21" w:lineRule="exact"/>
        <w:rPr>
          <w:sz w:val="20"/>
          <w:szCs w:val="20"/>
          <w:color w:val="auto"/>
        </w:rPr>
      </w:pPr>
    </w:p>
    <w:tbl>
      <w:tblPr>
        <w:tblLayout w:type="fixed"/>
        <w:tblInd w:w="6960" w:type="dxa"/>
        <w:tblCellMar>
          <w:top w:w="0" w:type="dxa"/>
          <w:left w:w="0" w:type="dxa"/>
          <w:bottom w:w="0" w:type="dxa"/>
          <w:right w:w="0" w:type="dxa"/>
        </w:tblCellMar>
      </w:tblPr>
      <w:tr>
        <w:trPr>
          <w:trHeight w:val="259"/>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520" w:type="dxa"/>
            <w:vAlign w:val="bottom"/>
            <w:tcBorders>
              <w:top w:val="single" w:sz="8" w:color="auto"/>
            </w:tcBorders>
          </w:tcPr>
          <w:p>
            <w:pPr>
              <w:ind w:left="180"/>
              <w:spacing w:after="0"/>
              <w:rPr>
                <w:sz w:val="20"/>
                <w:szCs w:val="20"/>
                <w:color w:val="auto"/>
              </w:rPr>
            </w:pPr>
            <w:r>
              <w:rPr>
                <w:rFonts w:ascii="Arial" w:cs="Arial" w:eastAsia="Arial" w:hAnsi="Arial"/>
                <w:sz w:val="22"/>
                <w:szCs w:val="22"/>
                <w:color w:val="auto"/>
              </w:rPr>
              <w:t>David Barrett</w:t>
            </w:r>
          </w:p>
        </w:tc>
      </w:tr>
      <w:tr>
        <w:trPr>
          <w:trHeight w:val="274"/>
        </w:trPr>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520" w:type="dxa"/>
            <w:vAlign w:val="bottom"/>
          </w:tcPr>
          <w:p>
            <w:pPr>
              <w:ind w:left="18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RETIREMENT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670 SHARES OF LT10 COMMON STOCK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EXPENSIFY, INC.</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243(b)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State of Delaware</w:t>
      </w:r>
    </w:p>
    <w:p>
      <w:pPr>
        <w:spacing w:after="0" w:line="23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Expensify, Inc.,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(hereinafter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97" w:lineRule="exact"/>
        <w:rPr>
          <w:sz w:val="20"/>
          <w:szCs w:val="20"/>
          <w:color w:val="auto"/>
        </w:rPr>
      </w:pPr>
    </w:p>
    <w:p>
      <w:pPr>
        <w:ind w:left="660" w:right="22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670 outstanding shares of LT10 Common Stock, par value $0.0001 per share (“</w:t>
      </w:r>
      <w:r>
        <w:rPr>
          <w:rFonts w:ascii="Arial" w:cs="Arial" w:eastAsia="Arial" w:hAnsi="Arial"/>
          <w:sz w:val="17"/>
          <w:szCs w:val="17"/>
          <w:u w:val="single" w:color="auto"/>
          <w:color w:val="auto"/>
        </w:rPr>
        <w:t>LT10 Common Stock”</w:t>
      </w:r>
      <w:r>
        <w:rPr>
          <w:rFonts w:ascii="Arial" w:cs="Arial" w:eastAsia="Arial" w:hAnsi="Arial"/>
          <w:sz w:val="17"/>
          <w:szCs w:val="17"/>
          <w:color w:val="auto"/>
        </w:rPr>
        <w:t>), of the Corporation have been converted into 670 shares of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of the Corporation.</w:t>
      </w:r>
    </w:p>
    <w:p>
      <w:pPr>
        <w:spacing w:after="0" w:line="78"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Board of Directors of the Corporation has adopted resolutions retiring the 670 shares of LT10 Common Stock that converted into 670 shares of Class A Common Stock.</w:t>
      </w:r>
    </w:p>
    <w:p>
      <w:pPr>
        <w:spacing w:after="0" w:line="89"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670 shares, such that the total number of authorized shares of the Corporation shall be 1,059,999,330, such shares consisting of 1,000,000,000 shares designated Class A Common Stock, 24,999,330 shares designated LT10 Common Stock, 25,000,000 shares designated LT50 common stock, par value $0.0001 per share, of the Corporation, and 10,000,000 shares designated preferred stock, par value $0.0001 per share, of the Corporation.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Corporation has caused this Certificate of Retirement to be signed by its duly authorized officer, this 26th day of April, 2022.</w:t>
      </w:r>
    </w:p>
    <w:p>
      <w:pPr>
        <w:spacing w:after="0" w:line="234"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Arial" w:cs="Arial" w:eastAsia="Arial" w:hAnsi="Arial"/>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14605</wp:posOffset>
            </wp:positionV>
            <wp:extent cx="13030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Cole Eason</w:t>
      </w:r>
    </w:p>
    <w:p>
      <w:pPr>
        <w:spacing w:after="0" w:line="23"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320" w:top="1440" w:right="739" w:bottom="1440" w:gutter="0" w:footer="0" w:header="0"/>
        </w:sectPr>
      </w:pPr>
    </w:p>
    <w:bookmarkStart w:id="157" w:name="page158"/>
    <w:bookmarkEnd w:id="157"/>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RETIREMENT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830 SHARES OF LT50 COMMON STOCK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EXPENSIFY, INC.</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243(b)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State of Delaware</w:t>
      </w:r>
    </w:p>
    <w:p>
      <w:pPr>
        <w:spacing w:after="0" w:line="23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Expensify, Inc.,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(hereinafter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97" w:lineRule="exact"/>
        <w:rPr>
          <w:sz w:val="20"/>
          <w:szCs w:val="20"/>
          <w:color w:val="auto"/>
        </w:rPr>
      </w:pPr>
    </w:p>
    <w:p>
      <w:pPr>
        <w:ind w:left="660" w:right="22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830 outstanding shares of LT50 Common Stock, par value $0.0001 per share (“</w:t>
      </w:r>
      <w:r>
        <w:rPr>
          <w:rFonts w:ascii="Arial" w:cs="Arial" w:eastAsia="Arial" w:hAnsi="Arial"/>
          <w:sz w:val="17"/>
          <w:szCs w:val="17"/>
          <w:u w:val="single" w:color="auto"/>
          <w:color w:val="auto"/>
        </w:rPr>
        <w:t>LT50 Common Stock”</w:t>
      </w:r>
      <w:r>
        <w:rPr>
          <w:rFonts w:ascii="Arial" w:cs="Arial" w:eastAsia="Arial" w:hAnsi="Arial"/>
          <w:sz w:val="17"/>
          <w:szCs w:val="17"/>
          <w:color w:val="auto"/>
        </w:rPr>
        <w:t>), of the Corporation have been converted into 830 shares of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of the Corporation.</w:t>
      </w:r>
    </w:p>
    <w:p>
      <w:pPr>
        <w:spacing w:after="0" w:line="78"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Corporation filed with the Secretary of State of the State of Delaware on November 15, 2021 provides that any shares of LT50 Common Stock which are converted into shares of Class A Common Stock shall be retired and may not be reissued by the Corporation.</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Board of Directors of the Corporation has adopted resolutions retiring the 830 shares of LT50 Common Stock that converted into 830 shares of Class A Common Stock.</w:t>
      </w:r>
    </w:p>
    <w:p>
      <w:pPr>
        <w:spacing w:after="0" w:line="89"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830 shares, such that the total number of authorized shares of the Corporation shall be 1,059,998,500, such shares consisting of 1,000,000,000 shares designated Class A Common Stock, 24,999,330 shares designated LT10 Common Stock, 24,999,170 shares designated LT50 common stock, par value $0.0001 per share, of the Corporation, and 10,000,000 shares designated preferred stock, par value $0.0001 per share, of the Corporation.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Corporation has caused this Certificate of Retirement to be signed by its duly authorized officer, this 27th day of May, 2022.</w:t>
      </w:r>
    </w:p>
    <w:p>
      <w:pPr>
        <w:spacing w:after="0" w:line="312"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Arial" w:cs="Arial" w:eastAsia="Arial" w:hAnsi="Arial"/>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14605</wp:posOffset>
            </wp:positionV>
            <wp:extent cx="13030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Cole Eason</w:t>
      </w:r>
    </w:p>
    <w:p>
      <w:pPr>
        <w:spacing w:after="0" w:line="23"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RETIREMENT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1,769 SHARES OF LT10 COMMON STOCK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EXPENSIFY, INC.</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243(b)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State of Delaware</w:t>
      </w:r>
    </w:p>
    <w:p>
      <w:pPr>
        <w:spacing w:after="0" w:line="23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Expensify, Inc.,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(hereinafter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97" w:lineRule="exact"/>
        <w:rPr>
          <w:sz w:val="20"/>
          <w:szCs w:val="20"/>
          <w:color w:val="auto"/>
        </w:rPr>
      </w:pPr>
    </w:p>
    <w:p>
      <w:pPr>
        <w:ind w:left="660" w:right="60" w:hanging="328"/>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1,769 outstanding shares of LT10 Common Stock, par value $0.0001 per share (“</w:t>
      </w:r>
      <w:r>
        <w:rPr>
          <w:rFonts w:ascii="Arial" w:cs="Arial" w:eastAsia="Arial" w:hAnsi="Arial"/>
          <w:sz w:val="17"/>
          <w:szCs w:val="17"/>
          <w:u w:val="single" w:color="auto"/>
          <w:color w:val="auto"/>
        </w:rPr>
        <w:t>LT10 Common Stock”</w:t>
      </w:r>
      <w:r>
        <w:rPr>
          <w:rFonts w:ascii="Arial" w:cs="Arial" w:eastAsia="Arial" w:hAnsi="Arial"/>
          <w:sz w:val="17"/>
          <w:szCs w:val="17"/>
          <w:color w:val="auto"/>
        </w:rPr>
        <w:t>), of the Corporation have been converted into 1,769 shares of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of the Corporation.</w:t>
      </w:r>
    </w:p>
    <w:p>
      <w:pPr>
        <w:spacing w:after="0" w:line="7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Board of Directors of the Corporation has adopted resolutions retiring the 1,769 shares of LT10 Common Stock that converted into 1,769 shares of Class A Common Stock.</w:t>
      </w:r>
    </w:p>
    <w:p>
      <w:pPr>
        <w:spacing w:after="0" w:line="89"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1,769 shares, such that the total number of authorized shares of the Corporation shall be 1,059,996,731, such shares consisting of 1,000,000,000 shares designated Class A Common Stock, 24,997,561 shares designated LT10 Common Stock, 24,999,170 shares designated LT50 common stock, par value $0.0001 per share, of the Corporation, and 10,000,000 shares designated preferred stock, par value $0.0001 per share, of the Corporation.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440" w:right="379" w:bottom="1440" w:gutter="0" w:footer="0" w:header="0"/>
        </w:sectPr>
      </w:pPr>
    </w:p>
    <w:bookmarkStart w:id="160" w:name="page161"/>
    <w:bookmarkEnd w:id="160"/>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Corporation has caused this Certificate of Retirement to be signed by its duly authorized officer, this 4th day of August, 2022.</w:t>
      </w:r>
    </w:p>
    <w:p>
      <w:pPr>
        <w:spacing w:after="0" w:line="234"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Arial" w:cs="Arial" w:eastAsia="Arial" w:hAnsi="Arial"/>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14605</wp:posOffset>
            </wp:positionV>
            <wp:extent cx="13030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Cole Eason</w:t>
      </w:r>
    </w:p>
    <w:p>
      <w:pPr>
        <w:spacing w:after="0" w:line="23"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1440" w:right="699" w:bottom="1440" w:gutter="0" w:footer="0" w:header="0"/>
        </w:sectPr>
      </w:pPr>
    </w:p>
    <w:bookmarkStart w:id="161" w:name="page162"/>
    <w:bookmarkEnd w:id="161"/>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RETIREMENT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150 SHARES OF LT50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EXPENSIFY, INC.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243(b)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State of Delaware</w:t>
      </w:r>
    </w:p>
    <w:p>
      <w:pPr>
        <w:spacing w:after="0" w:line="23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Expensify, Inc.,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(hereinafter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97" w:lineRule="exact"/>
        <w:rPr>
          <w:sz w:val="20"/>
          <w:szCs w:val="20"/>
          <w:color w:val="auto"/>
        </w:rPr>
      </w:pPr>
    </w:p>
    <w:p>
      <w:pPr>
        <w:ind w:left="660" w:right="24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150 outstanding shares of LT50 Common Stock, par value $0.0001 per share (“</w:t>
      </w:r>
      <w:r>
        <w:rPr>
          <w:rFonts w:ascii="Arial" w:cs="Arial" w:eastAsia="Arial" w:hAnsi="Arial"/>
          <w:sz w:val="17"/>
          <w:szCs w:val="17"/>
          <w:u w:val="single" w:color="auto"/>
          <w:color w:val="auto"/>
        </w:rPr>
        <w:t>LT50 Common Stock”</w:t>
      </w:r>
      <w:r>
        <w:rPr>
          <w:rFonts w:ascii="Arial" w:cs="Arial" w:eastAsia="Arial" w:hAnsi="Arial"/>
          <w:sz w:val="17"/>
          <w:szCs w:val="17"/>
          <w:color w:val="auto"/>
        </w:rPr>
        <w:t>), of the Corporation have been converted into 150 shares of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of the Corporation.</w:t>
      </w:r>
    </w:p>
    <w:p>
      <w:pPr>
        <w:spacing w:after="0" w:line="7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Board of Directors of the Corporation has adopted resolutions retiring the 150 shares of LT50 Common Stock that converted into 150 shares of Class A Common Stock.</w:t>
      </w:r>
    </w:p>
    <w:p>
      <w:pPr>
        <w:spacing w:after="0" w:line="89"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150 shares, such that the total number of authorized shares of the Corporation shall be 1,059,996,581, such shares consisting of 1,000,000,000 shares designated Class A Common Stock, 24,997,561 shares designated LT10 Common Stock, 24,999,020 shares designated LT50 Common Stock, par value of $0.0001 per share, of the Corporation, and 10,000,000 shares designated preferred stock, par value $0.0001 per share, of the Corporation.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Corporation has caused this Certificate of Retirement to be signed by its duly authorized officer, this 22nd day of November, 2022.</w:t>
      </w:r>
    </w:p>
    <w:p>
      <w:pPr>
        <w:spacing w:after="0" w:line="234"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Arial" w:cs="Arial" w:eastAsia="Arial" w:hAnsi="Arial"/>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14605</wp:posOffset>
            </wp:positionV>
            <wp:extent cx="13030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Cole Eason</w:t>
      </w:r>
    </w:p>
    <w:p>
      <w:pPr>
        <w:spacing w:after="0" w:line="23"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00"/>
          </w:cols>
          <w:pgMar w:left="320" w:top="1440" w:right="1179" w:bottom="1440" w:gutter="0" w:footer="0" w:header="0"/>
        </w:sectPr>
      </w:pPr>
    </w:p>
    <w:bookmarkStart w:id="163" w:name="page164"/>
    <w:bookmarkEnd w:id="163"/>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RETIREMENT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735 SHARES OF LT10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EXPENSIFY, INC.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243(b)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State of Delaware</w:t>
      </w:r>
    </w:p>
    <w:p>
      <w:pPr>
        <w:spacing w:after="0" w:line="23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Expensify, Inc.,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(hereinafter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97" w:lineRule="exact"/>
        <w:rPr>
          <w:sz w:val="20"/>
          <w:szCs w:val="20"/>
          <w:color w:val="auto"/>
        </w:rPr>
      </w:pPr>
    </w:p>
    <w:p>
      <w:pPr>
        <w:ind w:left="660" w:right="240" w:hanging="328"/>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735 outstanding shares of LT10 Common Stock, par value $0.0001 per share (“</w:t>
      </w:r>
      <w:r>
        <w:rPr>
          <w:rFonts w:ascii="Arial" w:cs="Arial" w:eastAsia="Arial" w:hAnsi="Arial"/>
          <w:sz w:val="17"/>
          <w:szCs w:val="17"/>
          <w:u w:val="single" w:color="auto"/>
          <w:color w:val="auto"/>
        </w:rPr>
        <w:t>LT10 Common Stock”</w:t>
      </w:r>
      <w:r>
        <w:rPr>
          <w:rFonts w:ascii="Arial" w:cs="Arial" w:eastAsia="Arial" w:hAnsi="Arial"/>
          <w:sz w:val="17"/>
          <w:szCs w:val="17"/>
          <w:color w:val="auto"/>
        </w:rPr>
        <w:t>), of the Corporation have been converted into 735 shares of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of the Corporation.</w:t>
      </w:r>
    </w:p>
    <w:p>
      <w:pPr>
        <w:spacing w:after="0" w:line="7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Board of Directors of the Corporation has adopted resolutions retiring the 735 shares of LT10 Common Stock that converted into 735 shares of Class A Common Stock.</w:t>
      </w:r>
    </w:p>
    <w:p>
      <w:pPr>
        <w:spacing w:after="0" w:line="89"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735 shares, such that the total number of authorized shares of the Corporation shall be 1,059,995,846, such shares consisting of 1,000,000,000 shares designated Class A Common Stock, 24,996,826 shares designated LT10 Common Stock, 24,999,020 shares designated LT50 Common Stock, par value of $0.0001 per share, of the Corporation, and 10,000,000 shares designated preferred stock, par value $0.0001 per share, of the Corporation.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Corporation has caused this Certificate of Retirement to be signed by its duly authorized officer, this 8th day of February, 2023.</w:t>
      </w:r>
    </w:p>
    <w:p>
      <w:pPr>
        <w:spacing w:after="0" w:line="234"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Arial" w:cs="Arial" w:eastAsia="Arial" w:hAnsi="Arial"/>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14605</wp:posOffset>
            </wp:positionV>
            <wp:extent cx="13030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Cole Eason</w:t>
      </w:r>
    </w:p>
    <w:p>
      <w:pPr>
        <w:spacing w:after="0" w:line="23"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320" w:top="1440" w:right="57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Exhibit 4.5</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0"/>
          <w:szCs w:val="20"/>
          <w:color w:val="auto"/>
        </w:rPr>
      </w:pPr>
    </w:p>
    <w:p>
      <w:pPr>
        <w:spacing w:after="0" w:line="218" w:lineRule="exact"/>
        <w:rPr>
          <w:sz w:val="20"/>
          <w:szCs w:val="20"/>
          <w:color w:val="auto"/>
        </w:rPr>
      </w:pPr>
    </w:p>
    <w:p>
      <w:pPr>
        <w:ind w:right="60"/>
        <w:spacing w:after="0" w:line="266" w:lineRule="auto"/>
        <w:rPr>
          <w:sz w:val="20"/>
          <w:szCs w:val="20"/>
          <w:color w:val="auto"/>
        </w:rPr>
      </w:pPr>
      <w:r>
        <w:rPr>
          <w:rFonts w:ascii="Arial" w:cs="Arial" w:eastAsia="Arial" w:hAnsi="Arial"/>
          <w:sz w:val="21"/>
          <w:szCs w:val="21"/>
          <w:i w:val="1"/>
          <w:iCs w:val="1"/>
          <w:color w:val="auto"/>
        </w:rPr>
        <w:t>The following summary describes the capital stock of Expensify, Inc. (the “company,” “we,” “us,” and “our”). Because the following is only a summary, it does not contain all of the information that may be important to you and is qualified in its entirety by reference to the applicable provisions of the Delaware General Corporate Law (the “DGCL”) and by the full text of our amended and restated certificate of incorporation and amended and restated bylaws, copies of which have been filed as exhibits to our Annual Report on Form 10-K for the fiscal year ended December 31, 2022.</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General</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 total number of shares of all classes of stock we are authorized to issue is 1,059,995,846, consisting of:</w:t>
      </w:r>
    </w:p>
    <w:p>
      <w:pPr>
        <w:spacing w:after="0" w:line="152" w:lineRule="exact"/>
        <w:rPr>
          <w:sz w:val="20"/>
          <w:szCs w:val="20"/>
          <w:color w:val="auto"/>
        </w:rPr>
      </w:pPr>
    </w:p>
    <w:p>
      <w:pPr>
        <w:ind w:left="1300" w:hanging="320"/>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1,000,000,000 shares of Class A common stock, par value $0.0001 per share;</w:t>
      </w:r>
    </w:p>
    <w:p>
      <w:pPr>
        <w:spacing w:after="0" w:line="152" w:lineRule="exact"/>
        <w:rPr>
          <w:rFonts w:ascii="Arial" w:cs="Arial" w:eastAsia="Arial" w:hAnsi="Arial"/>
          <w:sz w:val="22"/>
          <w:szCs w:val="22"/>
          <w:color w:val="auto"/>
        </w:rPr>
      </w:pPr>
    </w:p>
    <w:p>
      <w:pPr>
        <w:ind w:left="1300" w:hanging="320"/>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24,996,826 shares of LT10 common stock, par value $0.0001 per share;</w:t>
      </w:r>
    </w:p>
    <w:p>
      <w:pPr>
        <w:spacing w:after="0" w:line="152" w:lineRule="exact"/>
        <w:rPr>
          <w:rFonts w:ascii="Arial" w:cs="Arial" w:eastAsia="Arial" w:hAnsi="Arial"/>
          <w:sz w:val="22"/>
          <w:szCs w:val="22"/>
          <w:color w:val="auto"/>
        </w:rPr>
      </w:pPr>
    </w:p>
    <w:p>
      <w:pPr>
        <w:ind w:left="1300" w:hanging="320"/>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24,999,020 shares of LT50 common stock, par value $0.0001 per share; and</w:t>
      </w:r>
    </w:p>
    <w:p>
      <w:pPr>
        <w:spacing w:after="0" w:line="138" w:lineRule="exact"/>
        <w:rPr>
          <w:rFonts w:ascii="Arial" w:cs="Arial" w:eastAsia="Arial" w:hAnsi="Arial"/>
          <w:sz w:val="22"/>
          <w:szCs w:val="22"/>
          <w:color w:val="auto"/>
        </w:rPr>
      </w:pPr>
    </w:p>
    <w:p>
      <w:pPr>
        <w:ind w:left="1300" w:hanging="320"/>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10,000,000 shares of preferred stock, par value $0.0001 per share.</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Common Stock</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We have three classes of authorized common stock: Class A common stock, LT10 common stock and LT50 common stock. The rights of the holders of Class A common stock, LT10 common stock and LT50 common stock are identical, except with respect to voting, conversion and transfer rights.</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Voting</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Each holder of our Class A common stock is entitled to one vote per share, each holder of our LT10 common stock is entitled to 10 votes per share and each holder of our LT50 common stock is entitled to 50 votes per share on all matters submitted to a vote of the 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LT10 or LT50 common stock to vote separately as a single class in the following circumstances:</w:t>
      </w:r>
    </w:p>
    <w:p>
      <w:pPr>
        <w:spacing w:after="0" w:line="221" w:lineRule="exact"/>
        <w:rPr>
          <w:sz w:val="20"/>
          <w:szCs w:val="20"/>
          <w:color w:val="auto"/>
        </w:rPr>
      </w:pPr>
    </w:p>
    <w:p>
      <w:pPr>
        <w:ind w:left="660" w:right="220" w:hanging="4"/>
        <w:spacing w:after="0" w:line="253" w:lineRule="auto"/>
        <w:tabs>
          <w:tab w:leader="none" w:pos="1303"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225" w:lineRule="exact"/>
        <w:rPr>
          <w:rFonts w:ascii="Arial" w:cs="Arial" w:eastAsia="Arial" w:hAnsi="Arial"/>
          <w:sz w:val="22"/>
          <w:szCs w:val="22"/>
          <w:color w:val="auto"/>
        </w:rPr>
      </w:pPr>
    </w:p>
    <w:p>
      <w:pPr>
        <w:ind w:left="660" w:right="680" w:hanging="4"/>
        <w:spacing w:after="0" w:line="263" w:lineRule="auto"/>
        <w:tabs>
          <w:tab w:leader="none" w:pos="1303"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we were to seek to amend our amended and restated certificate of incorporation in a manner that alters or changes the powers, preferences or special rights of a class of</w:t>
      </w:r>
    </w:p>
    <w:p>
      <w:pPr>
        <w:sectPr>
          <w:pgSz w:w="11900" w:h="16838" w:orient="portrait"/>
          <w:cols w:equalWidth="0" w:num="1">
            <w:col w:w="11240"/>
          </w:cols>
          <w:pgMar w:left="320" w:top="126" w:right="339" w:bottom="1440" w:gutter="0" w:footer="0" w:header="0"/>
        </w:sectPr>
      </w:pPr>
    </w:p>
    <w:bookmarkStart w:id="166" w:name="page167"/>
    <w:bookmarkEnd w:id="166"/>
    <w:p>
      <w:pPr>
        <w:spacing w:after="0" w:line="393" w:lineRule="exact"/>
        <w:rPr>
          <w:sz w:val="20"/>
          <w:szCs w:val="20"/>
          <w:color w:val="auto"/>
        </w:rPr>
      </w:pPr>
    </w:p>
    <w:p>
      <w:pPr>
        <w:ind w:left="660" w:right="20"/>
        <w:spacing w:after="0" w:line="270" w:lineRule="auto"/>
        <w:rPr>
          <w:sz w:val="20"/>
          <w:szCs w:val="20"/>
          <w:color w:val="auto"/>
        </w:rPr>
      </w:pPr>
      <w:r>
        <w:rPr>
          <w:rFonts w:ascii="Arial" w:cs="Arial" w:eastAsia="Arial" w:hAnsi="Arial"/>
          <w:sz w:val="21"/>
          <w:szCs w:val="21"/>
          <w:color w:val="auto"/>
        </w:rPr>
        <w:t>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auto"/>
        </w:rPr>
        <w:t>Our amended and restated certificate of incorporation does not provide for cumulative voting for the election of directors.</w:t>
      </w: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Dividend Rights</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The holders of our Class A, LT10 and LT50 common stock are entitled to receive dividends if, as and when declared from time to time by our board of directors out of legally available funds. Subject to applicable law and the rights, if any, of the holders of any outstanding series of our preferred stock or any class or series having a preference over or the right to participate with the Class A, LT10 or LT50 common stock with respect to the payment of dividends in cash, our property or our shares of capital stock, dividends may be declared and paid on the shares of Class A, LT10 or LT50 common stock out of any assets of ours legally available therefore at such time and in such amounts as our board of directors shall determine; provided that if a dividend or distribution is paid in the form of Class A common stock, LT10 common stock or LT50 common stock, respectively (or in rights to acquire, or securities convertible into or exchangeable for, such shares), then holders of Class A common stock shall be entitled to receive shares of Class A common stock (or rights to acquire, or securities convertible into or exchangeable for, such shares), holders of LT10 common stock shall be entitled to receive shares of LT10 common stock (or rights to acquire, or securities convertible into or exchangeable for, such shares), and holders of LT50 common stock shall be entitled to receive shares of LT50 common stock (or rights to acquire, or securities convertible into or exchangeable for, such shares), with holders of shares of Class A, LT10 and LT50 common stock receiving, on a per share basis, an identical number of shares of Class A, LT10 or LT50 common stock (or rights to acquire, or securities convertible into or exchangeable for, such shares, as the case may be), as applicable. Notwithstanding the foregoing, our board of directors may declare and we may pay a disparate dividend per share of Class A, LT10 or LT50 common stock (whether the disparity shall be in the amount of such dividend payable per share, the form in which such dividend is payable (whether it shall be payable in cash, shares of our capital stock, other of our securities or any combination of the foregoing), the timing of the payment or otherwise).</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Conversion and Transfer</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Shares of our Class A common stock are not convertible. Each share of Class A common stock is freely transferable, subject to compliance with any applicable lock-up, vesting requirements under our equity plans, laws, rules and regulations, and our insider trading policy.</w:t>
      </w:r>
    </w:p>
    <w:p>
      <w:pPr>
        <w:spacing w:after="0" w:line="207"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Each share of our LT10 and LT50 common stock is convertible into one share of our Class A common stock at the option of the holder solely upon the satisfaction of and subject to certain requirements described in our amended and restated certificate of incorporation. Shares of LT10</w:t>
      </w:r>
    </w:p>
    <w:p>
      <w:pPr>
        <w:sectPr>
          <w:pgSz w:w="11900" w:h="16838" w:orient="portrait"/>
          <w:cols w:equalWidth="0" w:num="1">
            <w:col w:w="11200"/>
          </w:cols>
          <w:pgMar w:left="320" w:top="1440" w:right="379" w:bottom="1440" w:gutter="0" w:footer="0" w:header="0"/>
        </w:sectPr>
      </w:pPr>
    </w:p>
    <w:bookmarkStart w:id="167" w:name="page168"/>
    <w:bookmarkEnd w:id="167"/>
    <w:p>
      <w:pPr>
        <w:spacing w:after="0" w:line="393"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and LT50 common stock may be sold or transferred only upon satisfaction of and subject to certain requirements described in our amended and restated certificate of incorporation. Each share of LT10 or LT50 common stock will automatically convert into one share of Class A common stock upon the occurrence of a transfer in accordance with such requirements unless such transfer is a "Non-Converting Transfer." A "Non-Converting Transfer" means a transfer (i) to the Voting Trust (as defined below), (ii) in an LT Exchange (as defined below) or (iii) approved by the affirmative vote of a majority of the members of our board of directors. Our amended and restated certificate of incorporation also permits a majority of the members of our board of directors to waive other requirements applicable to transfer or conversion of LT10 and LT50 common stock, including the notice period described below. Additionally, our amended and restated certificate of incorporation provides that upon the death of a holder of LT10 and/or LT50 common stock, the transfer of the decedent's shares of LT10 and/or LT50 common stock to the decedent's estate will not be deemed a "transfer," and so will not be subject to the transfer requirements described in our amended and restated certificate of incorporation, and such shares will remain shares of LT10 and/or LT50 common stock. Any transfer of shares of LT10 or LT50 common stock not made in accordance with the requirements set forth in our amended and restated certificate of incorporation, unless such requirements are waived by the board of directors, will be void, and we will not treat the transferee in such a transaction as a holder of such shares for any purpose.</w:t>
      </w:r>
    </w:p>
    <w:p>
      <w:pPr>
        <w:spacing w:after="0" w:line="204"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If a holder proposes to convert or transfer any shares of LT10 or LT50 common stock, the holder (or the beneficial holder if such shares are held in the Voting Trust) must first provide written notice to us and a copy of such notice to the Trustees (as defined below) (the “Notice”). The notice period following delivery and receipt of the Notice for each share of LT10 and LT50 common stock shall be 10 months and 50 months, respectively. During the applicable notice period, the Trustees will attempt to identify a holder of shares of Class A common stock who is currently an employee of or other service provider to our company or one of our subsidiaries (a "Class A Transferor") interested in exchanging shares of Class A common stock held by the Class A Transferor for the shares of LT10, or LT50 common stock subject to the Notice, on a one-for-one basis (each, an “LT Exchange”). If a Class A Transferor is identified, the Trustees will provide written notice to the holder of shares of LT10 and/or LT50 common stock who is seeking to convert or transfer the shares of LT common stock specified in the Notice, the Class A Transferor and us, specifying the participants in the LT Exchange, the date on which the applicable notice period expires (the "notice Expiration Date"), and any applicable instructions to facilitate the LT Exchange. If the Class A Transferor is not a party to the Voting Trust Agreement, the Class A Transferor must become a party to the Voting Trust Agreement and the shares of LT10 and/or LT50 common stock subject to the LT Exchange will remain in the Voting Trust, and will not convert into shares of Class A common stock. The LT Exchange will be deemed effective immediately prior to the close of business on the first business day following the Notice Expiration Date, subject to extension by us of up to five days if necessary to effectuate the Exchange. If the Trustees are unable to identify a Class A Transferor to participate in an LT Exchange prior to the Notice Expiration Date, then the shares of LT10 or LT50 common stock subject to the Notice will be converted into shares of Class A common stock on a</w:t>
      </w:r>
    </w:p>
    <w:p>
      <w:pPr>
        <w:sectPr>
          <w:pgSz w:w="11900" w:h="16838" w:orient="portrait"/>
          <w:cols w:equalWidth="0" w:num="1">
            <w:col w:w="11220"/>
          </w:cols>
          <w:pgMar w:left="320" w:top="1440" w:right="359" w:bottom="1440" w:gutter="0" w:footer="0" w:header="0"/>
        </w:sectPr>
      </w:pPr>
    </w:p>
    <w:bookmarkStart w:id="168" w:name="page169"/>
    <w:bookmarkEnd w:id="168"/>
    <w:p>
      <w:pPr>
        <w:spacing w:after="0" w:line="393"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one-for-one basis immediately following the Notice Expiration Date, as set forth in the amended and restated certificate of incorporation. In the event of a sale or transfer, such shares of Class A common stock received in an LT Exchange or conversion will be the subject of such sale or transfer.</w:t>
      </w:r>
    </w:p>
    <w:p>
      <w:pPr>
        <w:spacing w:after="0" w:line="226"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Our amended and restated certificate of incorporation provides that, from and after the time that a holder of shares of LT10 or LT50 common stock is no longer an employee of or service provider to Expensify, we will have the right to submit a written notice of conversion on such former employee or service provider's behalf, such that the shares of LT10 or LT50 common stock held by such former employee or service provider will be the subject of an LT Exchange or will convert into shares of Class A common stock following the applicable notice period.</w:t>
      </w:r>
    </w:p>
    <w:p>
      <w:pPr>
        <w:spacing w:after="0" w:line="4" w:lineRule="exact"/>
        <w:rPr>
          <w:sz w:val="20"/>
          <w:szCs w:val="20"/>
          <w:color w:val="auto"/>
        </w:rPr>
      </w:pPr>
    </w:p>
    <w:p>
      <w:pPr>
        <w:jc w:val="both"/>
        <w:ind w:right="200"/>
        <w:spacing w:after="0" w:line="251" w:lineRule="auto"/>
        <w:rPr>
          <w:sz w:val="20"/>
          <w:szCs w:val="20"/>
          <w:color w:val="auto"/>
        </w:rPr>
      </w:pPr>
      <w:r>
        <w:rPr>
          <w:rFonts w:ascii="Arial" w:cs="Arial" w:eastAsia="Arial" w:hAnsi="Arial"/>
          <w:sz w:val="22"/>
          <w:szCs w:val="22"/>
          <w:color w:val="auto"/>
        </w:rPr>
        <w:t>When all of the then-outstanding shares of LT10 and LT50 common stock represent, in the aggregate, less than 2% of all then-outstanding shares of common stock, each outstanding share of LT10 and LT50 common stock will automatically convert into one share of Class A common stock.</w:t>
      </w:r>
    </w:p>
    <w:p>
      <w:pPr>
        <w:spacing w:after="0" w:line="21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Once converted into Class A common stock, the LT10 or LT50 common stock will not be reissued. Except for the issuance of shares of LT10 or LT50 common stock issuable in respect of any restricted stock unit outstanding at the time of our initial public offering, a dividend payable in shares of LT10 or LT50 common stock as permitted by the amended and restated certificate of incorporation, or a reclassification, subdivision, or combination of such shares, we are not permitted at any time to issue any additional shares of LT10 or LT50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Liquidation, Dissolution and Winding Up</w:t>
      </w:r>
    </w:p>
    <w:p>
      <w:pPr>
        <w:spacing w:after="0" w:line="167"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No Preemptive or Similar Rights</w:t>
      </w:r>
    </w:p>
    <w:p>
      <w:pPr>
        <w:spacing w:after="0" w:line="167"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Holders of shares of our common stock do not have preemptive, subscription or redemption rights, and our common stock is not subject to redemption or sinking fund provisions.</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Fully Paid and Non-Assessable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All of the outstanding shares of our Class A, LT10 and LT50 common stock are fully paid and non-assessable.</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Preferred Stock</w:t>
      </w:r>
    </w:p>
    <w:p>
      <w:pPr>
        <w:spacing w:after="0" w:line="16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 shares of our preferred stock are currently outstanding. Pursuant to our amended and restated certificate of incorporation, our board of directors has the authority, without further action by our</w:t>
      </w:r>
    </w:p>
    <w:p>
      <w:pPr>
        <w:sectPr>
          <w:pgSz w:w="11900" w:h="16838" w:orient="portrait"/>
          <w:cols w:equalWidth="0" w:num="1">
            <w:col w:w="11120"/>
          </w:cols>
          <w:pgMar w:left="320" w:top="1440" w:right="459" w:bottom="1440" w:gutter="0" w:footer="0" w:header="0"/>
        </w:sectPr>
      </w:pPr>
    </w:p>
    <w:bookmarkStart w:id="169" w:name="page170"/>
    <w:bookmarkEnd w:id="169"/>
    <w:p>
      <w:pPr>
        <w:spacing w:after="0" w:line="380" w:lineRule="exact"/>
        <w:rPr>
          <w:sz w:val="20"/>
          <w:szCs w:val="20"/>
          <w:color w:val="auto"/>
        </w:rPr>
      </w:pPr>
    </w:p>
    <w:p>
      <w:pPr>
        <w:ind w:right="100"/>
        <w:spacing w:after="0" w:line="244" w:lineRule="auto"/>
        <w:rPr>
          <w:sz w:val="20"/>
          <w:szCs w:val="20"/>
          <w:color w:val="auto"/>
        </w:rPr>
      </w:pPr>
      <w:r>
        <w:rPr>
          <w:rFonts w:ascii="Arial" w:cs="Arial" w:eastAsia="Arial" w:hAnsi="Arial"/>
          <w:sz w:val="21"/>
          <w:szCs w:val="21"/>
          <w:color w:val="auto"/>
        </w:rPr>
        <w:t>stockholders, to issue up to 10,000,000 shares of preferred stock in one or more series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Voting Trust</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Upon issuance, all outstanding shares of our LT10 and LT50 common stock were immediately deposited into a voting trust (the “Voting Trust”) formed pursuant to a voting trust agreement (the “Voting Trust Agreement”). The Voting Trust Agreement is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From time to time, employees and other service providers may deposit additional voting securities of the company in the Voting Trust, including Class A common stock, and will enter into a joinder agreement to become a party to the Voting Trust Agreement if such employee is not then a party. In the event of an LT Exchange, or other Non-Converting Transfer, the shares of LT10 or LT50 common stock involved in such transfer will remain in the Voting Trust, and a transferee who is not already a party to the Voting Trust Agreement will become a party pursuant to a joinder agreement, unless the requirement to become a party is expressly waived in writing by a majority of the trustees of the Voting Trust (the “Trustees”). A holder may not withdraw shares of LT10 or LT50 common stock from the Voting Trust. A holder who beneficially owns shares of Class A common stock held in the Voting Trust may withdraw some or all of such shares of Class A common stock upon 30 days' prior written notice to the Trustees, provided, however, that (i) any shares of Class A common stock received in connection with an LT Exchange that are held in the Voting Trust at the time of the LT Exchange may be immediately withdrawn from the Voting Trust, and (ii) Class A common stock stock resulting from the conversion of LT10 or LT50 common stock in accordance with our amended and restated certificate of incorporation shall be deemed withdrawn from the Voting Trust automatically at the time of conversion.</w:t>
      </w:r>
    </w:p>
    <w:p>
      <w:pPr>
        <w:spacing w:after="0" w:line="211"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As of March 8, 2023, the Trustees of the Voting Trust are David Barrett, our CEO, Ryan Schaffer, our CFO, and Jason Mills, our Chief Product Officer. 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393"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respect to appointment of each successor Trustee shall be to offer the opportunity to serve as such Trustee to the holder of voting securities held by the Voting Trust who is then an employee of or service provider to Expensify and beneficially owns voting securities with the highest voting power (other than the then-existing Trustees). The policy of the Trustees shall be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spacing w:after="0" w:line="187"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Under the Voting Trust Agreement, the Trustees make all decisions with respect to the voting (but not the disposition) of the shares of common stock contributed to the Voting Trust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will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Although it contains certain arbitration provisions, nothing in the Voting Trust Agreement will preclude stockholders' rights to pursue claims under the United States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Registration Rights</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We are party to an investors’ rights agreement (the “Investors’ Rights Agreement”) that provides certain holders of our capital stock, including certain holders of at least 5% of our capital stock with certain registration rights. The registration of shares of our common stock by the exercise of registration rights described below would enable the holders to sell these shares without restrictions under the Securities Act of 1933, as amended (the “Securities Act”) when the applicable registration statement is declared effective. We will pay the registration expenses,</w:t>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393" w:lineRule="exact"/>
        <w:rPr>
          <w:sz w:val="20"/>
          <w:szCs w:val="20"/>
          <w:color w:val="auto"/>
        </w:rPr>
      </w:pPr>
    </w:p>
    <w:p>
      <w:pPr>
        <w:ind w:right="1080"/>
        <w:spacing w:after="0" w:line="263" w:lineRule="auto"/>
        <w:rPr>
          <w:sz w:val="20"/>
          <w:szCs w:val="20"/>
          <w:color w:val="auto"/>
        </w:rPr>
      </w:pPr>
      <w:r>
        <w:rPr>
          <w:rFonts w:ascii="Arial" w:cs="Arial" w:eastAsia="Arial" w:hAnsi="Arial"/>
          <w:sz w:val="22"/>
          <w:szCs w:val="22"/>
          <w:color w:val="auto"/>
        </w:rPr>
        <w:t>other than underwriting discounts and commissions, of the shares registered by the demand, piggyback and Form S-3 registrations described below.</w:t>
      </w:r>
    </w:p>
    <w:p>
      <w:pPr>
        <w:spacing w:after="0" w:line="202"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(a) November 15, 2026 or (b) with respect to any particular stockholder, such time as (i) such holder can sell all of its shares under Rule 144 of the Securities Act, or (ii) such stockholder holds less than 1% of our then-outstanding common stock and such stockholder can sell all of its shares under Rule 144 under the Securities Act during any three-month period.</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Demand Registration Rights</w:t>
      </w:r>
    </w:p>
    <w:p>
      <w:pPr>
        <w:spacing w:after="0" w:line="233"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Under the terms of the Investors’ Rights Agreement, the holders of registrable shares are entitled to demand registration rights may request that we register all or a portion of their registrable shares for sale under the Securities Act. Such holders are entitled to registration rights, on not more than two occasions, provided that such request for registration must cover shares with an anticipated aggregate offering price, net of underwriting discounts and commissions, of at least $10 million.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Piggyback Registration Rights</w:t>
      </w:r>
    </w:p>
    <w:p>
      <w:pPr>
        <w:spacing w:after="0" w:line="260" w:lineRule="exact"/>
        <w:rPr>
          <w:sz w:val="20"/>
          <w:szCs w:val="20"/>
          <w:color w:val="auto"/>
        </w:rPr>
      </w:pPr>
    </w:p>
    <w:p>
      <w:pPr>
        <w:ind w:right="200"/>
        <w:spacing w:after="0" w:line="294" w:lineRule="auto"/>
        <w:rPr>
          <w:sz w:val="20"/>
          <w:szCs w:val="20"/>
          <w:color w:val="auto"/>
        </w:rPr>
      </w:pPr>
      <w:r>
        <w:rPr>
          <w:rFonts w:ascii="Arial" w:cs="Arial" w:eastAsia="Arial" w:hAnsi="Arial"/>
          <w:sz w:val="19"/>
          <w:szCs w:val="19"/>
          <w:color w:val="auto"/>
        </w:rPr>
        <w:t>In the event that we propose to register any of our securities under the Securities Act, either for our own account or for the account of other security holders, the holders of registrable securities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Form S-3 Registration Rights</w:t>
      </w:r>
    </w:p>
    <w:p>
      <w:pPr>
        <w:spacing w:after="0" w:line="247" w:lineRule="exact"/>
        <w:rPr>
          <w:sz w:val="20"/>
          <w:szCs w:val="20"/>
          <w:color w:val="auto"/>
        </w:rPr>
      </w:pPr>
    </w:p>
    <w:p>
      <w:pPr>
        <w:ind w:right="100"/>
        <w:spacing w:after="0" w:line="302" w:lineRule="auto"/>
        <w:rPr>
          <w:sz w:val="20"/>
          <w:szCs w:val="20"/>
          <w:color w:val="auto"/>
        </w:rPr>
      </w:pPr>
      <w:r>
        <w:rPr>
          <w:rFonts w:ascii="Arial" w:cs="Arial" w:eastAsia="Arial" w:hAnsi="Arial"/>
          <w:sz w:val="19"/>
          <w:szCs w:val="19"/>
          <w:color w:val="auto"/>
        </w:rPr>
        <w:t>The holders of registrable shares are also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of such shares, net of underwriting discounts and commissions, is at least $3 million, subject to exceptions set forth in the Investors’ Rights Agreement.</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Forum Selection</w:t>
      </w:r>
    </w:p>
    <w:p>
      <w:pPr>
        <w:spacing w:after="0" w:line="173" w:lineRule="exact"/>
        <w:rPr>
          <w:sz w:val="20"/>
          <w:szCs w:val="20"/>
          <w:color w:val="auto"/>
        </w:rPr>
      </w:pPr>
    </w:p>
    <w:p>
      <w:pPr>
        <w:ind w:right="720"/>
        <w:spacing w:after="0" w:line="263" w:lineRule="auto"/>
        <w:rPr>
          <w:sz w:val="20"/>
          <w:szCs w:val="20"/>
          <w:color w:val="auto"/>
        </w:rPr>
      </w:pPr>
      <w:r>
        <w:rPr>
          <w:rFonts w:ascii="Arial" w:cs="Arial" w:eastAsia="Arial" w:hAnsi="Arial"/>
          <w:sz w:val="22"/>
          <w:szCs w:val="22"/>
          <w:color w:val="auto"/>
        </w:rPr>
        <w:t>Our amended and restated certificate of incorporation provides that: (i) unless we consent in writing to the selection of an alternative forum, the Court of Chancery of the State of Delaware</w:t>
      </w:r>
    </w:p>
    <w:p>
      <w:pPr>
        <w:sectPr>
          <w:pgSz w:w="11900" w:h="16838" w:orient="portrait"/>
          <w:cols w:equalWidth="0" w:num="1">
            <w:col w:w="11220"/>
          </w:cols>
          <w:pgMar w:left="320" w:top="1440" w:right="359" w:bottom="1440" w:gutter="0" w:footer="0" w:header="0"/>
        </w:sectPr>
      </w:pPr>
    </w:p>
    <w:bookmarkStart w:id="172" w:name="page173"/>
    <w:bookmarkEnd w:id="172"/>
    <w:p>
      <w:pPr>
        <w:spacing w:after="0" w:line="393"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the federal district courts of the United States will, to the fullest extent permitted by law, be the sole and exclusive forum for the resolution of any complaint asserting a cause of action arising under the Securities Act; and (iii) any person or entity purchasing or otherwise acquiring or holding any interest in shares of capital stock of the company will be deemed to have notice of and consented to these provisions. Nothing in our current certificate of incorporation or bylaws or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200" w:lineRule="exact"/>
        <w:rPr>
          <w:sz w:val="20"/>
          <w:szCs w:val="20"/>
          <w:color w:val="auto"/>
        </w:rPr>
      </w:pPr>
    </w:p>
    <w:p>
      <w:pPr>
        <w:spacing w:after="0" w:line="241" w:lineRule="exact"/>
        <w:rPr>
          <w:sz w:val="20"/>
          <w:szCs w:val="20"/>
          <w:color w:val="auto"/>
        </w:rPr>
      </w:pPr>
    </w:p>
    <w:p>
      <w:pPr>
        <w:ind w:right="240"/>
        <w:spacing w:after="0" w:line="264" w:lineRule="auto"/>
        <w:rPr>
          <w:sz w:val="20"/>
          <w:szCs w:val="20"/>
          <w:color w:val="auto"/>
        </w:rPr>
      </w:pPr>
      <w:r>
        <w:rPr>
          <w:rFonts w:ascii="Arial" w:cs="Arial" w:eastAsia="Arial" w:hAnsi="Arial"/>
          <w:sz w:val="21"/>
          <w:szCs w:val="21"/>
          <w:color w:val="auto"/>
        </w:rPr>
        <w:t>Although our amended and restated certificate of incorporation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Anti-Takeover Provisions</w:t>
      </w:r>
    </w:p>
    <w:p>
      <w:pPr>
        <w:spacing w:after="0" w:line="173" w:lineRule="exact"/>
        <w:rPr>
          <w:sz w:val="20"/>
          <w:szCs w:val="20"/>
          <w:color w:val="auto"/>
        </w:rPr>
      </w:pPr>
    </w:p>
    <w:p>
      <w:pPr>
        <w:ind w:right="40"/>
        <w:spacing w:after="0" w:line="249" w:lineRule="auto"/>
        <w:rPr>
          <w:sz w:val="20"/>
          <w:szCs w:val="20"/>
          <w:color w:val="auto"/>
        </w:rPr>
      </w:pPr>
      <w:r>
        <w:rPr>
          <w:rFonts w:ascii="Arial" w:cs="Arial" w:eastAsia="Arial" w:hAnsi="Arial"/>
          <w:sz w:val="22"/>
          <w:szCs w:val="22"/>
          <w:color w:val="auto"/>
        </w:rPr>
        <w:t>Our amended and restated certificate of incorporation and amended and restated bylaws contain provisions that may delay, defer or discourage another party from acquiring control of us. These provisions may have the effect of discouraging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Section 203 of the DGCL</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21"/>
          <w:szCs w:val="21"/>
          <w:color w:val="auto"/>
        </w:rPr>
        <w:t>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Multi-Series Stock</w:t>
      </w:r>
    </w:p>
    <w:p>
      <w:pPr>
        <w:spacing w:after="0" w:line="167" w:lineRule="exact"/>
        <w:rPr>
          <w:sz w:val="20"/>
          <w:szCs w:val="20"/>
          <w:color w:val="auto"/>
        </w:rPr>
      </w:pPr>
    </w:p>
    <w:p>
      <w:pPr>
        <w:ind w:right="340"/>
        <w:spacing w:after="0" w:line="254" w:lineRule="auto"/>
        <w:rPr>
          <w:sz w:val="20"/>
          <w:szCs w:val="20"/>
          <w:color w:val="auto"/>
        </w:rPr>
      </w:pPr>
      <w:r>
        <w:rPr>
          <w:rFonts w:ascii="Arial" w:cs="Arial" w:eastAsia="Arial" w:hAnsi="Arial"/>
          <w:sz w:val="22"/>
          <w:szCs w:val="22"/>
          <w:color w:val="auto"/>
        </w:rPr>
        <w:t>As described above in the subsection titled “Common Stock—Voting,” our amended and restated certificate of incorporation provides for a multi-class stock structure, which provides our executive officers, employees and the Trustees with significant influence over all matters requiring stockholder approval, including the election of directors and significant corporate transactions, such as a merger or other sale of our company or its assets.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Undesignated Preferred Stock</w:t>
      </w:r>
    </w:p>
    <w:p>
      <w:pPr>
        <w:spacing w:after="0" w:line="167" w:lineRule="exact"/>
        <w:rPr>
          <w:sz w:val="20"/>
          <w:szCs w:val="20"/>
          <w:color w:val="auto"/>
        </w:rPr>
      </w:pPr>
    </w:p>
    <w:p>
      <w:pPr>
        <w:ind w:right="160"/>
        <w:spacing w:after="0" w:line="254" w:lineRule="auto"/>
        <w:rPr>
          <w:sz w:val="20"/>
          <w:szCs w:val="20"/>
          <w:color w:val="auto"/>
        </w:rPr>
      </w:pPr>
      <w:r>
        <w:rPr>
          <w:rFonts w:ascii="Arial" w:cs="Arial" w:eastAsia="Arial" w:hAnsi="Arial"/>
          <w:sz w:val="22"/>
          <w:szCs w:val="22"/>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Stockholder Action; Special Meeting of Stockholders.</w:t>
      </w:r>
    </w:p>
    <w:p>
      <w:pPr>
        <w:spacing w:after="0" w:line="167"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Our amended and restated certificate of incorporation provides that from and after the date the Voting Trust holds less than a majority of the voting power of our capital stock, no action may be taken by our stockholders by consent. Our amended and restated certificate of incorporation also provides that a special meeting of stockholders may only be called by our board of directors, the chairperson of our board of directors, our chief executive officer or, for so long as the Voting Trust holds at least a majority of the voting power of our capital stock, the holders of a majority of the total voting power of the outstanding shares of our capital stock, thus limiting the ability of a stockholder to call a special meeting.</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Advance Notice Requirements for Stockholder Proposals and Director Nominations</w:t>
      </w:r>
    </w:p>
    <w:p>
      <w:pPr>
        <w:spacing w:after="0" w:line="167" w:lineRule="exact"/>
        <w:rPr>
          <w:sz w:val="20"/>
          <w:szCs w:val="20"/>
          <w:color w:val="auto"/>
        </w:rPr>
      </w:pPr>
    </w:p>
    <w:p>
      <w:pPr>
        <w:ind w:right="920"/>
        <w:spacing w:after="0" w:line="263" w:lineRule="auto"/>
        <w:rPr>
          <w:sz w:val="20"/>
          <w:szCs w:val="20"/>
          <w:color w:val="auto"/>
        </w:rPr>
      </w:pPr>
      <w:r>
        <w:rPr>
          <w:rFonts w:ascii="Arial" w:cs="Arial" w:eastAsia="Arial" w:hAnsi="Arial"/>
          <w:sz w:val="22"/>
          <w:szCs w:val="22"/>
          <w:color w:val="auto"/>
        </w:rPr>
        <w:t>Our amended and restated bylaws establishes advance notice procedures with respect to stockholder proposals and the nomination of candidates for election as directors, other than</w:t>
      </w:r>
    </w:p>
    <w:p>
      <w:pPr>
        <w:sectPr>
          <w:pgSz w:w="11900" w:h="16838" w:orient="portrait"/>
          <w:cols w:equalWidth="0" w:num="1">
            <w:col w:w="11140"/>
          </w:cols>
          <w:pgMar w:left="320" w:top="1440" w:right="439" w:bottom="1440" w:gutter="0" w:footer="0" w:header="0"/>
        </w:sectPr>
      </w:pPr>
    </w:p>
    <w:bookmarkStart w:id="174" w:name="page175"/>
    <w:bookmarkEnd w:id="174"/>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nominations made by or at the direction of the board of directors or a committee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Election and Removal of Directors; Filling Vacancies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Because our stockholders do not have cumulative voting rights, our stockholders holding a majority of the voting power of the then outstanding capital stock are able to elect all of our directors. Our amended and restated certificate of incorporation provides for the removal of any of our directors at any time, with or without cause, by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Amendment of Certificate of Incorporation or Bylaws</w:t>
      </w:r>
    </w:p>
    <w:p>
      <w:pPr>
        <w:spacing w:after="0" w:line="167" w:lineRule="exact"/>
        <w:rPr>
          <w:sz w:val="20"/>
          <w:szCs w:val="20"/>
          <w:color w:val="auto"/>
        </w:rPr>
      </w:pPr>
    </w:p>
    <w:p>
      <w:pPr>
        <w:ind w:right="80"/>
        <w:spacing w:after="0" w:line="307" w:lineRule="auto"/>
        <w:rPr>
          <w:sz w:val="20"/>
          <w:szCs w:val="20"/>
          <w:color w:val="auto"/>
        </w:rPr>
      </w:pPr>
      <w:r>
        <w:rPr>
          <w:rFonts w:ascii="Arial" w:cs="Arial" w:eastAsia="Arial" w:hAnsi="Arial"/>
          <w:sz w:val="19"/>
          <w:szCs w:val="19"/>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Our bylaws may be amended or repealed by our board of directors or by the affirmative vote of the holders a majority in voting power of the outstanding shares of stock entitled to vote generally in the election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Transfer Agent and Registrar</w:t>
      </w:r>
    </w:p>
    <w:p>
      <w:pPr>
        <w:spacing w:after="0" w:line="173"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The transfer agent and registrar for our common stock is Computershare Trust Company, N.A. The transfer agent and registrar’s address is 150 Royall Street, Canton, Massachusetts 02021.</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Listing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Our Class A common stock is listed on the Nasdaq Global Select Market under the symbol “EXFY.”</w:t>
      </w:r>
    </w:p>
    <w:p>
      <w:pPr>
        <w:sectPr>
          <w:pgSz w:w="11900" w:h="16838" w:orient="portrait"/>
          <w:cols w:equalWidth="0" w:num="1">
            <w:col w:w="11180"/>
          </w:cols>
          <w:pgMar w:left="320" w:top="1440" w:right="39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43" w:lineRule="exact"/>
        <w:rPr>
          <w:sz w:val="20"/>
          <w:szCs w:val="20"/>
          <w:color w:val="auto"/>
        </w:rPr>
      </w:pPr>
    </w:p>
    <w:p>
      <w:pPr>
        <w:jc w:val="both"/>
        <w:ind w:left="660" w:hanging="328"/>
        <w:spacing w:after="0" w:line="243" w:lineRule="auto"/>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 (Form S-8 No. 333-260933) pertaining to the Expensify, Inc. 2009 Stock Plan, the Expensify, Inc. 2019 Stock Plan, the Expensify, Inc. 2021 Incentive Award Plan, and the Expensify, Inc. 2021 Non-Qualified Employee Stock Purchase and Matching Plan, and</w:t>
      </w:r>
    </w:p>
    <w:p>
      <w:pPr>
        <w:spacing w:after="0" w:line="111" w:lineRule="exact"/>
        <w:rPr>
          <w:rFonts w:ascii="Arial" w:cs="Arial" w:eastAsia="Arial" w:hAnsi="Arial"/>
          <w:sz w:val="20"/>
          <w:szCs w:val="20"/>
          <w:color w:val="auto"/>
        </w:rPr>
      </w:pPr>
    </w:p>
    <w:p>
      <w:pPr>
        <w:ind w:left="660" w:hanging="328"/>
        <w:spacing w:after="0" w:line="246" w:lineRule="auto"/>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 (Form S-8 No. 333-260934) pertaining to the Expensify, Inc. 2009 Stock Plan and the Expensify, Inc. 2019 Stock Plan;</w:t>
      </w:r>
    </w:p>
    <w:p>
      <w:pPr>
        <w:spacing w:after="0" w:line="109" w:lineRule="exact"/>
        <w:rPr>
          <w:sz w:val="20"/>
          <w:szCs w:val="20"/>
          <w:color w:val="auto"/>
        </w:rPr>
      </w:pPr>
    </w:p>
    <w:p>
      <w:pPr>
        <w:ind w:right="340"/>
        <w:spacing w:after="0" w:line="385" w:lineRule="auto"/>
        <w:rPr>
          <w:sz w:val="20"/>
          <w:szCs w:val="20"/>
          <w:color w:val="auto"/>
        </w:rPr>
      </w:pPr>
      <w:r>
        <w:rPr>
          <w:rFonts w:ascii="Arial" w:cs="Arial" w:eastAsia="Arial" w:hAnsi="Arial"/>
          <w:sz w:val="16"/>
          <w:szCs w:val="16"/>
          <w:color w:val="auto"/>
        </w:rPr>
        <w:t>of our report dated March 8, 2023 with respect to the consolidated financial statements of Expensify, Inc. and the effectiveness of internal control over financial reporting of Expensify, Inc. included in this Annual Report (Form 10-K) for the year ended December 31, 2022.</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March 8, 2023</w:t>
      </w:r>
    </w:p>
    <w:p>
      <w:pPr>
        <w:sectPr>
          <w:pgSz w:w="11900" w:h="16838" w:orient="portrait"/>
          <w:cols w:equalWidth="0" w:num="1">
            <w:col w:w="11240"/>
          </w:cols>
          <w:pgMar w:left="320" w:top="121"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David Barrett, certify that:</w:t>
      </w:r>
    </w:p>
    <w:p>
      <w:pPr>
        <w:spacing w:after="0" w:line="158" w:lineRule="exact"/>
        <w:rPr>
          <w:sz w:val="20"/>
          <w:szCs w:val="20"/>
          <w:color w:val="auto"/>
        </w:rPr>
      </w:pPr>
    </w:p>
    <w:p>
      <w:pPr>
        <w:ind w:left="640" w:hanging="308"/>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Expensify, Inc.;</w:t>
      </w:r>
    </w:p>
    <w:p>
      <w:pPr>
        <w:spacing w:after="0" w:line="144"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8"/>
          <w:szCs w:val="18"/>
          <w:color w:val="auto"/>
        </w:rPr>
      </w:pPr>
    </w:p>
    <w:p>
      <w:pPr>
        <w:ind w:left="660" w:right="140" w:hanging="328"/>
        <w:spacing w:after="0" w:line="235"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20" w:hanging="320"/>
        <w:spacing w:after="0" w:line="256" w:lineRule="auto"/>
        <w:tabs>
          <w:tab w:leader="none" w:pos="12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1300" w:right="540" w:hanging="320"/>
        <w:spacing w:after="0" w:line="278" w:lineRule="auto"/>
        <w:tabs>
          <w:tab w:leader="none" w:pos="1288"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7"/>
          <w:szCs w:val="17"/>
          <w:color w:val="auto"/>
        </w:rPr>
      </w:pPr>
    </w:p>
    <w:p>
      <w:pPr>
        <w:ind w:left="1300" w:right="300" w:hanging="320"/>
        <w:spacing w:after="0" w:line="256" w:lineRule="auto"/>
        <w:tabs>
          <w:tab w:leader="none" w:pos="1291"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ind w:left="1300" w:right="60" w:hanging="320"/>
        <w:spacing w:after="0" w:line="256" w:lineRule="auto"/>
        <w:tabs>
          <w:tab w:leader="none" w:pos="12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440" w:hanging="320"/>
        <w:spacing w:after="0" w:line="256" w:lineRule="auto"/>
        <w:tabs>
          <w:tab w:leader="none" w:pos="12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300" w:right="780" w:hanging="320"/>
        <w:spacing w:after="0" w:line="261" w:lineRule="auto"/>
        <w:tabs>
          <w:tab w:leader="none" w:pos="12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March 8, 2023</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Ryan Schaffer, certify that:</w:t>
      </w:r>
    </w:p>
    <w:p>
      <w:pPr>
        <w:spacing w:after="0" w:line="252" w:lineRule="exact"/>
        <w:rPr>
          <w:sz w:val="20"/>
          <w:szCs w:val="20"/>
          <w:color w:val="auto"/>
        </w:rPr>
      </w:pPr>
    </w:p>
    <w:p>
      <w:pPr>
        <w:ind w:left="640" w:hanging="308"/>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Expensify, Inc.;</w:t>
      </w:r>
    </w:p>
    <w:p>
      <w:pPr>
        <w:spacing w:after="0" w:line="157"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8"/>
          <w:szCs w:val="18"/>
          <w:color w:val="auto"/>
        </w:rPr>
      </w:pPr>
    </w:p>
    <w:p>
      <w:pPr>
        <w:ind w:left="660" w:right="140" w:hanging="328"/>
        <w:spacing w:after="0"/>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left="1300" w:right="20" w:hanging="320"/>
        <w:spacing w:after="0" w:line="256" w:lineRule="auto"/>
        <w:tabs>
          <w:tab w:leader="none" w:pos="12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1300" w:right="540" w:hanging="320"/>
        <w:spacing w:after="0" w:line="278" w:lineRule="auto"/>
        <w:tabs>
          <w:tab w:leader="none" w:pos="1288"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7"/>
          <w:szCs w:val="17"/>
          <w:color w:val="auto"/>
        </w:rPr>
      </w:pPr>
    </w:p>
    <w:p>
      <w:pPr>
        <w:ind w:left="1300" w:right="300" w:hanging="320"/>
        <w:spacing w:after="0" w:line="256" w:lineRule="auto"/>
        <w:tabs>
          <w:tab w:leader="none" w:pos="1291"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8"/>
          <w:szCs w:val="18"/>
          <w:color w:val="auto"/>
        </w:rPr>
      </w:pPr>
    </w:p>
    <w:p>
      <w:pPr>
        <w:ind w:left="1300" w:right="60" w:hanging="320"/>
        <w:spacing w:after="0" w:line="256" w:lineRule="auto"/>
        <w:tabs>
          <w:tab w:leader="none" w:pos="12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300" w:right="440" w:hanging="320"/>
        <w:spacing w:after="0" w:line="256" w:lineRule="auto"/>
        <w:tabs>
          <w:tab w:leader="none" w:pos="12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8"/>
          <w:szCs w:val="18"/>
          <w:color w:val="auto"/>
        </w:rPr>
      </w:pPr>
    </w:p>
    <w:p>
      <w:pPr>
        <w:ind w:left="1300" w:right="780" w:hanging="320"/>
        <w:spacing w:after="0" w:line="261" w:lineRule="auto"/>
        <w:tabs>
          <w:tab w:leader="none" w:pos="12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March 8, 2023</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225" w:lineRule="exact"/>
        <w:rPr>
          <w:sz w:val="20"/>
          <w:szCs w:val="20"/>
          <w:color w:val="auto"/>
        </w:rPr>
      </w:pPr>
    </w:p>
    <w:p>
      <w:pPr>
        <w:ind w:right="240" w:firstLine="208"/>
        <w:spacing w:after="0" w:line="256" w:lineRule="auto"/>
        <w:tabs>
          <w:tab w:leader="none" w:pos="5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as filed with the Securities and Exchange Commission on the date hereof (the “Report”) fully complies with the requirements of Section 13(a) or Section 15(d), as applicable, of the Securities Exchange Act of 1934, as amended; and</w:t>
      </w:r>
    </w:p>
    <w:p>
      <w:pPr>
        <w:spacing w:after="0" w:line="228" w:lineRule="exact"/>
        <w:rPr>
          <w:rFonts w:ascii="Arial" w:cs="Arial" w:eastAsia="Arial" w:hAnsi="Arial"/>
          <w:sz w:val="18"/>
          <w:szCs w:val="18"/>
          <w:color w:val="auto"/>
        </w:rPr>
      </w:pPr>
    </w:p>
    <w:p>
      <w:pPr>
        <w:ind w:right="120" w:firstLine="208"/>
        <w:spacing w:after="0" w:line="261"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March 8, 2023</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225" w:lineRule="exact"/>
        <w:rPr>
          <w:sz w:val="20"/>
          <w:szCs w:val="20"/>
          <w:color w:val="auto"/>
        </w:rPr>
      </w:pPr>
    </w:p>
    <w:p>
      <w:pPr>
        <w:ind w:right="280" w:firstLine="208"/>
        <w:spacing w:after="0" w:line="256" w:lineRule="auto"/>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as filed with the Securities and Exchange Commission on the date hereof (the “Report”) fully complies with the requirements of Section 13(a) or Section 15(d), as applicable, of the Securities Exchange Act of 1934, as amended; and</w:t>
      </w:r>
    </w:p>
    <w:p>
      <w:pPr>
        <w:spacing w:after="0" w:line="228" w:lineRule="exact"/>
        <w:rPr>
          <w:rFonts w:ascii="Arial" w:cs="Arial" w:eastAsia="Arial" w:hAnsi="Arial"/>
          <w:sz w:val="18"/>
          <w:szCs w:val="18"/>
          <w:color w:val="auto"/>
        </w:rPr>
      </w:pPr>
    </w:p>
    <w:p>
      <w:pPr>
        <w:ind w:right="120" w:firstLine="208"/>
        <w:spacing w:after="0" w:line="261"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March 8, 2023</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endash "/>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lvl w:ilvl="1">
      <w:lvlJc w:val="left"/>
      <w:lvlText w:val="◦"/>
      <w:numFmt w:val="bullet"/>
      <w:start w:val="1"/>
    </w:lvl>
  </w:abstractNum>
  <w:abstractNum w:abstractNumId="13">
    <w:nsid w:val="6DE91B18"/>
    <w:multiLevelType w:val="hybridMultilevel"/>
    <w:lvl w:ilvl="0">
      <w:lvlJc w:val="left"/>
      <w:lvlText w:val="•"/>
      <w:numFmt w:val="bullet"/>
      <w:start w:val="1"/>
    </w:lvl>
    <w:lvl w:ilvl="1">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emdash "/>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1)"/>
      <w:numFmt w:val="lowerRoman"/>
      <w:start w:val="3"/>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1)"/>
      <w:numFmt w:val="decimal"/>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1)"/>
      <w:numFmt w:val="lowerLetter"/>
      <w:start w:val="1"/>
    </w:lvl>
    <w:lvl w:ilvl="1">
      <w:lvlJc w:val="left"/>
      <w:lvlText w:val="%2."/>
      <w:numFmt w:val="decimal"/>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5">
    <w:nsid w:val="5DB70AE5"/>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56">
    <w:nsid w:val="100F8FCA"/>
    <w:multiLevelType w:val="hybridMultilevel"/>
    <w:lvl w:ilvl="0">
      <w:lvlJc w:val="left"/>
      <w:lvlText w:val="%1"/>
      <w:numFmt w:val="decimal"/>
      <w:start w:val="1"/>
    </w:lvl>
    <w:lvl w:ilvl="1">
      <w:lvlJc w:val="left"/>
      <w:lvlText w:val="(%2)"/>
      <w:numFmt w:val="upperLetter"/>
      <w:start w:val="1"/>
    </w:lvl>
  </w:abstractNum>
  <w:abstractNum w:abstractNumId="57">
    <w:nsid w:val="6590700B"/>
    <w:multiLevelType w:val="hybridMultilevel"/>
    <w:lvl w:ilvl="0">
      <w:lvlJc w:val="left"/>
      <w:lvlText w:val="(%1)"/>
      <w:numFmt w:val="decimal"/>
      <w:start w:val="1"/>
    </w:lvl>
    <w:lvl w:ilvl="1">
      <w:lvlJc w:val="left"/>
      <w:lvlText w:val="(%2)"/>
      <w:numFmt w:val="upperLetter"/>
      <w:start w:val="3"/>
    </w:lvl>
  </w:abstractNum>
  <w:abstractNum w:abstractNumId="58">
    <w:nsid w:val="15014ACB"/>
    <w:multiLevelType w:val="hybridMultilevel"/>
    <w:lvl w:ilvl="0">
      <w:lvlJc w:val="left"/>
      <w:lvlText w:val="(%1)"/>
      <w:numFmt w:val="upperLetter"/>
      <w:start w:val="4"/>
    </w:lvl>
    <w:lvl w:ilvl="1">
      <w:lvlJc w:val="left"/>
      <w:lvlText w:val="(%2)"/>
      <w:numFmt w:val="lowerRoman"/>
      <w:start w:val="1"/>
    </w:lvl>
  </w:abstractNum>
  <w:abstractNum w:abstractNumId="59">
    <w:nsid w:val="5F5E7FD0"/>
    <w:multiLevelType w:val="hybridMultilevel"/>
    <w:lvl w:ilvl="0">
      <w:lvlJc w:val="left"/>
      <w:lvlText w:val="(%1)"/>
      <w:numFmt w:val="decimal"/>
      <w:start w:val="1"/>
    </w:lvl>
    <w:lvl w:ilvl="1">
      <w:lvlJc w:val="left"/>
      <w:lvlText w:val="(%2)"/>
      <w:numFmt w:val="upperLetter"/>
      <w:start w:val="6"/>
    </w:lvl>
    <w:lvl w:ilvl="2">
      <w:lvlJc w:val="left"/>
      <w:lvlText w:val="(%3)"/>
      <w:numFmt w:val="lowerRoman"/>
      <w:start w:val="2"/>
    </w:lvl>
  </w:abstractNum>
  <w:abstractNum w:abstractNumId="60">
    <w:nsid w:val="98A314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1">
    <w:nsid w:val="799D0247"/>
    <w:multiLevelType w:val="hybridMultilevel"/>
    <w:lvl w:ilvl="0">
      <w:lvlJc w:val="left"/>
      <w:lvlText w:val="(%1)"/>
      <w:numFmt w:val="lowerRoman"/>
      <w:start w:val="3"/>
    </w:lvl>
  </w:abstractNum>
  <w:abstractNum w:abstractNumId="62">
    <w:nsid w:val="6B94764"/>
    <w:multiLevelType w:val="hybridMultilevel"/>
    <w:lvl w:ilvl="0">
      <w:lvlJc w:val="left"/>
      <w:lvlText w:val="(%1)"/>
      <w:numFmt w:val="lowerRoman"/>
      <w:start w:val="9"/>
    </w:lvl>
  </w:abstractNum>
  <w:abstractNum w:abstractNumId="63">
    <w:nsid w:val="42C296BD"/>
    <w:multiLevelType w:val="hybridMultilevel"/>
    <w:lvl w:ilvl="0">
      <w:lvlJc w:val="left"/>
      <w:lvlText w:val="(%1)"/>
      <w:numFmt w:val="upperLetter"/>
      <w:start w:val="8"/>
    </w:lvl>
    <w:lvl w:ilvl="1">
      <w:lvlJc w:val="left"/>
      <w:lvlText w:val="(%2)"/>
      <w:numFmt w:val="lowerRoman"/>
      <w:start w:val="1"/>
    </w:lvl>
  </w:abstractNum>
  <w:abstractNum w:abstractNumId="64">
    <w:nsid w:val="168E121F"/>
    <w:multiLevelType w:val="hybridMultilevel"/>
    <w:lvl w:ilvl="0">
      <w:lvlJc w:val="left"/>
      <w:lvlText w:val="(%1)"/>
      <w:numFmt w:val="lowerRoman"/>
      <w:start w:val="4"/>
    </w:lvl>
  </w:abstractNum>
  <w:abstractNum w:abstractNumId="65">
    <w:nsid w:val="1EBA5D23"/>
    <w:multiLevelType w:val="hybridMultilevel"/>
    <w:lvl w:ilvl="0">
      <w:lvlJc w:val="left"/>
      <w:lvlText w:val="(%1)"/>
      <w:numFmt w:val="upperLetter"/>
      <w:start w:val="1"/>
    </w:lvl>
  </w:abstractNum>
  <w:abstractNum w:abstractNumId="66">
    <w:nsid w:val="661E3F1E"/>
    <w:multiLevelType w:val="hybridMultilevel"/>
    <w:lvl w:ilvl="0">
      <w:lvlJc w:val="left"/>
      <w:lvlText w:val="(%1)"/>
      <w:numFmt w:val="upperLetter"/>
      <w:start w:val="1"/>
    </w:lvl>
  </w:abstractNum>
  <w:abstractNum w:abstractNumId="67">
    <w:nsid w:val="5DC79EA8"/>
    <w:multiLevelType w:val="hybridMultilevel"/>
    <w:lvl w:ilvl="0">
      <w:lvlJc w:val="left"/>
      <w:lvlText w:val="(%1)"/>
      <w:numFmt w:val="lowerRoman"/>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decimal"/>
      <w:start w:val="1"/>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lowerRoman"/>
      <w:start w:val="1"/>
    </w:lvl>
  </w:abstractNum>
  <w:abstractNum w:abstractNumId="79">
    <w:nsid w:val="68EB2F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45" Type="http://schemas.openxmlformats.org/officeDocument/2006/relationships/image" Target="media/image231.png"/><Relationship Id="rId268" Type="http://schemas.openxmlformats.org/officeDocument/2006/relationships/image" Target="media/image232.png"/><Relationship Id="rId270" Type="http://schemas.openxmlformats.org/officeDocument/2006/relationships/image" Target="media/image233.png"/><Relationship Id="rId271" Type="http://schemas.openxmlformats.org/officeDocument/2006/relationships/image" Target="media/image234.png"/><Relationship Id="rId272" Type="http://schemas.openxmlformats.org/officeDocument/2006/relationships/image" Target="media/image235.png"/><Relationship Id="rId273" Type="http://schemas.openxmlformats.org/officeDocument/2006/relationships/image" Target="media/image236.png"/><Relationship Id="rId274" Type="http://schemas.openxmlformats.org/officeDocument/2006/relationships/image" Target="media/image237.png"/><Relationship Id="rId275" Type="http://schemas.openxmlformats.org/officeDocument/2006/relationships/image" Target="media/image238.png"/><Relationship Id="rId276" Type="http://schemas.openxmlformats.org/officeDocument/2006/relationships/image" Target="media/image239.png"/><Relationship Id="rId277"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281" Type="http://schemas.openxmlformats.org/officeDocument/2006/relationships/image" Target="media/image244.png"/><Relationship Id="rId282" Type="http://schemas.openxmlformats.org/officeDocument/2006/relationships/image" Target="media/image245.png"/><Relationship Id="rId283" Type="http://schemas.openxmlformats.org/officeDocument/2006/relationships/image" Target="media/image246.png"/><Relationship Id="rId284" Type="http://schemas.openxmlformats.org/officeDocument/2006/relationships/image" Target="media/image247.png"/><Relationship Id="rId28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png"/><Relationship Id="rId289" Type="http://schemas.openxmlformats.org/officeDocument/2006/relationships/image" Target="media/image252.png"/><Relationship Id="rId238" Type="http://schemas.openxmlformats.org/officeDocument/2006/relationships/hyperlink" Target="https://www.sec.gov/Archives/edgar/data/0001476840/000162828021023404/exhibit32-8xkclosing.htm" TargetMode="External"/><Relationship Id="rId239" Type="http://schemas.openxmlformats.org/officeDocument/2006/relationships/hyperlink" Target="https://www.sec.gov/Archives/edgar/data/0001476840/000162828021020900/exhibit41-sx1a2.htm" TargetMode="External"/><Relationship Id="rId240" Type="http://schemas.openxmlformats.org/officeDocument/2006/relationships/hyperlink" Target="https://www.sec.gov/Archives/edgar/data/1476840/000162828021020137/exhibit42-sx1a1.htm" TargetMode="External"/><Relationship Id="rId241" Type="http://schemas.openxmlformats.org/officeDocument/2006/relationships/hyperlink" Target="https://www.sec.gov/Archives/edgar/data/1476840/000162828021020137/exhibit43-sx1a1.htm" TargetMode="External"/><Relationship Id="rId242" Type="http://schemas.openxmlformats.org/officeDocument/2006/relationships/hyperlink" Target="https://www.sec.gov/Archives/edgar/data/1476840/000162828021020137/exhibit44-sx1a1.htm" TargetMode="External"/><Relationship Id="rId243" Type="http://schemas.openxmlformats.org/officeDocument/2006/relationships/hyperlink" Target="https://www.sec.gov/Archives/edgar/data/0001476840/000147684022000016/exhibit91-10xk.htm" TargetMode="External"/><Relationship Id="rId244" Type="http://schemas.openxmlformats.org/officeDocument/2006/relationships/hyperlink" Target="https://www.sec.gov/Archives/edgar/data/1476840/000162828021020137/exhibit101-sx1a1.htm" TargetMode="External"/><Relationship Id="rId246" Type="http://schemas.openxmlformats.org/officeDocument/2006/relationships/hyperlink" Target="https://www.sec.gov/Archives/edgar/data/1476840/000162828021020137/exhibit102-sx1a1.htm" TargetMode="External"/><Relationship Id="rId247" Type="http://schemas.openxmlformats.org/officeDocument/2006/relationships/hyperlink" Target="https://www.sec.gov/Archives/edgar/data/1476840/000162828021020137/exhibit103-sx1a1.htm" TargetMode="External"/><Relationship Id="rId248" Type="http://schemas.openxmlformats.org/officeDocument/2006/relationships/hyperlink" Target="https://www.sec.gov/Archives/edgar/data/1476840/000162828021020137/exhibit104-sx1a1.htm" TargetMode="External"/><Relationship Id="rId249" Type="http://schemas.openxmlformats.org/officeDocument/2006/relationships/hyperlink" Target="https://www.sec.gov/Archives/edgar/data/1476840/000162828021020137/exhibit105-sx1a1.htm" TargetMode="External"/><Relationship Id="rId250" Type="http://schemas.openxmlformats.org/officeDocument/2006/relationships/hyperlink" Target="https://www.sec.gov/Archives/edgar/data/0001476840/000162828021020900/exhibit106-sx1a2.htm" TargetMode="External"/><Relationship Id="rId251" Type="http://schemas.openxmlformats.org/officeDocument/2006/relationships/hyperlink" Target="https://www.sec.gov/Archives/edgar/data/0001476840/000162828021020900/exhibit107-sx1a2.htm" TargetMode="External"/><Relationship Id="rId252" Type="http://schemas.openxmlformats.org/officeDocument/2006/relationships/hyperlink" Target="https://www.sec.gov/Archives/edgar/data/0001476840/000162828021020900/exhibit108-sx1a2.htm" TargetMode="External"/><Relationship Id="rId253" Type="http://schemas.openxmlformats.org/officeDocument/2006/relationships/hyperlink" Target="https://www.sec.gov/Archives/edgar/data/0001476840/000162828021020900/exhibit109-sx1a2.htm" TargetMode="External"/><Relationship Id="rId254" Type="http://schemas.openxmlformats.org/officeDocument/2006/relationships/hyperlink" Target="https://www.sec.gov/Archives/edgar/data/0001476840/000162828021020900/exhibit1010-sx1a2.htm" TargetMode="External"/><Relationship Id="rId255" Type="http://schemas.openxmlformats.org/officeDocument/2006/relationships/hyperlink" Target="https://www.sec.gov/Archives/edgar/data/0001476840/000162828021020900/exhibit1011s-1a2.htm" TargetMode="External"/><Relationship Id="rId256" Type="http://schemas.openxmlformats.org/officeDocument/2006/relationships/hyperlink" Target="https://www.sec.gov/Archives/edgar/data/0001476840/000162828021020900/exhibit1012-sx1a2.htm" TargetMode="External"/><Relationship Id="rId257" Type="http://schemas.openxmlformats.org/officeDocument/2006/relationships/hyperlink" Target="https://www.sec.gov/Archives/edgar/data/0001476840/000162828021020900/exhibit1013-sx1a2.htm" TargetMode="External"/><Relationship Id="rId258" Type="http://schemas.openxmlformats.org/officeDocument/2006/relationships/hyperlink" Target="https://www.sec.gov/Archives/edgar/data/0001476840/000162828021020900/exhibit1014-sx1a2.htm" TargetMode="External"/><Relationship Id="rId259" Type="http://schemas.openxmlformats.org/officeDocument/2006/relationships/hyperlink" Target="https://www.sec.gov/Archives/edgar/data/0001476840/000162828021020900/exhibit1015-sx1a2.htm" TargetMode="External"/><Relationship Id="rId260" Type="http://schemas.openxmlformats.org/officeDocument/2006/relationships/hyperlink" Target="https://www.sec.gov/Archives/edgar/data/0001476840/000162828021020900/exhibit1016-sx1a2.htm" TargetMode="External"/><Relationship Id="rId261" Type="http://schemas.openxmlformats.org/officeDocument/2006/relationships/hyperlink" Target="https://www.sec.gov/Archives/edgar/data/0001476840/000162828021020900/exhibit1017-sx1a2.htm" TargetMode="External"/><Relationship Id="rId262" Type="http://schemas.openxmlformats.org/officeDocument/2006/relationships/hyperlink" Target="https://www.sec.gov/Archives/edgar/data/0001476840/000162828021020900/exhibit1018-sx1a2.htm" TargetMode="External"/><Relationship Id="rId263" Type="http://schemas.openxmlformats.org/officeDocument/2006/relationships/hyperlink" Target="https://www.sec.gov/Archives/edgar/data/0001476840/000147684022000016/exhibit1019-10xk.htm" TargetMode="External"/><Relationship Id="rId264" Type="http://schemas.openxmlformats.org/officeDocument/2006/relationships/hyperlink" Target="https://www.sec.gov/Archives/edgar/data/0001476840/000162828021020900/exhibit1020-sx1a2.htm" TargetMode="External"/><Relationship Id="rId265" Type="http://schemas.openxmlformats.org/officeDocument/2006/relationships/hyperlink" Target="https://www.sec.gov/Archives/edgar/data/0001476840/000162828021020900/exhibit1021-sx1a2.htm" TargetMode="External"/><Relationship Id="rId266" Type="http://schemas.openxmlformats.org/officeDocument/2006/relationships/hyperlink" Target="https://www.sec.gov/Archives/edgar/data/0001476840/000162828021020900/exhibit1022-sx1a2.htm" TargetMode="External"/><Relationship Id="rId267" Type="http://schemas.openxmlformats.org/officeDocument/2006/relationships/hyperlink" Target="https://www.sec.gov/Archives/edgar/data/0001476840/000162828021020900/exhibit1023-sx1a2.htm" TargetMode="External"/><Relationship Id="rId269" Type="http://schemas.openxmlformats.org/officeDocument/2006/relationships/hyperlink" Target="https://www.sec.gov/Archives/edgar/data/0001476840/000162828021020900/exhibit211-sx1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2023-03-08T16:46:32Z</dcterms:created>
  <dcterms:modified xsi:type="dcterms:W3CDTF">2023-03-08T16:46:32Z</dcterms:modified>
</cp:coreProperties>
</file>