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Liu Ying</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06/22/2022</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06/22/2022</w:t>
            </w: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6,721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16,630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("RSUs") pursuant to the Non-Employee Director Compensation Program, which vest on the earlier of (i) the first anniversary of the grant date and (ii) immediately before the next Annual Meeting of Shareholders following the grant date. Each RSU represents a right to receive one share of Class A common stock.</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1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2022-06-23T17:03:56Z</dcterms:created>
  <dcterms:modified xsi:type="dcterms:W3CDTF">2022-06-23T17:03:56Z</dcterms:modified>
</cp:coreProperties>
</file>