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0001970717</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0001104659-23-045653</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Expensify</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236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280" w:type="dxa"/>
            <w:vAlign w:val="bottom"/>
          </w:tcPr>
          <w:p>
            <w:pPr>
              <w:spacing w:after="0"/>
              <w:rPr>
                <w:sz w:val="13"/>
                <w:szCs w:val="13"/>
                <w:color w:val="auto"/>
              </w:rPr>
            </w:pPr>
          </w:p>
        </w:tc>
        <w:tc>
          <w:tcPr>
            <w:tcW w:w="23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28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6"/>
              </w:rPr>
              <w:t>Barrett Trust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note 2(a) in Remarks below</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A</w:t>
      </w:r>
      <w:r>
        <w:rPr>
          <w:sz w:val="20"/>
          <w:szCs w:val="20"/>
          <w:color w:val="auto"/>
        </w:rPr>
        <w:tab/>
      </w:r>
      <w:r>
        <w:rPr>
          <w:rFonts w:ascii="Times New Roman" w:cs="Times New Roman" w:eastAsia="Times New Roman" w:hAnsi="Times New Roman"/>
          <w:sz w:val="29"/>
          <w:szCs w:val="29"/>
          <w:color w:val="auto"/>
          <w:vertAlign w:val="superscript"/>
        </w:rPr>
        <w:t>Associates</w:t>
      </w:r>
      <w:r>
        <w:rPr>
          <w:sz w:val="20"/>
          <w:szCs w:val="20"/>
          <w:color w:val="auto"/>
        </w:rPr>
        <w:tab/>
      </w:r>
      <w:r>
        <w:rPr>
          <w:rFonts w:ascii="Times New Roman" w:cs="Times New Roman" w:eastAsia="Times New Roman" w:hAnsi="Times New Roman"/>
          <w:sz w:val="18"/>
          <w:szCs w:val="18"/>
          <w:color w:val="auto"/>
        </w:rPr>
        <w:t>90000</w:t>
      </w:r>
      <w:r>
        <w:rPr>
          <w:sz w:val="20"/>
          <w:szCs w:val="20"/>
          <w:color w:val="auto"/>
        </w:rPr>
        <w:tab/>
      </w:r>
      <w:r>
        <w:rPr>
          <w:rFonts w:ascii="Times New Roman" w:cs="Times New Roman" w:eastAsia="Times New Roman" w:hAnsi="Times New Roman"/>
          <w:sz w:val="18"/>
          <w:szCs w:val="18"/>
          <w:color w:val="auto"/>
        </w:rPr>
        <w:t>735300.00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880 Carillon Parkway</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St Petersburg  FL  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68252500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04/12/2023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04/29/2009 Founding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Expensify,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3588640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04/29/2009 N/A</w:t>
      </w:r>
    </w:p>
    <w:p>
      <w:pPr>
        <w:spacing w:after="0" w:line="200" w:lineRule="exact"/>
        <w:rPr>
          <w:sz w:val="20"/>
          <w:szCs w:val="20"/>
          <w:color w:val="auto"/>
        </w:rPr>
      </w:pPr>
    </w:p>
    <w:p>
      <w:pPr>
        <w:sectPr>
          <w:pgSz w:w="11900" w:h="16838" w:orient="portrait"/>
          <w:cols w:equalWidth="0" w:num="5">
            <w:col w:w="1060" w:space="460"/>
            <w:col w:w="2500" w:space="240"/>
            <w:col w:w="2240" w:space="720"/>
            <w:col w:w="760" w:space="54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5331 NE 31st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01/11/2023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269468.81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5331 NE 31st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02/10/2023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290291.31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5331 NE 31st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03/13/2023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245302.06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p>
      <w:pPr>
        <w:ind w:left="940" w:right="520"/>
        <w:spacing w:after="0" w:line="253" w:lineRule="auto"/>
        <w:rPr>
          <w:sz w:val="20"/>
          <w:szCs w:val="20"/>
          <w:color w:val="auto"/>
        </w:rPr>
      </w:pPr>
      <w:r>
        <w:rPr>
          <w:rFonts w:ascii="Times New Roman" w:cs="Times New Roman" w:eastAsia="Times New Roman" w:hAnsi="Times New Roman"/>
          <w:sz w:val="21"/>
          <w:szCs w:val="21"/>
          <w:color w:val="auto"/>
        </w:rPr>
        <w:t>Note for 2(a): The person for whose account the securities are to be sold is a manager-managed limited liability company, Barrett Trust LLC. The investment and voting decisions of Barrett Trust LLC are made by its manager,</w:t>
      </w:r>
    </w:p>
    <w:p>
      <w:pPr>
        <w:spacing w:after="0" w:line="1" w:lineRule="exact"/>
        <w:rPr>
          <w:sz w:val="20"/>
          <w:szCs w:val="20"/>
          <w:color w:val="auto"/>
        </w:rPr>
      </w:pPr>
    </w:p>
    <w:p>
      <w:pPr>
        <w:ind w:left="940" w:right="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David Barrett, and its controlling member is the Barrett Family Trust, for which David Barrett serves as trustee. David Barrett is Chief Executive Officer and a director of the issuer. Note for 3(d): based on sales price; closing price as of</w:t>
      </w:r>
    </w:p>
    <w:p>
      <w:pPr>
        <w:ind w:left="940" w:right="120"/>
        <w:spacing w:after="0" w:line="237" w:lineRule="auto"/>
        <w:rPr>
          <w:sz w:val="20"/>
          <w:szCs w:val="20"/>
          <w:color w:val="auto"/>
        </w:rPr>
      </w:pPr>
      <w:r>
        <w:rPr>
          <w:rFonts w:ascii="Times New Roman" w:cs="Times New Roman" w:eastAsia="Times New Roman" w:hAnsi="Times New Roman"/>
          <w:sz w:val="22"/>
          <w:szCs w:val="22"/>
          <w:color w:val="auto"/>
        </w:rPr>
        <w:t>4/12/23 is $7.91/sh. Note for 3(e): As of March 3, 2023, as stated in Issuer's annual report on Form 10-K for the fiscal year ending December 31, 2022.</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05/04/2023</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David M. Barrett, General Manager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2023-05-04T16:39:43Z</dcterms:created>
  <dcterms:modified xsi:type="dcterms:W3CDTF">2023-05-04T16:39:43Z</dcterms:modified>
</cp:coreProperties>
</file>