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80" w:type="dxa"/>
            <w:vAlign w:val="bottom"/>
          </w:tcPr>
          <w:p>
            <w:pPr>
              <w:spacing w:after="0"/>
              <w:rPr>
                <w:sz w:val="21"/>
                <w:szCs w:val="21"/>
                <w:color w:val="auto"/>
              </w:rPr>
            </w:pPr>
          </w:p>
        </w:tc>
        <w:tc>
          <w:tcPr>
            <w:tcW w:w="308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80" w:type="dxa"/>
            <w:vAlign w:val="bottom"/>
          </w:tcPr>
          <w:p>
            <w:pPr>
              <w:spacing w:after="0"/>
              <w:rPr>
                <w:sz w:val="13"/>
                <w:szCs w:val="13"/>
                <w:color w:val="auto"/>
              </w:rPr>
            </w:pPr>
          </w:p>
        </w:tc>
        <w:tc>
          <w:tcPr>
            <w:tcW w:w="308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6"/>
              </w:rPr>
              <w:t>Barrett Trust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 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w:t>
      </w:r>
      <w:r>
        <w:rPr>
          <w:sz w:val="20"/>
          <w:szCs w:val="20"/>
          <w:color w:val="auto"/>
        </w:rPr>
        <w:tab/>
      </w:r>
      <w:r>
        <w:rPr>
          <w:rFonts w:ascii="Times New Roman" w:cs="Times New Roman" w:eastAsia="Times New Roman" w:hAnsi="Times New Roman"/>
          <w:sz w:val="21"/>
          <w:szCs w:val="21"/>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1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376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6"/>
                <w:szCs w:val="16"/>
                <w:b w:val="1"/>
                <w:bCs w:val="1"/>
                <w:color w:val="auto"/>
              </w:rPr>
              <w:t>Other Units Market Value 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751219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1397267.34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03/18/2024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04/29/2009 Founding shares</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Expensify, Inc.</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751219</w:t>
            </w:r>
          </w:p>
        </w:tc>
        <w:tc>
          <w:tcPr>
            <w:tcW w:w="2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04/29/2009 Founding shares</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7311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15645.54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03/15/2024 15224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29382.32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03/15/2024 80082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154558.26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12/19/2023 10978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25359.18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Note: Barrett Trust LLC is a manager-managed limited liability company. The investment and voting decisions of Barrett Trust LLC are made by its manager, David Barrett, and its controlling member is the Barrett Family Trust, for which David Barrett serves as trustee. Note Table II: Amounts for sales on 3/15/2024 on behalf of David Barrett are estimates. Note for 3(e): As of February 21, 2024, as stated in the Issuer's annual report on Form 10-K for the fiscal year ending December 31,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03/18/2024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2024-03-18T20:28:22Z</dcterms:created>
  <dcterms:modified xsi:type="dcterms:W3CDTF">2024-03-18T20:28:22Z</dcterms:modified>
</cp:coreProperties>
</file>