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-561340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3930015</wp:posOffset>
            </wp:positionH>
            <wp:positionV relativeFrom="paragraph">
              <wp:posOffset>-607060</wp:posOffset>
            </wp:positionV>
            <wp:extent cx="57150" cy="620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645160</wp:posOffset>
            </wp:positionV>
            <wp:extent cx="6997700" cy="43167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316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Schaffer Ryan</w:t>
        </w:r>
      </w:hyperlink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EXPENSIFY,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88 KEARNY ST, STE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Expensify,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EXFY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720"/>
        <w:spacing w:after="0" w:line="286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Financial Officer</w:t>
      </w:r>
    </w:p>
    <w:p>
      <w:pPr>
        <w:spacing w:after="0" w:line="5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0" w:space="720"/>
            <w:col w:w="336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80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jc w:val="center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94108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FRANCISCO</w:t>
            </w: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1,164,596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06/23/2026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1,164,596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06/23/2036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8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1,164,596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8000"/>
              </w:rPr>
              <w:t>1. The stock option vests in 16 equal quarterly installments, deemed to have begun on April 12, 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/s/ Ryan Schaffer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06/25/2026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-2345690</wp:posOffset>
            </wp:positionV>
            <wp:extent cx="28575" cy="16357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1061" TargetMode="External"/><Relationship Id="rId14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2026-06-25T18:17:51Z</dcterms:created>
  <dcterms:modified xsi:type="dcterms:W3CDTF">2026-06-25T18:17:51Z</dcterms:modified>
</cp:coreProperties>
</file>