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Expensify,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Issuer)</w:t>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4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30219Q106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1873885</wp:posOffset>
            </wp:positionH>
            <wp:positionV relativeFrom="paragraph">
              <wp:posOffset>19685</wp:posOffset>
            </wp:positionV>
            <wp:extent cx="33604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2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(CUSIP Number)</w:t>
      </w:r>
    </w:p>
    <w:p>
      <w:pPr>
        <w:spacing w:after="0" w:line="22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November 15,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1873885</wp:posOffset>
            </wp:positionH>
            <wp:positionV relativeFrom="paragraph">
              <wp:posOffset>19685</wp:posOffset>
            </wp:positionV>
            <wp:extent cx="33604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13G is filed:</w:t>
      </w:r>
    </w:p>
    <w:p>
      <w:pPr>
        <w:spacing w:after="0" w:line="242" w:lineRule="exact"/>
        <w:rPr>
          <w:sz w:val="24"/>
          <w:szCs w:val="24"/>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52" w:lineRule="exact"/>
        <w:rPr>
          <w:sz w:val="24"/>
          <w:szCs w:val="24"/>
          <w:color w:val="auto"/>
        </w:rPr>
      </w:pPr>
    </w:p>
    <w:p>
      <w:pPr>
        <w:ind w:left="980" w:hanging="324"/>
        <w:spacing w:after="0"/>
        <w:tabs>
          <w:tab w:leader="none" w:pos="9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52" w:lineRule="exact"/>
        <w:rPr>
          <w:sz w:val="24"/>
          <w:szCs w:val="24"/>
          <w:color w:val="auto"/>
        </w:rPr>
      </w:pPr>
    </w:p>
    <w:p>
      <w:pPr>
        <w:ind w:left="980" w:hanging="324"/>
        <w:spacing w:after="0"/>
        <w:tabs>
          <w:tab w:leader="none" w:pos="9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43"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6" w:lineRule="exact"/>
        <w:rPr>
          <w:sz w:val="24"/>
          <w:szCs w:val="24"/>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w:t>
      </w:r>
      <w:r>
        <w:rPr>
          <w:rFonts w:ascii="Times New Roman" w:cs="Times New Roman" w:eastAsia="Times New Roman" w:hAnsi="Times New Roman"/>
          <w:sz w:val="22"/>
          <w:szCs w:val="22"/>
          <w:i w:val="1"/>
          <w:iCs w:val="1"/>
          <w:color w:val="auto"/>
        </w:rPr>
        <w:t>filed</w:t>
      </w:r>
      <w:r>
        <w:rPr>
          <w:rFonts w:ascii="Times New Roman" w:cs="Times New Roman" w:eastAsia="Times New Roman" w:hAnsi="Times New Roman"/>
          <w:sz w:val="22"/>
          <w:szCs w:val="22"/>
          <w:color w:val="auto"/>
        </w:rPr>
        <w:t>”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0"/>
        </w:trPr>
        <w:tc>
          <w:tcPr>
            <w:tcW w:w="222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CUSIP No. 30219Q106</w:t>
            </w:r>
          </w:p>
        </w:tc>
        <w:tc>
          <w:tcPr>
            <w:tcW w:w="48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right w:val="single" w:sz="8" w:color="auto"/>
            </w:tcBorders>
          </w:tcPr>
          <w:p>
            <w:pPr>
              <w:spacing w:after="0"/>
              <w:rPr>
                <w:sz w:val="21"/>
                <w:szCs w:val="21"/>
                <w:color w:val="auto"/>
              </w:rPr>
            </w:pPr>
          </w:p>
        </w:tc>
        <w:tc>
          <w:tcPr>
            <w:tcW w:w="380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680" w:type="dxa"/>
            <w:vAlign w:val="bottom"/>
            <w:tcBorders>
              <w:top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Page 2 of 5 Pages</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6180" w:type="dxa"/>
            <w:vAlign w:val="bottom"/>
            <w:tcBorders>
              <w:bottom w:val="single" w:sz="8" w:color="auto"/>
            </w:tcBorders>
            <w:gridSpan w:val="6"/>
          </w:tcPr>
          <w:p>
            <w:pPr>
              <w:spacing w:after="0"/>
              <w:rPr>
                <w:sz w:val="15"/>
                <w:szCs w:val="15"/>
                <w:color w:val="auto"/>
              </w:rPr>
            </w:pPr>
          </w:p>
        </w:tc>
        <w:tc>
          <w:tcPr>
            <w:tcW w:w="3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618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1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David Martirano</w:t>
            </w:r>
          </w:p>
        </w:tc>
        <w:tc>
          <w:tcPr>
            <w:tcW w:w="3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180" w:type="dxa"/>
            <w:vAlign w:val="bottom"/>
            <w:tcBorders>
              <w:bottom w:val="single" w:sz="8" w:color="auto"/>
            </w:tcBorders>
            <w:gridSpan w:val="6"/>
          </w:tcPr>
          <w:p>
            <w:pPr>
              <w:spacing w:after="0"/>
              <w:rPr>
                <w:sz w:val="14"/>
                <w:szCs w:val="14"/>
                <w:color w:val="auto"/>
              </w:rPr>
            </w:pPr>
          </w:p>
        </w:tc>
        <w:tc>
          <w:tcPr>
            <w:tcW w:w="36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618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1060" w:type="dxa"/>
            <w:vAlign w:val="bottom"/>
            <w:tcBorders>
              <w:right w:val="single" w:sz="8" w:color="BFBFBF"/>
            </w:tcBorders>
            <w:shd w:val="clear" w:color="auto" w:fill="BFBFBF"/>
          </w:tcPr>
          <w:p>
            <w:pPr>
              <w:spacing w:after="0"/>
              <w:rPr>
                <w:sz w:val="20"/>
                <w:szCs w:val="20"/>
                <w:color w:val="auto"/>
              </w:rPr>
            </w:pPr>
          </w:p>
        </w:tc>
        <w:tc>
          <w:tcPr>
            <w:tcW w:w="3800" w:type="dxa"/>
            <w:vAlign w:val="bottom"/>
            <w:tcBorders>
              <w:right w:val="single" w:sz="8" w:color="BFBFBF"/>
            </w:tcBorders>
            <w:shd w:val="clear" w:color="auto" w:fill="BFBFBF"/>
          </w:tcPr>
          <w:p>
            <w:pPr>
              <w:spacing w:after="0"/>
              <w:rPr>
                <w:sz w:val="20"/>
                <w:szCs w:val="20"/>
                <w:color w:val="auto"/>
              </w:rPr>
            </w:pPr>
          </w:p>
        </w:tc>
        <w:tc>
          <w:tcPr>
            <w:tcW w:w="368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060" w:type="dxa"/>
            <w:vAlign w:val="bottom"/>
            <w:tcBorders>
              <w:right w:val="single" w:sz="8" w:color="BFBFBF"/>
            </w:tcBorders>
            <w:shd w:val="clear" w:color="auto" w:fill="BFBFBF"/>
          </w:tcPr>
          <w:p>
            <w:pPr>
              <w:spacing w:after="0"/>
              <w:rPr>
                <w:sz w:val="24"/>
                <w:szCs w:val="24"/>
                <w:color w:val="auto"/>
              </w:rPr>
            </w:pPr>
          </w:p>
        </w:tc>
        <w:tc>
          <w:tcPr>
            <w:tcW w:w="3800" w:type="dxa"/>
            <w:vAlign w:val="bottom"/>
            <w:tcBorders>
              <w:right w:val="single" w:sz="8" w:color="BFBFBF"/>
            </w:tcBorders>
            <w:shd w:val="clear" w:color="auto" w:fill="BFBFBF"/>
          </w:tcPr>
          <w:p>
            <w:pPr>
              <w:spacing w:after="0"/>
              <w:rPr>
                <w:sz w:val="24"/>
                <w:szCs w:val="24"/>
                <w:color w:val="auto"/>
              </w:rPr>
            </w:pPr>
          </w:p>
        </w:tc>
        <w:tc>
          <w:tcPr>
            <w:tcW w:w="368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488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68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618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60" w:type="dxa"/>
            <w:vAlign w:val="bottom"/>
            <w:tcBorders>
              <w:bottom w:val="single" w:sz="8" w:color="auto"/>
            </w:tcBorders>
            <w:gridSpan w:val="2"/>
          </w:tcPr>
          <w:p>
            <w:pPr>
              <w:spacing w:after="0"/>
              <w:rPr>
                <w:sz w:val="14"/>
                <w:szCs w:val="14"/>
                <w:color w:val="auto"/>
              </w:rPr>
            </w:pPr>
          </w:p>
        </w:tc>
        <w:tc>
          <w:tcPr>
            <w:tcW w:w="36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7,144,840</w:t>
            </w:r>
          </w:p>
        </w:tc>
        <w:tc>
          <w:tcPr>
            <w:tcW w:w="3800" w:type="dxa"/>
            <w:vAlign w:val="bottom"/>
          </w:tcPr>
          <w:p>
            <w:pPr>
              <w:spacing w:after="0"/>
              <w:rPr>
                <w:sz w:val="24"/>
                <w:szCs w:val="24"/>
                <w:color w:val="auto"/>
              </w:rPr>
            </w:pPr>
          </w:p>
        </w:tc>
        <w:tc>
          <w:tcPr>
            <w:tcW w:w="3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60" w:type="dxa"/>
            <w:vAlign w:val="bottom"/>
            <w:tcBorders>
              <w:bottom w:val="single" w:sz="8" w:color="auto"/>
            </w:tcBorders>
            <w:gridSpan w:val="2"/>
          </w:tcPr>
          <w:p>
            <w:pPr>
              <w:spacing w:after="0"/>
              <w:rPr>
                <w:sz w:val="14"/>
                <w:szCs w:val="14"/>
                <w:color w:val="auto"/>
              </w:rPr>
            </w:pPr>
          </w:p>
        </w:tc>
        <w:tc>
          <w:tcPr>
            <w:tcW w:w="36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3800" w:type="dxa"/>
            <w:vAlign w:val="bottom"/>
          </w:tcPr>
          <w:p>
            <w:pPr>
              <w:spacing w:after="0"/>
              <w:rPr>
                <w:sz w:val="19"/>
                <w:szCs w:val="19"/>
                <w:color w:val="auto"/>
              </w:rPr>
            </w:pPr>
          </w:p>
        </w:tc>
        <w:tc>
          <w:tcPr>
            <w:tcW w:w="3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3800" w:type="dxa"/>
            <w:vAlign w:val="bottom"/>
          </w:tcPr>
          <w:p>
            <w:pPr>
              <w:spacing w:after="0"/>
              <w:rPr>
                <w:sz w:val="18"/>
                <w:szCs w:val="18"/>
                <w:color w:val="auto"/>
              </w:rPr>
            </w:pPr>
          </w:p>
        </w:tc>
        <w:tc>
          <w:tcPr>
            <w:tcW w:w="3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3800" w:type="dxa"/>
            <w:vAlign w:val="bottom"/>
            <w:tcBorders>
              <w:bottom w:val="single" w:sz="8" w:color="auto"/>
            </w:tcBorders>
          </w:tcPr>
          <w:p>
            <w:pPr>
              <w:spacing w:after="0"/>
              <w:rPr>
                <w:sz w:val="11"/>
                <w:szCs w:val="11"/>
                <w:color w:val="auto"/>
              </w:rPr>
            </w:pPr>
          </w:p>
        </w:tc>
        <w:tc>
          <w:tcPr>
            <w:tcW w:w="36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6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4860" w:type="dxa"/>
            <w:vAlign w:val="bottom"/>
            <w:gridSpan w:val="2"/>
            <w:vMerge w:val="continue"/>
          </w:tcPr>
          <w:p>
            <w:pPr>
              <w:spacing w:after="0"/>
              <w:rPr>
                <w:sz w:val="18"/>
                <w:szCs w:val="18"/>
                <w:color w:val="auto"/>
              </w:rPr>
            </w:pPr>
          </w:p>
        </w:tc>
        <w:tc>
          <w:tcPr>
            <w:tcW w:w="3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7,144,840</w:t>
            </w:r>
          </w:p>
        </w:tc>
        <w:tc>
          <w:tcPr>
            <w:tcW w:w="3800" w:type="dxa"/>
            <w:vAlign w:val="bottom"/>
          </w:tcPr>
          <w:p>
            <w:pPr>
              <w:spacing w:after="0"/>
              <w:rPr>
                <w:sz w:val="20"/>
                <w:szCs w:val="20"/>
                <w:color w:val="auto"/>
              </w:rPr>
            </w:pP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3800" w:type="dxa"/>
            <w:vAlign w:val="bottom"/>
          </w:tcPr>
          <w:p>
            <w:pPr>
              <w:spacing w:after="0"/>
              <w:rPr>
                <w:sz w:val="10"/>
                <w:szCs w:val="10"/>
                <w:color w:val="auto"/>
              </w:rPr>
            </w:pPr>
          </w:p>
        </w:tc>
        <w:tc>
          <w:tcPr>
            <w:tcW w:w="36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60" w:type="dxa"/>
            <w:vAlign w:val="bottom"/>
            <w:tcBorders>
              <w:bottom w:val="single" w:sz="8" w:color="auto"/>
            </w:tcBorders>
            <w:gridSpan w:val="2"/>
          </w:tcPr>
          <w:p>
            <w:pPr>
              <w:spacing w:after="0"/>
              <w:rPr>
                <w:sz w:val="14"/>
                <w:szCs w:val="14"/>
                <w:color w:val="auto"/>
              </w:rPr>
            </w:pPr>
          </w:p>
        </w:tc>
        <w:tc>
          <w:tcPr>
            <w:tcW w:w="36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3800" w:type="dxa"/>
            <w:vAlign w:val="bottom"/>
          </w:tcPr>
          <w:p>
            <w:pPr>
              <w:spacing w:after="0"/>
              <w:rPr>
                <w:sz w:val="24"/>
                <w:szCs w:val="24"/>
                <w:color w:val="auto"/>
              </w:rPr>
            </w:pPr>
          </w:p>
        </w:tc>
        <w:tc>
          <w:tcPr>
            <w:tcW w:w="3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7,144,840</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2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40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4880" w:type="dxa"/>
            <w:vAlign w:val="bottom"/>
            <w:tcBorders>
              <w:bottom w:val="single" w:sz="8" w:color="auto"/>
            </w:tcBorders>
            <w:gridSpan w:val="3"/>
          </w:tcPr>
          <w:p>
            <w:pPr>
              <w:spacing w:after="0"/>
              <w:rPr>
                <w:sz w:val="12"/>
                <w:szCs w:val="12"/>
                <w:color w:val="auto"/>
              </w:rPr>
            </w:pPr>
          </w:p>
        </w:tc>
        <w:tc>
          <w:tcPr>
            <w:tcW w:w="36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618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10.5%</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880" w:type="dxa"/>
            <w:vAlign w:val="bottom"/>
            <w:tcBorders>
              <w:bottom w:val="single" w:sz="8" w:color="auto"/>
            </w:tcBorders>
            <w:gridSpan w:val="3"/>
          </w:tcPr>
          <w:p>
            <w:pPr>
              <w:spacing w:after="0"/>
              <w:rPr>
                <w:sz w:val="14"/>
                <w:szCs w:val="14"/>
                <w:color w:val="auto"/>
              </w:rPr>
            </w:pPr>
          </w:p>
        </w:tc>
        <w:tc>
          <w:tcPr>
            <w:tcW w:w="36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618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tcPr>
          <w:p>
            <w:pPr>
              <w:spacing w:after="0"/>
              <w:rPr>
                <w:sz w:val="14"/>
                <w:szCs w:val="14"/>
                <w:color w:val="auto"/>
              </w:rPr>
            </w:pPr>
          </w:p>
        </w:tc>
        <w:tc>
          <w:tcPr>
            <w:tcW w:w="36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33"/>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2" w:name="page3"/>
    <w:bookmarkEnd w:id="2"/>
    <w:p>
      <w:pPr>
        <w:ind w:left="40"/>
        <w:spacing w:after="0"/>
        <w:tabs>
          <w:tab w:leader="none" w:pos="4960" w:val="left"/>
          <w:tab w:leader="none" w:pos="7720" w:val="left"/>
        </w:tabs>
        <w:rPr>
          <w:sz w:val="20"/>
          <w:szCs w:val="20"/>
          <w:color w:val="auto"/>
        </w:rPr>
      </w:pPr>
      <w:r>
        <w:rPr>
          <w:rFonts w:ascii="Times New Roman" w:cs="Times New Roman" w:eastAsia="Times New Roman" w:hAnsi="Times New Roman"/>
          <w:sz w:val="18"/>
          <w:szCs w:val="18"/>
          <w:color w:val="auto"/>
        </w:rPr>
        <w:t>CUSIP No. 30219Q106</w:t>
      </w:r>
      <w:r>
        <w:rPr>
          <w:sz w:val="20"/>
          <w:szCs w:val="20"/>
          <w:color w:val="auto"/>
        </w:rPr>
        <w:tab/>
      </w: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17"/>
          <w:szCs w:val="17"/>
          <w:color w:val="auto"/>
        </w:rPr>
        <w:t>Page 3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-125095</wp:posOffset>
            </wp:positionV>
            <wp:extent cx="233997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399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239141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91410" cy="17145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2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 Name of Issuer:</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Expensify, Inc.</w:t>
      </w:r>
    </w:p>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(b) Address of Issuer’s Principal Executive Offices:</w:t>
      </w:r>
    </w:p>
    <w:p>
      <w:pPr>
        <w:spacing w:after="0" w:line="1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401 SW 5</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Avenue</w:t>
      </w:r>
    </w:p>
    <w:p>
      <w:pPr>
        <w:ind w:left="660"/>
        <w:spacing w:after="0"/>
        <w:rPr>
          <w:sz w:val="20"/>
          <w:szCs w:val="20"/>
          <w:color w:val="auto"/>
        </w:rPr>
      </w:pPr>
      <w:r>
        <w:rPr>
          <w:rFonts w:ascii="Times New Roman" w:cs="Times New Roman" w:eastAsia="Times New Roman" w:hAnsi="Times New Roman"/>
          <w:sz w:val="22"/>
          <w:szCs w:val="22"/>
          <w:color w:val="auto"/>
        </w:rPr>
        <w:t>Portland, Oregon 97209</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2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 Names of Persons Filing:</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David Martirano (the “Reporting Person”)</w:t>
      </w:r>
    </w:p>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(b) Address of Principal Business Office or, if none, Residence:</w:t>
      </w:r>
    </w:p>
    <w:p>
      <w:pPr>
        <w:spacing w:after="0" w:line="1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50 Milk Street, 16</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Floor</w:t>
      </w:r>
    </w:p>
    <w:p>
      <w:pPr>
        <w:ind w:left="660"/>
        <w:spacing w:after="0"/>
        <w:rPr>
          <w:sz w:val="20"/>
          <w:szCs w:val="20"/>
          <w:color w:val="auto"/>
        </w:rPr>
      </w:pPr>
      <w:r>
        <w:rPr>
          <w:rFonts w:ascii="Times New Roman" w:cs="Times New Roman" w:eastAsia="Times New Roman" w:hAnsi="Times New Roman"/>
          <w:sz w:val="22"/>
          <w:szCs w:val="22"/>
          <w:color w:val="auto"/>
        </w:rPr>
        <w:t>Boston, MA 02109</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 Citizenship:</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United States</w:t>
      </w:r>
    </w:p>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 Title of Class of Securities:</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Class A Common Stock, $0.0001 par value per share (“Class A Common Stock”)</w:t>
      </w:r>
    </w:p>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 CUSIP Number:</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30219Q106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3.</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47" w:lineRule="exact"/>
        <w:rPr>
          <w:sz w:val="20"/>
          <w:szCs w:val="20"/>
          <w:color w:val="auto"/>
        </w:rPr>
      </w:pPr>
    </w:p>
    <w:p>
      <w:pPr>
        <w:ind w:left="660" w:right="120"/>
        <w:spacing w:after="0" w:line="238" w:lineRule="auto"/>
        <w:rPr>
          <w:sz w:val="20"/>
          <w:szCs w:val="20"/>
          <w:color w:val="auto"/>
        </w:rPr>
      </w:pPr>
      <w:r>
        <w:rPr>
          <w:rFonts w:ascii="Times New Roman" w:cs="Times New Roman" w:eastAsia="Times New Roman" w:hAnsi="Times New Roman"/>
          <w:sz w:val="22"/>
          <w:szCs w:val="22"/>
          <w:color w:val="auto"/>
        </w:rPr>
        <w:t>The responses to Items 5-11 of the cover page of this Schedule 13G are incorporated herein by reference. The ownership information below represents the Reporting Person’s beneficial ownership of Class A Common Stock as of the date hereof, based upon 68,027,354 shares of Class A Common Stock outstanding as of March 25, 2022, as reported in the Issuer’s annual report on Form 10-K for the year ended December 31, 2021, filed with the Securities and Exchange Commission (the “SEC”) on March 31, 2022.</w:t>
      </w:r>
    </w:p>
    <w:p>
      <w:pPr>
        <w:spacing w:after="0" w:line="204"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As of the date hereof, the Reporting Person beneficially owned 7,144,840 shares of Class A Common Stock, consisting of the following:</w:t>
      </w:r>
    </w:p>
    <w:p>
      <w:pPr>
        <w:spacing w:after="0" w:line="194" w:lineRule="exact"/>
        <w:rPr>
          <w:sz w:val="20"/>
          <w:szCs w:val="20"/>
          <w:color w:val="auto"/>
        </w:rPr>
      </w:pPr>
    </w:p>
    <w:p>
      <w:pPr>
        <w:ind w:left="980" w:right="12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230,140 shares were directly owned by PJC-DV II LLC (“DV II”). The Reporting Person is the manager of DV II, and in such capacity may be deemed to beneficially own such shares.</w:t>
      </w:r>
    </w:p>
    <w:p>
      <w:pPr>
        <w:spacing w:after="0" w:line="188"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255,270 shares were directly owned by Point Judith Venture Fund III, L.P. (“Fund III”). Point Judith Capital Partners III LLC (“Partners III”) is the general partner of Fund III. The Reporting Person is the manager of Partners III, and in such capacity may be deemed to beneficially own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type w:val="continuous"/>
        </w:sectPr>
      </w:pPr>
    </w:p>
    <w:bookmarkStart w:id="3" w:name="page4"/>
    <w:bookmarkEnd w:id="3"/>
    <w:p>
      <w:pPr>
        <w:ind w:left="40"/>
        <w:spacing w:after="0"/>
        <w:tabs>
          <w:tab w:leader="none" w:pos="4960" w:val="left"/>
          <w:tab w:leader="none" w:pos="7720" w:val="left"/>
        </w:tabs>
        <w:rPr>
          <w:sz w:val="20"/>
          <w:szCs w:val="20"/>
          <w:color w:val="auto"/>
        </w:rPr>
      </w:pPr>
      <w:r>
        <w:rPr>
          <w:rFonts w:ascii="Times New Roman" w:cs="Times New Roman" w:eastAsia="Times New Roman" w:hAnsi="Times New Roman"/>
          <w:sz w:val="18"/>
          <w:szCs w:val="18"/>
          <w:color w:val="auto"/>
        </w:rPr>
        <w:t>CUSIP No. 30219Q106</w:t>
      </w:r>
      <w:r>
        <w:rPr>
          <w:sz w:val="20"/>
          <w:szCs w:val="20"/>
          <w:color w:val="auto"/>
        </w:rPr>
        <w:tab/>
      </w: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17"/>
          <w:szCs w:val="17"/>
          <w:color w:val="auto"/>
        </w:rPr>
        <w:t>Page 4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-125095</wp:posOffset>
            </wp:positionV>
            <wp:extent cx="233997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399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239141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91410" cy="17145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p>
      <w:pPr>
        <w:spacing w:after="0" w:line="229" w:lineRule="exact"/>
        <w:rPr>
          <w:sz w:val="20"/>
          <w:szCs w:val="20"/>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3,281,880 shares were directly owned by Point Judith Venture Fund III (QP), L.P. (“Fund III (QP)”). Partners III is the general partner of Fund III (QP). The Reporting Person is the manager of Partners III, and in such capacity may be deemed to beneficially own such shares.</w:t>
      </w:r>
    </w:p>
    <w:p>
      <w:pPr>
        <w:spacing w:after="0" w:line="188" w:lineRule="exact"/>
        <w:rPr>
          <w:rFonts w:ascii="Times New Roman" w:cs="Times New Roman" w:eastAsia="Times New Roman" w:hAnsi="Times New Roman"/>
          <w:sz w:val="18"/>
          <w:szCs w:val="18"/>
          <w:color w:val="auto"/>
        </w:rPr>
      </w:pPr>
    </w:p>
    <w:p>
      <w:pPr>
        <w:ind w:left="980" w:right="6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2,345,190 shares were directly owned by PJC-DV LLC (“DV”). DMM SPV Management LLC (“DMM”) is the manager of DV. The Reporting Person is the manager of DMM, and in such capacity may be deemed to beneficially own such shares.</w:t>
      </w:r>
    </w:p>
    <w:p>
      <w:pPr>
        <w:spacing w:after="0" w:line="188" w:lineRule="exact"/>
        <w:rPr>
          <w:rFonts w:ascii="Times New Roman" w:cs="Times New Roman" w:eastAsia="Times New Roman" w:hAnsi="Times New Roman"/>
          <w:sz w:val="18"/>
          <w:szCs w:val="18"/>
          <w:color w:val="auto"/>
        </w:rPr>
      </w:pPr>
    </w:p>
    <w:p>
      <w:pPr>
        <w:ind w:left="980" w:right="80" w:hanging="324"/>
        <w:spacing w:after="0" w:line="26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922,000 shares were directly owned by Point Judith Venture Fund IV, L.P. (“Fund IV”). Point Judith Capital Partners IV LLC (“Partners IV”) is the general partner of Fund IV. The Reporting Person is the manager of Partners IV, and in such capacity may be deemed to beneficially own such shares.</w:t>
      </w:r>
    </w:p>
    <w:p>
      <w:pPr>
        <w:spacing w:after="0" w:line="202" w:lineRule="exact"/>
        <w:rPr>
          <w:rFonts w:ascii="Times New Roman" w:cs="Times New Roman" w:eastAsia="Times New Roman" w:hAnsi="Times New Roman"/>
          <w:sz w:val="18"/>
          <w:szCs w:val="18"/>
          <w:color w:val="auto"/>
        </w:rPr>
      </w:pPr>
    </w:p>
    <w:p>
      <w:pPr>
        <w:ind w:left="980" w:right="34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110,360 shares were directly owned by MKC Holdings Group LLC (“MKC”). The Reporting Person is the manager of MKC, and in such capacity may be deemed to beneficially own such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ind w:left="660" w:right="220" w:hanging="647"/>
        <w:spacing w:after="0" w:line="286"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10.Certification</w:t>
      </w:r>
    </w:p>
    <w:p>
      <w:pPr>
        <w:spacing w:after="0" w:line="247" w:lineRule="exact"/>
        <w:rPr>
          <w:sz w:val="20"/>
          <w:szCs w:val="20"/>
          <w:color w:val="auto"/>
        </w:rPr>
      </w:pPr>
    </w:p>
    <w:p>
      <w:pPr>
        <w:jc w:val="both"/>
        <w:ind w:left="6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4" w:name="page5"/>
    <w:bookmarkEnd w:id="4"/>
    <w:tbl>
      <w:tblPr>
        <w:tblLayout w:type="fixed"/>
        <w:tblInd w:w="10" w:type="dxa"/>
        <w:tblCellMar>
          <w:top w:w="0" w:type="dxa"/>
          <w:left w:w="0" w:type="dxa"/>
          <w:bottom w:w="0" w:type="dxa"/>
          <w:right w:w="0" w:type="dxa"/>
        </w:tblCellMar>
      </w:tblPr>
      <w:tr>
        <w:trPr>
          <w:trHeight w:val="250"/>
        </w:trPr>
        <w:tc>
          <w:tcPr>
            <w:tcW w:w="37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CUSIP No. 30219Q106</w:t>
            </w:r>
          </w:p>
        </w:tc>
        <w:tc>
          <w:tcPr>
            <w:tcW w:w="380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660" w:type="dxa"/>
            <w:vAlign w:val="bottom"/>
            <w:tcBorders>
              <w:top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Page 5 of 5 Pages</w:t>
            </w: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SIGNATURES</w:t>
      </w:r>
    </w:p>
    <w:p>
      <w:pPr>
        <w:spacing w:after="0" w:line="237" w:lineRule="exact"/>
        <w:rPr>
          <w:sz w:val="20"/>
          <w:szCs w:val="20"/>
          <w:color w:val="auto"/>
        </w:rPr>
      </w:pPr>
    </w:p>
    <w:p>
      <w:pPr>
        <w:ind w:right="120" w:firstLine="1296"/>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3, 2022</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David Martirano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35572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David Martirano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2022-05-03T14:32:10Z</dcterms:created>
  <dcterms:modified xsi:type="dcterms:W3CDTF">2022-05-03T14:32:10Z</dcterms:modified>
</cp:coreProperties>
</file>