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1.gif" ContentType="image/gif"/>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pPr>
      <w:r>
        <w:rPr/>
      </w:r>
    </w:p>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160"/>
        <w:jc w:val="left"/>
        <w:rPr/>
      </w:pPr>
      <w:r>
        <w:rPr/>
      </w:r>
    </w:p>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doub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283"/>
        <w:jc w:val="center"/>
        <w:rPr>
          <w:rFonts w:ascii="Expensify Neue;sans-serif" w:hAnsi="Expensify Neue;sans-serif"/>
          <w:b/>
          <w:color w:val="000000"/>
          <w:sz w:val="36"/>
        </w:rPr>
      </w:pPr>
      <w:r>
        <w:rPr>
          <w:rFonts w:ascii="Expensify Neue;sans-serif" w:hAnsi="Expensify Neue;sans-serif"/>
          <w:b/>
          <w:color w:val="000000"/>
          <w:sz w:val="36"/>
        </w:rPr>
        <w:t>UNITED STATES</w:t>
      </w:r>
    </w:p>
    <w:p>
      <w:pPr>
        <w:pStyle w:val="TextBody"/>
        <w:bidi w:val="0"/>
        <w:spacing w:lineRule="auto" w:line="288" w:before="120" w:after="283"/>
        <w:jc w:val="center"/>
        <w:rPr>
          <w:rFonts w:ascii="Expensify Neue;sans-serif" w:hAnsi="Expensify Neue;sans-serif"/>
          <w:b/>
          <w:color w:val="000000"/>
          <w:sz w:val="36"/>
        </w:rPr>
      </w:pPr>
      <w:r>
        <w:rPr>
          <w:rFonts w:ascii="Expensify Neue;sans-serif" w:hAnsi="Expensify Neue;sans-serif"/>
          <w:b/>
          <w:color w:val="000000"/>
          <w:sz w:val="36"/>
        </w:rPr>
        <w:t>SECURITIES AND EXCHANGE COMMISSION</w:t>
      </w:r>
    </w:p>
    <w:p>
      <w:pPr>
        <w:pStyle w:val="TextBody"/>
        <w:bidi w:val="0"/>
        <w:spacing w:lineRule="auto" w:line="288" w:before="0" w:after="160"/>
        <w:jc w:val="center"/>
        <w:rPr>
          <w:rFonts w:ascii="Expensify Neue;sans-serif" w:hAnsi="Expensify Neue;sans-serif"/>
          <w:b/>
          <w:color w:val="000000"/>
          <w:sz w:val="28"/>
        </w:rPr>
      </w:pPr>
      <w:r>
        <w:rPr>
          <w:rFonts w:ascii="Expensify Neue;sans-serif" w:hAnsi="Expensify Neue;sans-serif"/>
          <w:b/>
          <w:color w:val="000000"/>
          <w:sz w:val="28"/>
        </w:rPr>
        <w:t>Washington, D.C. 20549</w:t>
      </w:r>
    </w:p>
    <w:p>
      <w:pPr>
        <w:pStyle w:val="TextBody"/>
        <w:bidi w:val="0"/>
        <w:spacing w:lineRule="auto" w:line="288" w:before="12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___________________________________</w:t>
      </w:r>
    </w:p>
    <w:p>
      <w:pPr>
        <w:pStyle w:val="TextBody"/>
        <w:bidi w:val="0"/>
        <w:spacing w:lineRule="auto" w:line="288" w:before="120" w:after="283"/>
        <w:jc w:val="center"/>
        <w:rPr>
          <w:rFonts w:ascii="Expensify Neue;sans-serif" w:hAnsi="Expensify Neue;sans-serif"/>
          <w:b/>
          <w:color w:val="000000"/>
          <w:sz w:val="36"/>
        </w:rPr>
      </w:pPr>
      <w:r>
        <w:rPr>
          <w:rFonts w:ascii="Expensify Neue;sans-serif" w:hAnsi="Expensify Neue;sans-serif"/>
          <w:b/>
          <w:color w:val="000000"/>
          <w:sz w:val="36"/>
        </w:rPr>
        <w:t>FORM 10-Q</w:t>
      </w:r>
    </w:p>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___________________________________</w:t>
      </w:r>
    </w:p>
    <w:p>
      <w:pPr>
        <w:pStyle w:val="TextBody"/>
        <w:bidi w:val="0"/>
        <w:spacing w:lineRule="auto" w:line="288" w:before="120" w:after="283"/>
        <w:jc w:val="left"/>
        <w:rPr>
          <w:rFonts w:ascii="Expensify Neue;sans-serif" w:hAnsi="Expensify Neue;sans-serif"/>
          <w:b/>
          <w:color w:val="000000"/>
          <w:sz w:val="20"/>
        </w:rPr>
      </w:pPr>
      <w:r>
        <w:rPr>
          <w:rFonts w:ascii="Expensify Neue;sans-serif" w:hAnsi="Expensify Neue;sans-serif"/>
          <w:b/>
          <w:color w:val="000000"/>
          <w:sz w:val="20"/>
        </w:rPr>
        <w:t>(Mark One)</w:t>
      </w:r>
    </w:p>
    <w:tbl>
      <w:tblPr>
        <w:tblW w:w="10205" w:type="dxa"/>
        <w:jc w:val="left"/>
        <w:tblInd w:w="0" w:type="dxa"/>
        <w:tblLayout w:type="fixed"/>
        <w:tblCellMar>
          <w:top w:w="28" w:type="dxa"/>
          <w:left w:w="28" w:type="dxa"/>
          <w:bottom w:w="28" w:type="dxa"/>
          <w:right w:w="28" w:type="dxa"/>
        </w:tblCellMar>
      </w:tblPr>
      <w:tblGrid>
        <w:gridCol w:w="124"/>
        <w:gridCol w:w="109"/>
        <w:gridCol w:w="109"/>
        <w:gridCol w:w="2885"/>
        <w:gridCol w:w="2885"/>
        <w:gridCol w:w="4093"/>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85" w:type="dxa"/>
            <w:tcBorders/>
            <w:vAlign w:val="center"/>
          </w:tcPr>
          <w:p>
            <w:pPr>
              <w:pStyle w:val="TableContents"/>
              <w:bidi w:val="0"/>
              <w:spacing w:before="0" w:after="283"/>
              <w:jc w:val="left"/>
              <w:rPr>
                <w:sz w:val="4"/>
                <w:szCs w:val="4"/>
              </w:rPr>
            </w:pPr>
            <w:r>
              <w:rPr>
                <w:sz w:val="4"/>
                <w:szCs w:val="4"/>
              </w:rPr>
            </w:r>
          </w:p>
        </w:tc>
        <w:tc>
          <w:tcPr>
            <w:tcW w:w="2885" w:type="dxa"/>
            <w:tcBorders/>
            <w:vAlign w:val="center"/>
          </w:tcPr>
          <w:p>
            <w:pPr>
              <w:pStyle w:val="TableContents"/>
              <w:bidi w:val="0"/>
              <w:spacing w:before="0" w:after="283"/>
              <w:jc w:val="left"/>
              <w:rPr>
                <w:sz w:val="4"/>
                <w:szCs w:val="4"/>
              </w:rPr>
            </w:pPr>
            <w:r>
              <w:rPr>
                <w:sz w:val="4"/>
                <w:szCs w:val="4"/>
              </w:rPr>
            </w:r>
          </w:p>
        </w:tc>
        <w:tc>
          <w:tcPr>
            <w:tcW w:w="4093"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Wingdings;sans-serif" w:hAnsi="Wingdings;sans-serif"/>
                <w:b/>
                <w:color w:val="000000"/>
                <w:sz w:val="20"/>
              </w:rPr>
            </w:pPr>
            <w:r>
              <w:rPr>
                <w:rFonts w:ascii="Wingdings;sans-serif" w:hAnsi="Wingdings;sans-serif"/>
                <w:b/>
                <w:color w:val="000000"/>
                <w:sz w:val="20"/>
              </w:rPr>
              <w:t>x</w:t>
            </w:r>
          </w:p>
        </w:tc>
        <w:tc>
          <w:tcPr>
            <w:tcW w:w="9863"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Expensify Neue;sans-serif" w:hAnsi="Expensify Neue;sans-serif"/>
                <w:b/>
                <w:color w:val="000000"/>
                <w:sz w:val="20"/>
              </w:rPr>
            </w:pPr>
            <w:r>
              <w:rPr>
                <w:rFonts w:ascii="Expensify Neue;sans-serif" w:hAnsi="Expensify Neue;sans-serif"/>
                <w:b/>
                <w:color w:val="000000"/>
                <w:sz w:val="20"/>
              </w:rPr>
              <w:t>QUARTERLY REPORT PURSUANT TO SECTION 13 OR 15(d) OF THE SECURITIES EXCHANGE ACT OF 1934</w:t>
            </w:r>
          </w:p>
        </w:tc>
      </w:tr>
    </w:tbl>
    <w:p>
      <w:pPr>
        <w:pStyle w:val="TextBody"/>
        <w:bidi w:val="0"/>
        <w:spacing w:lineRule="auto" w:line="288" w:before="120" w:after="283"/>
        <w:jc w:val="left"/>
        <w:rPr>
          <w:rFonts w:ascii="Expensify Neue;sans-serif" w:hAnsi="Expensify Neue;sans-serif"/>
          <w:b/>
          <w:color w:val="000000"/>
          <w:sz w:val="20"/>
        </w:rPr>
      </w:pPr>
      <w:r>
        <w:rPr>
          <w:rFonts w:ascii="Expensify Neue;sans-serif" w:hAnsi="Expensify Neue;sans-serif"/>
          <w:b/>
          <w:color w:val="000000"/>
          <w:sz w:val="20"/>
        </w:rPr>
        <w:t>For the quarterly period ended March 31, 2025</w:t>
      </w:r>
    </w:p>
    <w:p>
      <w:pPr>
        <w:pStyle w:val="TextBody"/>
        <w:bidi w:val="0"/>
        <w:spacing w:lineRule="auto" w:line="288" w:before="120" w:after="283"/>
        <w:jc w:val="center"/>
        <w:rPr>
          <w:rFonts w:ascii="Expensify Neue;sans-serif" w:hAnsi="Expensify Neue;sans-serif"/>
          <w:b/>
          <w:color w:val="000000"/>
          <w:sz w:val="20"/>
        </w:rPr>
      </w:pPr>
      <w:r>
        <w:rPr>
          <w:rFonts w:ascii="Expensify Neue;sans-serif" w:hAnsi="Expensify Neue;sans-serif"/>
          <w:b/>
          <w:color w:val="000000"/>
          <w:sz w:val="20"/>
        </w:rPr>
        <w:t>OR</w:t>
      </w:r>
    </w:p>
    <w:tbl>
      <w:tblPr>
        <w:tblW w:w="10205" w:type="dxa"/>
        <w:jc w:val="left"/>
        <w:tblInd w:w="0" w:type="dxa"/>
        <w:tblLayout w:type="fixed"/>
        <w:tblCellMar>
          <w:top w:w="28" w:type="dxa"/>
          <w:left w:w="28" w:type="dxa"/>
          <w:bottom w:w="28" w:type="dxa"/>
          <w:right w:w="28" w:type="dxa"/>
        </w:tblCellMar>
      </w:tblPr>
      <w:tblGrid>
        <w:gridCol w:w="124"/>
        <w:gridCol w:w="109"/>
        <w:gridCol w:w="109"/>
        <w:gridCol w:w="2884"/>
        <w:gridCol w:w="2884"/>
        <w:gridCol w:w="4095"/>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84" w:type="dxa"/>
            <w:tcBorders/>
            <w:vAlign w:val="center"/>
          </w:tcPr>
          <w:p>
            <w:pPr>
              <w:pStyle w:val="TableContents"/>
              <w:bidi w:val="0"/>
              <w:spacing w:before="0" w:after="283"/>
              <w:jc w:val="left"/>
              <w:rPr>
                <w:sz w:val="4"/>
                <w:szCs w:val="4"/>
              </w:rPr>
            </w:pPr>
            <w:r>
              <w:rPr>
                <w:sz w:val="4"/>
                <w:szCs w:val="4"/>
              </w:rPr>
            </w:r>
          </w:p>
        </w:tc>
        <w:tc>
          <w:tcPr>
            <w:tcW w:w="2884" w:type="dxa"/>
            <w:tcBorders/>
            <w:vAlign w:val="center"/>
          </w:tcPr>
          <w:p>
            <w:pPr>
              <w:pStyle w:val="TableContents"/>
              <w:bidi w:val="0"/>
              <w:spacing w:before="0" w:after="283"/>
              <w:jc w:val="left"/>
              <w:rPr>
                <w:sz w:val="4"/>
                <w:szCs w:val="4"/>
              </w:rPr>
            </w:pPr>
            <w:r>
              <w:rPr>
                <w:sz w:val="4"/>
                <w:szCs w:val="4"/>
              </w:rPr>
            </w:r>
          </w:p>
        </w:tc>
        <w:tc>
          <w:tcPr>
            <w:tcW w:w="4095"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Wingdings;sans-serif" w:hAnsi="Wingdings;sans-serif"/>
                <w:b/>
                <w:color w:val="000000"/>
                <w:sz w:val="20"/>
              </w:rPr>
            </w:pPr>
            <w:r>
              <w:rPr>
                <w:rFonts w:ascii="Wingdings;sans-serif" w:hAnsi="Wingdings;sans-serif"/>
                <w:b/>
                <w:color w:val="000000"/>
                <w:sz w:val="20"/>
              </w:rPr>
              <w:t>o</w:t>
            </w:r>
          </w:p>
        </w:tc>
        <w:tc>
          <w:tcPr>
            <w:tcW w:w="9863"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Expensify Neue;sans-serif" w:hAnsi="Expensify Neue;sans-serif"/>
                <w:b/>
                <w:color w:val="000000"/>
                <w:sz w:val="20"/>
              </w:rPr>
            </w:pPr>
            <w:r>
              <w:rPr>
                <w:rFonts w:ascii="Expensify Neue;sans-serif" w:hAnsi="Expensify Neue;sans-serif"/>
                <w:b/>
                <w:color w:val="000000"/>
                <w:sz w:val="20"/>
              </w:rPr>
              <w:t>TRANSITION REPORT PURSUANT TO SECTION 13 OR 15(d) OF THE SECURITIES EXCHANGE ACT OF 1934</w:t>
            </w:r>
          </w:p>
        </w:tc>
      </w:tr>
    </w:tbl>
    <w:p>
      <w:pPr>
        <w:pStyle w:val="TextBody"/>
        <w:bidi w:val="0"/>
        <w:spacing w:lineRule="auto" w:line="288" w:before="120" w:after="283"/>
        <w:jc w:val="left"/>
        <w:rPr/>
      </w:pPr>
      <w:r>
        <w:rPr>
          <w:rFonts w:ascii="Expensify Neue;sans-serif" w:hAnsi="Expensify Neue;sans-serif"/>
          <w:b/>
          <w:color w:val="000000"/>
          <w:sz w:val="20"/>
        </w:rPr>
        <w:t xml:space="preserve">For the transition period from </w:t>
      </w:r>
      <w:r>
        <w:rPr>
          <w:rFonts w:ascii="Times New Roman;sans-serif" w:hAnsi="Times New Roman;sans-serif"/>
          <w:b/>
          <w:color w:val="000000"/>
          <w:sz w:val="20"/>
        </w:rPr>
        <w:t>_______</w:t>
      </w:r>
      <w:r>
        <w:rPr>
          <w:color w:val="000000"/>
        </w:rPr>
        <w:t xml:space="preserve"> </w:t>
      </w:r>
      <w:r>
        <w:rPr>
          <w:rFonts w:ascii="Expensify Neue;sans-serif" w:hAnsi="Expensify Neue;sans-serif"/>
          <w:b/>
          <w:color w:val="000000"/>
          <w:sz w:val="20"/>
        </w:rPr>
        <w:t xml:space="preserve">to </w:t>
      </w:r>
      <w:r>
        <w:rPr>
          <w:rFonts w:ascii="Times New Roman;sans-serif" w:hAnsi="Times New Roman;sans-serif"/>
          <w:b/>
          <w:color w:val="000000"/>
          <w:sz w:val="20"/>
        </w:rPr>
        <w:t>_______</w:t>
      </w:r>
    </w:p>
    <w:p>
      <w:pPr>
        <w:pStyle w:val="TextBody"/>
        <w:bidi w:val="0"/>
        <w:spacing w:lineRule="auto" w:line="288" w:before="120" w:after="283"/>
        <w:jc w:val="center"/>
        <w:rPr>
          <w:rFonts w:ascii="Expensify Neue;sans-serif" w:hAnsi="Expensify Neue;sans-serif"/>
          <w:b/>
          <w:color w:val="000000"/>
          <w:sz w:val="20"/>
        </w:rPr>
      </w:pPr>
      <w:r>
        <w:rPr>
          <w:rFonts w:ascii="Expensify Neue;sans-serif" w:hAnsi="Expensify Neue;sans-serif"/>
          <w:b/>
          <w:color w:val="000000"/>
          <w:sz w:val="20"/>
        </w:rPr>
        <w:t>Commission File Number 001-41043</w:t>
      </w:r>
    </w:p>
    <w:p>
      <w:pPr>
        <w:pStyle w:val="TextBody"/>
        <w:bidi w:val="0"/>
        <w:spacing w:lineRule="auto" w:line="288" w:before="12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___________________________________</w:t>
      </w:r>
    </w:p>
    <w:p>
      <w:pPr>
        <w:pStyle w:val="TextBody"/>
        <w:bidi w:val="0"/>
        <w:spacing w:before="0" w:after="160"/>
        <w:jc w:val="center"/>
        <w:rPr/>
      </w:pPr>
      <w:r>
        <w:rPr/>
        <w:drawing>
          <wp:inline distT="0" distB="0" distL="0" distR="0">
            <wp:extent cx="2133600" cy="49530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embed="rId2"/>
                    <a:stretch>
                      <a:fillRect/>
                    </a:stretch>
                  </pic:blipFill>
                  <pic:spPr bwMode="auto">
                    <a:xfrm>
                      <a:off x="0" y="0"/>
                      <a:ext cx="2133600" cy="495300"/>
                    </a:xfrm>
                    <a:prstGeom prst="rect">
                      <a:avLst/>
                    </a:prstGeom>
                  </pic:spPr>
                </pic:pic>
              </a:graphicData>
            </a:graphic>
          </wp:inline>
        </w:drawing>
      </w:r>
      <w:bookmarkStart w:id="0" w:name="i-1"/>
      <w:bookmarkEnd w:id="0"/>
    </w:p>
    <w:p>
      <w:pPr>
        <w:pStyle w:val="TextBody"/>
        <w:bidi w:val="0"/>
        <w:spacing w:lineRule="auto" w:line="288" w:before="120" w:after="283"/>
        <w:jc w:val="center"/>
        <w:rPr>
          <w:rFonts w:ascii="Expensify Neue;sans-serif" w:hAnsi="Expensify Neue;sans-serif"/>
          <w:b/>
          <w:color w:val="000000"/>
          <w:sz w:val="36"/>
        </w:rPr>
      </w:pPr>
      <w:r>
        <w:rPr>
          <w:rFonts w:ascii="Expensify Neue;sans-serif" w:hAnsi="Expensify Neue;sans-serif"/>
          <w:b/>
          <w:color w:val="000000"/>
          <w:sz w:val="36"/>
        </w:rPr>
        <w:t>EXPENSIFY, INC.</w:t>
      </w:r>
    </w:p>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___________________________________</w:t>
      </w:r>
    </w:p>
    <w:p>
      <w:pPr>
        <w:pStyle w:val="TextBody"/>
        <w:bidi w:val="0"/>
        <w:spacing w:lineRule="auto" w:line="288" w:before="120" w:after="283"/>
        <w:jc w:val="center"/>
        <w:rPr>
          <w:rFonts w:ascii="Expensify Neue;sans-serif" w:hAnsi="Expensify Neue;sans-serif"/>
          <w:b/>
          <w:color w:val="000000"/>
          <w:sz w:val="24"/>
        </w:rPr>
      </w:pPr>
      <w:r>
        <w:rPr>
          <w:rFonts w:ascii="Expensify Neue;sans-serif" w:hAnsi="Expensify Neue;sans-serif"/>
          <w:b/>
          <w:color w:val="000000"/>
          <w:sz w:val="24"/>
        </w:rPr>
        <w:t>(Exact name of registrant as specified in its charter)</w:t>
      </w:r>
    </w:p>
    <w:tbl>
      <w:tblPr>
        <w:tblW w:w="9388" w:type="dxa"/>
        <w:jc w:val="left"/>
        <w:tblInd w:w="0" w:type="dxa"/>
        <w:tblLayout w:type="fixed"/>
        <w:tblCellMar>
          <w:top w:w="28" w:type="dxa"/>
          <w:left w:w="28" w:type="dxa"/>
          <w:bottom w:w="28" w:type="dxa"/>
          <w:right w:w="28" w:type="dxa"/>
        </w:tblCellMar>
      </w:tblPr>
      <w:tblGrid>
        <w:gridCol w:w="2129"/>
        <w:gridCol w:w="1871"/>
        <w:gridCol w:w="1879"/>
        <w:gridCol w:w="1028"/>
        <w:gridCol w:w="1028"/>
        <w:gridCol w:w="1453"/>
      </w:tblGrid>
      <w:tr>
        <w:trPr/>
        <w:tc>
          <w:tcPr>
            <w:tcW w:w="2129" w:type="dxa"/>
            <w:tcBorders/>
            <w:vAlign w:val="center"/>
          </w:tcPr>
          <w:p>
            <w:pPr>
              <w:pStyle w:val="TableContents"/>
              <w:bidi w:val="0"/>
              <w:spacing w:before="0" w:after="283"/>
              <w:jc w:val="left"/>
              <w:rPr>
                <w:sz w:val="4"/>
                <w:szCs w:val="4"/>
              </w:rPr>
            </w:pPr>
            <w:r>
              <w:rPr>
                <w:sz w:val="4"/>
                <w:szCs w:val="4"/>
              </w:rPr>
            </w:r>
          </w:p>
        </w:tc>
        <w:tc>
          <w:tcPr>
            <w:tcW w:w="1871" w:type="dxa"/>
            <w:tcBorders/>
            <w:vAlign w:val="center"/>
          </w:tcPr>
          <w:p>
            <w:pPr>
              <w:pStyle w:val="TableContents"/>
              <w:bidi w:val="0"/>
              <w:spacing w:before="0" w:after="283"/>
              <w:jc w:val="left"/>
              <w:rPr>
                <w:sz w:val="4"/>
                <w:szCs w:val="4"/>
              </w:rPr>
            </w:pPr>
            <w:r>
              <w:rPr>
                <w:sz w:val="4"/>
                <w:szCs w:val="4"/>
              </w:rPr>
            </w:r>
          </w:p>
        </w:tc>
        <w:tc>
          <w:tcPr>
            <w:tcW w:w="1879" w:type="dxa"/>
            <w:tcBorders/>
            <w:vAlign w:val="center"/>
          </w:tcPr>
          <w:p>
            <w:pPr>
              <w:pStyle w:val="TableContents"/>
              <w:bidi w:val="0"/>
              <w:spacing w:before="0" w:after="283"/>
              <w:jc w:val="left"/>
              <w:rPr>
                <w:sz w:val="4"/>
                <w:szCs w:val="4"/>
              </w:rPr>
            </w:pPr>
            <w:r>
              <w:rPr>
                <w:sz w:val="4"/>
                <w:szCs w:val="4"/>
              </w:rPr>
            </w:r>
          </w:p>
        </w:tc>
        <w:tc>
          <w:tcPr>
            <w:tcW w:w="1028" w:type="dxa"/>
            <w:tcBorders/>
            <w:vAlign w:val="center"/>
          </w:tcPr>
          <w:p>
            <w:pPr>
              <w:pStyle w:val="TableContents"/>
              <w:bidi w:val="0"/>
              <w:spacing w:before="0" w:after="283"/>
              <w:jc w:val="left"/>
              <w:rPr>
                <w:sz w:val="4"/>
                <w:szCs w:val="4"/>
              </w:rPr>
            </w:pPr>
            <w:r>
              <w:rPr>
                <w:sz w:val="4"/>
                <w:szCs w:val="4"/>
              </w:rPr>
            </w:r>
          </w:p>
        </w:tc>
        <w:tc>
          <w:tcPr>
            <w:tcW w:w="1028" w:type="dxa"/>
            <w:tcBorders/>
            <w:vAlign w:val="center"/>
          </w:tcPr>
          <w:p>
            <w:pPr>
              <w:pStyle w:val="TableContents"/>
              <w:bidi w:val="0"/>
              <w:spacing w:before="0" w:after="283"/>
              <w:jc w:val="left"/>
              <w:rPr>
                <w:sz w:val="4"/>
                <w:szCs w:val="4"/>
              </w:rPr>
            </w:pPr>
            <w:r>
              <w:rPr>
                <w:sz w:val="4"/>
                <w:szCs w:val="4"/>
              </w:rPr>
            </w:r>
          </w:p>
        </w:tc>
        <w:tc>
          <w:tcPr>
            <w:tcW w:w="1453" w:type="dxa"/>
            <w:tcBorders/>
            <w:vAlign w:val="center"/>
          </w:tcPr>
          <w:p>
            <w:pPr>
              <w:pStyle w:val="TableContents"/>
              <w:bidi w:val="0"/>
              <w:spacing w:before="0" w:after="283"/>
              <w:jc w:val="left"/>
              <w:rPr>
                <w:sz w:val="4"/>
                <w:szCs w:val="4"/>
              </w:rPr>
            </w:pPr>
            <w:r>
              <w:rPr>
                <w:sz w:val="4"/>
                <w:szCs w:val="4"/>
              </w:rPr>
            </w:r>
          </w:p>
        </w:tc>
      </w:tr>
      <w:tr>
        <w:trPr/>
        <w:tc>
          <w:tcPr>
            <w:tcW w:w="5879"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Expensify Neue;sans-serif" w:hAnsi="Expensify Neue;sans-serif"/>
                <w:b/>
                <w:color w:val="000000"/>
                <w:sz w:val="20"/>
              </w:rPr>
            </w:pPr>
            <w:r>
              <w:rPr>
                <w:rFonts w:ascii="Expensify Neue;sans-serif" w:hAnsi="Expensify Neue;sans-serif"/>
                <w:b/>
                <w:color w:val="000000"/>
                <w:sz w:val="20"/>
              </w:rPr>
              <w:t>Delaware</w:t>
            </w:r>
          </w:p>
        </w:tc>
        <w:tc>
          <w:tcPr>
            <w:tcW w:w="3509"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Expensify Neue;sans-serif" w:hAnsi="Expensify Neue;sans-serif"/>
                <w:b/>
                <w:color w:val="000000"/>
                <w:sz w:val="20"/>
              </w:rPr>
            </w:pPr>
            <w:r>
              <w:rPr>
                <w:rFonts w:ascii="Expensify Neue;sans-serif" w:hAnsi="Expensify Neue;sans-serif"/>
                <w:b/>
                <w:color w:val="000000"/>
                <w:sz w:val="20"/>
              </w:rPr>
              <w:t>27-0239450</w:t>
            </w:r>
          </w:p>
        </w:tc>
      </w:tr>
      <w:tr>
        <w:trPr/>
        <w:tc>
          <w:tcPr>
            <w:tcW w:w="5879"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Expensify Neue;sans-serif" w:hAnsi="Expensify Neue;sans-serif"/>
                <w:b w:val="false"/>
                <w:color w:val="000000"/>
                <w:sz w:val="20"/>
              </w:rPr>
            </w:pPr>
            <w:r>
              <w:rPr>
                <w:rFonts w:ascii="Expensify Neue;sans-serif" w:hAnsi="Expensify Neue;sans-serif"/>
                <w:b w:val="false"/>
                <w:color w:val="000000"/>
                <w:sz w:val="20"/>
              </w:rPr>
              <w:t>(State or other jurisdiction of incorporation or organization)</w:t>
            </w:r>
          </w:p>
        </w:tc>
        <w:tc>
          <w:tcPr>
            <w:tcW w:w="3509"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Expensify Neue;sans-serif" w:hAnsi="Expensify Neue;sans-serif"/>
                <w:b w:val="false"/>
                <w:color w:val="000000"/>
                <w:sz w:val="20"/>
              </w:rPr>
            </w:pPr>
            <w:r>
              <w:rPr>
                <w:rFonts w:ascii="Expensify Neue;sans-serif" w:hAnsi="Expensify Neue;sans-serif"/>
                <w:b w:val="false"/>
                <w:color w:val="000000"/>
                <w:sz w:val="20"/>
              </w:rPr>
              <w:t>(I.R.S. Employer Identification No.)</w:t>
            </w:r>
          </w:p>
        </w:tc>
      </w:tr>
      <w:tr>
        <w:trPr/>
        <w:tc>
          <w:tcPr>
            <w:tcW w:w="5879"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Expensify Neue;sans-serif" w:hAnsi="Expensify Neue;sans-serif"/>
                <w:b/>
                <w:color w:val="000000"/>
                <w:sz w:val="18"/>
              </w:rPr>
            </w:pPr>
            <w:r>
              <w:rPr>
                <w:rFonts w:ascii="Expensify Neue;sans-serif" w:hAnsi="Expensify Neue;sans-serif"/>
                <w:b/>
                <w:color w:val="000000"/>
                <w:sz w:val="18"/>
              </w:rPr>
              <w:t>401 SW 5th Ave</w:t>
            </w:r>
          </w:p>
          <w:p>
            <w:pPr>
              <w:pStyle w:val="TableContents"/>
              <w:bidi w:val="0"/>
              <w:spacing w:lineRule="auto" w:line="288" w:before="0" w:after="0"/>
              <w:jc w:val="center"/>
              <w:rPr>
                <w:rFonts w:ascii="Expensify Neue;sans-serif" w:hAnsi="Expensify Neue;sans-serif"/>
                <w:b/>
                <w:color w:val="000000"/>
                <w:sz w:val="18"/>
              </w:rPr>
            </w:pPr>
            <w:r>
              <w:rPr>
                <w:rFonts w:ascii="Expensify Neue;sans-serif" w:hAnsi="Expensify Neue;sans-serif"/>
                <w:b/>
                <w:color w:val="000000"/>
                <w:sz w:val="18"/>
              </w:rPr>
              <w:t xml:space="preserve">Portland, Oregon </w:t>
            </w:r>
          </w:p>
        </w:tc>
        <w:tc>
          <w:tcPr>
            <w:tcW w:w="3509" w:type="dxa"/>
            <w:gridSpan w:val="3"/>
            <w:tcBorders/>
            <w:tcMar>
              <w:top w:w="0" w:type="dxa"/>
              <w:left w:w="0" w:type="dxa"/>
              <w:bottom w:w="0" w:type="dxa"/>
              <w:right w:w="0" w:type="dxa"/>
            </w:tcMar>
            <w:vAlign w:val="center"/>
          </w:tcPr>
          <w:p>
            <w:pPr>
              <w:pStyle w:val="TableContents"/>
              <w:bidi w:val="0"/>
              <w:spacing w:lineRule="auto" w:line="288" w:before="0" w:after="160"/>
              <w:jc w:val="center"/>
              <w:rPr>
                <w:rFonts w:ascii="Expensify Neue;sans-serif" w:hAnsi="Expensify Neue;sans-serif"/>
                <w:b/>
                <w:color w:val="000000"/>
                <w:sz w:val="18"/>
              </w:rPr>
            </w:pPr>
            <w:r>
              <w:rPr>
                <w:rFonts w:ascii="Expensify Neue;sans-serif" w:hAnsi="Expensify Neue;sans-serif"/>
                <w:b/>
                <w:color w:val="000000"/>
                <w:sz w:val="18"/>
              </w:rPr>
              <w:t>97204</w:t>
            </w:r>
          </w:p>
        </w:tc>
      </w:tr>
      <w:tr>
        <w:trPr/>
        <w:tc>
          <w:tcPr>
            <w:tcW w:w="5879"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Expensify Neue;sans-serif" w:hAnsi="Expensify Neue;sans-serif"/>
                <w:b w:val="false"/>
                <w:color w:val="000000"/>
                <w:sz w:val="20"/>
              </w:rPr>
            </w:pPr>
            <w:r>
              <w:rPr>
                <w:rFonts w:ascii="Expensify Neue;sans-serif" w:hAnsi="Expensify Neue;sans-serif"/>
                <w:b w:val="false"/>
                <w:color w:val="000000"/>
                <w:sz w:val="20"/>
              </w:rPr>
              <w:t>(Address of Principal Executive Offices)</w:t>
            </w:r>
          </w:p>
        </w:tc>
        <w:tc>
          <w:tcPr>
            <w:tcW w:w="3509"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Expensify Neue;sans-serif" w:hAnsi="Expensify Neue;sans-serif"/>
                <w:b w:val="false"/>
                <w:color w:val="000000"/>
                <w:sz w:val="20"/>
              </w:rPr>
            </w:pPr>
            <w:r>
              <w:rPr>
                <w:rFonts w:ascii="Expensify Neue;sans-serif" w:hAnsi="Expensify Neue;sans-serif"/>
                <w:b w:val="false"/>
                <w:color w:val="000000"/>
                <w:sz w:val="20"/>
              </w:rPr>
              <w:t>(Zip Code)</w:t>
            </w:r>
          </w:p>
        </w:tc>
      </w:tr>
    </w:tbl>
    <w:p>
      <w:pPr>
        <w:pStyle w:val="TextBody"/>
        <w:bidi w:val="0"/>
        <w:spacing w:lineRule="auto" w:line="288" w:before="120" w:after="283"/>
        <w:jc w:val="center"/>
        <w:rPr>
          <w:rFonts w:ascii="Expensify Neue;sans-serif" w:hAnsi="Expensify Neue;sans-serif"/>
          <w:b/>
          <w:color w:val="000000"/>
          <w:sz w:val="20"/>
        </w:rPr>
      </w:pPr>
      <w:r>
        <w:rPr>
          <w:rFonts w:ascii="Expensify Neue;sans-serif" w:hAnsi="Expensify Neue;sans-serif"/>
          <w:b/>
          <w:color w:val="000000"/>
          <w:sz w:val="20"/>
        </w:rPr>
        <w:t>(971) 365-3939</w:t>
      </w:r>
    </w:p>
    <w:p>
      <w:pPr>
        <w:pStyle w:val="TextBody"/>
        <w:bidi w:val="0"/>
        <w:spacing w:lineRule="auto" w:line="288" w:before="0" w:after="0"/>
        <w:jc w:val="center"/>
        <w:rPr>
          <w:rFonts w:ascii="Expensify Neue;sans-serif" w:hAnsi="Expensify Neue;sans-serif"/>
          <w:b w:val="false"/>
          <w:color w:val="000000"/>
          <w:sz w:val="20"/>
        </w:rPr>
      </w:pPr>
      <w:r>
        <w:rPr>
          <w:rFonts w:ascii="Expensify Neue;sans-serif" w:hAnsi="Expensify Neue;sans-serif"/>
          <w:b w:val="false"/>
          <w:color w:val="000000"/>
          <w:sz w:val="20"/>
        </w:rPr>
        <w:t>Registrant’s telephone number, including area code</w:t>
      </w:r>
    </w:p>
    <w:p>
      <w:pPr>
        <w:pStyle w:val="TextBody"/>
        <w:bidi w:val="0"/>
        <w:spacing w:lineRule="auto" w:line="288" w:before="12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___________________________________</w:t>
      </w:r>
    </w:p>
    <w:p>
      <w:pPr>
        <w:pStyle w:val="TextBody"/>
        <w:bidi w:val="0"/>
        <w:spacing w:lineRule="auto" w:line="288" w:before="120" w:after="283"/>
        <w:jc w:val="left"/>
        <w:rPr>
          <w:rFonts w:ascii="Expensify Neue;sans-serif" w:hAnsi="Expensify Neue;sans-serif"/>
          <w:b w:val="false"/>
          <w:color w:val="000000"/>
          <w:sz w:val="20"/>
        </w:rPr>
      </w:pPr>
      <w:r>
        <w:rPr>
          <w:rFonts w:ascii="Expensify Neue;sans-serif" w:hAnsi="Expensify Neue;sans-serif"/>
          <w:b w:val="false"/>
          <w:color w:val="000000"/>
          <w:sz w:val="20"/>
        </w:rPr>
        <w:t>Securities registered pursuant to Section 12(b) of the Act:</w:t>
      </w:r>
    </w:p>
    <w:tbl>
      <w:tblPr>
        <w:tblW w:w="10205" w:type="dxa"/>
        <w:jc w:val="left"/>
        <w:tblInd w:w="0" w:type="dxa"/>
        <w:tblLayout w:type="fixed"/>
        <w:tblCellMar>
          <w:top w:w="28" w:type="dxa"/>
          <w:left w:w="28" w:type="dxa"/>
          <w:bottom w:w="28" w:type="dxa"/>
          <w:right w:w="28" w:type="dxa"/>
        </w:tblCellMar>
      </w:tblPr>
      <w:tblGrid>
        <w:gridCol w:w="1620"/>
        <w:gridCol w:w="1348"/>
        <w:gridCol w:w="1362"/>
        <w:gridCol w:w="109"/>
        <w:gridCol w:w="109"/>
        <w:gridCol w:w="109"/>
        <w:gridCol w:w="540"/>
        <w:gridCol w:w="540"/>
        <w:gridCol w:w="542"/>
        <w:gridCol w:w="109"/>
        <w:gridCol w:w="109"/>
        <w:gridCol w:w="109"/>
        <w:gridCol w:w="1053"/>
        <w:gridCol w:w="1053"/>
        <w:gridCol w:w="1493"/>
      </w:tblGrid>
      <w:tr>
        <w:trPr/>
        <w:tc>
          <w:tcPr>
            <w:tcW w:w="1620" w:type="dxa"/>
            <w:tcBorders/>
            <w:vAlign w:val="center"/>
          </w:tcPr>
          <w:p>
            <w:pPr>
              <w:pStyle w:val="TableContents"/>
              <w:bidi w:val="0"/>
              <w:spacing w:before="0" w:after="283"/>
              <w:jc w:val="left"/>
              <w:rPr>
                <w:sz w:val="4"/>
                <w:szCs w:val="4"/>
              </w:rPr>
            </w:pPr>
            <w:r>
              <w:rPr>
                <w:sz w:val="4"/>
                <w:szCs w:val="4"/>
              </w:rPr>
            </w:r>
          </w:p>
        </w:tc>
        <w:tc>
          <w:tcPr>
            <w:tcW w:w="1348" w:type="dxa"/>
            <w:tcBorders/>
            <w:vAlign w:val="center"/>
          </w:tcPr>
          <w:p>
            <w:pPr>
              <w:pStyle w:val="TableContents"/>
              <w:bidi w:val="0"/>
              <w:spacing w:before="0" w:after="283"/>
              <w:jc w:val="left"/>
              <w:rPr>
                <w:sz w:val="4"/>
                <w:szCs w:val="4"/>
              </w:rPr>
            </w:pPr>
            <w:r>
              <w:rPr>
                <w:sz w:val="4"/>
                <w:szCs w:val="4"/>
              </w:rPr>
            </w:r>
          </w:p>
        </w:tc>
        <w:tc>
          <w:tcPr>
            <w:tcW w:w="136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40" w:type="dxa"/>
            <w:tcBorders/>
            <w:vAlign w:val="center"/>
          </w:tcPr>
          <w:p>
            <w:pPr>
              <w:pStyle w:val="TableContents"/>
              <w:bidi w:val="0"/>
              <w:spacing w:before="0" w:after="283"/>
              <w:jc w:val="left"/>
              <w:rPr>
                <w:sz w:val="4"/>
                <w:szCs w:val="4"/>
              </w:rPr>
            </w:pPr>
            <w:r>
              <w:rPr>
                <w:sz w:val="4"/>
                <w:szCs w:val="4"/>
              </w:rPr>
            </w:r>
          </w:p>
        </w:tc>
        <w:tc>
          <w:tcPr>
            <w:tcW w:w="540" w:type="dxa"/>
            <w:tcBorders/>
            <w:vAlign w:val="center"/>
          </w:tcPr>
          <w:p>
            <w:pPr>
              <w:pStyle w:val="TableContents"/>
              <w:bidi w:val="0"/>
              <w:spacing w:before="0" w:after="283"/>
              <w:jc w:val="left"/>
              <w:rPr>
                <w:sz w:val="4"/>
                <w:szCs w:val="4"/>
              </w:rPr>
            </w:pPr>
            <w:r>
              <w:rPr>
                <w:sz w:val="4"/>
                <w:szCs w:val="4"/>
              </w:rPr>
            </w:r>
          </w:p>
        </w:tc>
        <w:tc>
          <w:tcPr>
            <w:tcW w:w="54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53" w:type="dxa"/>
            <w:tcBorders/>
            <w:vAlign w:val="center"/>
          </w:tcPr>
          <w:p>
            <w:pPr>
              <w:pStyle w:val="TableContents"/>
              <w:bidi w:val="0"/>
              <w:spacing w:before="0" w:after="283"/>
              <w:jc w:val="left"/>
              <w:rPr>
                <w:sz w:val="4"/>
                <w:szCs w:val="4"/>
              </w:rPr>
            </w:pPr>
            <w:r>
              <w:rPr>
                <w:sz w:val="4"/>
                <w:szCs w:val="4"/>
              </w:rPr>
            </w:r>
          </w:p>
        </w:tc>
        <w:tc>
          <w:tcPr>
            <w:tcW w:w="1053" w:type="dxa"/>
            <w:tcBorders/>
            <w:vAlign w:val="center"/>
          </w:tcPr>
          <w:p>
            <w:pPr>
              <w:pStyle w:val="TableContents"/>
              <w:bidi w:val="0"/>
              <w:spacing w:before="0" w:after="283"/>
              <w:jc w:val="left"/>
              <w:rPr>
                <w:sz w:val="4"/>
                <w:szCs w:val="4"/>
              </w:rPr>
            </w:pPr>
            <w:r>
              <w:rPr>
                <w:sz w:val="4"/>
                <w:szCs w:val="4"/>
              </w:rPr>
            </w:r>
          </w:p>
        </w:tc>
        <w:tc>
          <w:tcPr>
            <w:tcW w:w="1493" w:type="dxa"/>
            <w:tcBorders/>
            <w:vAlign w:val="center"/>
          </w:tcPr>
          <w:p>
            <w:pPr>
              <w:pStyle w:val="TableContents"/>
              <w:bidi w:val="0"/>
              <w:spacing w:before="0" w:after="283"/>
              <w:jc w:val="left"/>
              <w:rPr>
                <w:sz w:val="4"/>
                <w:szCs w:val="4"/>
              </w:rPr>
            </w:pPr>
            <w:r>
              <w:rPr>
                <w:sz w:val="4"/>
                <w:szCs w:val="4"/>
              </w:rPr>
            </w:r>
          </w:p>
        </w:tc>
      </w:tr>
      <w:tr>
        <w:trPr/>
        <w:tc>
          <w:tcPr>
            <w:tcW w:w="4330"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Expensify Neue;sans-serif" w:hAnsi="Expensify Neue;sans-serif"/>
                <w:b/>
                <w:color w:val="000000"/>
                <w:sz w:val="16"/>
              </w:rPr>
            </w:pPr>
            <w:r>
              <w:rPr>
                <w:rFonts w:ascii="Expensify Neue;sans-serif" w:hAnsi="Expensify Neue;sans-serif"/>
                <w:b/>
                <w:color w:val="000000"/>
                <w:sz w:val="16"/>
              </w:rPr>
              <w:t>Title of each class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22"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Expensify Neue;sans-serif" w:hAnsi="Expensify Neue;sans-serif"/>
                <w:b/>
                <w:color w:val="000000"/>
                <w:sz w:val="16"/>
              </w:rPr>
            </w:pPr>
            <w:r>
              <w:rPr>
                <w:rFonts w:ascii="Expensify Neue;sans-serif" w:hAnsi="Expensify Neue;sans-serif"/>
                <w:b/>
                <w:color w:val="000000"/>
                <w:sz w:val="16"/>
              </w:rPr>
              <w:t>Trading Symbol(s)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99"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Expensify Neue;sans-serif" w:hAnsi="Expensify Neue;sans-serif"/>
                <w:b/>
                <w:color w:val="000000"/>
                <w:sz w:val="16"/>
              </w:rPr>
            </w:pPr>
            <w:r>
              <w:rPr>
                <w:rFonts w:ascii="Expensify Neue;sans-serif" w:hAnsi="Expensify Neue;sans-serif"/>
                <w:b/>
                <w:color w:val="000000"/>
                <w:sz w:val="16"/>
              </w:rPr>
              <w:t>Name of each exchange on which registered</w:t>
            </w:r>
          </w:p>
        </w:tc>
      </w:tr>
      <w:tr>
        <w:trPr/>
        <w:tc>
          <w:tcPr>
            <w:tcW w:w="433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Expensify Neue;sans-serif" w:hAnsi="Expensify Neue;sans-serif"/>
                <w:b w:val="false"/>
                <w:color w:val="000000"/>
                <w:sz w:val="20"/>
              </w:rPr>
            </w:pPr>
            <w:r>
              <w:rPr>
                <w:rFonts w:ascii="Expensify Neue;sans-serif" w:hAnsi="Expensify Neue;sans-serif"/>
                <w:b w:val="false"/>
                <w:color w:val="000000"/>
                <w:sz w:val="20"/>
              </w:rPr>
              <w:t>Class A Common Stock, par value $0.0001 per share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2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Expensify Neue;sans-serif" w:hAnsi="Expensify Neue;sans-serif"/>
                <w:b w:val="false"/>
                <w:color w:val="000000"/>
                <w:sz w:val="20"/>
              </w:rPr>
            </w:pPr>
            <w:r>
              <w:rPr>
                <w:rFonts w:ascii="Expensify Neue;sans-serif" w:hAnsi="Expensify Neue;sans-serif"/>
                <w:b w:val="false"/>
                <w:color w:val="000000"/>
                <w:sz w:val="20"/>
              </w:rPr>
              <w:t>EXFY</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9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Expensify Neue;sans-serif" w:hAnsi="Expensify Neue;sans-serif"/>
                <w:b w:val="false"/>
                <w:color w:val="000000"/>
                <w:sz w:val="20"/>
              </w:rPr>
            </w:pPr>
            <w:r>
              <w:rPr>
                <w:rFonts w:ascii="Expensify Neue;sans-serif" w:hAnsi="Expensify Neue;sans-serif"/>
                <w:b w:val="false"/>
                <w:color w:val="000000"/>
                <w:sz w:val="20"/>
              </w:rPr>
              <w:t>The Nasdaq Stock Market LLC</w:t>
            </w:r>
          </w:p>
        </w:tc>
      </w:tr>
    </w:tbl>
    <w:p>
      <w:pPr>
        <w:pStyle w:val="TextBody"/>
        <w:bidi w:val="0"/>
        <w:spacing w:lineRule="auto" w:line="288" w:before="120" w:after="283"/>
        <w:jc w:val="left"/>
        <w:rPr/>
      </w:pPr>
      <w:r>
        <w:rPr>
          <w:rFonts w:ascii="Expensify Neue;sans-serif" w:hAnsi="Expensify Neue;sans-serif"/>
          <w:b w:val="false"/>
          <w:color w:val="000000"/>
          <w:sz w:val="20"/>
        </w:rPr>
        <w:t>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Wingdings;sans-serif" w:hAnsi="Wingdings;sans-serif"/>
          <w:b w:val="false"/>
          <w:color w:val="000000"/>
          <w:sz w:val="20"/>
        </w:rPr>
        <w:t>x</w:t>
      </w:r>
      <w:r>
        <w:rPr>
          <w:color w:val="000000"/>
        </w:rPr>
        <w:t> </w:t>
      </w:r>
      <w:r>
        <w:rPr>
          <w:rFonts w:ascii="Expensify Neue;sans-serif" w:hAnsi="Expensify Neue;sans-serif"/>
          <w:b w:val="false"/>
          <w:color w:val="000000"/>
          <w:sz w:val="20"/>
        </w:rPr>
        <w:t>No </w:t>
      </w:r>
      <w:r>
        <w:rPr>
          <w:rFonts w:ascii="Wingdings;sans-serif" w:hAnsi="Wingdings;sans-serif"/>
          <w:b w:val="false"/>
          <w:color w:val="000000"/>
          <w:sz w:val="20"/>
        </w:rPr>
        <w:t>o</w:t>
      </w:r>
    </w:p>
    <w:p>
      <w:pPr>
        <w:pStyle w:val="TextBody"/>
        <w:bidi w:val="0"/>
        <w:spacing w:lineRule="auto" w:line="288" w:before="120" w:after="283"/>
        <w:jc w:val="left"/>
        <w:rPr/>
      </w:pPr>
      <w:r>
        <w:rPr>
          <w:rFonts w:ascii="Expensify Neue;sans-serif" w:hAnsi="Expensify Neue;sans-serif"/>
          <w:b w:val="false"/>
          <w:color w:val="000000"/>
          <w:sz w:val="20"/>
        </w:rPr>
        <w:t>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Yes </w:t>
      </w:r>
      <w:r>
        <w:rPr>
          <w:rFonts w:ascii="Wingdings;sans-serif" w:hAnsi="Wingdings;sans-serif"/>
          <w:b w:val="false"/>
          <w:color w:val="000000"/>
          <w:sz w:val="20"/>
        </w:rPr>
        <w:t>x</w:t>
      </w:r>
      <w:r>
        <w:rPr>
          <w:color w:val="000000"/>
        </w:rPr>
        <w:t> </w:t>
      </w:r>
      <w:r>
        <w:rPr>
          <w:rFonts w:ascii="Expensify Neue;sans-serif" w:hAnsi="Expensify Neue;sans-serif"/>
          <w:b w:val="false"/>
          <w:color w:val="000000"/>
          <w:sz w:val="20"/>
        </w:rPr>
        <w:t>No </w:t>
      </w:r>
      <w:r>
        <w:rPr>
          <w:rFonts w:ascii="Wingdings;sans-serif" w:hAnsi="Wingdings;sans-serif"/>
          <w:b w:val="false"/>
          <w:color w:val="000000"/>
          <w:sz w:val="20"/>
        </w:rPr>
        <w:t>o</w:t>
      </w:r>
    </w:p>
    <w:p>
      <w:pPr>
        <w:pStyle w:val="TextBody"/>
        <w:bidi w:val="0"/>
        <w:spacing w:lineRule="auto" w:line="288" w:before="120" w:after="283"/>
        <w:jc w:val="left"/>
        <w:rPr>
          <w:rFonts w:ascii="Expensify Neue;sans-serif" w:hAnsi="Expensify Neue;sans-serif"/>
          <w:b w:val="false"/>
          <w:color w:val="000000"/>
          <w:sz w:val="20"/>
        </w:rPr>
      </w:pPr>
      <w:r>
        <w:rPr>
          <w:rFonts w:ascii="Expensify Neue;sans-serif" w:hAnsi="Expensify Neue;sans-serif"/>
          <w:b w:val="false"/>
          <w:color w:val="000000"/>
          <w:sz w:val="20"/>
        </w:rPr>
        <w:t xml:space="preserve">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 </w:t>
      </w:r>
    </w:p>
    <w:tbl>
      <w:tblPr>
        <w:tblW w:w="5754" w:type="dxa"/>
        <w:jc w:val="left"/>
        <w:tblInd w:w="0" w:type="dxa"/>
        <w:tblLayout w:type="fixed"/>
        <w:tblCellMar>
          <w:top w:w="28" w:type="dxa"/>
          <w:left w:w="28" w:type="dxa"/>
          <w:bottom w:w="28" w:type="dxa"/>
          <w:right w:w="28" w:type="dxa"/>
        </w:tblCellMar>
      </w:tblPr>
      <w:tblGrid>
        <w:gridCol w:w="832"/>
        <w:gridCol w:w="730"/>
        <w:gridCol w:w="733"/>
        <w:gridCol w:w="109"/>
        <w:gridCol w:w="109"/>
        <w:gridCol w:w="109"/>
        <w:gridCol w:w="919"/>
        <w:gridCol w:w="919"/>
        <w:gridCol w:w="922"/>
        <w:gridCol w:w="109"/>
        <w:gridCol w:w="109"/>
        <w:gridCol w:w="154"/>
      </w:tblGrid>
      <w:tr>
        <w:trPr/>
        <w:tc>
          <w:tcPr>
            <w:tcW w:w="832" w:type="dxa"/>
            <w:tcBorders/>
            <w:vAlign w:val="center"/>
          </w:tcPr>
          <w:p>
            <w:pPr>
              <w:pStyle w:val="TableContents"/>
              <w:bidi w:val="0"/>
              <w:spacing w:before="0" w:after="283"/>
              <w:jc w:val="left"/>
              <w:rPr>
                <w:sz w:val="4"/>
                <w:szCs w:val="4"/>
              </w:rPr>
            </w:pPr>
            <w:r>
              <w:rPr>
                <w:sz w:val="4"/>
                <w:szCs w:val="4"/>
              </w:rPr>
            </w:r>
          </w:p>
        </w:tc>
        <w:tc>
          <w:tcPr>
            <w:tcW w:w="730" w:type="dxa"/>
            <w:tcBorders/>
            <w:vAlign w:val="center"/>
          </w:tcPr>
          <w:p>
            <w:pPr>
              <w:pStyle w:val="TableContents"/>
              <w:bidi w:val="0"/>
              <w:spacing w:before="0" w:after="283"/>
              <w:jc w:val="left"/>
              <w:rPr>
                <w:sz w:val="4"/>
                <w:szCs w:val="4"/>
              </w:rPr>
            </w:pPr>
            <w:r>
              <w:rPr>
                <w:sz w:val="4"/>
                <w:szCs w:val="4"/>
              </w:rPr>
            </w:r>
          </w:p>
        </w:tc>
        <w:tc>
          <w:tcPr>
            <w:tcW w:w="73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19" w:type="dxa"/>
            <w:tcBorders/>
            <w:vAlign w:val="center"/>
          </w:tcPr>
          <w:p>
            <w:pPr>
              <w:pStyle w:val="TableContents"/>
              <w:bidi w:val="0"/>
              <w:spacing w:before="0" w:after="283"/>
              <w:jc w:val="left"/>
              <w:rPr>
                <w:sz w:val="4"/>
                <w:szCs w:val="4"/>
              </w:rPr>
            </w:pPr>
            <w:r>
              <w:rPr>
                <w:sz w:val="4"/>
                <w:szCs w:val="4"/>
              </w:rPr>
            </w:r>
          </w:p>
        </w:tc>
        <w:tc>
          <w:tcPr>
            <w:tcW w:w="919" w:type="dxa"/>
            <w:tcBorders/>
            <w:vAlign w:val="center"/>
          </w:tcPr>
          <w:p>
            <w:pPr>
              <w:pStyle w:val="TableContents"/>
              <w:bidi w:val="0"/>
              <w:spacing w:before="0" w:after="283"/>
              <w:jc w:val="left"/>
              <w:rPr>
                <w:sz w:val="4"/>
                <w:szCs w:val="4"/>
              </w:rPr>
            </w:pPr>
            <w:r>
              <w:rPr>
                <w:sz w:val="4"/>
                <w:szCs w:val="4"/>
              </w:rPr>
            </w:r>
          </w:p>
        </w:tc>
        <w:tc>
          <w:tcPr>
            <w:tcW w:w="92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295"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Expensify Neue;sans-serif" w:hAnsi="Expensify Neue;sans-serif"/>
                <w:b w:val="false"/>
                <w:color w:val="000000"/>
                <w:sz w:val="20"/>
              </w:rPr>
            </w:pPr>
            <w:r>
              <w:rPr>
                <w:rFonts w:ascii="Expensify Neue;sans-serif" w:hAnsi="Expensify Neue;sans-serif"/>
                <w:b w:val="false"/>
                <w:color w:val="000000"/>
                <w:sz w:val="20"/>
              </w:rPr>
              <w:t>Large accelerated filer</w:t>
            </w:r>
          </w:p>
        </w:tc>
        <w:tc>
          <w:tcPr>
            <w:tcW w:w="327" w:type="dxa"/>
            <w:gridSpan w:val="3"/>
            <w:tcBorders/>
            <w:tcMar>
              <w:top w:w="0" w:type="dxa"/>
              <w:left w:w="0" w:type="dxa"/>
              <w:bottom w:w="0" w:type="dxa"/>
              <w:right w:w="0" w:type="dxa"/>
            </w:tcMar>
            <w:vAlign w:val="center"/>
          </w:tcPr>
          <w:p>
            <w:pPr>
              <w:pStyle w:val="TableContents"/>
              <w:bidi w:val="0"/>
              <w:spacing w:lineRule="auto" w:line="288" w:before="0" w:after="160"/>
              <w:jc w:val="left"/>
              <w:rPr>
                <w:color w:val="000000"/>
              </w:rPr>
            </w:pPr>
            <w:r>
              <w:rPr>
                <w:color w:val="000000"/>
              </w:rPr>
              <w:t>☐</w:t>
            </w:r>
          </w:p>
        </w:tc>
        <w:tc>
          <w:tcPr>
            <w:tcW w:w="2760"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Expensify Neue;sans-serif" w:hAnsi="Expensify Neue;sans-serif"/>
                <w:b w:val="false"/>
                <w:color w:val="000000"/>
                <w:sz w:val="20"/>
              </w:rPr>
            </w:pPr>
            <w:r>
              <w:rPr>
                <w:rFonts w:ascii="Expensify Neue;sans-serif" w:hAnsi="Expensify Neue;sans-serif"/>
                <w:b w:val="false"/>
                <w:color w:val="000000"/>
                <w:sz w:val="20"/>
              </w:rPr>
              <w:t>Accelerated filer</w:t>
            </w:r>
          </w:p>
        </w:tc>
        <w:tc>
          <w:tcPr>
            <w:tcW w:w="372"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Wingdings;sans-serif" w:hAnsi="Wingdings;sans-serif"/>
                <w:b w:val="false"/>
                <w:color w:val="000000"/>
                <w:sz w:val="20"/>
              </w:rPr>
            </w:pPr>
            <w:r>
              <w:rPr>
                <w:rFonts w:ascii="Wingdings;sans-serif" w:hAnsi="Wingdings;sans-serif"/>
                <w:b w:val="false"/>
                <w:color w:val="000000"/>
                <w:sz w:val="20"/>
              </w:rPr>
              <w:t>x</w:t>
            </w:r>
          </w:p>
        </w:tc>
      </w:tr>
      <w:tr>
        <w:trPr/>
        <w:tc>
          <w:tcPr>
            <w:tcW w:w="2295"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Expensify Neue;sans-serif" w:hAnsi="Expensify Neue;sans-serif"/>
                <w:b w:val="false"/>
                <w:color w:val="000000"/>
                <w:sz w:val="20"/>
              </w:rPr>
            </w:pPr>
            <w:r>
              <w:rPr>
                <w:rFonts w:ascii="Expensify Neue;sans-serif" w:hAnsi="Expensify Neue;sans-serif"/>
                <w:b w:val="false"/>
                <w:color w:val="000000"/>
                <w:sz w:val="20"/>
              </w:rPr>
              <w:t>Non-accelerated filer</w:t>
            </w:r>
          </w:p>
        </w:tc>
        <w:tc>
          <w:tcPr>
            <w:tcW w:w="327" w:type="dxa"/>
            <w:gridSpan w:val="3"/>
            <w:tcBorders/>
            <w:tcMar>
              <w:top w:w="0" w:type="dxa"/>
              <w:left w:w="0" w:type="dxa"/>
              <w:bottom w:w="0" w:type="dxa"/>
              <w:right w:w="0" w:type="dxa"/>
            </w:tcMar>
            <w:vAlign w:val="center"/>
          </w:tcPr>
          <w:p>
            <w:pPr>
              <w:pStyle w:val="TableContents"/>
              <w:bidi w:val="0"/>
              <w:spacing w:lineRule="auto" w:line="288" w:before="0" w:after="160"/>
              <w:jc w:val="left"/>
              <w:rPr>
                <w:color w:val="000000"/>
              </w:rPr>
            </w:pPr>
            <w:r>
              <w:rPr>
                <w:color w:val="000000"/>
              </w:rPr>
              <w:t>☐</w:t>
            </w:r>
          </w:p>
        </w:tc>
        <w:tc>
          <w:tcPr>
            <w:tcW w:w="2760"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Expensify Neue;sans-serif" w:hAnsi="Expensify Neue;sans-serif"/>
                <w:b w:val="false"/>
                <w:color w:val="000000"/>
                <w:sz w:val="20"/>
              </w:rPr>
            </w:pPr>
            <w:r>
              <w:rPr>
                <w:rFonts w:ascii="Expensify Neue;sans-serif" w:hAnsi="Expensify Neue;sans-serif"/>
                <w:b w:val="false"/>
                <w:color w:val="000000"/>
                <w:sz w:val="20"/>
              </w:rPr>
              <w:t>Smaller reporting company</w:t>
            </w:r>
          </w:p>
        </w:tc>
        <w:tc>
          <w:tcPr>
            <w:tcW w:w="372"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Wingdings;sans-serif" w:hAnsi="Wingdings;sans-serif"/>
                <w:b w:val="false"/>
                <w:color w:val="000000"/>
                <w:sz w:val="20"/>
              </w:rPr>
            </w:pPr>
            <w:r>
              <w:rPr>
                <w:rFonts w:ascii="Wingdings;sans-serif" w:hAnsi="Wingdings;sans-serif"/>
                <w:b w:val="false"/>
                <w:color w:val="000000"/>
                <w:sz w:val="20"/>
              </w:rPr>
              <w:t>x</w:t>
            </w:r>
          </w:p>
        </w:tc>
      </w:tr>
      <w:tr>
        <w:trPr/>
        <w:tc>
          <w:tcPr>
            <w:tcW w:w="229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60"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Expensify Neue;sans-serif" w:hAnsi="Expensify Neue;sans-serif"/>
                <w:b w:val="false"/>
                <w:color w:val="000000"/>
                <w:sz w:val="20"/>
              </w:rPr>
            </w:pPr>
            <w:r>
              <w:rPr>
                <w:rFonts w:ascii="Expensify Neue;sans-serif" w:hAnsi="Expensify Neue;sans-serif"/>
                <w:b w:val="false"/>
                <w:color w:val="000000"/>
                <w:sz w:val="20"/>
              </w:rPr>
              <w:t>Emerging growth company</w:t>
            </w:r>
          </w:p>
        </w:tc>
        <w:tc>
          <w:tcPr>
            <w:tcW w:w="372" w:type="dxa"/>
            <w:gridSpan w:val="3"/>
            <w:tcBorders/>
            <w:tcMar>
              <w:top w:w="0" w:type="dxa"/>
              <w:left w:w="0" w:type="dxa"/>
              <w:bottom w:w="0" w:type="dxa"/>
              <w:right w:w="0" w:type="dxa"/>
            </w:tcMar>
            <w:vAlign w:val="center"/>
          </w:tcPr>
          <w:p>
            <w:pPr>
              <w:pStyle w:val="TableContents"/>
              <w:bidi w:val="0"/>
              <w:spacing w:lineRule="auto" w:line="288" w:before="0" w:after="160"/>
              <w:jc w:val="left"/>
              <w:rPr>
                <w:color w:val="000000"/>
              </w:rPr>
            </w:pPr>
            <w:r>
              <w:rPr>
                <w:color w:val="000000"/>
              </w:rPr>
              <w:t>☐</w:t>
            </w:r>
          </w:p>
        </w:tc>
      </w:tr>
    </w:tbl>
    <w:p>
      <w:pPr>
        <w:pStyle w:val="TextBody"/>
        <w:bidi w:val="0"/>
        <w:spacing w:lineRule="auto" w:line="288" w:before="120" w:after="283"/>
        <w:jc w:val="left"/>
        <w:rPr/>
      </w:pPr>
      <w:r>
        <w:rPr>
          <w:rFonts w:ascii="Expensify Neue;sans-serif" w:hAnsi="Expensify Neue;sans-serif"/>
          <w:b w:val="false"/>
          <w:color w:val="000000"/>
          <w:sz w:val="20"/>
        </w:rPr>
        <w:t>If an emerging growth company, indicate by check mark if the registrant has elected not to use the extended transition period for complying with any new or revised financial accounting standards provided pursuant to Section 13(a) of the Exchange Act.</w:t>
      </w:r>
      <w:r>
        <w:rPr>
          <w:color w:val="000000"/>
        </w:rPr>
        <w:t>☐</w:t>
      </w:r>
    </w:p>
    <w:p>
      <w:pPr>
        <w:pStyle w:val="TextBody"/>
        <w:bidi w:val="0"/>
        <w:spacing w:lineRule="auto" w:line="288" w:before="120" w:after="283"/>
        <w:jc w:val="left"/>
        <w:rPr>
          <w:rFonts w:ascii="Expensify Neue;sans-serif" w:hAnsi="Expensify Neue;sans-serif"/>
          <w:b w:val="false"/>
          <w:color w:val="000000"/>
          <w:sz w:val="20"/>
        </w:rPr>
      </w:pPr>
      <w:r>
        <w:rPr>
          <w:rFonts w:ascii="Expensify Neue;sans-serif" w:hAnsi="Expensify Neue;sans-serif"/>
          <w:b w:val="false"/>
          <w:color w:val="000000"/>
          <w:sz w:val="20"/>
        </w:rPr>
        <w:t>Indicate by check mark whether the registrant is a shell company (as defined in Rule 12b-2 of the Exchange Act).</w:t>
      </w:r>
    </w:p>
    <w:p>
      <w:pPr>
        <w:pStyle w:val="TextBody"/>
        <w:bidi w:val="0"/>
        <w:spacing w:lineRule="auto" w:line="288" w:before="0" w:after="160"/>
        <w:jc w:val="left"/>
        <w:rPr/>
      </w:pPr>
      <w:r>
        <w:rPr>
          <w:rFonts w:ascii="Expensify Neue;sans-serif" w:hAnsi="Expensify Neue;sans-serif"/>
          <w:b w:val="false"/>
          <w:color w:val="000000"/>
          <w:sz w:val="20"/>
        </w:rPr>
        <w:t xml:space="preserve">Yes </w:t>
      </w:r>
      <w:r>
        <w:rPr>
          <w:rFonts w:ascii="Wingdings;sans-serif" w:hAnsi="Wingdings;sans-serif"/>
          <w:b w:val="false"/>
          <w:color w:val="000000"/>
          <w:sz w:val="20"/>
        </w:rPr>
        <w:t>o</w:t>
      </w:r>
      <w:r>
        <w:rPr>
          <w:color w:val="000000"/>
        </w:rPr>
        <w:t> </w:t>
      </w:r>
      <w:r>
        <w:rPr>
          <w:rFonts w:ascii="Expensify Neue;sans-serif" w:hAnsi="Expensify Neue;sans-serif"/>
          <w:b w:val="false"/>
          <w:color w:val="000000"/>
          <w:sz w:val="20"/>
        </w:rPr>
        <w:t>No </w:t>
      </w:r>
      <w:r>
        <w:rPr>
          <w:rFonts w:ascii="Wingdings;sans-serif" w:hAnsi="Wingdings;sans-serif"/>
          <w:b w:val="false"/>
          <w:color w:val="000000"/>
          <w:sz w:val="20"/>
        </w:rPr>
        <w:t>x</w:t>
      </w:r>
    </w:p>
    <w:p>
      <w:pPr>
        <w:pStyle w:val="TextBody"/>
        <w:bidi w:val="0"/>
        <w:spacing w:lineRule="auto" w:line="288" w:before="120" w:after="283"/>
        <w:jc w:val="left"/>
        <w:rPr>
          <w:rFonts w:ascii="Expensify Neue;sans-serif" w:hAnsi="Expensify Neue;sans-serif"/>
          <w:b w:val="false"/>
          <w:color w:val="000000"/>
          <w:sz w:val="20"/>
        </w:rPr>
      </w:pPr>
      <w:r>
        <w:rPr>
          <w:rFonts w:ascii="Expensify Neue;sans-serif" w:hAnsi="Expensify Neue;sans-serif"/>
          <w:b w:val="false"/>
          <w:color w:val="000000"/>
          <w:sz w:val="20"/>
        </w:rPr>
        <w:t>The registrant had outstanding 80,399,794 shares of Class A common stock, par value of $0.0001 per share, 4,209,827 shares of LT10 common stock, par value $0.0001 per share, and 7,793,436 shares of LT50 common stock, par value $0.0001 per share, as of May 5, 2025.</w:t>
      </w:r>
    </w:p>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doub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
                <wp:simplePos x="0" y="0"/>
                <wp:positionH relativeFrom="character">
                  <wp:align>left</wp:align>
                </wp:positionH>
                <wp:positionV relativeFrom="line">
                  <wp:posOffset>635</wp:posOffset>
                </wp:positionV>
                <wp:extent cx="6480175" cy="175260"/>
                <wp:effectExtent l="0" t="0" r="0" b="0"/>
                <wp:wrapNone/>
                <wp:docPr id="2" name="Frame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16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160"/>
                        <w:jc w:val="center"/>
                        <w:rPr/>
                      </w:pPr>
                      <w:r>
                        <w:rPr/>
                      </w:r>
                    </w:p>
                  </w:txbxContent>
                </v:textbox>
                <w10:wrap type="none"/>
              </v:rect>
            </w:pict>
          </mc:Fallback>
        </mc:AlternateContent>
      </w:r>
    </w:p>
    <w:p>
      <w:pPr>
        <w:pStyle w:val="TextBody"/>
        <w:bidi w:val="0"/>
        <w:spacing w:lineRule="auto" w:line="288" w:before="0" w:after="160"/>
        <w:jc w:val="left"/>
        <w:rPr/>
      </w:pPr>
      <w:hyperlink w:anchor="i52a648c4f0e449f7bc3c2044827c8f0d_7">
        <w:r>
          <w:rPr>
            <w:rStyle w:val="InternetLink"/>
            <w:rFonts w:ascii="Expensify Neue;sans-serif" w:hAnsi="Expensify Neue;sans-serif"/>
            <w:b/>
            <w:color w:val="0000FF"/>
            <w:sz w:val="20"/>
            <w:u w:val="single"/>
          </w:rPr>
          <w:t>Table of Contents</w:t>
        </w:r>
      </w:hyperlink>
    </w:p>
    <w:p>
      <w:pPr>
        <w:pStyle w:val="TextBody"/>
        <w:bidi w:val="0"/>
        <w:spacing w:lineRule="auto" w:line="288" w:before="0" w:after="320"/>
        <w:jc w:val="left"/>
        <w:rPr>
          <w:rFonts w:ascii="Expensify New Kansas Medium;sans-serif" w:hAnsi="Expensify New Kansas Medium;sans-serif"/>
          <w:b/>
          <w:color w:val="002E22"/>
          <w:sz w:val="36"/>
        </w:rPr>
      </w:pPr>
      <w:r>
        <w:rPr>
          <w:rFonts w:ascii="Expensify New Kansas Medium;sans-serif" w:hAnsi="Expensify New Kansas Medium;sans-serif"/>
          <w:b/>
          <w:color w:val="002E22"/>
          <w:sz w:val="36"/>
        </w:rPr>
        <w:t>Table of Contents</w:t>
      </w:r>
    </w:p>
    <w:tbl>
      <w:tblPr>
        <w:tblW w:w="10205" w:type="dxa"/>
        <w:jc w:val="left"/>
        <w:tblInd w:w="0" w:type="dxa"/>
        <w:tblLayout w:type="fixed"/>
        <w:tblCellMar>
          <w:top w:w="28" w:type="dxa"/>
          <w:left w:w="28" w:type="dxa"/>
          <w:bottom w:w="28" w:type="dxa"/>
          <w:right w:w="28" w:type="dxa"/>
        </w:tblCellMar>
      </w:tblPr>
      <w:tblGrid>
        <w:gridCol w:w="832"/>
        <w:gridCol w:w="731"/>
        <w:gridCol w:w="731"/>
        <w:gridCol w:w="2518"/>
        <w:gridCol w:w="2326"/>
        <w:gridCol w:w="2359"/>
        <w:gridCol w:w="206"/>
        <w:gridCol w:w="206"/>
        <w:gridCol w:w="296"/>
      </w:tblGrid>
      <w:tr>
        <w:trPr/>
        <w:tc>
          <w:tcPr>
            <w:tcW w:w="832" w:type="dxa"/>
            <w:tcBorders/>
            <w:vAlign w:val="center"/>
          </w:tcPr>
          <w:p>
            <w:pPr>
              <w:pStyle w:val="TableContents"/>
              <w:bidi w:val="0"/>
              <w:spacing w:before="0" w:after="283"/>
              <w:jc w:val="left"/>
              <w:rPr>
                <w:sz w:val="4"/>
                <w:szCs w:val="4"/>
              </w:rPr>
            </w:pPr>
            <w:r>
              <w:rPr>
                <w:sz w:val="4"/>
                <w:szCs w:val="4"/>
              </w:rPr>
            </w:r>
          </w:p>
        </w:tc>
        <w:tc>
          <w:tcPr>
            <w:tcW w:w="731" w:type="dxa"/>
            <w:tcBorders/>
            <w:vAlign w:val="center"/>
          </w:tcPr>
          <w:p>
            <w:pPr>
              <w:pStyle w:val="TableContents"/>
              <w:bidi w:val="0"/>
              <w:spacing w:before="0" w:after="283"/>
              <w:jc w:val="left"/>
              <w:rPr>
                <w:sz w:val="4"/>
                <w:szCs w:val="4"/>
              </w:rPr>
            </w:pPr>
            <w:r>
              <w:rPr>
                <w:sz w:val="4"/>
                <w:szCs w:val="4"/>
              </w:rPr>
            </w:r>
          </w:p>
        </w:tc>
        <w:tc>
          <w:tcPr>
            <w:tcW w:w="731" w:type="dxa"/>
            <w:tcBorders/>
            <w:vAlign w:val="center"/>
          </w:tcPr>
          <w:p>
            <w:pPr>
              <w:pStyle w:val="TableContents"/>
              <w:bidi w:val="0"/>
              <w:spacing w:before="0" w:after="283"/>
              <w:jc w:val="left"/>
              <w:rPr>
                <w:sz w:val="4"/>
                <w:szCs w:val="4"/>
              </w:rPr>
            </w:pPr>
            <w:r>
              <w:rPr>
                <w:sz w:val="4"/>
                <w:szCs w:val="4"/>
              </w:rPr>
            </w:r>
          </w:p>
        </w:tc>
        <w:tc>
          <w:tcPr>
            <w:tcW w:w="2518" w:type="dxa"/>
            <w:tcBorders/>
            <w:vAlign w:val="center"/>
          </w:tcPr>
          <w:p>
            <w:pPr>
              <w:pStyle w:val="TableContents"/>
              <w:bidi w:val="0"/>
              <w:spacing w:before="0" w:after="283"/>
              <w:jc w:val="left"/>
              <w:rPr>
                <w:sz w:val="4"/>
                <w:szCs w:val="4"/>
              </w:rPr>
            </w:pPr>
            <w:r>
              <w:rPr>
                <w:sz w:val="4"/>
                <w:szCs w:val="4"/>
              </w:rPr>
            </w:r>
          </w:p>
        </w:tc>
        <w:tc>
          <w:tcPr>
            <w:tcW w:w="2326" w:type="dxa"/>
            <w:tcBorders/>
            <w:vAlign w:val="center"/>
          </w:tcPr>
          <w:p>
            <w:pPr>
              <w:pStyle w:val="TableContents"/>
              <w:bidi w:val="0"/>
              <w:spacing w:before="0" w:after="283"/>
              <w:jc w:val="left"/>
              <w:rPr>
                <w:sz w:val="4"/>
                <w:szCs w:val="4"/>
              </w:rPr>
            </w:pPr>
            <w:r>
              <w:rPr>
                <w:sz w:val="4"/>
                <w:szCs w:val="4"/>
              </w:rPr>
            </w:r>
          </w:p>
        </w:tc>
        <w:tc>
          <w:tcPr>
            <w:tcW w:w="2359" w:type="dxa"/>
            <w:tcBorders/>
            <w:vAlign w:val="center"/>
          </w:tcPr>
          <w:p>
            <w:pPr>
              <w:pStyle w:val="TableContents"/>
              <w:bidi w:val="0"/>
              <w:spacing w:before="0" w:after="283"/>
              <w:jc w:val="left"/>
              <w:rPr>
                <w:sz w:val="4"/>
                <w:szCs w:val="4"/>
              </w:rPr>
            </w:pPr>
            <w:r>
              <w:rPr>
                <w:sz w:val="4"/>
                <w:szCs w:val="4"/>
              </w:rPr>
            </w:r>
          </w:p>
        </w:tc>
        <w:tc>
          <w:tcPr>
            <w:tcW w:w="206" w:type="dxa"/>
            <w:tcBorders/>
            <w:vAlign w:val="center"/>
          </w:tcPr>
          <w:p>
            <w:pPr>
              <w:pStyle w:val="TableContents"/>
              <w:bidi w:val="0"/>
              <w:spacing w:before="0" w:after="283"/>
              <w:jc w:val="left"/>
              <w:rPr>
                <w:sz w:val="4"/>
                <w:szCs w:val="4"/>
              </w:rPr>
            </w:pPr>
            <w:r>
              <w:rPr>
                <w:sz w:val="4"/>
                <w:szCs w:val="4"/>
              </w:rPr>
            </w:r>
          </w:p>
        </w:tc>
        <w:tc>
          <w:tcPr>
            <w:tcW w:w="206" w:type="dxa"/>
            <w:tcBorders/>
            <w:vAlign w:val="center"/>
          </w:tcPr>
          <w:p>
            <w:pPr>
              <w:pStyle w:val="TableContents"/>
              <w:bidi w:val="0"/>
              <w:spacing w:before="0" w:after="283"/>
              <w:jc w:val="left"/>
              <w:rPr>
                <w:sz w:val="4"/>
                <w:szCs w:val="4"/>
              </w:rPr>
            </w:pPr>
            <w:r>
              <w:rPr>
                <w:sz w:val="4"/>
                <w:szCs w:val="4"/>
              </w:rPr>
            </w:r>
          </w:p>
        </w:tc>
        <w:tc>
          <w:tcPr>
            <w:tcW w:w="296" w:type="dxa"/>
            <w:tcBorders/>
            <w:vAlign w:val="center"/>
          </w:tcPr>
          <w:p>
            <w:pPr>
              <w:pStyle w:val="TableContents"/>
              <w:bidi w:val="0"/>
              <w:spacing w:before="0" w:after="283"/>
              <w:jc w:val="left"/>
              <w:rPr>
                <w:sz w:val="4"/>
                <w:szCs w:val="4"/>
              </w:rPr>
            </w:pPr>
            <w:r>
              <w:rPr>
                <w:sz w:val="4"/>
                <w:szCs w:val="4"/>
              </w:rPr>
            </w:r>
          </w:p>
        </w:tc>
      </w:tr>
      <w:tr>
        <w:trPr/>
        <w:tc>
          <w:tcPr>
            <w:tcW w:w="229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0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8"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Expensify Neue;sans-serif" w:hAnsi="Expensify Neue;sans-serif"/>
                <w:b/>
                <w:color w:val="000000"/>
                <w:sz w:val="20"/>
              </w:rPr>
            </w:pPr>
            <w:r>
              <w:rPr>
                <w:rFonts w:ascii="Expensify Neue;sans-serif" w:hAnsi="Expensify Neue;sans-serif"/>
                <w:b/>
                <w:color w:val="000000"/>
                <w:sz w:val="20"/>
              </w:rPr>
              <w:t>Page</w:t>
            </w:r>
          </w:p>
        </w:tc>
      </w:tr>
      <w:tr>
        <w:trPr/>
        <w:tc>
          <w:tcPr>
            <w:tcW w:w="9497" w:type="dxa"/>
            <w:gridSpan w:val="6"/>
            <w:tcBorders/>
            <w:tcMar>
              <w:top w:w="0" w:type="dxa"/>
              <w:left w:w="0" w:type="dxa"/>
              <w:bottom w:w="0" w:type="dxa"/>
              <w:right w:w="0" w:type="dxa"/>
            </w:tcMar>
            <w:vAlign w:val="center"/>
          </w:tcPr>
          <w:p>
            <w:pPr>
              <w:pStyle w:val="TableContents"/>
              <w:bidi w:val="0"/>
              <w:spacing w:lineRule="auto" w:line="240" w:before="0" w:after="0"/>
              <w:jc w:val="left"/>
              <w:rPr/>
            </w:pPr>
            <w:hyperlink w:anchor="i52a648c4f0e449f7bc3c2044827c8f0d_10">
              <w:r>
                <w:rPr>
                  <w:rStyle w:val="InternetLink"/>
                  <w:rFonts w:ascii="Expensify Neue;sans-serif" w:hAnsi="Expensify Neue;sans-serif"/>
                  <w:b w:val="false"/>
                  <w:color w:val="0000FF"/>
                  <w:sz w:val="20"/>
                  <w:u w:val="single"/>
                </w:rPr>
                <w:t>Special Note Regarding Forward-Looking Statements</w:t>
              </w:r>
            </w:hyperlink>
          </w:p>
        </w:tc>
        <w:tc>
          <w:tcPr>
            <w:tcW w:w="70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9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0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497" w:type="dxa"/>
            <w:gridSpan w:val="6"/>
            <w:tcBorders/>
            <w:tcMar>
              <w:top w:w="0" w:type="dxa"/>
              <w:left w:w="0" w:type="dxa"/>
              <w:bottom w:w="0" w:type="dxa"/>
              <w:right w:w="0" w:type="dxa"/>
            </w:tcMar>
            <w:vAlign w:val="center"/>
          </w:tcPr>
          <w:p>
            <w:pPr>
              <w:pStyle w:val="TableContents"/>
              <w:bidi w:val="0"/>
              <w:spacing w:lineRule="auto" w:line="240" w:before="0" w:after="0"/>
              <w:jc w:val="left"/>
              <w:rPr/>
            </w:pPr>
            <w:hyperlink w:anchor="i52a648c4f0e449f7bc3c2044827c8f0d_13">
              <w:r>
                <w:rPr>
                  <w:rStyle w:val="InternetLink"/>
                  <w:rFonts w:ascii="Expensify Neue;sans-serif" w:hAnsi="Expensify Neue;sans-serif"/>
                  <w:b/>
                  <w:color w:val="0000FF"/>
                  <w:sz w:val="20"/>
                  <w:u w:val="single"/>
                </w:rPr>
                <w:t>Part I - Financial Information</w:t>
              </w:r>
            </w:hyperlink>
          </w:p>
        </w:tc>
        <w:tc>
          <w:tcPr>
            <w:tcW w:w="70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94"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Expensify Neue;sans-serif" w:hAnsi="Expensify Neue;sans-serif"/>
                <w:b w:val="false"/>
                <w:color w:val="000000"/>
                <w:sz w:val="20"/>
              </w:rPr>
            </w:pPr>
            <w:r>
              <w:rPr>
                <w:rFonts w:ascii="Expensify Neue;sans-serif" w:hAnsi="Expensify Neue;sans-serif"/>
                <w:b w:val="false"/>
                <w:color w:val="000000"/>
                <w:sz w:val="20"/>
              </w:rPr>
              <w:t>Item 1.</w:t>
            </w:r>
          </w:p>
        </w:tc>
        <w:tc>
          <w:tcPr>
            <w:tcW w:w="7203"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52a648c4f0e449f7bc3c2044827c8f0d_16">
              <w:r>
                <w:rPr>
                  <w:rStyle w:val="InternetLink"/>
                  <w:rFonts w:ascii="Expensify Neue;sans-serif" w:hAnsi="Expensify Neue;sans-serif"/>
                  <w:b w:val="false"/>
                  <w:color w:val="0000FF"/>
                  <w:sz w:val="20"/>
                  <w:u w:val="single"/>
                </w:rPr>
                <w:t>Condensed Consolidated Financial Statements</w:t>
              </w:r>
            </w:hyperlink>
          </w:p>
        </w:tc>
        <w:tc>
          <w:tcPr>
            <w:tcW w:w="708"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52a648c4f0e449f7bc3c2044827c8f0d_16">
              <w:r>
                <w:rPr>
                  <w:rStyle w:val="InternetLink"/>
                  <w:rFonts w:ascii="Expensify Neue;sans-serif" w:hAnsi="Expensify Neue;sans-serif"/>
                  <w:b w:val="false"/>
                  <w:color w:val="0000FF"/>
                  <w:sz w:val="20"/>
                  <w:u w:val="single"/>
                </w:rPr>
                <w:t>1</w:t>
              </w:r>
            </w:hyperlink>
          </w:p>
        </w:tc>
      </w:tr>
      <w:tr>
        <w:trPr/>
        <w:tc>
          <w:tcPr>
            <w:tcW w:w="229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03" w:type="dxa"/>
            <w:gridSpan w:val="3"/>
            <w:tcBorders/>
            <w:tcMar>
              <w:top w:w="0" w:type="dxa"/>
              <w:left w:w="0" w:type="dxa"/>
              <w:bottom w:w="0" w:type="dxa"/>
              <w:right w:w="0" w:type="dxa"/>
            </w:tcMar>
            <w:vAlign w:val="center"/>
          </w:tcPr>
          <w:p>
            <w:pPr>
              <w:pStyle w:val="TableContents"/>
              <w:bidi w:val="0"/>
              <w:spacing w:lineRule="auto" w:line="240" w:before="0" w:after="0"/>
              <w:ind w:left="0" w:right="0" w:firstLine="360"/>
              <w:jc w:val="left"/>
              <w:rPr/>
            </w:pPr>
            <w:hyperlink w:anchor="i52a648c4f0e449f7bc3c2044827c8f0d_19">
              <w:r>
                <w:rPr>
                  <w:rStyle w:val="InternetLink"/>
                  <w:rFonts w:ascii="Expensify Neue;sans-serif" w:hAnsi="Expensify Neue;sans-serif"/>
                  <w:b w:val="false"/>
                  <w:color w:val="0000FF"/>
                  <w:sz w:val="20"/>
                  <w:u w:val="single"/>
                </w:rPr>
                <w:t>Condensed Consolidated Balance Sheets</w:t>
              </w:r>
            </w:hyperlink>
          </w:p>
        </w:tc>
        <w:tc>
          <w:tcPr>
            <w:tcW w:w="708"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52a648c4f0e449f7bc3c2044827c8f0d_19">
              <w:r>
                <w:rPr>
                  <w:rStyle w:val="InternetLink"/>
                  <w:rFonts w:ascii="Expensify Neue;sans-serif" w:hAnsi="Expensify Neue;sans-serif"/>
                  <w:b w:val="false"/>
                  <w:color w:val="0000FF"/>
                  <w:sz w:val="20"/>
                  <w:u w:val="single"/>
                </w:rPr>
                <w:t>2</w:t>
              </w:r>
            </w:hyperlink>
          </w:p>
        </w:tc>
      </w:tr>
      <w:tr>
        <w:trPr/>
        <w:tc>
          <w:tcPr>
            <w:tcW w:w="229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03" w:type="dxa"/>
            <w:gridSpan w:val="3"/>
            <w:tcBorders/>
            <w:tcMar>
              <w:top w:w="0" w:type="dxa"/>
              <w:left w:w="0" w:type="dxa"/>
              <w:bottom w:w="0" w:type="dxa"/>
              <w:right w:w="0" w:type="dxa"/>
            </w:tcMar>
            <w:vAlign w:val="center"/>
          </w:tcPr>
          <w:p>
            <w:pPr>
              <w:pStyle w:val="TableContents"/>
              <w:bidi w:val="0"/>
              <w:spacing w:lineRule="auto" w:line="240" w:before="0" w:after="0"/>
              <w:ind w:left="0" w:right="0" w:firstLine="360"/>
              <w:jc w:val="left"/>
              <w:rPr/>
            </w:pPr>
            <w:hyperlink w:anchor="i52a648c4f0e449f7bc3c2044827c8f0d_22">
              <w:r>
                <w:rPr>
                  <w:rStyle w:val="InternetLink"/>
                  <w:rFonts w:ascii="Expensify Neue;sans-serif" w:hAnsi="Expensify Neue;sans-serif"/>
                  <w:b w:val="false"/>
                  <w:color w:val="0000FF"/>
                  <w:sz w:val="20"/>
                  <w:u w:val="single"/>
                </w:rPr>
                <w:t>Condensed Consolidated Statements of Operations</w:t>
              </w:r>
            </w:hyperlink>
          </w:p>
        </w:tc>
        <w:tc>
          <w:tcPr>
            <w:tcW w:w="708"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52a648c4f0e449f7bc3c2044827c8f0d_22">
              <w:r>
                <w:rPr>
                  <w:rStyle w:val="InternetLink"/>
                  <w:rFonts w:ascii="Expensify Neue;sans-serif" w:hAnsi="Expensify Neue;sans-serif"/>
                  <w:b w:val="false"/>
                  <w:color w:val="0000FF"/>
                  <w:sz w:val="20"/>
                  <w:u w:val="single"/>
                </w:rPr>
                <w:t>3</w:t>
              </w:r>
            </w:hyperlink>
          </w:p>
        </w:tc>
      </w:tr>
      <w:tr>
        <w:trPr/>
        <w:tc>
          <w:tcPr>
            <w:tcW w:w="229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03" w:type="dxa"/>
            <w:gridSpan w:val="3"/>
            <w:tcBorders/>
            <w:tcMar>
              <w:top w:w="0" w:type="dxa"/>
              <w:left w:w="0" w:type="dxa"/>
              <w:bottom w:w="0" w:type="dxa"/>
              <w:right w:w="0" w:type="dxa"/>
            </w:tcMar>
            <w:vAlign w:val="center"/>
          </w:tcPr>
          <w:p>
            <w:pPr>
              <w:pStyle w:val="TableContents"/>
              <w:bidi w:val="0"/>
              <w:spacing w:lineRule="auto" w:line="240" w:before="0" w:after="0"/>
              <w:ind w:left="0" w:right="0" w:hanging="180"/>
              <w:jc w:val="left"/>
              <w:rPr/>
            </w:pPr>
            <w:hyperlink w:anchor="i52a648c4f0e449f7bc3c2044827c8f0d_25">
              <w:r>
                <w:rPr>
                  <w:rStyle w:val="InternetLink"/>
                  <w:rFonts w:ascii="Expensify Neue;sans-serif" w:hAnsi="Expensify Neue;sans-serif"/>
                  <w:b w:val="false"/>
                  <w:color w:val="0000FF"/>
                  <w:sz w:val="20"/>
                  <w:u w:val="single"/>
                </w:rPr>
                <w:t>Condensed Consolidated Statements of Changes in Stockholders’ Equity</w:t>
              </w:r>
            </w:hyperlink>
          </w:p>
        </w:tc>
        <w:tc>
          <w:tcPr>
            <w:tcW w:w="708"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52a648c4f0e449f7bc3c2044827c8f0d_25">
              <w:r>
                <w:rPr>
                  <w:rStyle w:val="InternetLink"/>
                  <w:rFonts w:ascii="Expensify Neue;sans-serif" w:hAnsi="Expensify Neue;sans-serif"/>
                  <w:b w:val="false"/>
                  <w:color w:val="0000FF"/>
                  <w:sz w:val="20"/>
                  <w:u w:val="single"/>
                </w:rPr>
                <w:t>4</w:t>
              </w:r>
            </w:hyperlink>
          </w:p>
        </w:tc>
      </w:tr>
      <w:tr>
        <w:trPr/>
        <w:tc>
          <w:tcPr>
            <w:tcW w:w="229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03" w:type="dxa"/>
            <w:gridSpan w:val="3"/>
            <w:tcBorders/>
            <w:tcMar>
              <w:top w:w="0" w:type="dxa"/>
              <w:left w:w="0" w:type="dxa"/>
              <w:bottom w:w="0" w:type="dxa"/>
              <w:right w:w="0" w:type="dxa"/>
            </w:tcMar>
            <w:vAlign w:val="center"/>
          </w:tcPr>
          <w:p>
            <w:pPr>
              <w:pStyle w:val="TableContents"/>
              <w:bidi w:val="0"/>
              <w:spacing w:lineRule="auto" w:line="240" w:before="0" w:after="0"/>
              <w:ind w:left="0" w:right="0" w:firstLine="360"/>
              <w:jc w:val="left"/>
              <w:rPr/>
            </w:pPr>
            <w:hyperlink w:anchor="i52a648c4f0e449f7bc3c2044827c8f0d_28">
              <w:r>
                <w:rPr>
                  <w:rStyle w:val="InternetLink"/>
                  <w:rFonts w:ascii="Expensify Neue;sans-serif" w:hAnsi="Expensify Neue;sans-serif"/>
                  <w:b w:val="false"/>
                  <w:color w:val="0000FF"/>
                  <w:sz w:val="20"/>
                  <w:u w:val="single"/>
                </w:rPr>
                <w:t>Condensed Consolidated Statements of Cash Flows</w:t>
              </w:r>
            </w:hyperlink>
          </w:p>
        </w:tc>
        <w:tc>
          <w:tcPr>
            <w:tcW w:w="708"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52a648c4f0e449f7bc3c2044827c8f0d_28">
              <w:r>
                <w:rPr>
                  <w:rStyle w:val="InternetLink"/>
                  <w:rFonts w:ascii="Expensify Neue;sans-serif" w:hAnsi="Expensify Neue;sans-serif"/>
                  <w:b w:val="false"/>
                  <w:color w:val="0000FF"/>
                  <w:sz w:val="20"/>
                  <w:u w:val="single"/>
                </w:rPr>
                <w:t>6</w:t>
              </w:r>
            </w:hyperlink>
          </w:p>
        </w:tc>
      </w:tr>
      <w:tr>
        <w:trPr/>
        <w:tc>
          <w:tcPr>
            <w:tcW w:w="229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03" w:type="dxa"/>
            <w:gridSpan w:val="3"/>
            <w:tcBorders/>
            <w:tcMar>
              <w:top w:w="0" w:type="dxa"/>
              <w:left w:w="0" w:type="dxa"/>
              <w:bottom w:w="0" w:type="dxa"/>
              <w:right w:w="0" w:type="dxa"/>
            </w:tcMar>
            <w:vAlign w:val="center"/>
          </w:tcPr>
          <w:p>
            <w:pPr>
              <w:pStyle w:val="TableContents"/>
              <w:bidi w:val="0"/>
              <w:spacing w:lineRule="auto" w:line="240" w:before="0" w:after="0"/>
              <w:ind w:left="0" w:right="0" w:firstLine="360"/>
              <w:jc w:val="left"/>
              <w:rPr/>
            </w:pPr>
            <w:hyperlink w:anchor="i52a648c4f0e449f7bc3c2044827c8f0d_31">
              <w:r>
                <w:rPr>
                  <w:rStyle w:val="InternetLink"/>
                  <w:rFonts w:ascii="Expensify Neue;sans-serif" w:hAnsi="Expensify Neue;sans-serif"/>
                  <w:b w:val="false"/>
                  <w:color w:val="0000FF"/>
                  <w:sz w:val="20"/>
                  <w:u w:val="single"/>
                </w:rPr>
                <w:t>Notes to Condensed Consolidated Financial Statements</w:t>
              </w:r>
            </w:hyperlink>
          </w:p>
        </w:tc>
        <w:tc>
          <w:tcPr>
            <w:tcW w:w="708"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52a648c4f0e449f7bc3c2044827c8f0d_31">
              <w:r>
                <w:rPr>
                  <w:rStyle w:val="InternetLink"/>
                  <w:rFonts w:ascii="Expensify Neue;sans-serif" w:hAnsi="Expensify Neue;sans-serif"/>
                  <w:b w:val="false"/>
                  <w:color w:val="0000FF"/>
                  <w:sz w:val="20"/>
                  <w:u w:val="single"/>
                </w:rPr>
                <w:t>7</w:t>
              </w:r>
            </w:hyperlink>
          </w:p>
        </w:tc>
      </w:tr>
      <w:tr>
        <w:trPr/>
        <w:tc>
          <w:tcPr>
            <w:tcW w:w="2294"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Expensify Neue;sans-serif" w:hAnsi="Expensify Neue;sans-serif"/>
                <w:b w:val="false"/>
                <w:color w:val="000000"/>
                <w:sz w:val="20"/>
              </w:rPr>
            </w:pPr>
            <w:r>
              <w:rPr>
                <w:rFonts w:ascii="Expensify Neue;sans-serif" w:hAnsi="Expensify Neue;sans-serif"/>
                <w:b w:val="false"/>
                <w:color w:val="000000"/>
                <w:sz w:val="20"/>
              </w:rPr>
              <w:t>Item 2.</w:t>
            </w:r>
          </w:p>
        </w:tc>
        <w:tc>
          <w:tcPr>
            <w:tcW w:w="7203" w:type="dxa"/>
            <w:gridSpan w:val="3"/>
            <w:tcBorders/>
            <w:tcMar>
              <w:top w:w="0" w:type="dxa"/>
              <w:left w:w="0" w:type="dxa"/>
              <w:bottom w:w="0" w:type="dxa"/>
              <w:right w:w="0" w:type="dxa"/>
            </w:tcMar>
            <w:vAlign w:val="center"/>
          </w:tcPr>
          <w:p>
            <w:pPr>
              <w:pStyle w:val="TableContents"/>
              <w:bidi w:val="0"/>
              <w:spacing w:lineRule="auto" w:line="240" w:before="0" w:after="0"/>
              <w:ind w:left="0" w:right="0" w:hanging="180"/>
              <w:jc w:val="left"/>
              <w:rPr/>
            </w:pPr>
            <w:hyperlink w:anchor="i52a648c4f0e449f7bc3c2044827c8f0d_70">
              <w:r>
                <w:rPr>
                  <w:rStyle w:val="InternetLink"/>
                  <w:rFonts w:ascii="Expensify Neue;sans-serif" w:hAnsi="Expensify Neue;sans-serif"/>
                  <w:b w:val="false"/>
                  <w:color w:val="0000FF"/>
                  <w:sz w:val="20"/>
                  <w:u w:val="single"/>
                </w:rPr>
                <w:t>Management's Discussion and Analysis of Financial Condition and Results of Operations</w:t>
              </w:r>
            </w:hyperlink>
          </w:p>
        </w:tc>
        <w:tc>
          <w:tcPr>
            <w:tcW w:w="708"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52a648c4f0e449f7bc3c2044827c8f0d_70">
              <w:r>
                <w:rPr>
                  <w:rStyle w:val="InternetLink"/>
                  <w:rFonts w:ascii="Expensify Neue;sans-serif" w:hAnsi="Expensify Neue;sans-serif"/>
                  <w:b w:val="false"/>
                  <w:color w:val="0000FF"/>
                  <w:sz w:val="20"/>
                  <w:u w:val="single"/>
                </w:rPr>
                <w:t>21</w:t>
              </w:r>
            </w:hyperlink>
          </w:p>
        </w:tc>
      </w:tr>
      <w:tr>
        <w:trPr/>
        <w:tc>
          <w:tcPr>
            <w:tcW w:w="2294"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Expensify Neue;sans-serif" w:hAnsi="Expensify Neue;sans-serif"/>
                <w:b w:val="false"/>
                <w:color w:val="000000"/>
                <w:sz w:val="20"/>
              </w:rPr>
            </w:pPr>
            <w:r>
              <w:rPr>
                <w:rFonts w:ascii="Expensify Neue;sans-serif" w:hAnsi="Expensify Neue;sans-serif"/>
                <w:b w:val="false"/>
                <w:color w:val="000000"/>
                <w:sz w:val="20"/>
              </w:rPr>
              <w:t>Item 3.</w:t>
            </w:r>
          </w:p>
        </w:tc>
        <w:tc>
          <w:tcPr>
            <w:tcW w:w="7203"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52a648c4f0e449f7bc3c2044827c8f0d_109">
              <w:r>
                <w:rPr>
                  <w:rStyle w:val="InternetLink"/>
                  <w:rFonts w:ascii="Expensify Neue;sans-serif" w:hAnsi="Expensify Neue;sans-serif"/>
                  <w:b w:val="false"/>
                  <w:color w:val="0000FF"/>
                  <w:sz w:val="20"/>
                  <w:u w:val="single"/>
                </w:rPr>
                <w:t>Quantitative and Qualitative Disclosures About Market Risk</w:t>
              </w:r>
            </w:hyperlink>
          </w:p>
        </w:tc>
        <w:tc>
          <w:tcPr>
            <w:tcW w:w="708"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52a648c4f0e449f7bc3c2044827c8f0d_109">
              <w:r>
                <w:rPr>
                  <w:rStyle w:val="InternetLink"/>
                  <w:rFonts w:ascii="Expensify Neue;sans-serif" w:hAnsi="Expensify Neue;sans-serif"/>
                  <w:b w:val="false"/>
                  <w:color w:val="0000FF"/>
                  <w:sz w:val="20"/>
                  <w:u w:val="single"/>
                </w:rPr>
                <w:t>34</w:t>
              </w:r>
            </w:hyperlink>
          </w:p>
        </w:tc>
      </w:tr>
      <w:tr>
        <w:trPr/>
        <w:tc>
          <w:tcPr>
            <w:tcW w:w="2294"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Expensify Neue;sans-serif" w:hAnsi="Expensify Neue;sans-serif"/>
                <w:b w:val="false"/>
                <w:color w:val="000000"/>
                <w:sz w:val="20"/>
              </w:rPr>
            </w:pPr>
            <w:r>
              <w:rPr>
                <w:rFonts w:ascii="Expensify Neue;sans-serif" w:hAnsi="Expensify Neue;sans-serif"/>
                <w:b w:val="false"/>
                <w:color w:val="000000"/>
                <w:sz w:val="20"/>
              </w:rPr>
              <w:t>Item 4.</w:t>
            </w:r>
          </w:p>
        </w:tc>
        <w:tc>
          <w:tcPr>
            <w:tcW w:w="7203"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52a648c4f0e449f7bc3c2044827c8f0d_112">
              <w:r>
                <w:rPr>
                  <w:rStyle w:val="InternetLink"/>
                  <w:rFonts w:ascii="Expensify Neue;sans-serif" w:hAnsi="Expensify Neue;sans-serif"/>
                  <w:b w:val="false"/>
                  <w:color w:val="0000FF"/>
                  <w:sz w:val="20"/>
                  <w:u w:val="single"/>
                </w:rPr>
                <w:t>Controls and Procedures</w:t>
              </w:r>
            </w:hyperlink>
          </w:p>
        </w:tc>
        <w:tc>
          <w:tcPr>
            <w:tcW w:w="708"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52a648c4f0e449f7bc3c2044827c8f0d_112">
              <w:r>
                <w:rPr>
                  <w:rStyle w:val="InternetLink"/>
                  <w:rFonts w:ascii="Expensify Neue;sans-serif" w:hAnsi="Expensify Neue;sans-serif"/>
                  <w:b w:val="false"/>
                  <w:color w:val="0000FF"/>
                  <w:sz w:val="20"/>
                  <w:u w:val="single"/>
                </w:rPr>
                <w:t>34</w:t>
              </w:r>
            </w:hyperlink>
          </w:p>
        </w:tc>
      </w:tr>
      <w:tr>
        <w:trPr/>
        <w:tc>
          <w:tcPr>
            <w:tcW w:w="229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0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497" w:type="dxa"/>
            <w:gridSpan w:val="6"/>
            <w:tcBorders/>
            <w:tcMar>
              <w:top w:w="0" w:type="dxa"/>
              <w:left w:w="0" w:type="dxa"/>
              <w:bottom w:w="0" w:type="dxa"/>
              <w:right w:w="0" w:type="dxa"/>
            </w:tcMar>
            <w:vAlign w:val="center"/>
          </w:tcPr>
          <w:p>
            <w:pPr>
              <w:pStyle w:val="TableContents"/>
              <w:bidi w:val="0"/>
              <w:spacing w:lineRule="auto" w:line="240" w:before="0" w:after="0"/>
              <w:jc w:val="left"/>
              <w:rPr/>
            </w:pPr>
            <w:hyperlink w:anchor="i52a648c4f0e449f7bc3c2044827c8f0d_115">
              <w:r>
                <w:rPr>
                  <w:rStyle w:val="InternetLink"/>
                  <w:rFonts w:ascii="Expensify Neue;sans-serif" w:hAnsi="Expensify Neue;sans-serif"/>
                  <w:b/>
                  <w:color w:val="0000FF"/>
                  <w:sz w:val="20"/>
                  <w:u w:val="single"/>
                </w:rPr>
                <w:t>Part II - Other Information</w:t>
              </w:r>
            </w:hyperlink>
          </w:p>
        </w:tc>
        <w:tc>
          <w:tcPr>
            <w:tcW w:w="70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94"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Expensify Neue;sans-serif" w:hAnsi="Expensify Neue;sans-serif"/>
                <w:b w:val="false"/>
                <w:color w:val="000000"/>
                <w:sz w:val="20"/>
              </w:rPr>
            </w:pPr>
            <w:r>
              <w:rPr>
                <w:rFonts w:ascii="Expensify Neue;sans-serif" w:hAnsi="Expensify Neue;sans-serif"/>
                <w:b w:val="false"/>
                <w:color w:val="000000"/>
                <w:sz w:val="20"/>
              </w:rPr>
              <w:t>Item 1.</w:t>
            </w:r>
          </w:p>
        </w:tc>
        <w:tc>
          <w:tcPr>
            <w:tcW w:w="7203"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52a648c4f0e449f7bc3c2044827c8f0d_118">
              <w:r>
                <w:rPr>
                  <w:rStyle w:val="InternetLink"/>
                  <w:rFonts w:ascii="Expensify Neue;sans-serif" w:hAnsi="Expensify Neue;sans-serif"/>
                  <w:b w:val="false"/>
                  <w:color w:val="0000FF"/>
                  <w:sz w:val="20"/>
                  <w:u w:val="single"/>
                </w:rPr>
                <w:t>Legal Proceedings</w:t>
              </w:r>
            </w:hyperlink>
          </w:p>
        </w:tc>
        <w:tc>
          <w:tcPr>
            <w:tcW w:w="708"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52a648c4f0e449f7bc3c2044827c8f0d_118">
              <w:r>
                <w:rPr>
                  <w:rStyle w:val="InternetLink"/>
                  <w:rFonts w:ascii="Expensify Neue;sans-serif" w:hAnsi="Expensify Neue;sans-serif"/>
                  <w:b w:val="false"/>
                  <w:color w:val="0000FF"/>
                  <w:sz w:val="20"/>
                  <w:u w:val="single"/>
                </w:rPr>
                <w:t>35</w:t>
              </w:r>
            </w:hyperlink>
          </w:p>
        </w:tc>
      </w:tr>
      <w:tr>
        <w:trPr/>
        <w:tc>
          <w:tcPr>
            <w:tcW w:w="2294"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Expensify Neue;sans-serif" w:hAnsi="Expensify Neue;sans-serif"/>
                <w:b w:val="false"/>
                <w:color w:val="000000"/>
                <w:sz w:val="20"/>
              </w:rPr>
            </w:pPr>
            <w:r>
              <w:rPr>
                <w:rFonts w:ascii="Expensify Neue;sans-serif" w:hAnsi="Expensify Neue;sans-serif"/>
                <w:b w:val="false"/>
                <w:color w:val="000000"/>
                <w:sz w:val="20"/>
              </w:rPr>
              <w:t>Item 1A.</w:t>
            </w:r>
          </w:p>
        </w:tc>
        <w:tc>
          <w:tcPr>
            <w:tcW w:w="7203"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52a648c4f0e449f7bc3c2044827c8f0d_121">
              <w:r>
                <w:rPr>
                  <w:rStyle w:val="InternetLink"/>
                  <w:rFonts w:ascii="Expensify Neue;sans-serif" w:hAnsi="Expensify Neue;sans-serif"/>
                  <w:b w:val="false"/>
                  <w:color w:val="0000FF"/>
                  <w:sz w:val="20"/>
                  <w:u w:val="single"/>
                </w:rPr>
                <w:t>Risk Factors</w:t>
              </w:r>
            </w:hyperlink>
          </w:p>
        </w:tc>
        <w:tc>
          <w:tcPr>
            <w:tcW w:w="708"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52a648c4f0e449f7bc3c2044827c8f0d_121">
              <w:r>
                <w:rPr>
                  <w:rStyle w:val="InternetLink"/>
                  <w:rFonts w:ascii="Expensify Neue;sans-serif" w:hAnsi="Expensify Neue;sans-serif"/>
                  <w:b w:val="false"/>
                  <w:color w:val="0000FF"/>
                  <w:sz w:val="20"/>
                  <w:u w:val="single"/>
                </w:rPr>
                <w:t>36</w:t>
              </w:r>
            </w:hyperlink>
          </w:p>
        </w:tc>
      </w:tr>
      <w:tr>
        <w:trPr/>
        <w:tc>
          <w:tcPr>
            <w:tcW w:w="2294"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Expensify Neue;sans-serif" w:hAnsi="Expensify Neue;sans-serif"/>
                <w:b w:val="false"/>
                <w:color w:val="000000"/>
                <w:sz w:val="20"/>
              </w:rPr>
            </w:pPr>
            <w:r>
              <w:rPr>
                <w:rFonts w:ascii="Expensify Neue;sans-serif" w:hAnsi="Expensify Neue;sans-serif"/>
                <w:b w:val="false"/>
                <w:color w:val="000000"/>
                <w:sz w:val="20"/>
              </w:rPr>
              <w:t>Item 2.</w:t>
            </w:r>
          </w:p>
        </w:tc>
        <w:tc>
          <w:tcPr>
            <w:tcW w:w="7203"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52a648c4f0e449f7bc3c2044827c8f0d_127">
              <w:r>
                <w:rPr>
                  <w:rStyle w:val="InternetLink"/>
                  <w:rFonts w:ascii="Expensify Neue;sans-serif" w:hAnsi="Expensify Neue;sans-serif"/>
                  <w:b w:val="false"/>
                  <w:color w:val="0000FF"/>
                  <w:sz w:val="20"/>
                  <w:u w:val="single"/>
                </w:rPr>
                <w:t>Unregistered Sales of Equity Securities and Use of Proceeds</w:t>
              </w:r>
            </w:hyperlink>
          </w:p>
        </w:tc>
        <w:tc>
          <w:tcPr>
            <w:tcW w:w="708"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52a648c4f0e449f7bc3c2044827c8f0d_127">
              <w:r>
                <w:rPr>
                  <w:rStyle w:val="InternetLink"/>
                  <w:rFonts w:ascii="Expensify Neue;sans-serif" w:hAnsi="Expensify Neue;sans-serif"/>
                  <w:b w:val="false"/>
                  <w:color w:val="0000FF"/>
                  <w:sz w:val="20"/>
                  <w:u w:val="single"/>
                </w:rPr>
                <w:t>37</w:t>
              </w:r>
            </w:hyperlink>
          </w:p>
        </w:tc>
      </w:tr>
      <w:tr>
        <w:trPr/>
        <w:tc>
          <w:tcPr>
            <w:tcW w:w="2294"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Expensify Neue;sans-serif" w:hAnsi="Expensify Neue;sans-serif"/>
                <w:b w:val="false"/>
                <w:color w:val="000000"/>
                <w:sz w:val="20"/>
              </w:rPr>
            </w:pPr>
            <w:r>
              <w:rPr>
                <w:rFonts w:ascii="Expensify Neue;sans-serif" w:hAnsi="Expensify Neue;sans-serif"/>
                <w:b w:val="false"/>
                <w:color w:val="000000"/>
                <w:sz w:val="20"/>
              </w:rPr>
              <w:t>Item 3.</w:t>
            </w:r>
          </w:p>
        </w:tc>
        <w:tc>
          <w:tcPr>
            <w:tcW w:w="7203"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52a648c4f0e449f7bc3c2044827c8f0d_130">
              <w:r>
                <w:rPr>
                  <w:rStyle w:val="InternetLink"/>
                  <w:rFonts w:ascii="Expensify Neue;sans-serif" w:hAnsi="Expensify Neue;sans-serif"/>
                  <w:b w:val="false"/>
                  <w:color w:val="0000FF"/>
                  <w:sz w:val="20"/>
                  <w:u w:val="single"/>
                </w:rPr>
                <w:t>Defaults Upon Senior Securities</w:t>
              </w:r>
            </w:hyperlink>
          </w:p>
        </w:tc>
        <w:tc>
          <w:tcPr>
            <w:tcW w:w="708"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52a648c4f0e449f7bc3c2044827c8f0d_130">
              <w:r>
                <w:rPr>
                  <w:rStyle w:val="InternetLink"/>
                  <w:rFonts w:ascii="Expensify Neue;sans-serif" w:hAnsi="Expensify Neue;sans-serif"/>
                  <w:b w:val="false"/>
                  <w:color w:val="0000FF"/>
                  <w:sz w:val="20"/>
                  <w:u w:val="single"/>
                </w:rPr>
                <w:t>37</w:t>
              </w:r>
            </w:hyperlink>
          </w:p>
        </w:tc>
      </w:tr>
      <w:tr>
        <w:trPr/>
        <w:tc>
          <w:tcPr>
            <w:tcW w:w="2294"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Expensify Neue;sans-serif" w:hAnsi="Expensify Neue;sans-serif"/>
                <w:b w:val="false"/>
                <w:color w:val="000000"/>
                <w:sz w:val="20"/>
              </w:rPr>
            </w:pPr>
            <w:r>
              <w:rPr>
                <w:rFonts w:ascii="Expensify Neue;sans-serif" w:hAnsi="Expensify Neue;sans-serif"/>
                <w:b w:val="false"/>
                <w:color w:val="000000"/>
                <w:sz w:val="20"/>
              </w:rPr>
              <w:t>Item 4.</w:t>
            </w:r>
          </w:p>
        </w:tc>
        <w:tc>
          <w:tcPr>
            <w:tcW w:w="7203"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52a648c4f0e449f7bc3c2044827c8f0d_133">
              <w:r>
                <w:rPr>
                  <w:rStyle w:val="InternetLink"/>
                  <w:rFonts w:ascii="Expensify Neue;sans-serif" w:hAnsi="Expensify Neue;sans-serif"/>
                  <w:b w:val="false"/>
                  <w:color w:val="0000FF"/>
                  <w:sz w:val="20"/>
                  <w:u w:val="single"/>
                </w:rPr>
                <w:t>Mine Safety Disclosures</w:t>
              </w:r>
            </w:hyperlink>
          </w:p>
        </w:tc>
        <w:tc>
          <w:tcPr>
            <w:tcW w:w="708"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52a648c4f0e449f7bc3c2044827c8f0d_133">
              <w:r>
                <w:rPr>
                  <w:rStyle w:val="InternetLink"/>
                  <w:rFonts w:ascii="Expensify Neue;sans-serif" w:hAnsi="Expensify Neue;sans-serif"/>
                  <w:b w:val="false"/>
                  <w:color w:val="0000FF"/>
                  <w:sz w:val="20"/>
                  <w:u w:val="single"/>
                </w:rPr>
                <w:t>37</w:t>
              </w:r>
            </w:hyperlink>
          </w:p>
        </w:tc>
      </w:tr>
      <w:tr>
        <w:trPr/>
        <w:tc>
          <w:tcPr>
            <w:tcW w:w="2294"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Expensify Neue;sans-serif" w:hAnsi="Expensify Neue;sans-serif"/>
                <w:b w:val="false"/>
                <w:color w:val="000000"/>
                <w:sz w:val="20"/>
              </w:rPr>
            </w:pPr>
            <w:r>
              <w:rPr>
                <w:rFonts w:ascii="Expensify Neue;sans-serif" w:hAnsi="Expensify Neue;sans-serif"/>
                <w:b w:val="false"/>
                <w:color w:val="000000"/>
                <w:sz w:val="20"/>
              </w:rPr>
              <w:t>Item 5.</w:t>
            </w:r>
          </w:p>
        </w:tc>
        <w:tc>
          <w:tcPr>
            <w:tcW w:w="7203"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52a648c4f0e449f7bc3c2044827c8f0d_136">
              <w:r>
                <w:rPr>
                  <w:rStyle w:val="InternetLink"/>
                  <w:rFonts w:ascii="Expensify Neue;sans-serif" w:hAnsi="Expensify Neue;sans-serif"/>
                  <w:b w:val="false"/>
                  <w:color w:val="0000FF"/>
                  <w:sz w:val="20"/>
                  <w:u w:val="single"/>
                </w:rPr>
                <w:t>Other Information</w:t>
              </w:r>
            </w:hyperlink>
          </w:p>
        </w:tc>
        <w:tc>
          <w:tcPr>
            <w:tcW w:w="708"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52a648c4f0e449f7bc3c2044827c8f0d_136">
              <w:r>
                <w:rPr>
                  <w:rStyle w:val="InternetLink"/>
                  <w:rFonts w:ascii="Expensify Neue;sans-serif" w:hAnsi="Expensify Neue;sans-serif"/>
                  <w:b w:val="false"/>
                  <w:color w:val="0000FF"/>
                  <w:sz w:val="20"/>
                  <w:u w:val="single"/>
                </w:rPr>
                <w:t>38</w:t>
              </w:r>
            </w:hyperlink>
          </w:p>
        </w:tc>
      </w:tr>
      <w:tr>
        <w:trPr/>
        <w:tc>
          <w:tcPr>
            <w:tcW w:w="2294"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Expensify Neue;sans-serif" w:hAnsi="Expensify Neue;sans-serif"/>
                <w:b w:val="false"/>
                <w:color w:val="000000"/>
                <w:sz w:val="20"/>
              </w:rPr>
            </w:pPr>
            <w:r>
              <w:rPr>
                <w:rFonts w:ascii="Expensify Neue;sans-serif" w:hAnsi="Expensify Neue;sans-serif"/>
                <w:b w:val="false"/>
                <w:color w:val="000000"/>
                <w:sz w:val="20"/>
              </w:rPr>
              <w:t>Item 6.</w:t>
            </w:r>
          </w:p>
        </w:tc>
        <w:tc>
          <w:tcPr>
            <w:tcW w:w="7203"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52a648c4f0e449f7bc3c2044827c8f0d_145">
              <w:r>
                <w:rPr>
                  <w:rStyle w:val="InternetLink"/>
                  <w:rFonts w:ascii="Expensify Neue;sans-serif" w:hAnsi="Expensify Neue;sans-serif"/>
                  <w:b w:val="false"/>
                  <w:color w:val="0000FF"/>
                  <w:sz w:val="20"/>
                  <w:u w:val="single"/>
                </w:rPr>
                <w:t>Exhibits</w:t>
              </w:r>
            </w:hyperlink>
          </w:p>
        </w:tc>
        <w:tc>
          <w:tcPr>
            <w:tcW w:w="708"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52a648c4f0e449f7bc3c2044827c8f0d_145">
              <w:r>
                <w:rPr>
                  <w:rStyle w:val="InternetLink"/>
                  <w:rFonts w:ascii="Expensify Neue;sans-serif" w:hAnsi="Expensify Neue;sans-serif"/>
                  <w:b w:val="false"/>
                  <w:color w:val="0000FF"/>
                  <w:sz w:val="20"/>
                  <w:u w:val="single"/>
                </w:rPr>
                <w:t>39</w:t>
              </w:r>
            </w:hyperlink>
          </w:p>
        </w:tc>
      </w:tr>
      <w:tr>
        <w:trPr/>
        <w:tc>
          <w:tcPr>
            <w:tcW w:w="229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03"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52a648c4f0e449f7bc3c2044827c8f0d_148">
              <w:r>
                <w:rPr>
                  <w:rStyle w:val="InternetLink"/>
                  <w:rFonts w:ascii="Expensify Neue;sans-serif" w:hAnsi="Expensify Neue;sans-serif"/>
                  <w:b/>
                  <w:color w:val="0000FF"/>
                  <w:sz w:val="20"/>
                  <w:u w:val="single"/>
                </w:rPr>
                <w:t>Signatures</w:t>
              </w:r>
            </w:hyperlink>
          </w:p>
        </w:tc>
        <w:tc>
          <w:tcPr>
            <w:tcW w:w="70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
                <wp:simplePos x="0" y="0"/>
                <wp:positionH relativeFrom="character">
                  <wp:align>left</wp:align>
                </wp:positionH>
                <wp:positionV relativeFrom="line">
                  <wp:posOffset>635</wp:posOffset>
                </wp:positionV>
                <wp:extent cx="6480175" cy="147955"/>
                <wp:effectExtent l="0" t="0" r="0" b="0"/>
                <wp:wrapNone/>
                <wp:docPr id="3" name="Frame2"/>
                <a:graphic xmlns:a="http://schemas.openxmlformats.org/drawingml/2006/main">
                  <a:graphicData uri="http://schemas.microsoft.com/office/word/2010/wordprocessingShape">
                    <wps:wsp>
                      <wps:cNvSpPr txBox="1"/>
                      <wps:spPr>
                        <a:xfrm>
                          <a:off x="0" y="0"/>
                          <a:ext cx="6480175" cy="147955"/>
                        </a:xfrm>
                        <a:prstGeom prst="rect"/>
                        <a:solidFill>
                          <a:srgbClr val="FFFFFF"/>
                        </a:solidFill>
                      </wps:spPr>
                      <wps:txbx>
                        <w:txbxContent>
                          <w:p>
                            <w:pPr>
                              <w:pStyle w:val="TextBody"/>
                              <w:bidi w:val="0"/>
                              <w:spacing w:lineRule="auto" w:line="288" w:before="0" w:after="160"/>
                              <w:jc w:val="center"/>
                              <w:rPr>
                                <w:rFonts w:ascii="Expensify Neue;sans-serif" w:hAnsi="Expensify Neue;sans-serif"/>
                                <w:b w:val="false"/>
                                <w:color w:val="000000"/>
                                <w:sz w:val="20"/>
                              </w:rPr>
                            </w:pPr>
                            <w:r>
                              <w:rPr>
                                <w:rFonts w:ascii="Expensify Neue;sans-serif" w:hAnsi="Expensify Neue;sans-serif"/>
                                <w:b w:val="false"/>
                                <w:color w:val="000000"/>
                                <w:sz w:val="20"/>
                              </w:rPr>
                              <w:t>i</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60"/>
                        <w:jc w:val="center"/>
                        <w:rPr>
                          <w:rFonts w:ascii="Expensify Neue;sans-serif" w:hAnsi="Expensify Neue;sans-serif"/>
                          <w:b w:val="false"/>
                          <w:color w:val="000000"/>
                          <w:sz w:val="20"/>
                        </w:rPr>
                      </w:pPr>
                      <w:r>
                        <w:rPr>
                          <w:rFonts w:ascii="Expensify Neue;sans-serif" w:hAnsi="Expensify Neue;sans-serif"/>
                          <w:b w:val="false"/>
                          <w:color w:val="000000"/>
                          <w:sz w:val="20"/>
                        </w:rPr>
                        <w:t>i</w:t>
                      </w:r>
                    </w:p>
                  </w:txbxContent>
                </v:textbox>
                <w10:wrap type="none"/>
              </v:rect>
            </w:pict>
          </mc:Fallback>
        </mc:AlternateContent>
      </w:r>
    </w:p>
    <w:p>
      <w:pPr>
        <w:pStyle w:val="TextBody"/>
        <w:bidi w:val="0"/>
        <w:spacing w:lineRule="auto" w:line="288" w:before="0" w:after="160"/>
        <w:jc w:val="left"/>
        <w:rPr/>
      </w:pPr>
      <w:hyperlink w:anchor="i52a648c4f0e449f7bc3c2044827c8f0d_7">
        <w:r>
          <w:rPr>
            <w:rStyle w:val="InternetLink"/>
            <w:rFonts w:ascii="Expensify Neue;sans-serif" w:hAnsi="Expensify Neue;sans-serif"/>
            <w:b/>
            <w:color w:val="0000FF"/>
            <w:sz w:val="20"/>
            <w:u w:val="single"/>
          </w:rPr>
          <w:t>Table of Contents</w:t>
        </w:r>
      </w:hyperlink>
    </w:p>
    <w:p>
      <w:pPr>
        <w:pStyle w:val="TextBody"/>
        <w:bidi w:val="0"/>
        <w:spacing w:lineRule="auto" w:line="288" w:before="0" w:after="160"/>
        <w:jc w:val="left"/>
        <w:rPr>
          <w:rFonts w:ascii="Expensify Neue;sans-serif" w:hAnsi="Expensify Neue;sans-serif"/>
          <w:b/>
          <w:color w:val="002E22"/>
          <w:sz w:val="32"/>
        </w:rPr>
      </w:pPr>
      <w:r>
        <w:rPr>
          <w:rFonts w:ascii="Expensify Neue;sans-serif" w:hAnsi="Expensify Neue;sans-serif"/>
          <w:b/>
          <w:color w:val="002E22"/>
          <w:sz w:val="32"/>
        </w:rPr>
        <w:t>Special Note Regarding Forward-Looking Statements</w:t>
      </w:r>
    </w:p>
    <w:p>
      <w:pPr>
        <w:pStyle w:val="TextBody"/>
        <w:bidi w:val="0"/>
        <w:spacing w:lineRule="auto" w:line="288" w:before="0" w:after="160"/>
        <w:jc w:val="left"/>
        <w:rPr>
          <w:rFonts w:ascii="Expensify Neue;sans-serif" w:hAnsi="Expensify Neue;sans-serif"/>
          <w:b w:val="false"/>
          <w:color w:val="000000"/>
          <w:sz w:val="20"/>
        </w:rPr>
      </w:pPr>
      <w:r>
        <w:rPr>
          <w:rFonts w:ascii="Expensify Neue;sans-serif" w:hAnsi="Expensify Neue;sans-serif"/>
          <w:b w:val="false"/>
          <w:color w:val="000000"/>
          <w:sz w:val="20"/>
        </w:rPr>
        <w:t>This Quarterly Report on Form 10-Q contains forward-looking statements about us and our industry that involve substantial risks and uncertainties. We intend such forward-looking statements to be covered by the safe harbor provisions for forward-looking statements contained in the Private Securities Litigation Reform Act of 1995. All statements other than statements of historical facts contained in this Quarterly Report on Form 10-Q, including statements regarding our strategy, future financial condition, future operations, projected costs, prospects, plans, objectives of management and expected market growth, are forward-looking statements. In some cases, you can identify forward-looking statements because they contain words such as “may,” “will,” “shall,” “should,” “expects,” “plans,” “anticipates,” “could,” “intends,” “target,” “projects,” “contemplates,” “believes,” “estimates,” “predicts,” “potential,” “goal,” “objective,” “seeks,” or “continue” or the negative of these words or other similar terms or expressions that concern our expectations, strategy, plans, or intentions. There are a number of risks, uncertainties, and other important factors, many of which are beyond our control, that could cause our actual results to differ materially from the forward-looking statements contained in this Quarterly Report on Form 10-Q. Such risks, uncertainties and other important factors include, among others:</w:t>
      </w:r>
    </w:p>
    <w:p>
      <w:pPr>
        <w:pStyle w:val="TextBody"/>
        <w:bidi w:val="0"/>
        <w:spacing w:lineRule="auto" w:line="288" w:before="0" w:after="160"/>
        <w:ind w:left="0" w:right="0" w:hanging="360"/>
        <w:jc w:val="left"/>
        <w:rPr/>
      </w:pPr>
      <w:r>
        <w:rPr>
          <w:color w:val="000000"/>
        </w:rPr>
        <w:t>•</w:t>
      </w:r>
      <w:r>
        <w:rPr>
          <w:rFonts w:ascii="Expensify Neue;sans-serif" w:hAnsi="Expensify Neue;sans-serif"/>
          <w:b w:val="false"/>
          <w:color w:val="000000"/>
          <w:sz w:val="20"/>
        </w:rPr>
        <w:t xml:space="preserve">our expectations regarding our financial performance and future operating performance; </w:t>
      </w:r>
    </w:p>
    <w:p>
      <w:pPr>
        <w:pStyle w:val="TextBody"/>
        <w:bidi w:val="0"/>
        <w:spacing w:lineRule="auto" w:line="288" w:before="0" w:after="160"/>
        <w:ind w:left="0" w:right="0" w:hanging="360"/>
        <w:jc w:val="left"/>
        <w:rPr/>
      </w:pPr>
      <w:r>
        <w:rPr>
          <w:color w:val="000000"/>
        </w:rPr>
        <w:t>•</w:t>
      </w:r>
      <w:r>
        <w:rPr>
          <w:rFonts w:ascii="Expensify Neue;sans-serif" w:hAnsi="Expensify Neue;sans-serif"/>
          <w:b w:val="false"/>
          <w:color w:val="000000"/>
          <w:sz w:val="20"/>
        </w:rPr>
        <w:t xml:space="preserve">our ability to attract and retain members, expand usage of our platform, sell subscriptions to our platform and convert individuals and organizations into paying customers; </w:t>
      </w:r>
    </w:p>
    <w:p>
      <w:pPr>
        <w:pStyle w:val="TextBody"/>
        <w:bidi w:val="0"/>
        <w:spacing w:lineRule="auto" w:line="288" w:before="0" w:after="160"/>
        <w:ind w:left="0" w:right="0" w:hanging="360"/>
        <w:jc w:val="left"/>
        <w:rPr/>
      </w:pPr>
      <w:r>
        <w:rPr>
          <w:color w:val="000000"/>
        </w:rPr>
        <w:t>•</w:t>
      </w:r>
      <w:r>
        <w:rPr>
          <w:rFonts w:ascii="Expensify Neue;sans-serif" w:hAnsi="Expensify Neue;sans-serif"/>
          <w:b w:val="false"/>
          <w:color w:val="000000"/>
          <w:sz w:val="20"/>
        </w:rPr>
        <w:t xml:space="preserve">the timing and success of new features, integrations, capabilities and enhancements by us, or by competitors to their products, or any other changes in the competitive landscape of our market; </w:t>
      </w:r>
    </w:p>
    <w:p>
      <w:pPr>
        <w:pStyle w:val="TextBody"/>
        <w:bidi w:val="0"/>
        <w:spacing w:lineRule="auto" w:line="288" w:before="0" w:after="160"/>
        <w:ind w:left="0" w:right="0" w:hanging="360"/>
        <w:jc w:val="left"/>
        <w:rPr/>
      </w:pPr>
      <w:r>
        <w:rPr>
          <w:color w:val="000000"/>
        </w:rPr>
        <w:t>•</w:t>
      </w:r>
      <w:r>
        <w:rPr>
          <w:rFonts w:ascii="Expensify Neue;sans-serif" w:hAnsi="Expensify Neue;sans-serif"/>
          <w:b w:val="false"/>
          <w:color w:val="000000"/>
          <w:sz w:val="20"/>
        </w:rPr>
        <w:t xml:space="preserve">the amount and timing of operating expenses that we may incur to maintain and expand our business and operations to remain competitive; </w:t>
      </w:r>
    </w:p>
    <w:p>
      <w:pPr>
        <w:pStyle w:val="TextBody"/>
        <w:bidi w:val="0"/>
        <w:spacing w:lineRule="auto" w:line="288" w:before="0" w:after="160"/>
        <w:ind w:left="0" w:right="0" w:hanging="360"/>
        <w:jc w:val="left"/>
        <w:rPr/>
      </w:pPr>
      <w:r>
        <w:rPr>
          <w:color w:val="000000"/>
        </w:rPr>
        <w:t>•</w:t>
      </w:r>
      <w:r>
        <w:rPr>
          <w:rFonts w:ascii="Expensify Neue;sans-serif" w:hAnsi="Expensify Neue;sans-serif"/>
          <w:b w:val="false"/>
          <w:color w:val="000000"/>
          <w:sz w:val="20"/>
        </w:rPr>
        <w:t xml:space="preserve">the sufficiency of our cash, cash equivalents and investments to meet our liquidity needs; </w:t>
      </w:r>
    </w:p>
    <w:p>
      <w:pPr>
        <w:pStyle w:val="TextBody"/>
        <w:bidi w:val="0"/>
        <w:spacing w:lineRule="auto" w:line="288" w:before="0" w:after="160"/>
        <w:ind w:left="0" w:right="0" w:hanging="360"/>
        <w:jc w:val="left"/>
        <w:rPr/>
      </w:pPr>
      <w:r>
        <w:rPr>
          <w:color w:val="000000"/>
        </w:rPr>
        <w:t>•</w:t>
      </w:r>
      <w:r>
        <w:rPr>
          <w:rFonts w:ascii="Expensify Neue;sans-serif" w:hAnsi="Expensify Neue;sans-serif"/>
          <w:b w:val="false"/>
          <w:color w:val="000000"/>
          <w:sz w:val="20"/>
        </w:rPr>
        <w:t>our ability to make required payments under and to comply with the various requirements of our current and future indebtedness;</w:t>
      </w:r>
    </w:p>
    <w:p>
      <w:pPr>
        <w:pStyle w:val="TextBody"/>
        <w:bidi w:val="0"/>
        <w:spacing w:lineRule="auto" w:line="288" w:before="0" w:after="160"/>
        <w:ind w:left="0" w:right="0" w:hanging="360"/>
        <w:jc w:val="left"/>
        <w:rPr/>
      </w:pPr>
      <w:r>
        <w:rPr>
          <w:color w:val="000000"/>
        </w:rPr>
        <w:t>•</w:t>
      </w:r>
      <w:r>
        <w:rPr>
          <w:rFonts w:ascii="Expensify Neue;sans-serif" w:hAnsi="Expensify Neue;sans-serif"/>
          <w:b w:val="false"/>
          <w:color w:val="000000"/>
          <w:sz w:val="20"/>
        </w:rPr>
        <w:t xml:space="preserve">our cash flows, the prevailing stock prices, general economic and market conditions and other considerations that could affect the specific timing, price and size of repurchases under our stock repurchase program or our ability to fund any stock repurchases; </w:t>
      </w:r>
    </w:p>
    <w:p>
      <w:pPr>
        <w:pStyle w:val="TextBody"/>
        <w:bidi w:val="0"/>
        <w:spacing w:lineRule="auto" w:line="288" w:before="0" w:after="160"/>
        <w:ind w:left="0" w:right="0" w:hanging="360"/>
        <w:jc w:val="left"/>
        <w:rPr/>
      </w:pPr>
      <w:r>
        <w:rPr>
          <w:color w:val="000000"/>
        </w:rPr>
        <w:t>•</w:t>
      </w:r>
      <w:r>
        <w:rPr>
          <w:rFonts w:ascii="Expensify Neue;sans-serif" w:hAnsi="Expensify Neue;sans-serif"/>
          <w:b w:val="false"/>
          <w:color w:val="000000"/>
          <w:sz w:val="20"/>
        </w:rPr>
        <w:t>geopolitical tensions, including the war in Ukraine and the conflict in Israel, Gaza and surrounding areas;</w:t>
      </w:r>
    </w:p>
    <w:p>
      <w:pPr>
        <w:pStyle w:val="TextBody"/>
        <w:bidi w:val="0"/>
        <w:spacing w:lineRule="auto" w:line="288" w:before="0" w:after="160"/>
        <w:ind w:left="0" w:right="0" w:hanging="360"/>
        <w:jc w:val="left"/>
        <w:rPr/>
      </w:pPr>
      <w:r>
        <w:rPr>
          <w:color w:val="000000"/>
        </w:rPr>
        <w:t>•</w:t>
      </w:r>
      <w:r>
        <w:rPr>
          <w:rFonts w:ascii="Expensify Neue;sans-serif" w:hAnsi="Expensify Neue;sans-serif"/>
          <w:b w:val="false"/>
          <w:color w:val="000000"/>
          <w:sz w:val="20"/>
        </w:rPr>
        <w:t xml:space="preserve">the impact of inflation on us and our members; </w:t>
      </w:r>
    </w:p>
    <w:p>
      <w:pPr>
        <w:pStyle w:val="TextBody"/>
        <w:bidi w:val="0"/>
        <w:spacing w:lineRule="auto" w:line="288" w:before="0" w:after="160"/>
        <w:ind w:left="0" w:right="0" w:hanging="360"/>
        <w:jc w:val="left"/>
        <w:rPr/>
      </w:pPr>
      <w:r>
        <w:rPr>
          <w:color w:val="000000"/>
        </w:rPr>
        <w:t>•</w:t>
      </w:r>
      <w:r>
        <w:rPr>
          <w:rFonts w:ascii="Expensify Neue;sans-serif" w:hAnsi="Expensify Neue;sans-serif"/>
          <w:b w:val="false"/>
          <w:color w:val="000000"/>
          <w:sz w:val="20"/>
        </w:rPr>
        <w:t xml:space="preserve">our borrowing costs, which have and may continue to increase as a result of increases in interest rates; </w:t>
      </w:r>
    </w:p>
    <w:p>
      <w:pPr>
        <w:pStyle w:val="TextBody"/>
        <w:bidi w:val="0"/>
        <w:spacing w:lineRule="auto" w:line="288" w:before="0" w:after="160"/>
        <w:ind w:left="0" w:right="0" w:hanging="360"/>
        <w:jc w:val="left"/>
        <w:rPr/>
      </w:pPr>
      <w:r>
        <w:rPr>
          <w:color w:val="000000"/>
        </w:rPr>
        <w:t>•</w:t>
      </w:r>
      <w:r>
        <w:rPr>
          <w:rFonts w:ascii="Expensify Neue;sans-serif" w:hAnsi="Expensify Neue;sans-serif"/>
          <w:b w:val="false"/>
          <w:color w:val="000000"/>
          <w:sz w:val="20"/>
        </w:rPr>
        <w:t xml:space="preserve">our ability to effectively manage our exposure to fluctuations in foreign currency exchange rates; </w:t>
      </w:r>
    </w:p>
    <w:p>
      <w:pPr>
        <w:pStyle w:val="TextBody"/>
        <w:bidi w:val="0"/>
        <w:spacing w:lineRule="auto" w:line="288" w:before="0" w:after="160"/>
        <w:ind w:left="0" w:right="0" w:hanging="360"/>
        <w:jc w:val="left"/>
        <w:rPr/>
      </w:pPr>
      <w:r>
        <w:rPr>
          <w:color w:val="000000"/>
        </w:rPr>
        <w:t>•</w:t>
      </w:r>
      <w:r>
        <w:rPr>
          <w:rFonts w:ascii="Expensify Neue;sans-serif" w:hAnsi="Expensify Neue;sans-serif"/>
          <w:b w:val="false"/>
          <w:color w:val="000000"/>
          <w:sz w:val="20"/>
        </w:rPr>
        <w:t xml:space="preserve">the size of our addressable markets, market share and market trends; </w:t>
      </w:r>
    </w:p>
    <w:p>
      <w:pPr>
        <w:pStyle w:val="TextBody"/>
        <w:bidi w:val="0"/>
        <w:spacing w:lineRule="auto" w:line="288" w:before="0" w:after="160"/>
        <w:ind w:left="0" w:right="0" w:hanging="360"/>
        <w:jc w:val="left"/>
        <w:rPr/>
      </w:pPr>
      <w:r>
        <w:rPr>
          <w:color w:val="000000"/>
        </w:rPr>
        <w:t>•</w:t>
      </w:r>
      <w:r>
        <w:rPr>
          <w:rFonts w:ascii="Expensify Neue;sans-serif" w:hAnsi="Expensify Neue;sans-serif"/>
          <w:b w:val="false"/>
          <w:color w:val="000000"/>
          <w:sz w:val="20"/>
        </w:rPr>
        <w:t xml:space="preserve">anticipated trends, developments and challenges in our industry, business and the highly competitive markets in which we operate; </w:t>
      </w:r>
    </w:p>
    <w:p>
      <w:pPr>
        <w:pStyle w:val="TextBody"/>
        <w:bidi w:val="0"/>
        <w:spacing w:lineRule="auto" w:line="288" w:before="0" w:after="160"/>
        <w:ind w:left="0" w:right="0" w:hanging="360"/>
        <w:jc w:val="left"/>
        <w:rPr/>
      </w:pPr>
      <w:r>
        <w:rPr>
          <w:color w:val="000000"/>
        </w:rPr>
        <w:t>•</w:t>
      </w:r>
      <w:r>
        <w:rPr>
          <w:rFonts w:ascii="Expensify Neue;sans-serif" w:hAnsi="Expensify Neue;sans-serif"/>
          <w:b w:val="false"/>
          <w:color w:val="000000"/>
          <w:sz w:val="20"/>
        </w:rPr>
        <w:t>any adverse impact on our business operations as a result of using artificial intelligence ("AI") or other machine learning technologies in our services;</w:t>
      </w:r>
    </w:p>
    <w:p>
      <w:pPr>
        <w:pStyle w:val="TextBody"/>
        <w:bidi w:val="0"/>
        <w:spacing w:lineRule="auto" w:line="288" w:before="0" w:after="160"/>
        <w:ind w:left="0" w:right="0" w:hanging="360"/>
        <w:jc w:val="left"/>
        <w:rPr/>
      </w:pPr>
      <w:r>
        <w:rPr>
          <w:color w:val="000000"/>
        </w:rPr>
        <w:t>•</w:t>
      </w:r>
      <w:r>
        <w:rPr>
          <w:rFonts w:ascii="Expensify Neue;sans-serif" w:hAnsi="Expensify Neue;sans-serif"/>
          <w:b w:val="false"/>
          <w:color w:val="000000"/>
          <w:sz w:val="20"/>
        </w:rPr>
        <w:t xml:space="preserve">our expectations regarding our income tax liabilities and the adequacy of our reserves; </w:t>
      </w:r>
    </w:p>
    <w:p>
      <w:pPr>
        <w:pStyle w:val="TextBody"/>
        <w:bidi w:val="0"/>
        <w:spacing w:lineRule="auto" w:line="288" w:before="0" w:after="160"/>
        <w:ind w:left="0" w:right="0" w:hanging="360"/>
        <w:jc w:val="left"/>
        <w:rPr/>
      </w:pPr>
      <w:r>
        <w:rPr>
          <w:color w:val="000000"/>
        </w:rPr>
        <w:t>•</w:t>
      </w:r>
      <w:r>
        <w:rPr>
          <w:rFonts w:ascii="Expensify Neue;sans-serif" w:hAnsi="Expensify Neue;sans-serif"/>
          <w:b w:val="false"/>
          <w:color w:val="000000"/>
          <w:sz w:val="20"/>
        </w:rPr>
        <w:t xml:space="preserve">our ability to effectively manage our growth and expand our infrastructure and maintain our corporate culture;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
                <wp:simplePos x="0" y="0"/>
                <wp:positionH relativeFrom="character">
                  <wp:align>left</wp:align>
                </wp:positionH>
                <wp:positionV relativeFrom="line">
                  <wp:posOffset>635</wp:posOffset>
                </wp:positionV>
                <wp:extent cx="6480175" cy="147955"/>
                <wp:effectExtent l="0" t="0" r="0" b="0"/>
                <wp:wrapNone/>
                <wp:docPr id="4" name="Frame3"/>
                <a:graphic xmlns:a="http://schemas.openxmlformats.org/drawingml/2006/main">
                  <a:graphicData uri="http://schemas.microsoft.com/office/word/2010/wordprocessingShape">
                    <wps:wsp>
                      <wps:cNvSpPr txBox="1"/>
                      <wps:spPr>
                        <a:xfrm>
                          <a:off x="0" y="0"/>
                          <a:ext cx="6480175" cy="147955"/>
                        </a:xfrm>
                        <a:prstGeom prst="rect"/>
                        <a:solidFill>
                          <a:srgbClr val="FFFFFF"/>
                        </a:solidFill>
                      </wps:spPr>
                      <wps:txbx>
                        <w:txbxContent>
                          <w:p>
                            <w:pPr>
                              <w:pStyle w:val="TextBody"/>
                              <w:bidi w:val="0"/>
                              <w:spacing w:lineRule="auto" w:line="288" w:before="0" w:after="160"/>
                              <w:jc w:val="center"/>
                              <w:rPr>
                                <w:rFonts w:ascii="Expensify Neue;sans-serif" w:hAnsi="Expensify Neue;sans-serif"/>
                                <w:b w:val="false"/>
                                <w:color w:val="000000"/>
                                <w:sz w:val="20"/>
                              </w:rPr>
                            </w:pPr>
                            <w:r>
                              <w:rPr>
                                <w:rFonts w:ascii="Expensify Neue;sans-serif" w:hAnsi="Expensify Neue;sans-serif"/>
                                <w:b w:val="false"/>
                                <w:color w:val="000000"/>
                                <w:sz w:val="20"/>
                              </w:rPr>
                              <w:t>ii</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60"/>
                        <w:jc w:val="center"/>
                        <w:rPr>
                          <w:rFonts w:ascii="Expensify Neue;sans-serif" w:hAnsi="Expensify Neue;sans-serif"/>
                          <w:b w:val="false"/>
                          <w:color w:val="000000"/>
                          <w:sz w:val="20"/>
                        </w:rPr>
                      </w:pPr>
                      <w:r>
                        <w:rPr>
                          <w:rFonts w:ascii="Expensify Neue;sans-serif" w:hAnsi="Expensify Neue;sans-serif"/>
                          <w:b w:val="false"/>
                          <w:color w:val="000000"/>
                          <w:sz w:val="20"/>
                        </w:rPr>
                        <w:t>ii</w:t>
                      </w:r>
                    </w:p>
                  </w:txbxContent>
                </v:textbox>
                <w10:wrap type="none"/>
              </v:rect>
            </w:pict>
          </mc:Fallback>
        </mc:AlternateContent>
      </w:r>
    </w:p>
    <w:p>
      <w:pPr>
        <w:pStyle w:val="TextBody"/>
        <w:bidi w:val="0"/>
        <w:spacing w:lineRule="auto" w:line="288" w:before="0" w:after="160"/>
        <w:jc w:val="left"/>
        <w:rPr/>
      </w:pPr>
      <w:hyperlink w:anchor="i52a648c4f0e449f7bc3c2044827c8f0d_7">
        <w:r>
          <w:rPr>
            <w:rStyle w:val="InternetLink"/>
            <w:rFonts w:ascii="Expensify Neue;sans-serif" w:hAnsi="Expensify Neue;sans-serif"/>
            <w:b/>
            <w:color w:val="0000FF"/>
            <w:sz w:val="20"/>
            <w:u w:val="single"/>
          </w:rPr>
          <w:t>Table of Contents</w:t>
        </w:r>
      </w:hyperlink>
    </w:p>
    <w:p>
      <w:pPr>
        <w:pStyle w:val="TextBody"/>
        <w:bidi w:val="0"/>
        <w:spacing w:lineRule="auto" w:line="288" w:before="0" w:after="160"/>
        <w:ind w:left="0" w:right="0" w:hanging="360"/>
        <w:jc w:val="left"/>
        <w:rPr/>
      </w:pPr>
      <w:r>
        <w:rPr>
          <w:color w:val="000000"/>
        </w:rPr>
        <w:t>•</w:t>
      </w:r>
      <w:r>
        <w:rPr>
          <w:rFonts w:ascii="Expensify Neue;sans-serif" w:hAnsi="Expensify Neue;sans-serif"/>
          <w:b w:val="false"/>
          <w:color w:val="000000"/>
          <w:sz w:val="20"/>
        </w:rPr>
        <w:t xml:space="preserve">our ability to identify, recruit and retain skilled personnel, including key members of senior management; </w:t>
      </w:r>
    </w:p>
    <w:p>
      <w:pPr>
        <w:pStyle w:val="TextBody"/>
        <w:bidi w:val="0"/>
        <w:spacing w:lineRule="auto" w:line="288" w:before="0" w:after="160"/>
        <w:ind w:left="0" w:right="0" w:hanging="360"/>
        <w:jc w:val="left"/>
        <w:rPr/>
      </w:pPr>
      <w:r>
        <w:rPr>
          <w:color w:val="000000"/>
        </w:rPr>
        <w:t>•</w:t>
      </w:r>
      <w:r>
        <w:rPr>
          <w:rFonts w:ascii="Expensify Neue;sans-serif" w:hAnsi="Expensify Neue;sans-serif"/>
          <w:b w:val="false"/>
          <w:color w:val="000000"/>
          <w:sz w:val="20"/>
        </w:rPr>
        <w:t xml:space="preserve">the safety, affordability and convenience of our platform and our offerings; </w:t>
      </w:r>
    </w:p>
    <w:p>
      <w:pPr>
        <w:pStyle w:val="TextBody"/>
        <w:bidi w:val="0"/>
        <w:spacing w:lineRule="auto" w:line="288" w:before="0" w:after="160"/>
        <w:ind w:left="0" w:right="0" w:hanging="360"/>
        <w:jc w:val="left"/>
        <w:rPr/>
      </w:pPr>
      <w:r>
        <w:rPr>
          <w:color w:val="000000"/>
        </w:rPr>
        <w:t>•</w:t>
      </w:r>
      <w:r>
        <w:rPr>
          <w:rFonts w:ascii="Expensify Neue;sans-serif" w:hAnsi="Expensify Neue;sans-serif"/>
          <w:b w:val="false"/>
          <w:color w:val="000000"/>
          <w:sz w:val="20"/>
        </w:rPr>
        <w:t xml:space="preserve">our ability to successfully defend litigation brought against us; </w:t>
      </w:r>
    </w:p>
    <w:p>
      <w:pPr>
        <w:pStyle w:val="TextBody"/>
        <w:bidi w:val="0"/>
        <w:spacing w:lineRule="auto" w:line="288" w:before="0" w:after="160"/>
        <w:ind w:left="0" w:right="0" w:hanging="360"/>
        <w:jc w:val="left"/>
        <w:rPr/>
      </w:pPr>
      <w:r>
        <w:rPr>
          <w:color w:val="000000"/>
        </w:rPr>
        <w:t>•</w:t>
      </w:r>
      <w:r>
        <w:rPr>
          <w:rFonts w:ascii="Expensify Neue;sans-serif" w:hAnsi="Expensify Neue;sans-serif"/>
          <w:b w:val="false"/>
          <w:color w:val="000000"/>
          <w:sz w:val="20"/>
        </w:rPr>
        <w:t xml:space="preserve">our ability to successfully identify, manage and integrate any existing and potential acquisitions of businesses, talent, technologies or intellectual property; </w:t>
      </w:r>
    </w:p>
    <w:p>
      <w:pPr>
        <w:pStyle w:val="TextBody"/>
        <w:bidi w:val="0"/>
        <w:spacing w:lineRule="auto" w:line="288" w:before="0" w:after="160"/>
        <w:ind w:left="0" w:right="0" w:hanging="360"/>
        <w:jc w:val="left"/>
        <w:rPr/>
      </w:pPr>
      <w:r>
        <w:rPr>
          <w:color w:val="000000"/>
        </w:rPr>
        <w:t>•</w:t>
      </w:r>
      <w:r>
        <w:rPr>
          <w:rFonts w:ascii="Expensify Neue;sans-serif" w:hAnsi="Expensify Neue;sans-serif"/>
          <w:b w:val="false"/>
          <w:color w:val="000000"/>
          <w:sz w:val="20"/>
        </w:rPr>
        <w:t>general economic conditions in either domestic or international markets, including geopolitical uncertainty and instability and their effects on software spending;</w:t>
      </w:r>
    </w:p>
    <w:p>
      <w:pPr>
        <w:pStyle w:val="TextBody"/>
        <w:bidi w:val="0"/>
        <w:spacing w:lineRule="auto" w:line="288" w:before="0" w:after="160"/>
        <w:ind w:left="0" w:right="0" w:hanging="360"/>
        <w:jc w:val="left"/>
        <w:rPr/>
      </w:pPr>
      <w:r>
        <w:rPr>
          <w:color w:val="000000"/>
        </w:rPr>
        <w:t>•</w:t>
      </w:r>
      <w:r>
        <w:rPr>
          <w:rFonts w:ascii="Expensify Neue;sans-serif" w:hAnsi="Expensify Neue;sans-serif"/>
          <w:b w:val="false"/>
          <w:color w:val="000000"/>
          <w:sz w:val="20"/>
        </w:rPr>
        <w:t>our ability to protect against security incidents, technical difficulties, or interruptions to our platform;</w:t>
      </w:r>
    </w:p>
    <w:p>
      <w:pPr>
        <w:pStyle w:val="TextBody"/>
        <w:bidi w:val="0"/>
        <w:spacing w:lineRule="auto" w:line="288" w:before="0" w:after="160"/>
        <w:ind w:left="0" w:right="0" w:hanging="360"/>
        <w:jc w:val="left"/>
        <w:rPr/>
      </w:pPr>
      <w:r>
        <w:rPr>
          <w:color w:val="000000"/>
        </w:rPr>
        <w:t>•</w:t>
      </w:r>
      <w:r>
        <w:rPr>
          <w:rFonts w:ascii="Expensify Neue;sans-serif" w:hAnsi="Expensify Neue;sans-serif"/>
          <w:b w:val="false"/>
          <w:color w:val="000000"/>
          <w:sz w:val="20"/>
        </w:rPr>
        <w:t>our ability to maintain, protect and enhance our intellectual property;</w:t>
      </w:r>
    </w:p>
    <w:p>
      <w:pPr>
        <w:pStyle w:val="TextBody"/>
        <w:bidi w:val="0"/>
        <w:spacing w:lineRule="auto" w:line="288" w:before="0" w:after="160"/>
        <w:ind w:left="0" w:right="0" w:hanging="360"/>
        <w:jc w:val="left"/>
        <w:rPr/>
      </w:pPr>
      <w:r>
        <w:rPr>
          <w:color w:val="000000"/>
        </w:rPr>
        <w:t>•</w:t>
      </w:r>
      <w:r>
        <w:rPr>
          <w:rFonts w:ascii="Expensify Neue;sans-serif" w:hAnsi="Expensify Neue;sans-serif"/>
          <w:b w:val="false"/>
          <w:color w:val="000000"/>
          <w:sz w:val="20"/>
        </w:rPr>
        <w:t>the impact of tariffs and global trade disruptions on us, our customers and our vendors, including the impact on inflation, supply chains and consumer sentiment; and</w:t>
      </w:r>
    </w:p>
    <w:p>
      <w:pPr>
        <w:pStyle w:val="TextBody"/>
        <w:bidi w:val="0"/>
        <w:spacing w:lineRule="auto" w:line="288" w:before="0" w:after="160"/>
        <w:ind w:left="0" w:right="0" w:hanging="360"/>
        <w:jc w:val="left"/>
        <w:rPr/>
      </w:pPr>
      <w:r>
        <w:rPr>
          <w:color w:val="000000"/>
        </w:rPr>
        <w:t>•</w:t>
      </w:r>
      <w:r>
        <w:rPr>
          <w:rFonts w:ascii="Expensify Neue;sans-serif" w:hAnsi="Expensify Neue;sans-serif"/>
          <w:b w:val="false"/>
          <w:color w:val="000000"/>
          <w:sz w:val="20"/>
        </w:rPr>
        <w:t>the other risks and uncertainties identified under Item 1A. “Risk Factors” in our Annual Report on Form 10-K for the year ended December 31, 2024.</w:t>
      </w:r>
    </w:p>
    <w:p>
      <w:pPr>
        <w:pStyle w:val="TextBody"/>
        <w:bidi w:val="0"/>
        <w:spacing w:lineRule="auto" w:line="288" w:before="0" w:after="160"/>
        <w:jc w:val="left"/>
        <w:rPr>
          <w:rFonts w:ascii="Expensify Neue;sans-serif" w:hAnsi="Expensify Neue;sans-serif"/>
          <w:b w:val="false"/>
          <w:color w:val="000000"/>
          <w:sz w:val="20"/>
        </w:rPr>
      </w:pPr>
      <w:r>
        <w:rPr>
          <w:rFonts w:ascii="Expensify Neue;sans-serif" w:hAnsi="Expensify Neue;sans-serif"/>
          <w:b w:val="false"/>
          <w:color w:val="000000"/>
          <w:sz w:val="20"/>
        </w:rPr>
        <w:t xml:space="preserve">You should not rely upon forward-looking statements as predictions of future events. We have based the forward-looking statements contained in this Quarterly Report on Form 10-Q primarily on our current expectations, estimates, forecasts and projections about future events and trends that we believe may affect our business, results of operations, financial condition and prospects. Although we believe that we have a reasonable basis for each forward-looking statement contained in this Quarterly Report on Form 10-Q, we cannot guarantee that the future results, levels of activity, performance, or events and circumstances reflected in the forward-looking statements will be achieved or occur at all. The outcome of the events described in these forward-looking statements is subject to risks, uncertainties and other factors described in the section titled “Risk Factors” and elsewhere in our Annual Report on Form 10-K for the year ended December 31, 2024, and any subsequent filings, as well as those identified in this Quarterly Report on Form 10-Q. Moreover, we operate in a very competitive and rapidly changing environment. New risks and uncertainties emerge from time to time, and it is not possible for us to predict all risks and uncertainties that could have an impact on the forward-looking statements contained in this Quarterly Report on Form 10-Q. The results, events and circumstances reflected in the forward-looking statements may not be achieved or occur, and actual results, events or circumstances could differ materially from those described in the forward-looking statements. </w:t>
      </w:r>
    </w:p>
    <w:p>
      <w:pPr>
        <w:pStyle w:val="TextBody"/>
        <w:bidi w:val="0"/>
        <w:spacing w:lineRule="auto" w:line="288" w:before="0" w:after="160"/>
        <w:jc w:val="left"/>
        <w:rPr>
          <w:rFonts w:ascii="Expensify Neue;sans-serif" w:hAnsi="Expensify Neue;sans-serif"/>
          <w:b w:val="false"/>
          <w:color w:val="000000"/>
          <w:sz w:val="20"/>
        </w:rPr>
      </w:pPr>
      <w:r>
        <w:rPr>
          <w:rFonts w:ascii="Expensify Neue;sans-serif" w:hAnsi="Expensify Neue;sans-serif"/>
          <w:b w:val="false"/>
          <w:color w:val="000000"/>
          <w:sz w:val="20"/>
        </w:rPr>
        <w:t xml:space="preserve">The forward-looking statements made in this Quarterly Report on Form 10-Q relate only to events as of the date on which the statements are made. We undertake no obligation to update any forward-looking statements made in this Quarterly Report on Form 10-Q to reflect events or circumstances after the date of this Quarterly Report on Form 10-Q or to reflect new information or the occurrence of unanticipated events, except as required by law. If we update one or more forward-looking statements, no inference should be drawn that we will make additional updates with respect to those or other forward-looking statements. We may not actually achieve the plans, intentions, or expectations disclosed in our forward-looking statements, and you should not place undue reliance on our forward-looking statements. Our forward-looking statements do not reflect the potential impact of any future acquisitions, mergers, dispositions, joint ventures, or investments we may make. </w:t>
      </w:r>
    </w:p>
    <w:p>
      <w:pPr>
        <w:pStyle w:val="TextBody"/>
        <w:bidi w:val="0"/>
        <w:spacing w:lineRule="auto" w:line="288" w:before="0" w:after="160"/>
        <w:jc w:val="left"/>
        <w:rPr>
          <w:rFonts w:ascii="Expensify Neue;sans-serif" w:hAnsi="Expensify Neue;sans-serif"/>
          <w:b w:val="false"/>
          <w:color w:val="000000"/>
          <w:sz w:val="20"/>
        </w:rPr>
      </w:pPr>
      <w:r>
        <w:rPr>
          <w:rFonts w:ascii="Expensify Neue;sans-serif" w:hAnsi="Expensify Neue;sans-serif"/>
          <w:b w:val="false"/>
          <w:color w:val="000000"/>
          <w:sz w:val="20"/>
        </w:rPr>
        <w:t xml:space="preserve">In addition, statements that “we believe” and similar statements reflect our beliefs and opinions on the relevant subject. These statements are based upon information available to us as of the date of this Quarterly Report on Form 10-Q, and while we believe such information forms a reasonable basis for such statements, such information may be limited or incomplete, and our statements should not be read to indicate that we have conducted an exhaustive inquiry into, or review of, all potentially available relevant information. These statements are inherently uncertain, and you are cautioned not to unduly rely upon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
                <wp:simplePos x="0" y="0"/>
                <wp:positionH relativeFrom="character">
                  <wp:align>left</wp:align>
                </wp:positionH>
                <wp:positionV relativeFrom="line">
                  <wp:posOffset>635</wp:posOffset>
                </wp:positionV>
                <wp:extent cx="6480175" cy="147955"/>
                <wp:effectExtent l="0" t="0" r="0" b="0"/>
                <wp:wrapNone/>
                <wp:docPr id="5" name="Frame4"/>
                <a:graphic xmlns:a="http://schemas.openxmlformats.org/drawingml/2006/main">
                  <a:graphicData uri="http://schemas.microsoft.com/office/word/2010/wordprocessingShape">
                    <wps:wsp>
                      <wps:cNvSpPr txBox="1"/>
                      <wps:spPr>
                        <a:xfrm>
                          <a:off x="0" y="0"/>
                          <a:ext cx="6480175" cy="147955"/>
                        </a:xfrm>
                        <a:prstGeom prst="rect"/>
                        <a:solidFill>
                          <a:srgbClr val="FFFFFF"/>
                        </a:solidFill>
                      </wps:spPr>
                      <wps:txbx>
                        <w:txbxContent>
                          <w:p>
                            <w:pPr>
                              <w:pStyle w:val="TextBody"/>
                              <w:bidi w:val="0"/>
                              <w:spacing w:lineRule="auto" w:line="288" w:before="0" w:after="160"/>
                              <w:jc w:val="center"/>
                              <w:rPr>
                                <w:rFonts w:ascii="Expensify Neue;sans-serif" w:hAnsi="Expensify Neue;sans-serif"/>
                                <w:b w:val="false"/>
                                <w:color w:val="000000"/>
                                <w:sz w:val="20"/>
                              </w:rPr>
                            </w:pPr>
                            <w:r>
                              <w:rPr>
                                <w:rFonts w:ascii="Expensify Neue;sans-serif" w:hAnsi="Expensify Neue;sans-serif"/>
                                <w:b w:val="false"/>
                                <w:color w:val="000000"/>
                                <w:sz w:val="20"/>
                              </w:rPr>
                              <w:t>iii</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60"/>
                        <w:jc w:val="center"/>
                        <w:rPr>
                          <w:rFonts w:ascii="Expensify Neue;sans-serif" w:hAnsi="Expensify Neue;sans-serif"/>
                          <w:b w:val="false"/>
                          <w:color w:val="000000"/>
                          <w:sz w:val="20"/>
                        </w:rPr>
                      </w:pPr>
                      <w:r>
                        <w:rPr>
                          <w:rFonts w:ascii="Expensify Neue;sans-serif" w:hAnsi="Expensify Neue;sans-serif"/>
                          <w:b w:val="false"/>
                          <w:color w:val="000000"/>
                          <w:sz w:val="20"/>
                        </w:rPr>
                        <w:t>iii</w:t>
                      </w:r>
                    </w:p>
                  </w:txbxContent>
                </v:textbox>
                <w10:wrap type="none"/>
              </v:rect>
            </w:pict>
          </mc:Fallback>
        </mc:AlternateContent>
      </w:r>
    </w:p>
    <w:p>
      <w:pPr>
        <w:pStyle w:val="TextBody"/>
        <w:bidi w:val="0"/>
        <w:spacing w:lineRule="auto" w:line="288" w:before="0" w:after="160"/>
        <w:jc w:val="left"/>
        <w:rPr/>
      </w:pPr>
      <w:hyperlink w:anchor="i52a648c4f0e449f7bc3c2044827c8f0d_7">
        <w:r>
          <w:rPr>
            <w:rStyle w:val="InternetLink"/>
            <w:rFonts w:ascii="Expensify Neue;sans-serif" w:hAnsi="Expensify Neue;sans-serif"/>
            <w:b/>
            <w:color w:val="0000FF"/>
            <w:sz w:val="20"/>
            <w:u w:val="single"/>
          </w:rPr>
          <w:t>Table of Contents</w:t>
        </w:r>
      </w:hyperlink>
    </w:p>
    <w:p>
      <w:pPr>
        <w:pStyle w:val="TextBody"/>
        <w:bidi w:val="0"/>
        <w:spacing w:lineRule="auto" w:line="288" w:before="0" w:after="160"/>
        <w:jc w:val="left"/>
        <w:rPr>
          <w:rFonts w:ascii="Expensify Neue;sans-serif" w:hAnsi="Expensify Neue;sans-serif"/>
          <w:b w:val="false"/>
          <w:color w:val="000000"/>
          <w:sz w:val="20"/>
        </w:rPr>
      </w:pPr>
      <w:r>
        <w:rPr>
          <w:rFonts w:ascii="Expensify Neue;sans-serif" w:hAnsi="Expensify Neue;sans-serif"/>
          <w:b w:val="false"/>
          <w:color w:val="000000"/>
          <w:sz w:val="20"/>
        </w:rPr>
        <w:t>these statements. Unless otherwise indicated or unless the context requires otherwise, all references in this document to “Expensify,” the “Company,” “we,” “us,” “our” or similar references are to Expensify, Inc. and its consolidated subsidiaries. Capitalized terms used and not defined above are defined elsewhere within this Quarterly Report on Form 10-Q.</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
                <wp:simplePos x="0" y="0"/>
                <wp:positionH relativeFrom="character">
                  <wp:align>left</wp:align>
                </wp:positionH>
                <wp:positionV relativeFrom="line">
                  <wp:posOffset>635</wp:posOffset>
                </wp:positionV>
                <wp:extent cx="6480175" cy="147955"/>
                <wp:effectExtent l="0" t="0" r="0" b="0"/>
                <wp:wrapNone/>
                <wp:docPr id="6" name="Frame5"/>
                <a:graphic xmlns:a="http://schemas.openxmlformats.org/drawingml/2006/main">
                  <a:graphicData uri="http://schemas.microsoft.com/office/word/2010/wordprocessingShape">
                    <wps:wsp>
                      <wps:cNvSpPr txBox="1"/>
                      <wps:spPr>
                        <a:xfrm>
                          <a:off x="0" y="0"/>
                          <a:ext cx="6480175" cy="147955"/>
                        </a:xfrm>
                        <a:prstGeom prst="rect"/>
                        <a:solidFill>
                          <a:srgbClr val="FFFFFF"/>
                        </a:solidFill>
                      </wps:spPr>
                      <wps:txbx>
                        <w:txbxContent>
                          <w:p>
                            <w:pPr>
                              <w:pStyle w:val="TextBody"/>
                              <w:bidi w:val="0"/>
                              <w:spacing w:lineRule="auto" w:line="288" w:before="0" w:after="160"/>
                              <w:jc w:val="center"/>
                              <w:rPr>
                                <w:rFonts w:ascii="Expensify Neue;sans-serif" w:hAnsi="Expensify Neue;sans-serif"/>
                                <w:b w:val="false"/>
                                <w:color w:val="000000"/>
                                <w:sz w:val="20"/>
                              </w:rPr>
                            </w:pPr>
                            <w:r>
                              <w:rPr>
                                <w:rFonts w:ascii="Expensify Neue;sans-serif" w:hAnsi="Expensify Neue;sans-serif"/>
                                <w:b w:val="false"/>
                                <w:color w:val="000000"/>
                                <w:sz w:val="20"/>
                              </w:rPr>
                              <w:t>iv</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60"/>
                        <w:jc w:val="center"/>
                        <w:rPr>
                          <w:rFonts w:ascii="Expensify Neue;sans-serif" w:hAnsi="Expensify Neue;sans-serif"/>
                          <w:b w:val="false"/>
                          <w:color w:val="000000"/>
                          <w:sz w:val="20"/>
                        </w:rPr>
                      </w:pPr>
                      <w:r>
                        <w:rPr>
                          <w:rFonts w:ascii="Expensify Neue;sans-serif" w:hAnsi="Expensify Neue;sans-serif"/>
                          <w:b w:val="false"/>
                          <w:color w:val="000000"/>
                          <w:sz w:val="20"/>
                        </w:rPr>
                        <w:t>iv</w:t>
                      </w:r>
                    </w:p>
                  </w:txbxContent>
                </v:textbox>
                <w10:wrap type="none"/>
              </v:rect>
            </w:pict>
          </mc:Fallback>
        </mc:AlternateContent>
      </w:r>
    </w:p>
    <w:p>
      <w:pPr>
        <w:pStyle w:val="TextBody"/>
        <w:bidi w:val="0"/>
        <w:spacing w:lineRule="auto" w:line="288" w:before="0" w:after="160"/>
        <w:jc w:val="left"/>
        <w:rPr/>
      </w:pPr>
      <w:hyperlink w:anchor="i52a648c4f0e449f7bc3c2044827c8f0d_7">
        <w:r>
          <w:rPr>
            <w:rStyle w:val="InternetLink"/>
            <w:rFonts w:ascii="Expensify Neue;sans-serif" w:hAnsi="Expensify Neue;sans-serif"/>
            <w:b/>
            <w:color w:val="0000FF"/>
            <w:sz w:val="20"/>
            <w:u w:val="single"/>
          </w:rPr>
          <w:t>Table of Contents</w:t>
        </w:r>
      </w:hyperlink>
    </w:p>
    <w:p>
      <w:pPr>
        <w:pStyle w:val="TextBody"/>
        <w:bidi w:val="0"/>
        <w:spacing w:lineRule="auto" w:line="288" w:before="0" w:after="320"/>
        <w:jc w:val="left"/>
        <w:rPr>
          <w:rFonts w:ascii="Expensify New Kansas Medium;sans-serif" w:hAnsi="Expensify New Kansas Medium;sans-serif"/>
          <w:b/>
          <w:color w:val="002E22"/>
          <w:sz w:val="36"/>
        </w:rPr>
      </w:pPr>
      <w:r>
        <w:rPr>
          <w:rFonts w:ascii="Expensify New Kansas Medium;sans-serif" w:hAnsi="Expensify New Kansas Medium;sans-serif"/>
          <w:b/>
          <w:color w:val="002E22"/>
          <w:sz w:val="36"/>
        </w:rPr>
        <w:t>Part I - Financial Information</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60"/>
        <w:jc w:val="left"/>
        <w:rPr>
          <w:rFonts w:ascii="Expensify Neue;sans-serif" w:hAnsi="Expensify Neue;sans-serif"/>
          <w:b/>
          <w:color w:val="002E22"/>
          <w:sz w:val="32"/>
        </w:rPr>
      </w:pPr>
      <w:r>
        <w:rPr>
          <w:rFonts w:ascii="Expensify Neue;sans-serif" w:hAnsi="Expensify Neue;sans-serif"/>
          <w:b/>
          <w:color w:val="002E22"/>
          <w:sz w:val="32"/>
        </w:rPr>
        <w:t>Item 1. Condensed Consolidated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
                <wp:simplePos x="0" y="0"/>
                <wp:positionH relativeFrom="character">
                  <wp:align>left</wp:align>
                </wp:positionH>
                <wp:positionV relativeFrom="line">
                  <wp:posOffset>635</wp:posOffset>
                </wp:positionV>
                <wp:extent cx="6480175" cy="1017270"/>
                <wp:effectExtent l="0" t="0" r="0" b="0"/>
                <wp:wrapNone/>
                <wp:docPr id="7" name="Frame6"/>
                <a:graphic xmlns:a="http://schemas.openxmlformats.org/drawingml/2006/main">
                  <a:graphicData uri="http://schemas.microsoft.com/office/word/2010/wordprocessingShape">
                    <wps:wsp>
                      <wps:cNvSpPr txBox="1"/>
                      <wps:spPr>
                        <a:xfrm>
                          <a:off x="0" y="0"/>
                          <a:ext cx="6480175" cy="1017270"/>
                        </a:xfrm>
                        <a:prstGeom prst="rect"/>
                        <a:solidFill>
                          <a:srgbClr val="FFFFFF"/>
                        </a:solidFill>
                      </wps:spPr>
                      <wps:txbx>
                        <w:txbxContent>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7"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88" w:before="0" w:after="283"/>
                                    <w:jc w:val="center"/>
                                    <w:rPr>
                                      <w:rFonts w:ascii="Expensify Neue;sans-serif" w:hAnsi="Expensify Neue;sans-serif"/>
                                      <w:b w:val="false"/>
                                      <w:color w:val="000000"/>
                                      <w:sz w:val="20"/>
                                    </w:rPr>
                                  </w:pPr>
                                  <w:r>
                                    <w:rPr>
                                      <w:rFonts w:ascii="Expensify Neue;sans-serif" w:hAnsi="Expensify Neue;sans-serif"/>
                                      <w:b w:val="false"/>
                                      <w:color w:val="000000"/>
                                      <w:sz w:val="20"/>
                                    </w:rPr>
                                    <w:t>1</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80.1pt;mso-wrap-distance-left:0pt;mso-wrap-distance-right:0pt;mso-wrap-distance-top:0pt;mso-wrap-distance-bottom:0pt;margin-top:0pt;mso-position-vertical:top;mso-position-vertical-relative:text;margin-left:0pt;mso-position-horizontal:left;mso-position-horizontal-relative:text">
                <v:textbox>
                  <w:txbxContent>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7"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88" w:before="0" w:after="283"/>
                              <w:jc w:val="center"/>
                              <w:rPr>
                                <w:rFonts w:ascii="Expensify Neue;sans-serif" w:hAnsi="Expensify Neue;sans-serif"/>
                                <w:b w:val="false"/>
                                <w:color w:val="000000"/>
                                <w:sz w:val="20"/>
                              </w:rPr>
                            </w:pPr>
                            <w:r>
                              <w:rPr>
                                <w:rFonts w:ascii="Expensify Neue;sans-serif" w:hAnsi="Expensify Neue;sans-serif"/>
                                <w:b w:val="false"/>
                                <w:color w:val="000000"/>
                                <w:sz w:val="20"/>
                              </w:rPr>
                              <w:t>1</w:t>
                            </w:r>
                          </w:p>
                        </w:tc>
                      </w:tr>
                    </w:tbl>
                    <w:p>
                      <w:pPr>
                        <w:pStyle w:val="TextBody"/>
                        <w:bidi w:val="0"/>
                        <w:spacing w:before="0" w:after="283"/>
                        <w:jc w:val="left"/>
                        <w:rPr/>
                      </w:pPr>
                      <w:r>
                        <w:rPr/>
                      </w:r>
                    </w:p>
                  </w:txbxContent>
                </v:textbox>
                <w10:wrap type="none"/>
              </v:rect>
            </w:pict>
          </mc:Fallback>
        </mc:AlternateContent>
      </w:r>
    </w:p>
    <w:p>
      <w:pPr>
        <w:pStyle w:val="TextBody"/>
        <w:bidi w:val="0"/>
        <w:spacing w:lineRule="auto" w:line="288" w:before="0" w:after="160"/>
        <w:jc w:val="left"/>
        <w:rPr/>
      </w:pPr>
      <w:hyperlink w:anchor="i52a648c4f0e449f7bc3c2044827c8f0d_7">
        <w:r>
          <w:rPr>
            <w:rStyle w:val="InternetLink"/>
            <w:rFonts w:ascii="Expensify Neue;sans-serif" w:hAnsi="Expensify Neue;sans-serif"/>
            <w:b/>
            <w:color w:val="0000FF"/>
            <w:sz w:val="20"/>
            <w:u w:val="single"/>
          </w:rPr>
          <w:t>Table of Contents</w:t>
        </w:r>
      </w:hyperlink>
    </w:p>
    <w:p>
      <w:pPr>
        <w:pStyle w:val="TextBody"/>
        <w:bidi w:val="0"/>
        <w:spacing w:lineRule="auto" w:line="288" w:before="0" w:after="0"/>
        <w:jc w:val="center"/>
        <w:rPr>
          <w:rFonts w:ascii="Expensify Neue;sans-serif" w:hAnsi="Expensify Neue;sans-serif"/>
          <w:b/>
          <w:color w:val="000000"/>
          <w:sz w:val="24"/>
        </w:rPr>
      </w:pPr>
      <w:r>
        <w:rPr>
          <w:rFonts w:ascii="Expensify Neue;sans-serif" w:hAnsi="Expensify Neue;sans-serif"/>
          <w:b/>
          <w:color w:val="000000"/>
          <w:sz w:val="24"/>
        </w:rPr>
        <w:t>Expensify, Inc.</w:t>
      </w:r>
    </w:p>
    <w:p>
      <w:pPr>
        <w:pStyle w:val="TextBody"/>
        <w:bidi w:val="0"/>
        <w:spacing w:lineRule="auto" w:line="288" w:before="0" w:after="0"/>
        <w:jc w:val="center"/>
        <w:rPr>
          <w:rFonts w:ascii="Expensify Neue;sans-serif" w:hAnsi="Expensify Neue;sans-serif"/>
          <w:b/>
          <w:color w:val="000000"/>
          <w:sz w:val="24"/>
        </w:rPr>
      </w:pPr>
      <w:r>
        <w:rPr>
          <w:rFonts w:ascii="Expensify Neue;sans-serif" w:hAnsi="Expensify Neue;sans-serif"/>
          <w:b/>
          <w:color w:val="000000"/>
          <w:sz w:val="24"/>
        </w:rPr>
        <w:t>Condensed Consolidated Balance Sheets</w:t>
      </w:r>
    </w:p>
    <w:p>
      <w:pPr>
        <w:pStyle w:val="TextBody"/>
        <w:bidi w:val="0"/>
        <w:spacing w:lineRule="auto" w:line="288" w:before="0" w:after="160"/>
        <w:jc w:val="center"/>
        <w:rPr>
          <w:rFonts w:ascii="Expensify Neue;sans-serif" w:hAnsi="Expensify Neue;sans-serif"/>
          <w:b/>
          <w:color w:val="000000"/>
          <w:sz w:val="20"/>
        </w:rPr>
      </w:pPr>
      <w:r>
        <w:rPr>
          <w:rFonts w:ascii="Expensify Neue;sans-serif" w:hAnsi="Expensify Neue;sans-serif"/>
          <w:b/>
          <w:color w:val="000000"/>
          <w:sz w:val="20"/>
        </w:rPr>
        <w:t xml:space="preserve">(unaudited, in thousands, except share data) </w:t>
      </w:r>
    </w:p>
    <w:tbl>
      <w:tblPr>
        <w:tblW w:w="10205" w:type="dxa"/>
        <w:jc w:val="left"/>
        <w:tblInd w:w="0" w:type="dxa"/>
        <w:tblLayout w:type="fixed"/>
        <w:tblCellMar>
          <w:top w:w="28" w:type="dxa"/>
          <w:left w:w="28" w:type="dxa"/>
          <w:bottom w:w="28" w:type="dxa"/>
          <w:right w:w="28" w:type="dxa"/>
        </w:tblCellMar>
      </w:tblPr>
      <w:tblGrid>
        <w:gridCol w:w="2696"/>
        <w:gridCol w:w="2204"/>
        <w:gridCol w:w="2227"/>
        <w:gridCol w:w="238"/>
        <w:gridCol w:w="933"/>
        <w:gridCol w:w="123"/>
        <w:gridCol w:w="109"/>
        <w:gridCol w:w="109"/>
        <w:gridCol w:w="109"/>
        <w:gridCol w:w="257"/>
        <w:gridCol w:w="1009"/>
        <w:gridCol w:w="191"/>
      </w:tblGrid>
      <w:tr>
        <w:trPr/>
        <w:tc>
          <w:tcPr>
            <w:tcW w:w="2696" w:type="dxa"/>
            <w:tcBorders/>
            <w:vAlign w:val="center"/>
          </w:tcPr>
          <w:p>
            <w:pPr>
              <w:pStyle w:val="TableContents"/>
              <w:bidi w:val="0"/>
              <w:spacing w:before="0" w:after="283"/>
              <w:jc w:val="left"/>
              <w:rPr>
                <w:sz w:val="4"/>
                <w:szCs w:val="4"/>
              </w:rPr>
            </w:pPr>
            <w:r>
              <w:rPr>
                <w:sz w:val="4"/>
                <w:szCs w:val="4"/>
              </w:rPr>
            </w:r>
          </w:p>
        </w:tc>
        <w:tc>
          <w:tcPr>
            <w:tcW w:w="2204" w:type="dxa"/>
            <w:tcBorders/>
            <w:vAlign w:val="center"/>
          </w:tcPr>
          <w:p>
            <w:pPr>
              <w:pStyle w:val="TableContents"/>
              <w:bidi w:val="0"/>
              <w:spacing w:before="0" w:after="283"/>
              <w:jc w:val="left"/>
              <w:rPr>
                <w:sz w:val="4"/>
                <w:szCs w:val="4"/>
              </w:rPr>
            </w:pPr>
            <w:r>
              <w:rPr>
                <w:sz w:val="4"/>
                <w:szCs w:val="4"/>
              </w:rPr>
            </w:r>
          </w:p>
        </w:tc>
        <w:tc>
          <w:tcPr>
            <w:tcW w:w="2227" w:type="dxa"/>
            <w:tcBorders/>
            <w:vAlign w:val="center"/>
          </w:tcPr>
          <w:p>
            <w:pPr>
              <w:pStyle w:val="TableContents"/>
              <w:bidi w:val="0"/>
              <w:spacing w:before="0" w:after="283"/>
              <w:jc w:val="left"/>
              <w:rPr>
                <w:sz w:val="4"/>
                <w:szCs w:val="4"/>
              </w:rPr>
            </w:pPr>
            <w:r>
              <w:rPr>
                <w:sz w:val="4"/>
                <w:szCs w:val="4"/>
              </w:rPr>
            </w:r>
          </w:p>
        </w:tc>
        <w:tc>
          <w:tcPr>
            <w:tcW w:w="238" w:type="dxa"/>
            <w:tcBorders/>
            <w:vAlign w:val="center"/>
          </w:tcPr>
          <w:p>
            <w:pPr>
              <w:pStyle w:val="TableContents"/>
              <w:bidi w:val="0"/>
              <w:spacing w:before="0" w:after="283"/>
              <w:jc w:val="left"/>
              <w:rPr>
                <w:sz w:val="4"/>
                <w:szCs w:val="4"/>
              </w:rPr>
            </w:pPr>
            <w:r>
              <w:rPr>
                <w:sz w:val="4"/>
                <w:szCs w:val="4"/>
              </w:rPr>
            </w:r>
          </w:p>
        </w:tc>
        <w:tc>
          <w:tcPr>
            <w:tcW w:w="933" w:type="dxa"/>
            <w:tcBorders/>
            <w:vAlign w:val="center"/>
          </w:tcPr>
          <w:p>
            <w:pPr>
              <w:pStyle w:val="TableContents"/>
              <w:bidi w:val="0"/>
              <w:spacing w:before="0" w:after="283"/>
              <w:jc w:val="left"/>
              <w:rPr>
                <w:sz w:val="4"/>
                <w:szCs w:val="4"/>
              </w:rPr>
            </w:pPr>
            <w:r>
              <w:rPr>
                <w:sz w:val="4"/>
                <w:szCs w:val="4"/>
              </w:rPr>
            </w:r>
          </w:p>
        </w:tc>
        <w:tc>
          <w:tcPr>
            <w:tcW w:w="12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7" w:type="dxa"/>
            <w:tcBorders/>
            <w:vAlign w:val="center"/>
          </w:tcPr>
          <w:p>
            <w:pPr>
              <w:pStyle w:val="TableContents"/>
              <w:bidi w:val="0"/>
              <w:spacing w:before="0" w:after="283"/>
              <w:jc w:val="left"/>
              <w:rPr>
                <w:sz w:val="4"/>
                <w:szCs w:val="4"/>
              </w:rPr>
            </w:pPr>
            <w:r>
              <w:rPr>
                <w:sz w:val="4"/>
                <w:szCs w:val="4"/>
              </w:rPr>
            </w:r>
          </w:p>
        </w:tc>
        <w:tc>
          <w:tcPr>
            <w:tcW w:w="1009"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7127" w:type="dxa"/>
            <w:gridSpan w:val="3"/>
            <w:tcBorders>
              <w:top w:val="single" w:sz="16"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4" w:type="dxa"/>
            <w:gridSpan w:val="3"/>
            <w:tcBorders>
              <w:top w:val="single" w:sz="16"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Expensify Neue;sans-serif" w:hAnsi="Expensify Neue;sans-serif"/>
                <w:b/>
                <w:color w:val="000000"/>
                <w:sz w:val="16"/>
              </w:rPr>
            </w:pPr>
            <w:r>
              <w:rPr>
                <w:rFonts w:ascii="Expensify Neue;sans-serif" w:hAnsi="Expensify Neue;sans-serif"/>
                <w:b/>
                <w:color w:val="000000"/>
                <w:sz w:val="16"/>
              </w:rPr>
              <w:t>As of March 31,</w:t>
            </w:r>
          </w:p>
        </w:tc>
        <w:tc>
          <w:tcPr>
            <w:tcW w:w="327" w:type="dxa"/>
            <w:gridSpan w:val="3"/>
            <w:tcBorders>
              <w:top w:val="single" w:sz="1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7" w:type="dxa"/>
            <w:gridSpan w:val="3"/>
            <w:tcBorders>
              <w:top w:val="single" w:sz="16"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Expensify Neue;sans-serif" w:hAnsi="Expensify Neue;sans-serif"/>
                <w:b/>
                <w:color w:val="000000"/>
                <w:sz w:val="16"/>
              </w:rPr>
            </w:pPr>
            <w:r>
              <w:rPr>
                <w:rFonts w:ascii="Expensify Neue;sans-serif" w:hAnsi="Expensify Neue;sans-serif"/>
                <w:b/>
                <w:color w:val="000000"/>
                <w:sz w:val="16"/>
              </w:rPr>
              <w:t>As of December 31,</w:t>
            </w:r>
          </w:p>
        </w:tc>
      </w:tr>
      <w:tr>
        <w:trPr/>
        <w:tc>
          <w:tcPr>
            <w:tcW w:w="71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4"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Expensify Neue;sans-serif" w:hAnsi="Expensify Neue;sans-serif"/>
                <w:b/>
                <w:color w:val="000000"/>
                <w:sz w:val="16"/>
              </w:rPr>
            </w:pPr>
            <w:r>
              <w:rPr>
                <w:rFonts w:ascii="Expensify Neue;sans-serif" w:hAnsi="Expensify Neue;sans-serif"/>
                <w:b/>
                <w:color w:val="000000"/>
                <w:sz w:val="16"/>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Expensify Neue;sans-serif" w:hAnsi="Expensify Neue;sans-serif"/>
                <w:b/>
                <w:color w:val="000000"/>
                <w:sz w:val="16"/>
              </w:rPr>
            </w:pPr>
            <w:r>
              <w:rPr>
                <w:rFonts w:ascii="Expensify Neue;sans-serif" w:hAnsi="Expensify Neue;sans-serif"/>
                <w:b/>
                <w:color w:val="000000"/>
                <w:sz w:val="16"/>
              </w:rPr>
              <w:t>2024</w:t>
            </w:r>
          </w:p>
        </w:tc>
      </w:tr>
      <w:tr>
        <w:trPr/>
        <w:tc>
          <w:tcPr>
            <w:tcW w:w="712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Expensify Neue;sans-serif" w:hAnsi="Expensify Neue;sans-serif"/>
                <w:b/>
                <w:color w:val="000000"/>
                <w:sz w:val="16"/>
              </w:rPr>
            </w:pPr>
            <w:r>
              <w:rPr>
                <w:rFonts w:ascii="Expensify Neue;sans-serif" w:hAnsi="Expensify Neue;sans-serif"/>
                <w:b/>
                <w:color w:val="000000"/>
                <w:sz w:val="16"/>
              </w:rPr>
              <w:t>Assets</w:t>
            </w:r>
          </w:p>
        </w:tc>
        <w:tc>
          <w:tcPr>
            <w:tcW w:w="1294"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2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Expensify Neue;sans-serif" w:hAnsi="Expensify Neue;sans-serif"/>
                <w:b w:val="false"/>
                <w:color w:val="000000"/>
                <w:sz w:val="16"/>
              </w:rPr>
            </w:pPr>
            <w:r>
              <w:rPr>
                <w:rFonts w:ascii="Expensify Neue;sans-serif" w:hAnsi="Expensify Neue;sans-serif"/>
                <w:b w:val="false"/>
                <w:color w:val="000000"/>
                <w:sz w:val="16"/>
              </w:rPr>
              <w:t>Cash and cash equivalents</w:t>
            </w:r>
          </w:p>
        </w:tc>
        <w:tc>
          <w:tcPr>
            <w:tcW w:w="238"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Expensify Neue;sans-serif" w:hAnsi="Expensify Neue;sans-serif"/>
                <w:b w:val="false"/>
                <w:color w:val="000000"/>
                <w:sz w:val="16"/>
              </w:rPr>
            </w:pPr>
            <w:r>
              <w:rPr>
                <w:rFonts w:ascii="Expensify Neue;sans-serif" w:hAnsi="Expensify Neue;sans-serif"/>
                <w:b w:val="false"/>
                <w:color w:val="000000"/>
                <w:sz w:val="16"/>
              </w:rPr>
              <w:t>$</w:t>
            </w:r>
          </w:p>
        </w:tc>
        <w:tc>
          <w:tcPr>
            <w:tcW w:w="93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Expensify Neue;sans-serif" w:hAnsi="Expensify Neue;sans-serif"/>
                <w:b w:val="false"/>
                <w:color w:val="000000"/>
                <w:sz w:val="16"/>
              </w:rPr>
            </w:pPr>
            <w:r>
              <w:rPr>
                <w:rFonts w:ascii="Expensify Neue;sans-serif" w:hAnsi="Expensify Neue;sans-serif"/>
                <w:b w:val="false"/>
                <w:color w:val="000000"/>
                <w:sz w:val="16"/>
              </w:rPr>
              <w:t>59,627 </w:t>
            </w:r>
          </w:p>
        </w:tc>
        <w:tc>
          <w:tcPr>
            <w:tcW w:w="12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7"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Expensify Neue;sans-serif" w:hAnsi="Expensify Neue;sans-serif"/>
                <w:b w:val="false"/>
                <w:color w:val="000000"/>
                <w:sz w:val="16"/>
              </w:rPr>
            </w:pPr>
            <w:r>
              <w:rPr>
                <w:rFonts w:ascii="Expensify Neue;sans-serif" w:hAnsi="Expensify Neue;sans-serif"/>
                <w:b w:val="false"/>
                <w:color w:val="000000"/>
                <w:sz w:val="16"/>
              </w:rPr>
              <w:t>$</w:t>
            </w:r>
          </w:p>
        </w:tc>
        <w:tc>
          <w:tcPr>
            <w:tcW w:w="100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Expensify Neue;sans-serif" w:hAnsi="Expensify Neue;sans-serif"/>
                <w:b w:val="false"/>
                <w:color w:val="000000"/>
                <w:sz w:val="16"/>
              </w:rPr>
            </w:pPr>
            <w:r>
              <w:rPr>
                <w:rFonts w:ascii="Expensify Neue;sans-serif" w:hAnsi="Expensify Neue;sans-serif"/>
                <w:b w:val="false"/>
                <w:color w:val="000000"/>
                <w:sz w:val="16"/>
              </w:rPr>
              <w:t>48,772 </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2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Expensify Neue;sans-serif" w:hAnsi="Expensify Neue;sans-serif"/>
                <w:b w:val="false"/>
                <w:color w:val="000000"/>
                <w:sz w:val="16"/>
              </w:rPr>
            </w:pPr>
            <w:r>
              <w:rPr>
                <w:rFonts w:ascii="Expensify Neue;sans-serif" w:hAnsi="Expensify Neue;sans-serif"/>
                <w:b w:val="false"/>
                <w:color w:val="000000"/>
                <w:sz w:val="16"/>
              </w:rPr>
              <w:t>Accounts receivable, net</w:t>
            </w:r>
          </w:p>
        </w:tc>
        <w:tc>
          <w:tcPr>
            <w:tcW w:w="117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Expensify Neue;sans-serif" w:hAnsi="Expensify Neue;sans-serif"/>
                <w:b w:val="false"/>
                <w:color w:val="000000"/>
                <w:sz w:val="16"/>
              </w:rPr>
            </w:pPr>
            <w:r>
              <w:rPr>
                <w:rFonts w:ascii="Expensify Neue;sans-serif" w:hAnsi="Expensify Neue;sans-serif"/>
                <w:b w:val="false"/>
                <w:color w:val="000000"/>
                <w:sz w:val="16"/>
              </w:rPr>
              <w:t>12,555 </w:t>
            </w:r>
          </w:p>
        </w:tc>
        <w:tc>
          <w:tcPr>
            <w:tcW w:w="12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Expensify Neue;sans-serif" w:hAnsi="Expensify Neue;sans-serif"/>
                <w:b w:val="false"/>
                <w:color w:val="000000"/>
                <w:sz w:val="16"/>
              </w:rPr>
            </w:pPr>
            <w:r>
              <w:rPr>
                <w:rFonts w:ascii="Expensify Neue;sans-serif" w:hAnsi="Expensify Neue;sans-serif"/>
                <w:b w:val="false"/>
                <w:color w:val="000000"/>
                <w:sz w:val="16"/>
              </w:rPr>
              <w:t>12,701 </w:t>
            </w:r>
          </w:p>
        </w:tc>
        <w:tc>
          <w:tcPr>
            <w:tcW w:w="19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2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Expensify Neue;sans-serif" w:hAnsi="Expensify Neue;sans-serif"/>
                <w:b w:val="false"/>
                <w:color w:val="000000"/>
                <w:sz w:val="16"/>
              </w:rPr>
            </w:pPr>
            <w:r>
              <w:rPr>
                <w:rFonts w:ascii="Expensify Neue;sans-serif" w:hAnsi="Expensify Neue;sans-serif"/>
                <w:b w:val="false"/>
                <w:color w:val="000000"/>
                <w:sz w:val="16"/>
              </w:rPr>
              <w:t>Settlement assets, net</w:t>
            </w:r>
          </w:p>
        </w:tc>
        <w:tc>
          <w:tcPr>
            <w:tcW w:w="117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Expensify Neue;sans-serif" w:hAnsi="Expensify Neue;sans-serif"/>
                <w:b w:val="false"/>
                <w:color w:val="000000"/>
                <w:sz w:val="16"/>
              </w:rPr>
            </w:pPr>
            <w:r>
              <w:rPr>
                <w:rFonts w:ascii="Expensify Neue;sans-serif" w:hAnsi="Expensify Neue;sans-serif"/>
                <w:b w:val="false"/>
                <w:color w:val="000000"/>
                <w:sz w:val="16"/>
              </w:rPr>
              <w:t>50,038 </w:t>
            </w:r>
          </w:p>
        </w:tc>
        <w:tc>
          <w:tcPr>
            <w:tcW w:w="12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Expensify Neue;sans-serif" w:hAnsi="Expensify Neue;sans-serif"/>
                <w:b w:val="false"/>
                <w:color w:val="000000"/>
                <w:sz w:val="16"/>
              </w:rPr>
            </w:pPr>
            <w:r>
              <w:rPr>
                <w:rFonts w:ascii="Expensify Neue;sans-serif" w:hAnsi="Expensify Neue;sans-serif"/>
                <w:b w:val="false"/>
                <w:color w:val="000000"/>
                <w:sz w:val="16"/>
              </w:rPr>
              <w:t>42,406 </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2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Expensify Neue;sans-serif" w:hAnsi="Expensify Neue;sans-serif"/>
                <w:b w:val="false"/>
                <w:color w:val="000000"/>
                <w:sz w:val="16"/>
              </w:rPr>
            </w:pPr>
            <w:r>
              <w:rPr>
                <w:rFonts w:ascii="Expensify Neue;sans-serif" w:hAnsi="Expensify Neue;sans-serif"/>
                <w:b w:val="false"/>
                <w:color w:val="000000"/>
                <w:sz w:val="16"/>
              </w:rPr>
              <w:t>Prepaid expenses</w:t>
            </w:r>
          </w:p>
        </w:tc>
        <w:tc>
          <w:tcPr>
            <w:tcW w:w="117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Expensify Neue;sans-serif" w:hAnsi="Expensify Neue;sans-serif"/>
                <w:b w:val="false"/>
                <w:color w:val="000000"/>
                <w:sz w:val="16"/>
              </w:rPr>
            </w:pPr>
            <w:r>
              <w:rPr>
                <w:rFonts w:ascii="Expensify Neue;sans-serif" w:hAnsi="Expensify Neue;sans-serif"/>
                <w:b w:val="false"/>
                <w:color w:val="000000"/>
                <w:sz w:val="16"/>
              </w:rPr>
              <w:t>11,499 </w:t>
            </w:r>
          </w:p>
        </w:tc>
        <w:tc>
          <w:tcPr>
            <w:tcW w:w="12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Expensify Neue;sans-serif" w:hAnsi="Expensify Neue;sans-serif"/>
                <w:b w:val="false"/>
                <w:color w:val="000000"/>
                <w:sz w:val="16"/>
              </w:rPr>
            </w:pPr>
            <w:r>
              <w:rPr>
                <w:rFonts w:ascii="Expensify Neue;sans-serif" w:hAnsi="Expensify Neue;sans-serif"/>
                <w:b w:val="false"/>
                <w:color w:val="000000"/>
                <w:sz w:val="16"/>
              </w:rPr>
              <w:t>12,089 </w:t>
            </w:r>
          </w:p>
        </w:tc>
        <w:tc>
          <w:tcPr>
            <w:tcW w:w="19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2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Expensify Neue;sans-serif" w:hAnsi="Expensify Neue;sans-serif"/>
                <w:b w:val="false"/>
                <w:color w:val="000000"/>
                <w:sz w:val="16"/>
              </w:rPr>
            </w:pPr>
            <w:r>
              <w:rPr>
                <w:rFonts w:ascii="Expensify Neue;sans-serif" w:hAnsi="Expensify Neue;sans-serif"/>
                <w:b w:val="false"/>
                <w:color w:val="000000"/>
                <w:sz w:val="16"/>
              </w:rPr>
              <w:t>Other current assets</w:t>
            </w:r>
          </w:p>
        </w:tc>
        <w:tc>
          <w:tcPr>
            <w:tcW w:w="117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Expensify Neue;sans-serif" w:hAnsi="Expensify Neue;sans-serif"/>
                <w:b w:val="false"/>
                <w:color w:val="000000"/>
                <w:sz w:val="16"/>
              </w:rPr>
            </w:pPr>
            <w:r>
              <w:rPr>
                <w:rFonts w:ascii="Expensify Neue;sans-serif" w:hAnsi="Expensify Neue;sans-serif"/>
                <w:b w:val="false"/>
                <w:color w:val="000000"/>
                <w:sz w:val="16"/>
              </w:rPr>
              <w:t>19,992 </w:t>
            </w:r>
          </w:p>
        </w:tc>
        <w:tc>
          <w:tcPr>
            <w:tcW w:w="12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Expensify Neue;sans-serif" w:hAnsi="Expensify Neue;sans-serif"/>
                <w:b w:val="false"/>
                <w:color w:val="000000"/>
                <w:sz w:val="16"/>
              </w:rPr>
            </w:pPr>
            <w:r>
              <w:rPr>
                <w:rFonts w:ascii="Expensify Neue;sans-serif" w:hAnsi="Expensify Neue;sans-serif"/>
                <w:b w:val="false"/>
                <w:color w:val="000000"/>
                <w:sz w:val="16"/>
              </w:rPr>
              <w:t>20,908 </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2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Expensify Neue;sans-serif" w:hAnsi="Expensify Neue;sans-serif"/>
                <w:b w:val="false"/>
                <w:color w:val="000000"/>
                <w:sz w:val="16"/>
              </w:rPr>
            </w:pPr>
            <w:r>
              <w:rPr>
                <w:rFonts w:ascii="Expensify Neue;sans-serif" w:hAnsi="Expensify Neue;sans-serif"/>
                <w:b w:val="false"/>
                <w:color w:val="000000"/>
                <w:sz w:val="16"/>
              </w:rPr>
              <w:t>Total current assets</w:t>
            </w:r>
          </w:p>
        </w:tc>
        <w:tc>
          <w:tcPr>
            <w:tcW w:w="117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Expensify Neue;sans-serif" w:hAnsi="Expensify Neue;sans-serif"/>
                <w:b w:val="false"/>
                <w:color w:val="000000"/>
                <w:sz w:val="16"/>
              </w:rPr>
            </w:pPr>
            <w:r>
              <w:rPr>
                <w:rFonts w:ascii="Expensify Neue;sans-serif" w:hAnsi="Expensify Neue;sans-serif"/>
                <w:b w:val="false"/>
                <w:color w:val="000000"/>
                <w:sz w:val="16"/>
              </w:rPr>
              <w:t>153,711 </w:t>
            </w:r>
          </w:p>
        </w:tc>
        <w:tc>
          <w:tcPr>
            <w:tcW w:w="12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Expensify Neue;sans-serif" w:hAnsi="Expensify Neue;sans-serif"/>
                <w:b w:val="false"/>
                <w:color w:val="000000"/>
                <w:sz w:val="16"/>
              </w:rPr>
            </w:pPr>
            <w:r>
              <w:rPr>
                <w:rFonts w:ascii="Expensify Neue;sans-serif" w:hAnsi="Expensify Neue;sans-serif"/>
                <w:b w:val="false"/>
                <w:color w:val="000000"/>
                <w:sz w:val="16"/>
              </w:rPr>
              <w:t>136,876 </w:t>
            </w:r>
          </w:p>
        </w:tc>
        <w:tc>
          <w:tcPr>
            <w:tcW w:w="19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2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Expensify Neue;sans-serif" w:hAnsi="Expensify Neue;sans-serif"/>
                <w:b w:val="false"/>
                <w:color w:val="000000"/>
                <w:sz w:val="16"/>
              </w:rPr>
            </w:pPr>
            <w:r>
              <w:rPr>
                <w:rFonts w:ascii="Expensify Neue;sans-serif" w:hAnsi="Expensify Neue;sans-serif"/>
                <w:b w:val="false"/>
                <w:color w:val="000000"/>
                <w:sz w:val="16"/>
              </w:rPr>
              <w:t>Capitalized software, net</w:t>
            </w:r>
          </w:p>
        </w:tc>
        <w:tc>
          <w:tcPr>
            <w:tcW w:w="117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Expensify Neue;sans-serif" w:hAnsi="Expensify Neue;sans-serif"/>
                <w:b w:val="false"/>
                <w:color w:val="000000"/>
                <w:sz w:val="16"/>
              </w:rPr>
            </w:pPr>
            <w:r>
              <w:rPr>
                <w:rFonts w:ascii="Expensify Neue;sans-serif" w:hAnsi="Expensify Neue;sans-serif"/>
                <w:b w:val="false"/>
                <w:color w:val="000000"/>
                <w:sz w:val="16"/>
              </w:rPr>
              <w:t>15,232 </w:t>
            </w:r>
          </w:p>
        </w:tc>
        <w:tc>
          <w:tcPr>
            <w:tcW w:w="12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Expensify Neue;sans-serif" w:hAnsi="Expensify Neue;sans-serif"/>
                <w:b w:val="false"/>
                <w:color w:val="000000"/>
                <w:sz w:val="16"/>
              </w:rPr>
            </w:pPr>
            <w:r>
              <w:rPr>
                <w:rFonts w:ascii="Expensify Neue;sans-serif" w:hAnsi="Expensify Neue;sans-serif"/>
                <w:b w:val="false"/>
                <w:color w:val="000000"/>
                <w:sz w:val="16"/>
              </w:rPr>
              <w:t>16,232 </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2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Expensify Neue;sans-serif" w:hAnsi="Expensify Neue;sans-serif"/>
                <w:b w:val="false"/>
                <w:color w:val="000000"/>
                <w:sz w:val="16"/>
              </w:rPr>
            </w:pPr>
            <w:r>
              <w:rPr>
                <w:rFonts w:ascii="Expensify Neue;sans-serif" w:hAnsi="Expensify Neue;sans-serif"/>
                <w:b w:val="false"/>
                <w:color w:val="000000"/>
                <w:sz w:val="16"/>
              </w:rPr>
              <w:t>Property and equipment, net</w:t>
            </w:r>
          </w:p>
        </w:tc>
        <w:tc>
          <w:tcPr>
            <w:tcW w:w="117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Expensify Neue;sans-serif" w:hAnsi="Expensify Neue;sans-serif"/>
                <w:b w:val="false"/>
                <w:color w:val="000000"/>
                <w:sz w:val="16"/>
              </w:rPr>
            </w:pPr>
            <w:r>
              <w:rPr>
                <w:rFonts w:ascii="Expensify Neue;sans-serif" w:hAnsi="Expensify Neue;sans-serif"/>
                <w:b w:val="false"/>
                <w:color w:val="000000"/>
                <w:sz w:val="16"/>
              </w:rPr>
              <w:t>13,482 </w:t>
            </w:r>
          </w:p>
        </w:tc>
        <w:tc>
          <w:tcPr>
            <w:tcW w:w="12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Expensify Neue;sans-serif" w:hAnsi="Expensify Neue;sans-serif"/>
                <w:b w:val="false"/>
                <w:color w:val="000000"/>
                <w:sz w:val="16"/>
              </w:rPr>
            </w:pPr>
            <w:r>
              <w:rPr>
                <w:rFonts w:ascii="Expensify Neue;sans-serif" w:hAnsi="Expensify Neue;sans-serif"/>
                <w:b w:val="false"/>
                <w:color w:val="000000"/>
                <w:sz w:val="16"/>
              </w:rPr>
              <w:t>13,621 </w:t>
            </w:r>
          </w:p>
        </w:tc>
        <w:tc>
          <w:tcPr>
            <w:tcW w:w="19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2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Expensify Neue;sans-serif" w:hAnsi="Expensify Neue;sans-serif"/>
                <w:b w:val="false"/>
                <w:color w:val="000000"/>
                <w:sz w:val="16"/>
              </w:rPr>
            </w:pPr>
            <w:r>
              <w:rPr>
                <w:rFonts w:ascii="Expensify Neue;sans-serif" w:hAnsi="Expensify Neue;sans-serif"/>
                <w:b w:val="false"/>
                <w:color w:val="000000"/>
                <w:sz w:val="16"/>
              </w:rPr>
              <w:t>Lease right-of-use assets</w:t>
            </w:r>
          </w:p>
        </w:tc>
        <w:tc>
          <w:tcPr>
            <w:tcW w:w="117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Expensify Neue;sans-serif" w:hAnsi="Expensify Neue;sans-serif"/>
                <w:b w:val="false"/>
                <w:color w:val="000000"/>
                <w:sz w:val="16"/>
              </w:rPr>
            </w:pPr>
            <w:r>
              <w:rPr>
                <w:rFonts w:ascii="Expensify Neue;sans-serif" w:hAnsi="Expensify Neue;sans-serif"/>
                <w:b w:val="false"/>
                <w:color w:val="000000"/>
                <w:sz w:val="16"/>
              </w:rPr>
              <w:t>5,269 </w:t>
            </w:r>
          </w:p>
        </w:tc>
        <w:tc>
          <w:tcPr>
            <w:tcW w:w="12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Expensify Neue;sans-serif" w:hAnsi="Expensify Neue;sans-serif"/>
                <w:b w:val="false"/>
                <w:color w:val="000000"/>
                <w:sz w:val="16"/>
              </w:rPr>
            </w:pPr>
            <w:r>
              <w:rPr>
                <w:rFonts w:ascii="Expensify Neue;sans-serif" w:hAnsi="Expensify Neue;sans-serif"/>
                <w:b w:val="false"/>
                <w:color w:val="000000"/>
                <w:sz w:val="16"/>
              </w:rPr>
              <w:t>5,441 </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2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Expensify Neue;sans-serif" w:hAnsi="Expensify Neue;sans-serif"/>
                <w:b w:val="false"/>
                <w:color w:val="000000"/>
                <w:sz w:val="16"/>
              </w:rPr>
            </w:pPr>
            <w:r>
              <w:rPr>
                <w:rFonts w:ascii="Expensify Neue;sans-serif" w:hAnsi="Expensify Neue;sans-serif"/>
                <w:b w:val="false"/>
                <w:color w:val="000000"/>
                <w:sz w:val="16"/>
              </w:rPr>
              <w:t>Deferred tax assets, net</w:t>
            </w:r>
          </w:p>
        </w:tc>
        <w:tc>
          <w:tcPr>
            <w:tcW w:w="117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Expensify Neue;sans-serif" w:hAnsi="Expensify Neue;sans-serif"/>
                <w:b w:val="false"/>
                <w:color w:val="000000"/>
                <w:sz w:val="16"/>
              </w:rPr>
            </w:pPr>
            <w:r>
              <w:rPr>
                <w:rFonts w:ascii="Expensify Neue;sans-serif" w:hAnsi="Expensify Neue;sans-serif"/>
                <w:b w:val="false"/>
                <w:color w:val="000000"/>
                <w:sz w:val="16"/>
              </w:rPr>
              <w:t>505 </w:t>
            </w:r>
          </w:p>
        </w:tc>
        <w:tc>
          <w:tcPr>
            <w:tcW w:w="12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Expensify Neue;sans-serif" w:hAnsi="Expensify Neue;sans-serif"/>
                <w:b w:val="false"/>
                <w:color w:val="000000"/>
                <w:sz w:val="16"/>
              </w:rPr>
            </w:pPr>
            <w:r>
              <w:rPr>
                <w:rFonts w:ascii="Expensify Neue;sans-serif" w:hAnsi="Expensify Neue;sans-serif"/>
                <w:b w:val="false"/>
                <w:color w:val="000000"/>
                <w:sz w:val="16"/>
              </w:rPr>
              <w:t>499 </w:t>
            </w:r>
          </w:p>
        </w:tc>
        <w:tc>
          <w:tcPr>
            <w:tcW w:w="19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2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Expensify Neue;sans-serif" w:hAnsi="Expensify Neue;sans-serif"/>
                <w:b w:val="false"/>
                <w:color w:val="000000"/>
                <w:sz w:val="16"/>
              </w:rPr>
            </w:pPr>
            <w:r>
              <w:rPr>
                <w:rFonts w:ascii="Expensify Neue;sans-serif" w:hAnsi="Expensify Neue;sans-serif"/>
                <w:b w:val="false"/>
                <w:color w:val="000000"/>
                <w:sz w:val="16"/>
              </w:rPr>
              <w:t>Other assets</w:t>
            </w:r>
          </w:p>
        </w:tc>
        <w:tc>
          <w:tcPr>
            <w:tcW w:w="117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Expensify Neue;sans-serif" w:hAnsi="Expensify Neue;sans-serif"/>
                <w:b w:val="false"/>
                <w:color w:val="000000"/>
                <w:sz w:val="16"/>
              </w:rPr>
            </w:pPr>
            <w:r>
              <w:rPr>
                <w:rFonts w:ascii="Expensify Neue;sans-serif" w:hAnsi="Expensify Neue;sans-serif"/>
                <w:b w:val="false"/>
                <w:color w:val="000000"/>
                <w:sz w:val="16"/>
              </w:rPr>
              <w:t>1,037 </w:t>
            </w:r>
          </w:p>
        </w:tc>
        <w:tc>
          <w:tcPr>
            <w:tcW w:w="12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Expensify Neue;sans-serif" w:hAnsi="Expensify Neue;sans-serif"/>
                <w:b w:val="false"/>
                <w:color w:val="000000"/>
                <w:sz w:val="16"/>
              </w:rPr>
            </w:pPr>
            <w:r>
              <w:rPr>
                <w:rFonts w:ascii="Expensify Neue;sans-serif" w:hAnsi="Expensify Neue;sans-serif"/>
                <w:b w:val="false"/>
                <w:color w:val="000000"/>
                <w:sz w:val="16"/>
              </w:rPr>
              <w:t>1,011 </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2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Expensify Neue;sans-serif" w:hAnsi="Expensify Neue;sans-serif"/>
                <w:b w:val="false"/>
                <w:color w:val="000000"/>
                <w:sz w:val="16"/>
              </w:rPr>
            </w:pPr>
            <w:r>
              <w:rPr>
                <w:rFonts w:ascii="Expensify Neue;sans-serif" w:hAnsi="Expensify Neue;sans-serif"/>
                <w:b w:val="false"/>
                <w:color w:val="000000"/>
                <w:sz w:val="16"/>
              </w:rPr>
              <w:t>Total assets</w:t>
            </w:r>
          </w:p>
        </w:tc>
        <w:tc>
          <w:tcPr>
            <w:tcW w:w="23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Expensify Neue;sans-serif" w:hAnsi="Expensify Neue;sans-serif"/>
                <w:b w:val="false"/>
                <w:color w:val="000000"/>
                <w:sz w:val="16"/>
              </w:rPr>
            </w:pPr>
            <w:r>
              <w:rPr>
                <w:rFonts w:ascii="Expensify Neue;sans-serif" w:hAnsi="Expensify Neue;sans-serif"/>
                <w:b w:val="false"/>
                <w:color w:val="000000"/>
                <w:sz w:val="16"/>
              </w:rPr>
              <w:t>$</w:t>
            </w:r>
          </w:p>
        </w:tc>
        <w:tc>
          <w:tcPr>
            <w:tcW w:w="93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Expensify Neue;sans-serif" w:hAnsi="Expensify Neue;sans-serif"/>
                <w:b w:val="false"/>
                <w:color w:val="000000"/>
                <w:sz w:val="16"/>
              </w:rPr>
            </w:pPr>
            <w:r>
              <w:rPr>
                <w:rFonts w:ascii="Expensify Neue;sans-serif" w:hAnsi="Expensify Neue;sans-serif"/>
                <w:b w:val="false"/>
                <w:color w:val="000000"/>
                <w:sz w:val="16"/>
              </w:rPr>
              <w:t>189,236 </w:t>
            </w:r>
          </w:p>
        </w:tc>
        <w:tc>
          <w:tcPr>
            <w:tcW w:w="12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Expensify Neue;sans-serif" w:hAnsi="Expensify Neue;sans-serif"/>
                <w:b w:val="false"/>
                <w:color w:val="000000"/>
                <w:sz w:val="16"/>
              </w:rPr>
            </w:pPr>
            <w:r>
              <w:rPr>
                <w:rFonts w:ascii="Expensify Neue;sans-serif" w:hAnsi="Expensify Neue;sans-serif"/>
                <w:b w:val="false"/>
                <w:color w:val="000000"/>
                <w:sz w:val="16"/>
              </w:rPr>
              <w:t>$</w:t>
            </w:r>
          </w:p>
        </w:tc>
        <w:tc>
          <w:tcPr>
            <w:tcW w:w="100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Expensify Neue;sans-serif" w:hAnsi="Expensify Neue;sans-serif"/>
                <w:b w:val="false"/>
                <w:color w:val="000000"/>
                <w:sz w:val="16"/>
              </w:rPr>
            </w:pPr>
            <w:r>
              <w:rPr>
                <w:rFonts w:ascii="Expensify Neue;sans-serif" w:hAnsi="Expensify Neue;sans-serif"/>
                <w:b w:val="false"/>
                <w:color w:val="000000"/>
                <w:sz w:val="16"/>
              </w:rPr>
              <w:t>173,680 </w:t>
            </w:r>
          </w:p>
        </w:tc>
        <w:tc>
          <w:tcPr>
            <w:tcW w:w="19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2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Expensify Neue;sans-serif" w:hAnsi="Expensify Neue;sans-serif"/>
                <w:b/>
                <w:color w:val="000000"/>
                <w:sz w:val="16"/>
              </w:rPr>
            </w:pPr>
            <w:r>
              <w:rPr>
                <w:rFonts w:ascii="Expensify Neue;sans-serif" w:hAnsi="Expensify Neue;sans-serif"/>
                <w:b/>
                <w:color w:val="000000"/>
                <w:sz w:val="16"/>
              </w:rPr>
              <w:t>Liabilities and stockholders' equity</w:t>
            </w:r>
          </w:p>
        </w:tc>
        <w:tc>
          <w:tcPr>
            <w:tcW w:w="1294"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7"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2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Expensify Neue;sans-serif" w:hAnsi="Expensify Neue;sans-serif"/>
                <w:b w:val="false"/>
                <w:color w:val="000000"/>
                <w:sz w:val="16"/>
              </w:rPr>
            </w:pPr>
            <w:r>
              <w:rPr>
                <w:rFonts w:ascii="Expensify Neue;sans-serif" w:hAnsi="Expensify Neue;sans-serif"/>
                <w:b w:val="false"/>
                <w:color w:val="000000"/>
                <w:sz w:val="16"/>
              </w:rPr>
              <w:t>Accounts payable</w:t>
            </w:r>
          </w:p>
        </w:tc>
        <w:tc>
          <w:tcPr>
            <w:tcW w:w="238"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Expensify Neue;sans-serif" w:hAnsi="Expensify Neue;sans-serif"/>
                <w:b w:val="false"/>
                <w:color w:val="000000"/>
                <w:sz w:val="16"/>
              </w:rPr>
            </w:pPr>
            <w:r>
              <w:rPr>
                <w:rFonts w:ascii="Expensify Neue;sans-serif" w:hAnsi="Expensify Neue;sans-serif"/>
                <w:b w:val="false"/>
                <w:color w:val="000000"/>
                <w:sz w:val="16"/>
              </w:rPr>
              <w:t>$</w:t>
            </w:r>
          </w:p>
        </w:tc>
        <w:tc>
          <w:tcPr>
            <w:tcW w:w="93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Expensify Neue;sans-serif" w:hAnsi="Expensify Neue;sans-serif"/>
                <w:b w:val="false"/>
                <w:color w:val="000000"/>
                <w:sz w:val="16"/>
              </w:rPr>
            </w:pPr>
            <w:r>
              <w:rPr>
                <w:rFonts w:ascii="Expensify Neue;sans-serif" w:hAnsi="Expensify Neue;sans-serif"/>
                <w:b w:val="false"/>
                <w:color w:val="000000"/>
                <w:sz w:val="16"/>
              </w:rPr>
              <w:t>526 </w:t>
            </w:r>
          </w:p>
        </w:tc>
        <w:tc>
          <w:tcPr>
            <w:tcW w:w="12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7"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Expensify Neue;sans-serif" w:hAnsi="Expensify Neue;sans-serif"/>
                <w:b w:val="false"/>
                <w:color w:val="000000"/>
                <w:sz w:val="16"/>
              </w:rPr>
            </w:pPr>
            <w:r>
              <w:rPr>
                <w:rFonts w:ascii="Expensify Neue;sans-serif" w:hAnsi="Expensify Neue;sans-serif"/>
                <w:b w:val="false"/>
                <w:color w:val="000000"/>
                <w:sz w:val="16"/>
              </w:rPr>
              <w:t>$</w:t>
            </w:r>
          </w:p>
        </w:tc>
        <w:tc>
          <w:tcPr>
            <w:tcW w:w="100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Expensify Neue;sans-serif" w:hAnsi="Expensify Neue;sans-serif"/>
                <w:b w:val="false"/>
                <w:color w:val="000000"/>
                <w:sz w:val="16"/>
              </w:rPr>
            </w:pPr>
            <w:r>
              <w:rPr>
                <w:rFonts w:ascii="Expensify Neue;sans-serif" w:hAnsi="Expensify Neue;sans-serif"/>
                <w:b w:val="false"/>
                <w:color w:val="000000"/>
                <w:sz w:val="16"/>
              </w:rPr>
              <w:t>196 </w:t>
            </w:r>
          </w:p>
        </w:tc>
        <w:tc>
          <w:tcPr>
            <w:tcW w:w="19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2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Expensify Neue;sans-serif" w:hAnsi="Expensify Neue;sans-serif"/>
                <w:b w:val="false"/>
                <w:color w:val="000000"/>
                <w:sz w:val="16"/>
              </w:rPr>
            </w:pPr>
            <w:r>
              <w:rPr>
                <w:rFonts w:ascii="Expensify Neue;sans-serif" w:hAnsi="Expensify Neue;sans-serif"/>
                <w:b w:val="false"/>
                <w:color w:val="000000"/>
                <w:sz w:val="16"/>
              </w:rPr>
              <w:t>Accrued expenses and other liabilities</w:t>
            </w:r>
          </w:p>
        </w:tc>
        <w:tc>
          <w:tcPr>
            <w:tcW w:w="117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Expensify Neue;sans-serif" w:hAnsi="Expensify Neue;sans-serif"/>
                <w:b w:val="false"/>
                <w:color w:val="000000"/>
                <w:sz w:val="16"/>
              </w:rPr>
            </w:pPr>
            <w:r>
              <w:rPr>
                <w:rFonts w:ascii="Expensify Neue;sans-serif" w:hAnsi="Expensify Neue;sans-serif"/>
                <w:b w:val="false"/>
                <w:color w:val="000000"/>
                <w:sz w:val="16"/>
              </w:rPr>
              <w:t>9,732 </w:t>
            </w:r>
          </w:p>
        </w:tc>
        <w:tc>
          <w:tcPr>
            <w:tcW w:w="12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Expensify Neue;sans-serif" w:hAnsi="Expensify Neue;sans-serif"/>
                <w:b w:val="false"/>
                <w:color w:val="000000"/>
                <w:sz w:val="16"/>
              </w:rPr>
            </w:pPr>
            <w:r>
              <w:rPr>
                <w:rFonts w:ascii="Expensify Neue;sans-serif" w:hAnsi="Expensify Neue;sans-serif"/>
                <w:b w:val="false"/>
                <w:color w:val="000000"/>
                <w:sz w:val="16"/>
              </w:rPr>
              <w:t>8,240 </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2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Expensify Neue;sans-serif" w:hAnsi="Expensify Neue;sans-serif"/>
                <w:b w:val="false"/>
                <w:color w:val="000000"/>
                <w:sz w:val="16"/>
              </w:rPr>
            </w:pPr>
            <w:r>
              <w:rPr>
                <w:rFonts w:ascii="Expensify Neue;sans-serif" w:hAnsi="Expensify Neue;sans-serif"/>
                <w:b w:val="false"/>
                <w:color w:val="000000"/>
                <w:sz w:val="16"/>
              </w:rPr>
              <w:t>Lease liabilities, current</w:t>
            </w:r>
          </w:p>
        </w:tc>
        <w:tc>
          <w:tcPr>
            <w:tcW w:w="117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Expensify Neue;sans-serif" w:hAnsi="Expensify Neue;sans-serif"/>
                <w:b w:val="false"/>
                <w:color w:val="000000"/>
                <w:sz w:val="16"/>
              </w:rPr>
            </w:pPr>
            <w:r>
              <w:rPr>
                <w:rFonts w:ascii="Expensify Neue;sans-serif" w:hAnsi="Expensify Neue;sans-serif"/>
                <w:b w:val="false"/>
                <w:color w:val="000000"/>
                <w:sz w:val="16"/>
              </w:rPr>
              <w:t>738 </w:t>
            </w:r>
          </w:p>
        </w:tc>
        <w:tc>
          <w:tcPr>
            <w:tcW w:w="12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Expensify Neue;sans-serif" w:hAnsi="Expensify Neue;sans-serif"/>
                <w:b w:val="false"/>
                <w:color w:val="000000"/>
                <w:sz w:val="16"/>
              </w:rPr>
            </w:pPr>
            <w:r>
              <w:rPr>
                <w:rFonts w:ascii="Expensify Neue;sans-serif" w:hAnsi="Expensify Neue;sans-serif"/>
                <w:b w:val="false"/>
                <w:color w:val="000000"/>
                <w:sz w:val="16"/>
              </w:rPr>
              <w:t>729 </w:t>
            </w:r>
          </w:p>
        </w:tc>
        <w:tc>
          <w:tcPr>
            <w:tcW w:w="19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2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Expensify Neue;sans-serif" w:hAnsi="Expensify Neue;sans-serif"/>
                <w:b w:val="false"/>
                <w:color w:val="000000"/>
                <w:sz w:val="16"/>
              </w:rPr>
            </w:pPr>
            <w:r>
              <w:rPr>
                <w:rFonts w:ascii="Expensify Neue;sans-serif" w:hAnsi="Expensify Neue;sans-serif"/>
                <w:b w:val="false"/>
                <w:color w:val="000000"/>
                <w:sz w:val="16"/>
              </w:rPr>
              <w:t>Settlement liabilities</w:t>
            </w:r>
          </w:p>
        </w:tc>
        <w:tc>
          <w:tcPr>
            <w:tcW w:w="117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Expensify Neue;sans-serif" w:hAnsi="Expensify Neue;sans-serif"/>
                <w:b w:val="false"/>
                <w:color w:val="000000"/>
                <w:sz w:val="16"/>
              </w:rPr>
            </w:pPr>
            <w:r>
              <w:rPr>
                <w:rFonts w:ascii="Expensify Neue;sans-serif" w:hAnsi="Expensify Neue;sans-serif"/>
                <w:b w:val="false"/>
                <w:color w:val="000000"/>
                <w:sz w:val="16"/>
              </w:rPr>
              <w:t>36,265 </w:t>
            </w:r>
          </w:p>
        </w:tc>
        <w:tc>
          <w:tcPr>
            <w:tcW w:w="12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Expensify Neue;sans-serif" w:hAnsi="Expensify Neue;sans-serif"/>
                <w:b w:val="false"/>
                <w:color w:val="000000"/>
                <w:sz w:val="16"/>
              </w:rPr>
            </w:pPr>
            <w:r>
              <w:rPr>
                <w:rFonts w:ascii="Expensify Neue;sans-serif" w:hAnsi="Expensify Neue;sans-serif"/>
                <w:b w:val="false"/>
                <w:color w:val="000000"/>
                <w:sz w:val="16"/>
              </w:rPr>
              <w:t>28,845 </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2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Expensify Neue;sans-serif" w:hAnsi="Expensify Neue;sans-serif"/>
                <w:b w:val="false"/>
                <w:color w:val="000000"/>
                <w:sz w:val="16"/>
              </w:rPr>
            </w:pPr>
            <w:r>
              <w:rPr>
                <w:rFonts w:ascii="Expensify Neue;sans-serif" w:hAnsi="Expensify Neue;sans-serif"/>
                <w:b w:val="false"/>
                <w:color w:val="000000"/>
                <w:sz w:val="16"/>
              </w:rPr>
              <w:t>Total current liabilities</w:t>
            </w:r>
          </w:p>
        </w:tc>
        <w:tc>
          <w:tcPr>
            <w:tcW w:w="117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Expensify Neue;sans-serif" w:hAnsi="Expensify Neue;sans-serif"/>
                <w:b w:val="false"/>
                <w:color w:val="000000"/>
                <w:sz w:val="16"/>
              </w:rPr>
            </w:pPr>
            <w:r>
              <w:rPr>
                <w:rFonts w:ascii="Expensify Neue;sans-serif" w:hAnsi="Expensify Neue;sans-serif"/>
                <w:b w:val="false"/>
                <w:color w:val="000000"/>
                <w:sz w:val="16"/>
              </w:rPr>
              <w:t>47,261 </w:t>
            </w:r>
          </w:p>
        </w:tc>
        <w:tc>
          <w:tcPr>
            <w:tcW w:w="12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Expensify Neue;sans-serif" w:hAnsi="Expensify Neue;sans-serif"/>
                <w:b w:val="false"/>
                <w:color w:val="000000"/>
                <w:sz w:val="16"/>
              </w:rPr>
            </w:pPr>
            <w:r>
              <w:rPr>
                <w:rFonts w:ascii="Expensify Neue;sans-serif" w:hAnsi="Expensify Neue;sans-serif"/>
                <w:b w:val="false"/>
                <w:color w:val="000000"/>
                <w:sz w:val="16"/>
              </w:rPr>
              <w:t>38,010 </w:t>
            </w:r>
          </w:p>
        </w:tc>
        <w:tc>
          <w:tcPr>
            <w:tcW w:w="19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2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Expensify Neue;sans-serif" w:hAnsi="Expensify Neue;sans-serif"/>
                <w:b w:val="false"/>
                <w:color w:val="000000"/>
                <w:sz w:val="16"/>
              </w:rPr>
            </w:pPr>
            <w:r>
              <w:rPr>
                <w:rFonts w:ascii="Expensify Neue;sans-serif" w:hAnsi="Expensify Neue;sans-serif"/>
                <w:b w:val="false"/>
                <w:color w:val="000000"/>
                <w:sz w:val="16"/>
              </w:rPr>
              <w:t>Lease liabilities, non-current</w:t>
            </w:r>
          </w:p>
        </w:tc>
        <w:tc>
          <w:tcPr>
            <w:tcW w:w="117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Expensify Neue;sans-serif" w:hAnsi="Expensify Neue;sans-serif"/>
                <w:b w:val="false"/>
                <w:color w:val="000000"/>
                <w:sz w:val="16"/>
              </w:rPr>
            </w:pPr>
            <w:r>
              <w:rPr>
                <w:rFonts w:ascii="Expensify Neue;sans-serif" w:hAnsi="Expensify Neue;sans-serif"/>
                <w:b w:val="false"/>
                <w:color w:val="000000"/>
                <w:sz w:val="16"/>
              </w:rPr>
              <w:t>5,558 </w:t>
            </w:r>
          </w:p>
        </w:tc>
        <w:tc>
          <w:tcPr>
            <w:tcW w:w="12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Expensify Neue;sans-serif" w:hAnsi="Expensify Neue;sans-serif"/>
                <w:b w:val="false"/>
                <w:color w:val="000000"/>
                <w:sz w:val="16"/>
              </w:rPr>
            </w:pPr>
            <w:r>
              <w:rPr>
                <w:rFonts w:ascii="Expensify Neue;sans-serif" w:hAnsi="Expensify Neue;sans-serif"/>
                <w:b w:val="false"/>
                <w:color w:val="000000"/>
                <w:sz w:val="16"/>
              </w:rPr>
              <w:t>5,738 </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2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Expensify Neue;sans-serif" w:hAnsi="Expensify Neue;sans-serif"/>
                <w:b w:val="false"/>
                <w:color w:val="000000"/>
                <w:sz w:val="16"/>
              </w:rPr>
            </w:pPr>
            <w:r>
              <w:rPr>
                <w:rFonts w:ascii="Expensify Neue;sans-serif" w:hAnsi="Expensify Neue;sans-serif"/>
                <w:b w:val="false"/>
                <w:color w:val="000000"/>
                <w:sz w:val="16"/>
              </w:rPr>
              <w:t>Other liabilities</w:t>
            </w:r>
          </w:p>
        </w:tc>
        <w:tc>
          <w:tcPr>
            <w:tcW w:w="117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Expensify Neue;sans-serif" w:hAnsi="Expensify Neue;sans-serif"/>
                <w:b w:val="false"/>
                <w:color w:val="000000"/>
                <w:sz w:val="16"/>
              </w:rPr>
            </w:pPr>
            <w:r>
              <w:rPr>
                <w:rFonts w:ascii="Expensify Neue;sans-serif" w:hAnsi="Expensify Neue;sans-serif"/>
                <w:b w:val="false"/>
                <w:color w:val="000000"/>
                <w:sz w:val="16"/>
              </w:rPr>
              <w:t>1,766 </w:t>
            </w:r>
          </w:p>
        </w:tc>
        <w:tc>
          <w:tcPr>
            <w:tcW w:w="12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Expensify Neue;sans-serif" w:hAnsi="Expensify Neue;sans-serif"/>
                <w:b w:val="false"/>
                <w:color w:val="000000"/>
                <w:sz w:val="16"/>
              </w:rPr>
            </w:pPr>
            <w:r>
              <w:rPr>
                <w:rFonts w:ascii="Expensify Neue;sans-serif" w:hAnsi="Expensify Neue;sans-serif"/>
                <w:b w:val="false"/>
                <w:color w:val="000000"/>
                <w:sz w:val="16"/>
              </w:rPr>
              <w:t>1,689 </w:t>
            </w:r>
          </w:p>
        </w:tc>
        <w:tc>
          <w:tcPr>
            <w:tcW w:w="19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2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Expensify Neue;sans-serif" w:hAnsi="Expensify Neue;sans-serif"/>
                <w:b w:val="false"/>
                <w:color w:val="000000"/>
                <w:sz w:val="16"/>
              </w:rPr>
            </w:pPr>
            <w:r>
              <w:rPr>
                <w:rFonts w:ascii="Expensify Neue;sans-serif" w:hAnsi="Expensify Neue;sans-serif"/>
                <w:b w:val="false"/>
                <w:color w:val="000000"/>
                <w:sz w:val="16"/>
              </w:rPr>
              <w:t>Total liabilities</w:t>
            </w:r>
          </w:p>
        </w:tc>
        <w:tc>
          <w:tcPr>
            <w:tcW w:w="117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Expensify Neue;sans-serif" w:hAnsi="Expensify Neue;sans-serif"/>
                <w:b w:val="false"/>
                <w:color w:val="000000"/>
                <w:sz w:val="16"/>
              </w:rPr>
            </w:pPr>
            <w:r>
              <w:rPr>
                <w:rFonts w:ascii="Expensify Neue;sans-serif" w:hAnsi="Expensify Neue;sans-serif"/>
                <w:b w:val="false"/>
                <w:color w:val="000000"/>
                <w:sz w:val="16"/>
              </w:rPr>
              <w:t>54,585 </w:t>
            </w:r>
          </w:p>
        </w:tc>
        <w:tc>
          <w:tcPr>
            <w:tcW w:w="123"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Expensify Neue;sans-serif" w:hAnsi="Expensify Neue;sans-serif"/>
                <w:b w:val="false"/>
                <w:color w:val="000000"/>
                <w:sz w:val="16"/>
              </w:rPr>
            </w:pPr>
            <w:r>
              <w:rPr>
                <w:rFonts w:ascii="Expensify Neue;sans-serif" w:hAnsi="Expensify Neue;sans-serif"/>
                <w:b w:val="false"/>
                <w:color w:val="000000"/>
                <w:sz w:val="16"/>
              </w:rPr>
              <w:t>45,437 </w:t>
            </w:r>
          </w:p>
        </w:tc>
        <w:tc>
          <w:tcPr>
            <w:tcW w:w="19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2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Expensify Neue;sans-serif" w:hAnsi="Expensify Neue;sans-serif"/>
                <w:b w:val="false"/>
                <w:color w:val="000000"/>
                <w:sz w:val="16"/>
              </w:rPr>
            </w:pPr>
            <w:r>
              <w:rPr>
                <w:rFonts w:ascii="Expensify Neue;sans-serif" w:hAnsi="Expensify Neue;sans-serif"/>
                <w:b w:val="false"/>
                <w:color w:val="000000"/>
                <w:sz w:val="16"/>
              </w:rPr>
              <w:t>Commitments and contingencies (Note 4)</w:t>
            </w:r>
          </w:p>
        </w:tc>
        <w:tc>
          <w:tcPr>
            <w:tcW w:w="1294"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2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Expensify Neue;sans-serif" w:hAnsi="Expensify Neue;sans-serif"/>
                <w:b w:val="false"/>
                <w:color w:val="000000"/>
                <w:sz w:val="16"/>
              </w:rPr>
            </w:pPr>
            <w:r>
              <w:rPr>
                <w:rFonts w:ascii="Expensify Neue;sans-serif" w:hAnsi="Expensify Neue;sans-serif"/>
                <w:b w:val="false"/>
                <w:color w:val="000000"/>
                <w:sz w:val="16"/>
              </w:rPr>
              <w:t>Stockholders' equity:</w:t>
            </w:r>
          </w:p>
        </w:tc>
        <w:tc>
          <w:tcPr>
            <w:tcW w:w="129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27"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Expensify Neue;sans-serif" w:hAnsi="Expensify Neue;sans-serif"/>
                <w:b w:val="false"/>
                <w:color w:val="000000"/>
                <w:sz w:val="16"/>
              </w:rPr>
            </w:pPr>
            <w:r>
              <w:rPr>
                <w:rFonts w:ascii="Expensify Neue;sans-serif" w:hAnsi="Expensify Neue;sans-serif"/>
                <w:b w:val="false"/>
                <w:color w:val="000000"/>
                <w:sz w:val="16"/>
              </w:rPr>
              <w:t>Preferred stock, par value $0.0001; 10,000,000 shares authorized as of March 31, 2025 and December 31, 2024; no shares issued and outstanding as of March 31, 2025 and December 31, 2024</w:t>
            </w:r>
          </w:p>
        </w:tc>
        <w:tc>
          <w:tcPr>
            <w:tcW w:w="117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27" w:type="dxa"/>
            <w:gridSpan w:val="3"/>
            <w:tcBorders/>
            <w:shd w:fill="FFFFFF" w:val="clear"/>
            <w:tcMar>
              <w:top w:w="0" w:type="dxa"/>
              <w:left w:w="0" w:type="dxa"/>
              <w:bottom w:w="0" w:type="dxa"/>
              <w:right w:w="0" w:type="dxa"/>
            </w:tcMar>
            <w:vAlign w:val="center"/>
          </w:tcPr>
          <w:p>
            <w:pPr>
              <w:pStyle w:val="TableContents"/>
              <w:bidi w:val="0"/>
              <w:spacing w:lineRule="auto" w:line="240" w:before="0" w:after="60"/>
              <w:ind w:left="0" w:right="0" w:hanging="180"/>
              <w:jc w:val="left"/>
              <w:rPr>
                <w:rFonts w:ascii="Expensify Neue;sans-serif" w:hAnsi="Expensify Neue;sans-serif"/>
                <w:b w:val="false"/>
                <w:color w:val="000000"/>
                <w:sz w:val="16"/>
              </w:rPr>
            </w:pPr>
            <w:r>
              <w:rPr>
                <w:rFonts w:ascii="Expensify Neue;sans-serif" w:hAnsi="Expensify Neue;sans-serif"/>
                <w:b w:val="false"/>
                <w:color w:val="000000"/>
                <w:sz w:val="16"/>
              </w:rPr>
              <w:t>Common stock, par value $0.0001</w:t>
            </w:r>
          </w:p>
          <w:p>
            <w:pPr>
              <w:pStyle w:val="TableContents"/>
              <w:bidi w:val="0"/>
              <w:spacing w:lineRule="auto" w:line="240" w:before="0" w:after="60"/>
              <w:ind w:left="0" w:right="0" w:hanging="180"/>
              <w:jc w:val="left"/>
              <w:rPr>
                <w:rFonts w:ascii="Expensify Neue;sans-serif" w:hAnsi="Expensify Neue;sans-serif"/>
                <w:b w:val="false"/>
                <w:color w:val="000000"/>
                <w:sz w:val="16"/>
              </w:rPr>
            </w:pPr>
            <w:r>
              <w:rPr>
                <w:rFonts w:ascii="Expensify Neue;sans-serif" w:hAnsi="Expensify Neue;sans-serif"/>
                <w:b w:val="false"/>
                <w:color w:val="000000"/>
                <w:sz w:val="16"/>
              </w:rPr>
              <w:t>Class A common stock; 1,000,000,000 shares authorized as of March 31, 2025 and December 31, 2024; 80,380,404 and 79,471,414 shares issued and outstanding as of March 31, 2025 and December 31, 2024, respectively</w:t>
            </w:r>
          </w:p>
          <w:p>
            <w:pPr>
              <w:pStyle w:val="TableContents"/>
              <w:bidi w:val="0"/>
              <w:spacing w:lineRule="auto" w:line="240" w:before="0" w:after="60"/>
              <w:ind w:left="0" w:right="0" w:hanging="180"/>
              <w:jc w:val="left"/>
              <w:rPr>
                <w:rFonts w:ascii="Expensify Neue;sans-serif" w:hAnsi="Expensify Neue;sans-serif"/>
                <w:b w:val="false"/>
                <w:color w:val="000000"/>
                <w:sz w:val="16"/>
              </w:rPr>
            </w:pPr>
            <w:r>
              <w:rPr>
                <w:rFonts w:ascii="Expensify Neue;sans-serif" w:hAnsi="Expensify Neue;sans-serif"/>
                <w:b w:val="false"/>
                <w:color w:val="000000"/>
                <w:sz w:val="16"/>
              </w:rPr>
              <w:t>LT10 common stock; 21,871,197 shares authorized as of March 31, 2025 and December 31, 2024; 4,209,827 shares issued and outstanding as of March 31, 2025 and December 31, 2024</w:t>
            </w:r>
          </w:p>
          <w:p>
            <w:pPr>
              <w:pStyle w:val="TableContents"/>
              <w:bidi w:val="0"/>
              <w:spacing w:lineRule="auto" w:line="240" w:before="0" w:after="0"/>
              <w:ind w:left="0" w:right="0" w:hanging="180"/>
              <w:jc w:val="left"/>
              <w:rPr>
                <w:rFonts w:ascii="Expensify Neue;sans-serif" w:hAnsi="Expensify Neue;sans-serif"/>
                <w:b w:val="false"/>
                <w:color w:val="000000"/>
                <w:sz w:val="16"/>
              </w:rPr>
            </w:pPr>
            <w:r>
              <w:rPr>
                <w:rFonts w:ascii="Expensify Neue;sans-serif" w:hAnsi="Expensify Neue;sans-serif"/>
                <w:b w:val="false"/>
                <w:color w:val="000000"/>
                <w:sz w:val="16"/>
              </w:rPr>
              <w:t>LT50 common stock; 24,967,114 shares authorized as of March 31, 2025 and December 31, 2024; 7,793,436 and 7,695,524 shares issued and outstanding as of March 31, 2025 and December 31, 2024, respectively</w:t>
            </w:r>
          </w:p>
        </w:tc>
        <w:tc>
          <w:tcPr>
            <w:tcW w:w="117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Expensify Neue;sans-serif" w:hAnsi="Expensify Neue;sans-serif"/>
                <w:b w:val="false"/>
                <w:color w:val="000000"/>
                <w:sz w:val="16"/>
              </w:rPr>
            </w:pPr>
            <w:r>
              <w:rPr>
                <w:rFonts w:ascii="Expensify Neue;sans-serif" w:hAnsi="Expensify Neue;sans-serif"/>
                <w:b w:val="false"/>
                <w:color w:val="000000"/>
                <w:sz w:val="16"/>
              </w:rPr>
              <w:t>9 </w:t>
            </w:r>
          </w:p>
        </w:tc>
        <w:tc>
          <w:tcPr>
            <w:tcW w:w="12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Expensify Neue;sans-serif" w:hAnsi="Expensify Neue;sans-serif"/>
                <w:b w:val="false"/>
                <w:color w:val="000000"/>
                <w:sz w:val="16"/>
              </w:rPr>
            </w:pPr>
            <w:r>
              <w:rPr>
                <w:rFonts w:ascii="Expensify Neue;sans-serif" w:hAnsi="Expensify Neue;sans-serif"/>
                <w:b w:val="false"/>
                <w:color w:val="000000"/>
                <w:sz w:val="16"/>
              </w:rPr>
              <w:t>9 </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2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Expensify Neue;sans-serif" w:hAnsi="Expensify Neue;sans-serif"/>
                <w:b w:val="false"/>
                <w:color w:val="000000"/>
                <w:sz w:val="16"/>
              </w:rPr>
            </w:pPr>
            <w:r>
              <w:rPr>
                <w:rFonts w:ascii="Expensify Neue;sans-serif" w:hAnsi="Expensify Neue;sans-serif"/>
                <w:b w:val="false"/>
                <w:color w:val="000000"/>
                <w:sz w:val="16"/>
              </w:rPr>
              <w:t>Additional paid-in capital</w:t>
            </w:r>
          </w:p>
        </w:tc>
        <w:tc>
          <w:tcPr>
            <w:tcW w:w="117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Expensify Neue;sans-serif" w:hAnsi="Expensify Neue;sans-serif"/>
                <w:b w:val="false"/>
                <w:color w:val="000000"/>
                <w:sz w:val="16"/>
              </w:rPr>
            </w:pPr>
            <w:r>
              <w:rPr>
                <w:rFonts w:ascii="Expensify Neue;sans-serif" w:hAnsi="Expensify Neue;sans-serif"/>
                <w:b w:val="false"/>
                <w:color w:val="000000"/>
                <w:sz w:val="16"/>
              </w:rPr>
              <w:t>288,639 </w:t>
            </w:r>
          </w:p>
        </w:tc>
        <w:tc>
          <w:tcPr>
            <w:tcW w:w="12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Expensify Neue;sans-serif" w:hAnsi="Expensify Neue;sans-serif"/>
                <w:b w:val="false"/>
                <w:color w:val="000000"/>
                <w:sz w:val="16"/>
              </w:rPr>
            </w:pPr>
            <w:r>
              <w:rPr>
                <w:rFonts w:ascii="Expensify Neue;sans-serif" w:hAnsi="Expensify Neue;sans-serif"/>
                <w:b w:val="false"/>
                <w:color w:val="000000"/>
                <w:sz w:val="16"/>
              </w:rPr>
              <w:t>279,062 </w:t>
            </w:r>
          </w:p>
        </w:tc>
        <w:tc>
          <w:tcPr>
            <w:tcW w:w="19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2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Expensify Neue;sans-serif" w:hAnsi="Expensify Neue;sans-serif"/>
                <w:b w:val="false"/>
                <w:color w:val="000000"/>
                <w:sz w:val="16"/>
              </w:rPr>
            </w:pPr>
            <w:r>
              <w:rPr>
                <w:rFonts w:ascii="Expensify Neue;sans-serif" w:hAnsi="Expensify Neue;sans-serif"/>
                <w:b w:val="false"/>
                <w:color w:val="000000"/>
                <w:sz w:val="16"/>
              </w:rPr>
              <w:t>Accumulated deficit</w:t>
            </w:r>
          </w:p>
        </w:tc>
        <w:tc>
          <w:tcPr>
            <w:tcW w:w="117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Expensify Neue;sans-serif" w:hAnsi="Expensify Neue;sans-serif"/>
                <w:b w:val="false"/>
                <w:color w:val="000000"/>
                <w:sz w:val="16"/>
              </w:rPr>
            </w:pPr>
            <w:r>
              <w:rPr>
                <w:rFonts w:ascii="Expensify Neue;sans-serif" w:hAnsi="Expensify Neue;sans-serif"/>
                <w:b w:val="false"/>
                <w:color w:val="000000"/>
                <w:sz w:val="16"/>
              </w:rPr>
              <w:t>(153,997)</w:t>
            </w:r>
          </w:p>
        </w:tc>
        <w:tc>
          <w:tcPr>
            <w:tcW w:w="12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Expensify Neue;sans-serif" w:hAnsi="Expensify Neue;sans-serif"/>
                <w:b w:val="false"/>
                <w:color w:val="000000"/>
                <w:sz w:val="16"/>
              </w:rPr>
            </w:pPr>
            <w:r>
              <w:rPr>
                <w:rFonts w:ascii="Expensify Neue;sans-serif" w:hAnsi="Expensify Neue;sans-serif"/>
                <w:b w:val="false"/>
                <w:color w:val="000000"/>
                <w:sz w:val="16"/>
              </w:rPr>
              <w:t>(150,828)</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2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Expensify Neue;sans-serif" w:hAnsi="Expensify Neue;sans-serif"/>
                <w:b w:val="false"/>
                <w:color w:val="000000"/>
                <w:sz w:val="16"/>
              </w:rPr>
            </w:pPr>
            <w:r>
              <w:rPr>
                <w:rFonts w:ascii="Expensify Neue;sans-serif" w:hAnsi="Expensify Neue;sans-serif"/>
                <w:b w:val="false"/>
                <w:color w:val="000000"/>
                <w:sz w:val="16"/>
              </w:rPr>
              <w:t>Total stockholders' equity</w:t>
            </w:r>
          </w:p>
        </w:tc>
        <w:tc>
          <w:tcPr>
            <w:tcW w:w="117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Expensify Neue;sans-serif" w:hAnsi="Expensify Neue;sans-serif"/>
                <w:b w:val="false"/>
                <w:color w:val="000000"/>
                <w:sz w:val="16"/>
              </w:rPr>
            </w:pPr>
            <w:r>
              <w:rPr>
                <w:rFonts w:ascii="Expensify Neue;sans-serif" w:hAnsi="Expensify Neue;sans-serif"/>
                <w:b w:val="false"/>
                <w:color w:val="000000"/>
                <w:sz w:val="16"/>
              </w:rPr>
              <w:t>134,651 </w:t>
            </w:r>
          </w:p>
        </w:tc>
        <w:tc>
          <w:tcPr>
            <w:tcW w:w="12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Expensify Neue;sans-serif" w:hAnsi="Expensify Neue;sans-serif"/>
                <w:b w:val="false"/>
                <w:color w:val="000000"/>
                <w:sz w:val="16"/>
              </w:rPr>
            </w:pPr>
            <w:r>
              <w:rPr>
                <w:rFonts w:ascii="Expensify Neue;sans-serif" w:hAnsi="Expensify Neue;sans-serif"/>
                <w:b w:val="false"/>
                <w:color w:val="000000"/>
                <w:sz w:val="16"/>
              </w:rPr>
              <w:t>128,243 </w:t>
            </w:r>
          </w:p>
        </w:tc>
        <w:tc>
          <w:tcPr>
            <w:tcW w:w="19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2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Expensify Neue;sans-serif" w:hAnsi="Expensify Neue;sans-serif"/>
                <w:b w:val="false"/>
                <w:color w:val="000000"/>
                <w:sz w:val="16"/>
              </w:rPr>
            </w:pPr>
            <w:r>
              <w:rPr>
                <w:rFonts w:ascii="Expensify Neue;sans-serif" w:hAnsi="Expensify Neue;sans-serif"/>
                <w:b w:val="false"/>
                <w:color w:val="000000"/>
                <w:sz w:val="16"/>
              </w:rPr>
              <w:t>Total liabilities and stockholders' equity</w:t>
            </w:r>
          </w:p>
        </w:tc>
        <w:tc>
          <w:tcPr>
            <w:tcW w:w="238"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Expensify Neue;sans-serif" w:hAnsi="Expensify Neue;sans-serif"/>
                <w:b w:val="false"/>
                <w:color w:val="000000"/>
                <w:sz w:val="16"/>
              </w:rPr>
            </w:pPr>
            <w:r>
              <w:rPr>
                <w:rFonts w:ascii="Expensify Neue;sans-serif" w:hAnsi="Expensify Neue;sans-serif"/>
                <w:b w:val="false"/>
                <w:color w:val="000000"/>
                <w:sz w:val="16"/>
              </w:rPr>
              <w:t>$</w:t>
            </w:r>
          </w:p>
        </w:tc>
        <w:tc>
          <w:tcPr>
            <w:tcW w:w="933"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Expensify Neue;sans-serif" w:hAnsi="Expensify Neue;sans-serif"/>
                <w:b w:val="false"/>
                <w:color w:val="000000"/>
                <w:sz w:val="16"/>
              </w:rPr>
            </w:pPr>
            <w:r>
              <w:rPr>
                <w:rFonts w:ascii="Expensify Neue;sans-serif" w:hAnsi="Expensify Neue;sans-serif"/>
                <w:b w:val="false"/>
                <w:color w:val="000000"/>
                <w:sz w:val="16"/>
              </w:rPr>
              <w:t>189,236 </w:t>
            </w:r>
          </w:p>
        </w:tc>
        <w:tc>
          <w:tcPr>
            <w:tcW w:w="123"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7"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Expensify Neue;sans-serif" w:hAnsi="Expensify Neue;sans-serif"/>
                <w:b w:val="false"/>
                <w:color w:val="000000"/>
                <w:sz w:val="16"/>
              </w:rPr>
            </w:pPr>
            <w:r>
              <w:rPr>
                <w:rFonts w:ascii="Expensify Neue;sans-serif" w:hAnsi="Expensify Neue;sans-serif"/>
                <w:b w:val="false"/>
                <w:color w:val="000000"/>
                <w:sz w:val="16"/>
              </w:rPr>
              <w:t>$</w:t>
            </w:r>
          </w:p>
        </w:tc>
        <w:tc>
          <w:tcPr>
            <w:tcW w:w="1009"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Expensify Neue;sans-serif" w:hAnsi="Expensify Neue;sans-serif"/>
                <w:b w:val="false"/>
                <w:color w:val="000000"/>
                <w:sz w:val="16"/>
              </w:rPr>
            </w:pPr>
            <w:r>
              <w:rPr>
                <w:rFonts w:ascii="Expensify Neue;sans-serif" w:hAnsi="Expensify Neue;sans-serif"/>
                <w:b w:val="false"/>
                <w:color w:val="000000"/>
                <w:sz w:val="16"/>
              </w:rPr>
              <w:t>173,680 </w:t>
            </w:r>
          </w:p>
        </w:tc>
        <w:tc>
          <w:tcPr>
            <w:tcW w:w="19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2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294" w:type="dxa"/>
            <w:gridSpan w:val="3"/>
            <w:tcBorders>
              <w:top w:val="double" w:sz="8"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457" w:type="dxa"/>
            <w:gridSpan w:val="3"/>
            <w:tcBorders>
              <w:top w:val="double" w:sz="8"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9">
                <wp:simplePos x="0" y="0"/>
                <wp:positionH relativeFrom="character">
                  <wp:align>left</wp:align>
                </wp:positionH>
                <wp:positionV relativeFrom="line">
                  <wp:posOffset>635</wp:posOffset>
                </wp:positionV>
                <wp:extent cx="6480175" cy="1143635"/>
                <wp:effectExtent l="0" t="0" r="0" b="0"/>
                <wp:wrapNone/>
                <wp:docPr id="8" name="Frame7"/>
                <a:graphic xmlns:a="http://schemas.openxmlformats.org/drawingml/2006/main">
                  <a:graphicData uri="http://schemas.microsoft.com/office/word/2010/wordprocessingShape">
                    <wps:wsp>
                      <wps:cNvSpPr txBox="1"/>
                      <wps:spPr>
                        <a:xfrm>
                          <a:off x="0" y="0"/>
                          <a:ext cx="6480175" cy="1143635"/>
                        </a:xfrm>
                        <a:prstGeom prst="rect"/>
                        <a:solidFill>
                          <a:srgbClr val="FFFFFF"/>
                        </a:solidFill>
                      </wps:spPr>
                      <wps:txbx>
                        <w:txbxContent>
                          <w:tbl>
                            <w:tblPr>
                              <w:tblW w:w="7514" w:type="dxa"/>
                              <w:jc w:val="left"/>
                              <w:tblInd w:w="0" w:type="dxa"/>
                              <w:tblLayout w:type="fixed"/>
                              <w:tblCellMar>
                                <w:top w:w="28" w:type="dxa"/>
                                <w:left w:w="28" w:type="dxa"/>
                                <w:bottom w:w="28" w:type="dxa"/>
                                <w:right w:w="28" w:type="dxa"/>
                              </w:tblCellMar>
                            </w:tblPr>
                            <w:tblGrid>
                              <w:gridCol w:w="1303"/>
                              <w:gridCol w:w="1143"/>
                              <w:gridCol w:w="1143"/>
                              <w:gridCol w:w="1143"/>
                              <w:gridCol w:w="1143"/>
                              <w:gridCol w:w="1639"/>
                            </w:tblGrid>
                            <w:tr>
                              <w:trPr/>
                              <w:tc>
                                <w:tcPr>
                                  <w:tcW w:w="1303" w:type="dxa"/>
                                  <w:tcBorders/>
                                  <w:vAlign w:val="center"/>
                                </w:tcPr>
                                <w:p>
                                  <w:pPr>
                                    <w:pStyle w:val="TableContents"/>
                                    <w:bidi w:val="0"/>
                                    <w:spacing w:before="0" w:after="283"/>
                                    <w:jc w:val="left"/>
                                    <w:rPr>
                                      <w:sz w:val="4"/>
                                      <w:szCs w:val="4"/>
                                    </w:rPr>
                                  </w:pPr>
                                  <w:r>
                                    <w:rPr>
                                      <w:sz w:val="4"/>
                                      <w:szCs w:val="4"/>
                                    </w:rPr>
                                  </w:r>
                                </w:p>
                              </w:tc>
                              <w:tc>
                                <w:tcPr>
                                  <w:tcW w:w="1143" w:type="dxa"/>
                                  <w:tcBorders/>
                                  <w:vAlign w:val="center"/>
                                </w:tcPr>
                                <w:p>
                                  <w:pPr>
                                    <w:pStyle w:val="TableContents"/>
                                    <w:bidi w:val="0"/>
                                    <w:spacing w:before="0" w:after="283"/>
                                    <w:jc w:val="left"/>
                                    <w:rPr>
                                      <w:sz w:val="4"/>
                                      <w:szCs w:val="4"/>
                                    </w:rPr>
                                  </w:pPr>
                                  <w:r>
                                    <w:rPr>
                                      <w:sz w:val="4"/>
                                      <w:szCs w:val="4"/>
                                    </w:rPr>
                                  </w:r>
                                </w:p>
                              </w:tc>
                              <w:tc>
                                <w:tcPr>
                                  <w:tcW w:w="1143" w:type="dxa"/>
                                  <w:tcBorders/>
                                  <w:vAlign w:val="center"/>
                                </w:tcPr>
                                <w:p>
                                  <w:pPr>
                                    <w:pStyle w:val="TableContents"/>
                                    <w:bidi w:val="0"/>
                                    <w:spacing w:before="0" w:after="283"/>
                                    <w:jc w:val="left"/>
                                    <w:rPr>
                                      <w:sz w:val="4"/>
                                      <w:szCs w:val="4"/>
                                    </w:rPr>
                                  </w:pPr>
                                  <w:r>
                                    <w:rPr>
                                      <w:sz w:val="4"/>
                                      <w:szCs w:val="4"/>
                                    </w:rPr>
                                  </w:r>
                                </w:p>
                              </w:tc>
                              <w:tc>
                                <w:tcPr>
                                  <w:tcW w:w="1143" w:type="dxa"/>
                                  <w:tcBorders/>
                                  <w:vAlign w:val="center"/>
                                </w:tcPr>
                                <w:p>
                                  <w:pPr>
                                    <w:pStyle w:val="TableContents"/>
                                    <w:bidi w:val="0"/>
                                    <w:spacing w:before="0" w:after="283"/>
                                    <w:jc w:val="left"/>
                                    <w:rPr>
                                      <w:sz w:val="4"/>
                                      <w:szCs w:val="4"/>
                                    </w:rPr>
                                  </w:pPr>
                                  <w:r>
                                    <w:rPr>
                                      <w:sz w:val="4"/>
                                      <w:szCs w:val="4"/>
                                    </w:rPr>
                                  </w:r>
                                </w:p>
                              </w:tc>
                              <w:tc>
                                <w:tcPr>
                                  <w:tcW w:w="1143" w:type="dxa"/>
                                  <w:tcBorders/>
                                  <w:vAlign w:val="center"/>
                                </w:tcPr>
                                <w:p>
                                  <w:pPr>
                                    <w:pStyle w:val="TableContents"/>
                                    <w:bidi w:val="0"/>
                                    <w:spacing w:before="0" w:after="283"/>
                                    <w:jc w:val="left"/>
                                    <w:rPr>
                                      <w:sz w:val="4"/>
                                      <w:szCs w:val="4"/>
                                    </w:rPr>
                                  </w:pPr>
                                  <w:r>
                                    <w:rPr>
                                      <w:sz w:val="4"/>
                                      <w:szCs w:val="4"/>
                                    </w:rPr>
                                  </w:r>
                                </w:p>
                              </w:tc>
                              <w:tc>
                                <w:tcPr>
                                  <w:tcW w:w="1639" w:type="dxa"/>
                                  <w:tcBorders/>
                                  <w:vAlign w:val="center"/>
                                </w:tcPr>
                                <w:p>
                                  <w:pPr>
                                    <w:pStyle w:val="TableContents"/>
                                    <w:bidi w:val="0"/>
                                    <w:spacing w:before="0" w:after="283"/>
                                    <w:jc w:val="left"/>
                                    <w:rPr>
                                      <w:sz w:val="4"/>
                                      <w:szCs w:val="4"/>
                                    </w:rPr>
                                  </w:pPr>
                                  <w:r>
                                    <w:rPr>
                                      <w:sz w:val="4"/>
                                      <w:szCs w:val="4"/>
                                    </w:rPr>
                                  </w:r>
                                </w:p>
                              </w:tc>
                            </w:tr>
                            <w:tr>
                              <w:trPr/>
                              <w:tc>
                                <w:tcPr>
                                  <w:tcW w:w="7514" w:type="dxa"/>
                                  <w:gridSpan w:val="6"/>
                                  <w:tcBorders/>
                                  <w:tcMar>
                                    <w:top w:w="0" w:type="dxa"/>
                                    <w:left w:w="0" w:type="dxa"/>
                                    <w:bottom w:w="0" w:type="dxa"/>
                                    <w:right w:w="0" w:type="dxa"/>
                                  </w:tcMar>
                                  <w:vAlign w:val="center"/>
                                </w:tcPr>
                                <w:p>
                                  <w:pPr>
                                    <w:pStyle w:val="TableContents"/>
                                    <w:bidi w:val="0"/>
                                    <w:spacing w:lineRule="auto" w:line="288" w:before="0" w:after="283"/>
                                    <w:jc w:val="center"/>
                                    <w:rPr>
                                      <w:rFonts w:ascii="Expensify Neue;sans-serif" w:hAnsi="Expensify Neue;sans-serif"/>
                                      <w:b w:val="false"/>
                                      <w:color w:val="000000"/>
                                      <w:sz w:val="20"/>
                                    </w:rPr>
                                  </w:pPr>
                                  <w:r>
                                    <w:rPr>
                                      <w:rFonts w:ascii="Expensify Neue;sans-serif" w:hAnsi="Expensify Neue;sans-serif"/>
                                      <w:b w:val="false"/>
                                      <w:color w:val="000000"/>
                                      <w:sz w:val="20"/>
                                    </w:rPr>
                                    <w:t>See accompanying notes to Condensed Consolidated Financial Statements.</w:t>
                                  </w:r>
                                </w:p>
                              </w:tc>
                            </w:tr>
                            <w:tr>
                              <w:trPr/>
                              <w:tc>
                                <w:tcPr>
                                  <w:tcW w:w="7514" w:type="dxa"/>
                                  <w:gridSpan w:val="6"/>
                                  <w:tcBorders>
                                    <w:bottom w:val="single" w:sz="8" w:space="0" w:color="000000"/>
                                  </w:tcBorders>
                                  <w:tcMar>
                                    <w:top w:w="0" w:type="dxa"/>
                                    <w:left w:w="0" w:type="dxa"/>
                                    <w:bottom w:w="30" w:type="dxa"/>
                                    <w:right w:w="0" w:type="dxa"/>
                                  </w:tcMar>
                                  <w:vAlign w:val="center"/>
                                </w:tcPr>
                                <w:p>
                                  <w:pPr>
                                    <w:pStyle w:val="TableContents"/>
                                    <w:bidi w:val="0"/>
                                    <w:spacing w:lineRule="auto" w:line="256" w:before="0" w:after="0"/>
                                    <w:jc w:val="center"/>
                                    <w:rPr>
                                      <w:rFonts w:ascii="Expensify Neue;sans-serif" w:hAnsi="Expensify Neue;sans-serif"/>
                                      <w:b w:val="false"/>
                                      <w:color w:val="000000"/>
                                      <w:sz w:val="20"/>
                                    </w:rPr>
                                  </w:pPr>
                                  <w:r>
                                    <w:rPr>
                                      <w:rFonts w:ascii="Expensify Neue;sans-serif" w:hAnsi="Expensify Neue;sans-serif"/>
                                      <w:b w:val="false"/>
                                      <w:color w:val="000000"/>
                                      <w:sz w:val="20"/>
                                    </w:rPr>
                                    <w:t>2</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90.05pt;mso-wrap-distance-left:0pt;mso-wrap-distance-right:0pt;mso-wrap-distance-top:0pt;mso-wrap-distance-bottom:0pt;margin-top:0pt;mso-position-vertical:top;mso-position-vertical-relative:text;margin-left:0pt;mso-position-horizontal:left;mso-position-horizontal-relative:text">
                <v:textbox>
                  <w:txbxContent>
                    <w:tbl>
                      <w:tblPr>
                        <w:tblW w:w="7514" w:type="dxa"/>
                        <w:jc w:val="left"/>
                        <w:tblInd w:w="0" w:type="dxa"/>
                        <w:tblLayout w:type="fixed"/>
                        <w:tblCellMar>
                          <w:top w:w="28" w:type="dxa"/>
                          <w:left w:w="28" w:type="dxa"/>
                          <w:bottom w:w="28" w:type="dxa"/>
                          <w:right w:w="28" w:type="dxa"/>
                        </w:tblCellMar>
                      </w:tblPr>
                      <w:tblGrid>
                        <w:gridCol w:w="1303"/>
                        <w:gridCol w:w="1143"/>
                        <w:gridCol w:w="1143"/>
                        <w:gridCol w:w="1143"/>
                        <w:gridCol w:w="1143"/>
                        <w:gridCol w:w="1639"/>
                      </w:tblGrid>
                      <w:tr>
                        <w:trPr/>
                        <w:tc>
                          <w:tcPr>
                            <w:tcW w:w="1303" w:type="dxa"/>
                            <w:tcBorders/>
                            <w:vAlign w:val="center"/>
                          </w:tcPr>
                          <w:p>
                            <w:pPr>
                              <w:pStyle w:val="TableContents"/>
                              <w:bidi w:val="0"/>
                              <w:spacing w:before="0" w:after="283"/>
                              <w:jc w:val="left"/>
                              <w:rPr>
                                <w:sz w:val="4"/>
                                <w:szCs w:val="4"/>
                              </w:rPr>
                            </w:pPr>
                            <w:r>
                              <w:rPr>
                                <w:sz w:val="4"/>
                                <w:szCs w:val="4"/>
                              </w:rPr>
                            </w:r>
                          </w:p>
                        </w:tc>
                        <w:tc>
                          <w:tcPr>
                            <w:tcW w:w="1143" w:type="dxa"/>
                            <w:tcBorders/>
                            <w:vAlign w:val="center"/>
                          </w:tcPr>
                          <w:p>
                            <w:pPr>
                              <w:pStyle w:val="TableContents"/>
                              <w:bidi w:val="0"/>
                              <w:spacing w:before="0" w:after="283"/>
                              <w:jc w:val="left"/>
                              <w:rPr>
                                <w:sz w:val="4"/>
                                <w:szCs w:val="4"/>
                              </w:rPr>
                            </w:pPr>
                            <w:r>
                              <w:rPr>
                                <w:sz w:val="4"/>
                                <w:szCs w:val="4"/>
                              </w:rPr>
                            </w:r>
                          </w:p>
                        </w:tc>
                        <w:tc>
                          <w:tcPr>
                            <w:tcW w:w="1143" w:type="dxa"/>
                            <w:tcBorders/>
                            <w:vAlign w:val="center"/>
                          </w:tcPr>
                          <w:p>
                            <w:pPr>
                              <w:pStyle w:val="TableContents"/>
                              <w:bidi w:val="0"/>
                              <w:spacing w:before="0" w:after="283"/>
                              <w:jc w:val="left"/>
                              <w:rPr>
                                <w:sz w:val="4"/>
                                <w:szCs w:val="4"/>
                              </w:rPr>
                            </w:pPr>
                            <w:r>
                              <w:rPr>
                                <w:sz w:val="4"/>
                                <w:szCs w:val="4"/>
                              </w:rPr>
                            </w:r>
                          </w:p>
                        </w:tc>
                        <w:tc>
                          <w:tcPr>
                            <w:tcW w:w="1143" w:type="dxa"/>
                            <w:tcBorders/>
                            <w:vAlign w:val="center"/>
                          </w:tcPr>
                          <w:p>
                            <w:pPr>
                              <w:pStyle w:val="TableContents"/>
                              <w:bidi w:val="0"/>
                              <w:spacing w:before="0" w:after="283"/>
                              <w:jc w:val="left"/>
                              <w:rPr>
                                <w:sz w:val="4"/>
                                <w:szCs w:val="4"/>
                              </w:rPr>
                            </w:pPr>
                            <w:r>
                              <w:rPr>
                                <w:sz w:val="4"/>
                                <w:szCs w:val="4"/>
                              </w:rPr>
                            </w:r>
                          </w:p>
                        </w:tc>
                        <w:tc>
                          <w:tcPr>
                            <w:tcW w:w="1143" w:type="dxa"/>
                            <w:tcBorders/>
                            <w:vAlign w:val="center"/>
                          </w:tcPr>
                          <w:p>
                            <w:pPr>
                              <w:pStyle w:val="TableContents"/>
                              <w:bidi w:val="0"/>
                              <w:spacing w:before="0" w:after="283"/>
                              <w:jc w:val="left"/>
                              <w:rPr>
                                <w:sz w:val="4"/>
                                <w:szCs w:val="4"/>
                              </w:rPr>
                            </w:pPr>
                            <w:r>
                              <w:rPr>
                                <w:sz w:val="4"/>
                                <w:szCs w:val="4"/>
                              </w:rPr>
                            </w:r>
                          </w:p>
                        </w:tc>
                        <w:tc>
                          <w:tcPr>
                            <w:tcW w:w="1639" w:type="dxa"/>
                            <w:tcBorders/>
                            <w:vAlign w:val="center"/>
                          </w:tcPr>
                          <w:p>
                            <w:pPr>
                              <w:pStyle w:val="TableContents"/>
                              <w:bidi w:val="0"/>
                              <w:spacing w:before="0" w:after="283"/>
                              <w:jc w:val="left"/>
                              <w:rPr>
                                <w:sz w:val="4"/>
                                <w:szCs w:val="4"/>
                              </w:rPr>
                            </w:pPr>
                            <w:r>
                              <w:rPr>
                                <w:sz w:val="4"/>
                                <w:szCs w:val="4"/>
                              </w:rPr>
                            </w:r>
                          </w:p>
                        </w:tc>
                      </w:tr>
                      <w:tr>
                        <w:trPr/>
                        <w:tc>
                          <w:tcPr>
                            <w:tcW w:w="7514" w:type="dxa"/>
                            <w:gridSpan w:val="6"/>
                            <w:tcBorders/>
                            <w:tcMar>
                              <w:top w:w="0" w:type="dxa"/>
                              <w:left w:w="0" w:type="dxa"/>
                              <w:bottom w:w="0" w:type="dxa"/>
                              <w:right w:w="0" w:type="dxa"/>
                            </w:tcMar>
                            <w:vAlign w:val="center"/>
                          </w:tcPr>
                          <w:p>
                            <w:pPr>
                              <w:pStyle w:val="TableContents"/>
                              <w:bidi w:val="0"/>
                              <w:spacing w:lineRule="auto" w:line="288" w:before="0" w:after="283"/>
                              <w:jc w:val="center"/>
                              <w:rPr>
                                <w:rFonts w:ascii="Expensify Neue;sans-serif" w:hAnsi="Expensify Neue;sans-serif"/>
                                <w:b w:val="false"/>
                                <w:color w:val="000000"/>
                                <w:sz w:val="20"/>
                              </w:rPr>
                            </w:pPr>
                            <w:r>
                              <w:rPr>
                                <w:rFonts w:ascii="Expensify Neue;sans-serif" w:hAnsi="Expensify Neue;sans-serif"/>
                                <w:b w:val="false"/>
                                <w:color w:val="000000"/>
                                <w:sz w:val="20"/>
                              </w:rPr>
                              <w:t>See accompanying notes to Condensed Consolidated Financial Statements.</w:t>
                            </w:r>
                          </w:p>
                        </w:tc>
                      </w:tr>
                      <w:tr>
                        <w:trPr/>
                        <w:tc>
                          <w:tcPr>
                            <w:tcW w:w="7514" w:type="dxa"/>
                            <w:gridSpan w:val="6"/>
                            <w:tcBorders>
                              <w:bottom w:val="single" w:sz="8" w:space="0" w:color="000000"/>
                            </w:tcBorders>
                            <w:tcMar>
                              <w:top w:w="0" w:type="dxa"/>
                              <w:left w:w="0" w:type="dxa"/>
                              <w:bottom w:w="30" w:type="dxa"/>
                              <w:right w:w="0" w:type="dxa"/>
                            </w:tcMar>
                            <w:vAlign w:val="center"/>
                          </w:tcPr>
                          <w:p>
                            <w:pPr>
                              <w:pStyle w:val="TableContents"/>
                              <w:bidi w:val="0"/>
                              <w:spacing w:lineRule="auto" w:line="256" w:before="0" w:after="0"/>
                              <w:jc w:val="center"/>
                              <w:rPr>
                                <w:rFonts w:ascii="Expensify Neue;sans-serif" w:hAnsi="Expensify Neue;sans-serif"/>
                                <w:b w:val="false"/>
                                <w:color w:val="000000"/>
                                <w:sz w:val="20"/>
                              </w:rPr>
                            </w:pPr>
                            <w:r>
                              <w:rPr>
                                <w:rFonts w:ascii="Expensify Neue;sans-serif" w:hAnsi="Expensify Neue;sans-serif"/>
                                <w:b w:val="false"/>
                                <w:color w:val="000000"/>
                                <w:sz w:val="20"/>
                              </w:rPr>
                              <w:t>2</w:t>
                            </w:r>
                          </w:p>
                        </w:tc>
                      </w:tr>
                    </w:tbl>
                    <w:p>
                      <w:pPr>
                        <w:pStyle w:val="TextBody"/>
                        <w:bidi w:val="0"/>
                        <w:spacing w:before="0" w:after="283"/>
                        <w:jc w:val="left"/>
                        <w:rPr/>
                      </w:pPr>
                      <w:r>
                        <w:rPr/>
                      </w:r>
                    </w:p>
                  </w:txbxContent>
                </v:textbox>
                <w10:wrap type="none"/>
              </v:rect>
            </w:pict>
          </mc:Fallback>
        </mc:AlternateContent>
      </w:r>
    </w:p>
    <w:p>
      <w:pPr>
        <w:pStyle w:val="TextBody"/>
        <w:bidi w:val="0"/>
        <w:spacing w:lineRule="auto" w:line="288" w:before="0" w:after="160"/>
        <w:jc w:val="left"/>
        <w:rPr/>
      </w:pPr>
      <w:hyperlink w:anchor="i52a648c4f0e449f7bc3c2044827c8f0d_7">
        <w:r>
          <w:rPr>
            <w:rStyle w:val="InternetLink"/>
            <w:rFonts w:ascii="Expensify Neue;sans-serif" w:hAnsi="Expensify Neue;sans-serif"/>
            <w:b/>
            <w:color w:val="0000FF"/>
            <w:sz w:val="20"/>
            <w:u w:val="single"/>
          </w:rPr>
          <w:t>Table of Contents</w:t>
        </w:r>
      </w:hyperlink>
    </w:p>
    <w:p>
      <w:pPr>
        <w:pStyle w:val="TextBody"/>
        <w:bidi w:val="0"/>
        <w:spacing w:lineRule="auto" w:line="288" w:before="0" w:after="0"/>
        <w:jc w:val="center"/>
        <w:rPr>
          <w:rFonts w:ascii="Expensify Neue;sans-serif" w:hAnsi="Expensify Neue;sans-serif"/>
          <w:b/>
          <w:color w:val="000000"/>
          <w:sz w:val="24"/>
        </w:rPr>
      </w:pPr>
      <w:r>
        <w:rPr>
          <w:rFonts w:ascii="Expensify Neue;sans-serif" w:hAnsi="Expensify Neue;sans-serif"/>
          <w:b/>
          <w:color w:val="000000"/>
          <w:sz w:val="24"/>
        </w:rPr>
        <w:t>Expensify, Inc.</w:t>
      </w:r>
    </w:p>
    <w:p>
      <w:pPr>
        <w:pStyle w:val="TextBody"/>
        <w:bidi w:val="0"/>
        <w:spacing w:lineRule="auto" w:line="288" w:before="0" w:after="0"/>
        <w:jc w:val="center"/>
        <w:rPr>
          <w:rFonts w:ascii="Expensify Neue;sans-serif" w:hAnsi="Expensify Neue;sans-serif"/>
          <w:b/>
          <w:color w:val="000000"/>
          <w:sz w:val="24"/>
        </w:rPr>
      </w:pPr>
      <w:r>
        <w:rPr>
          <w:rFonts w:ascii="Expensify Neue;sans-serif" w:hAnsi="Expensify Neue;sans-serif"/>
          <w:b/>
          <w:color w:val="000000"/>
          <w:sz w:val="24"/>
        </w:rPr>
        <w:t>Condensed Consolidated Statements of Operations</w:t>
      </w:r>
    </w:p>
    <w:p>
      <w:pPr>
        <w:pStyle w:val="TextBody"/>
        <w:bidi w:val="0"/>
        <w:spacing w:lineRule="auto" w:line="288" w:before="0" w:after="0"/>
        <w:jc w:val="center"/>
        <w:rPr>
          <w:rFonts w:ascii="Expensify Neue;sans-serif" w:hAnsi="Expensify Neue;sans-serif"/>
          <w:b/>
          <w:color w:val="000000"/>
          <w:sz w:val="20"/>
        </w:rPr>
      </w:pPr>
      <w:r>
        <w:rPr>
          <w:rFonts w:ascii="Expensify Neue;sans-serif" w:hAnsi="Expensify Neue;sans-serif"/>
          <w:b/>
          <w:color w:val="000000"/>
          <w:sz w:val="20"/>
        </w:rPr>
        <w:t xml:space="preserve">(unaudited, in thousands, except share and per share data) </w:t>
      </w:r>
    </w:p>
    <w:tbl>
      <w:tblPr>
        <w:tblW w:w="10205" w:type="dxa"/>
        <w:jc w:val="left"/>
        <w:tblInd w:w="0" w:type="dxa"/>
        <w:tblLayout w:type="fixed"/>
        <w:tblCellMar>
          <w:top w:w="28" w:type="dxa"/>
          <w:left w:w="28" w:type="dxa"/>
          <w:bottom w:w="28" w:type="dxa"/>
          <w:right w:w="28" w:type="dxa"/>
        </w:tblCellMar>
      </w:tblPr>
      <w:tblGrid>
        <w:gridCol w:w="2596"/>
        <w:gridCol w:w="2225"/>
        <w:gridCol w:w="2230"/>
        <w:gridCol w:w="267"/>
        <w:gridCol w:w="979"/>
        <w:gridCol w:w="121"/>
        <w:gridCol w:w="121"/>
        <w:gridCol w:w="121"/>
        <w:gridCol w:w="121"/>
        <w:gridCol w:w="267"/>
        <w:gridCol w:w="979"/>
        <w:gridCol w:w="178"/>
      </w:tblGrid>
      <w:tr>
        <w:trPr/>
        <w:tc>
          <w:tcPr>
            <w:tcW w:w="2596" w:type="dxa"/>
            <w:tcBorders/>
            <w:vAlign w:val="center"/>
          </w:tcPr>
          <w:p>
            <w:pPr>
              <w:pStyle w:val="TableContents"/>
              <w:bidi w:val="0"/>
              <w:spacing w:before="0" w:after="283"/>
              <w:jc w:val="left"/>
              <w:rPr>
                <w:sz w:val="4"/>
                <w:szCs w:val="4"/>
              </w:rPr>
            </w:pPr>
            <w:r>
              <w:rPr>
                <w:sz w:val="4"/>
                <w:szCs w:val="4"/>
              </w:rPr>
            </w:r>
          </w:p>
        </w:tc>
        <w:tc>
          <w:tcPr>
            <w:tcW w:w="2225" w:type="dxa"/>
            <w:tcBorders/>
            <w:vAlign w:val="center"/>
          </w:tcPr>
          <w:p>
            <w:pPr>
              <w:pStyle w:val="TableContents"/>
              <w:bidi w:val="0"/>
              <w:spacing w:before="0" w:after="283"/>
              <w:jc w:val="left"/>
              <w:rPr>
                <w:sz w:val="4"/>
                <w:szCs w:val="4"/>
              </w:rPr>
            </w:pPr>
            <w:r>
              <w:rPr>
                <w:sz w:val="4"/>
                <w:szCs w:val="4"/>
              </w:rPr>
            </w:r>
          </w:p>
        </w:tc>
        <w:tc>
          <w:tcPr>
            <w:tcW w:w="2230" w:type="dxa"/>
            <w:tcBorders/>
            <w:vAlign w:val="center"/>
          </w:tcPr>
          <w:p>
            <w:pPr>
              <w:pStyle w:val="TableContents"/>
              <w:bidi w:val="0"/>
              <w:spacing w:before="0" w:after="283"/>
              <w:jc w:val="left"/>
              <w:rPr>
                <w:sz w:val="4"/>
                <w:szCs w:val="4"/>
              </w:rPr>
            </w:pPr>
            <w:r>
              <w:rPr>
                <w:sz w:val="4"/>
                <w:szCs w:val="4"/>
              </w:rPr>
            </w:r>
          </w:p>
        </w:tc>
        <w:tc>
          <w:tcPr>
            <w:tcW w:w="267" w:type="dxa"/>
            <w:tcBorders/>
            <w:vAlign w:val="center"/>
          </w:tcPr>
          <w:p>
            <w:pPr>
              <w:pStyle w:val="TableContents"/>
              <w:bidi w:val="0"/>
              <w:spacing w:before="0" w:after="283"/>
              <w:jc w:val="left"/>
              <w:rPr>
                <w:sz w:val="4"/>
                <w:szCs w:val="4"/>
              </w:rPr>
            </w:pPr>
            <w:r>
              <w:rPr>
                <w:sz w:val="4"/>
                <w:szCs w:val="4"/>
              </w:rPr>
            </w:r>
          </w:p>
        </w:tc>
        <w:tc>
          <w:tcPr>
            <w:tcW w:w="979" w:type="dxa"/>
            <w:tcBorders/>
            <w:vAlign w:val="center"/>
          </w:tcPr>
          <w:p>
            <w:pPr>
              <w:pStyle w:val="TableContents"/>
              <w:bidi w:val="0"/>
              <w:spacing w:before="0" w:after="283"/>
              <w:jc w:val="left"/>
              <w:rPr>
                <w:sz w:val="4"/>
                <w:szCs w:val="4"/>
              </w:rPr>
            </w:pPr>
            <w:r>
              <w:rPr>
                <w:sz w:val="4"/>
                <w:szCs w:val="4"/>
              </w:rPr>
            </w:r>
          </w:p>
        </w:tc>
        <w:tc>
          <w:tcPr>
            <w:tcW w:w="121" w:type="dxa"/>
            <w:tcBorders/>
            <w:vAlign w:val="center"/>
          </w:tcPr>
          <w:p>
            <w:pPr>
              <w:pStyle w:val="TableContents"/>
              <w:bidi w:val="0"/>
              <w:spacing w:before="0" w:after="283"/>
              <w:jc w:val="left"/>
              <w:rPr>
                <w:sz w:val="4"/>
                <w:szCs w:val="4"/>
              </w:rPr>
            </w:pPr>
            <w:r>
              <w:rPr>
                <w:sz w:val="4"/>
                <w:szCs w:val="4"/>
              </w:rPr>
            </w:r>
          </w:p>
        </w:tc>
        <w:tc>
          <w:tcPr>
            <w:tcW w:w="121" w:type="dxa"/>
            <w:tcBorders/>
            <w:vAlign w:val="center"/>
          </w:tcPr>
          <w:p>
            <w:pPr>
              <w:pStyle w:val="TableContents"/>
              <w:bidi w:val="0"/>
              <w:spacing w:before="0" w:after="283"/>
              <w:jc w:val="left"/>
              <w:rPr>
                <w:sz w:val="4"/>
                <w:szCs w:val="4"/>
              </w:rPr>
            </w:pPr>
            <w:r>
              <w:rPr>
                <w:sz w:val="4"/>
                <w:szCs w:val="4"/>
              </w:rPr>
            </w:r>
          </w:p>
        </w:tc>
        <w:tc>
          <w:tcPr>
            <w:tcW w:w="121" w:type="dxa"/>
            <w:tcBorders/>
            <w:vAlign w:val="center"/>
          </w:tcPr>
          <w:p>
            <w:pPr>
              <w:pStyle w:val="TableContents"/>
              <w:bidi w:val="0"/>
              <w:spacing w:before="0" w:after="283"/>
              <w:jc w:val="left"/>
              <w:rPr>
                <w:sz w:val="4"/>
                <w:szCs w:val="4"/>
              </w:rPr>
            </w:pPr>
            <w:r>
              <w:rPr>
                <w:sz w:val="4"/>
                <w:szCs w:val="4"/>
              </w:rPr>
            </w:r>
          </w:p>
        </w:tc>
        <w:tc>
          <w:tcPr>
            <w:tcW w:w="121" w:type="dxa"/>
            <w:tcBorders/>
            <w:vAlign w:val="center"/>
          </w:tcPr>
          <w:p>
            <w:pPr>
              <w:pStyle w:val="TableContents"/>
              <w:bidi w:val="0"/>
              <w:spacing w:before="0" w:after="283"/>
              <w:jc w:val="left"/>
              <w:rPr>
                <w:sz w:val="4"/>
                <w:szCs w:val="4"/>
              </w:rPr>
            </w:pPr>
            <w:r>
              <w:rPr>
                <w:sz w:val="4"/>
                <w:szCs w:val="4"/>
              </w:rPr>
            </w:r>
          </w:p>
        </w:tc>
        <w:tc>
          <w:tcPr>
            <w:tcW w:w="267" w:type="dxa"/>
            <w:tcBorders/>
            <w:vAlign w:val="center"/>
          </w:tcPr>
          <w:p>
            <w:pPr>
              <w:pStyle w:val="TableContents"/>
              <w:bidi w:val="0"/>
              <w:spacing w:before="0" w:after="283"/>
              <w:jc w:val="left"/>
              <w:rPr>
                <w:sz w:val="4"/>
                <w:szCs w:val="4"/>
              </w:rPr>
            </w:pPr>
            <w:r>
              <w:rPr>
                <w:sz w:val="4"/>
                <w:szCs w:val="4"/>
              </w:rPr>
            </w:r>
          </w:p>
        </w:tc>
        <w:tc>
          <w:tcPr>
            <w:tcW w:w="979" w:type="dxa"/>
            <w:tcBorders/>
            <w:vAlign w:val="center"/>
          </w:tcPr>
          <w:p>
            <w:pPr>
              <w:pStyle w:val="TableContents"/>
              <w:bidi w:val="0"/>
              <w:spacing w:before="0" w:after="283"/>
              <w:jc w:val="left"/>
              <w:rPr>
                <w:sz w:val="4"/>
                <w:szCs w:val="4"/>
              </w:rPr>
            </w:pPr>
            <w:r>
              <w:rPr>
                <w:sz w:val="4"/>
                <w:szCs w:val="4"/>
              </w:rPr>
            </w:r>
          </w:p>
        </w:tc>
        <w:tc>
          <w:tcPr>
            <w:tcW w:w="178" w:type="dxa"/>
            <w:tcBorders/>
            <w:vAlign w:val="center"/>
          </w:tcPr>
          <w:p>
            <w:pPr>
              <w:pStyle w:val="TableContents"/>
              <w:bidi w:val="0"/>
              <w:spacing w:before="0" w:after="283"/>
              <w:jc w:val="left"/>
              <w:rPr>
                <w:sz w:val="4"/>
                <w:szCs w:val="4"/>
              </w:rPr>
            </w:pPr>
            <w:r>
              <w:rPr>
                <w:sz w:val="4"/>
                <w:szCs w:val="4"/>
              </w:rPr>
            </w:r>
          </w:p>
        </w:tc>
      </w:tr>
      <w:tr>
        <w:trPr/>
        <w:tc>
          <w:tcPr>
            <w:tcW w:w="7051" w:type="dxa"/>
            <w:gridSpan w:val="3"/>
            <w:tcBorders>
              <w:top w:val="single" w:sz="1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54" w:type="dxa"/>
            <w:gridSpan w:val="9"/>
            <w:tcBorders>
              <w:top w:val="single" w:sz="16"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Expensify Neue;sans-serif" w:hAnsi="Expensify Neue;sans-serif"/>
                <w:b/>
                <w:color w:val="000000"/>
                <w:sz w:val="16"/>
              </w:rPr>
            </w:pPr>
            <w:r>
              <w:rPr>
                <w:rFonts w:ascii="Expensify Neue;sans-serif" w:hAnsi="Expensify Neue;sans-serif"/>
                <w:b/>
                <w:color w:val="000000"/>
                <w:sz w:val="16"/>
              </w:rPr>
              <w:t>Three Months Ended March 31,</w:t>
            </w:r>
          </w:p>
        </w:tc>
      </w:tr>
      <w:tr>
        <w:trPr/>
        <w:tc>
          <w:tcPr>
            <w:tcW w:w="70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7"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Expensify Neue;sans-serif" w:hAnsi="Expensify Neue;sans-serif"/>
                <w:b/>
                <w:color w:val="000000"/>
                <w:sz w:val="16"/>
              </w:rPr>
            </w:pPr>
            <w:r>
              <w:rPr>
                <w:rFonts w:ascii="Expensify Neue;sans-serif" w:hAnsi="Expensify Neue;sans-serif"/>
                <w:b/>
                <w:color w:val="000000"/>
                <w:sz w:val="16"/>
              </w:rPr>
              <w:t>2025</w:t>
            </w:r>
          </w:p>
        </w:tc>
        <w:tc>
          <w:tcPr>
            <w:tcW w:w="363"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Expensify Neue;sans-serif" w:hAnsi="Expensify Neue;sans-serif"/>
                <w:b/>
                <w:color w:val="000000"/>
                <w:sz w:val="16"/>
              </w:rPr>
            </w:pPr>
            <w:r>
              <w:rPr>
                <w:rFonts w:ascii="Expensify Neue;sans-serif" w:hAnsi="Expensify Neue;sans-serif"/>
                <w:b/>
                <w:color w:val="000000"/>
                <w:sz w:val="16"/>
              </w:rPr>
              <w:t>2024</w:t>
            </w:r>
          </w:p>
        </w:tc>
      </w:tr>
      <w:tr>
        <w:trPr/>
        <w:tc>
          <w:tcPr>
            <w:tcW w:w="705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Expensify Neue;sans-serif" w:hAnsi="Expensify Neue;sans-serif"/>
                <w:b w:val="false"/>
                <w:color w:val="000000"/>
                <w:sz w:val="20"/>
              </w:rPr>
            </w:pPr>
            <w:r>
              <w:rPr>
                <w:rFonts w:ascii="Expensify Neue;sans-serif" w:hAnsi="Expensify Neue;sans-serif"/>
                <w:b w:val="false"/>
                <w:color w:val="000000"/>
                <w:sz w:val="20"/>
              </w:rPr>
              <w:t>Revenue</w:t>
            </w:r>
          </w:p>
        </w:tc>
        <w:tc>
          <w:tcPr>
            <w:tcW w:w="26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Expensify Neue;sans-serif" w:hAnsi="Expensify Neue;sans-serif"/>
                <w:b w:val="false"/>
                <w:color w:val="000000"/>
                <w:sz w:val="20"/>
              </w:rPr>
            </w:pPr>
            <w:r>
              <w:rPr>
                <w:rFonts w:ascii="Expensify Neue;sans-serif" w:hAnsi="Expensify Neue;sans-serif"/>
                <w:b w:val="false"/>
                <w:color w:val="000000"/>
                <w:sz w:val="20"/>
              </w:rPr>
              <w:t>$</w:t>
            </w:r>
          </w:p>
        </w:tc>
        <w:tc>
          <w:tcPr>
            <w:tcW w:w="97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Expensify Neue;sans-serif" w:hAnsi="Expensify Neue;sans-serif"/>
                <w:b w:val="false"/>
                <w:color w:val="000000"/>
                <w:sz w:val="20"/>
              </w:rPr>
            </w:pPr>
            <w:r>
              <w:rPr>
                <w:rFonts w:ascii="Expensify Neue;sans-serif" w:hAnsi="Expensify Neue;sans-serif"/>
                <w:b w:val="false"/>
                <w:color w:val="000000"/>
                <w:sz w:val="20"/>
              </w:rPr>
              <w:t>36,074 </w:t>
            </w:r>
          </w:p>
        </w:tc>
        <w:tc>
          <w:tcPr>
            <w:tcW w:w="12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Expensify Neue;sans-serif" w:hAnsi="Expensify Neue;sans-serif"/>
                <w:b w:val="false"/>
                <w:color w:val="000000"/>
                <w:sz w:val="20"/>
              </w:rPr>
            </w:pPr>
            <w:r>
              <w:rPr>
                <w:rFonts w:ascii="Expensify Neue;sans-serif" w:hAnsi="Expensify Neue;sans-serif"/>
                <w:b w:val="false"/>
                <w:color w:val="000000"/>
                <w:sz w:val="20"/>
              </w:rPr>
              <w:t>$</w:t>
            </w:r>
          </w:p>
        </w:tc>
        <w:tc>
          <w:tcPr>
            <w:tcW w:w="97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Expensify Neue;sans-serif" w:hAnsi="Expensify Neue;sans-serif"/>
                <w:b w:val="false"/>
                <w:color w:val="000000"/>
                <w:sz w:val="20"/>
              </w:rPr>
            </w:pPr>
            <w:r>
              <w:rPr>
                <w:rFonts w:ascii="Expensify Neue;sans-serif" w:hAnsi="Expensify Neue;sans-serif"/>
                <w:b w:val="false"/>
                <w:color w:val="000000"/>
                <w:sz w:val="20"/>
              </w:rPr>
              <w:t>33,535 </w:t>
            </w:r>
          </w:p>
        </w:tc>
        <w:tc>
          <w:tcPr>
            <w:tcW w:w="17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5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Expensify Neue;sans-serif" w:hAnsi="Expensify Neue;sans-serif"/>
                <w:b w:val="false"/>
                <w:color w:val="000000"/>
                <w:sz w:val="20"/>
              </w:rPr>
            </w:pPr>
            <w:r>
              <w:rPr>
                <w:rFonts w:ascii="Expensify Neue;sans-serif" w:hAnsi="Expensify Neue;sans-serif"/>
                <w:b w:val="false"/>
                <w:color w:val="000000"/>
                <w:sz w:val="20"/>
              </w:rPr>
              <w:t>Cost of revenue, net</w:t>
            </w:r>
          </w:p>
        </w:tc>
        <w:tc>
          <w:tcPr>
            <w:tcW w:w="12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Expensify Neue;sans-serif" w:hAnsi="Expensify Neue;sans-serif"/>
                <w:b w:val="false"/>
                <w:color w:val="000000"/>
                <w:sz w:val="20"/>
              </w:rPr>
            </w:pPr>
            <w:r>
              <w:rPr>
                <w:rFonts w:ascii="Expensify Neue;sans-serif" w:hAnsi="Expensify Neue;sans-serif"/>
                <w:b w:val="false"/>
                <w:color w:val="000000"/>
                <w:sz w:val="20"/>
              </w:rPr>
              <w:t>17,832 </w:t>
            </w:r>
          </w:p>
        </w:tc>
        <w:tc>
          <w:tcPr>
            <w:tcW w:w="1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Expensify Neue;sans-serif" w:hAnsi="Expensify Neue;sans-serif"/>
                <w:b w:val="false"/>
                <w:color w:val="000000"/>
                <w:sz w:val="20"/>
              </w:rPr>
            </w:pPr>
            <w:r>
              <w:rPr>
                <w:rFonts w:ascii="Expensify Neue;sans-serif" w:hAnsi="Expensify Neue;sans-serif"/>
                <w:b w:val="false"/>
                <w:color w:val="000000"/>
                <w:sz w:val="20"/>
              </w:rPr>
              <w:t>14,584 </w:t>
            </w:r>
          </w:p>
        </w:tc>
        <w:tc>
          <w:tcPr>
            <w:tcW w:w="17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5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Expensify Neue;sans-serif" w:hAnsi="Expensify Neue;sans-serif"/>
                <w:b w:val="false"/>
                <w:color w:val="000000"/>
                <w:sz w:val="20"/>
              </w:rPr>
            </w:pPr>
            <w:r>
              <w:rPr>
                <w:rFonts w:ascii="Expensify Neue;sans-serif" w:hAnsi="Expensify Neue;sans-serif"/>
                <w:b w:val="false"/>
                <w:color w:val="000000"/>
                <w:sz w:val="20"/>
              </w:rPr>
              <w:t>Gross margin</w:t>
            </w:r>
          </w:p>
        </w:tc>
        <w:tc>
          <w:tcPr>
            <w:tcW w:w="124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Expensify Neue;sans-serif" w:hAnsi="Expensify Neue;sans-serif"/>
                <w:b w:val="false"/>
                <w:color w:val="000000"/>
                <w:sz w:val="20"/>
              </w:rPr>
            </w:pPr>
            <w:r>
              <w:rPr>
                <w:rFonts w:ascii="Expensify Neue;sans-serif" w:hAnsi="Expensify Neue;sans-serif"/>
                <w:b w:val="false"/>
                <w:color w:val="000000"/>
                <w:sz w:val="20"/>
              </w:rPr>
              <w:t>18,242 </w:t>
            </w:r>
          </w:p>
        </w:tc>
        <w:tc>
          <w:tcPr>
            <w:tcW w:w="12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Expensify Neue;sans-serif" w:hAnsi="Expensify Neue;sans-serif"/>
                <w:b w:val="false"/>
                <w:color w:val="000000"/>
                <w:sz w:val="20"/>
              </w:rPr>
            </w:pPr>
            <w:r>
              <w:rPr>
                <w:rFonts w:ascii="Expensify Neue;sans-serif" w:hAnsi="Expensify Neue;sans-serif"/>
                <w:b w:val="false"/>
                <w:color w:val="000000"/>
                <w:sz w:val="20"/>
              </w:rPr>
              <w:t>18,951 </w:t>
            </w:r>
          </w:p>
        </w:tc>
        <w:tc>
          <w:tcPr>
            <w:tcW w:w="17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5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Expensify Neue;sans-serif" w:hAnsi="Expensify Neue;sans-serif"/>
                <w:b w:val="false"/>
                <w:color w:val="000000"/>
                <w:sz w:val="20"/>
              </w:rPr>
            </w:pPr>
            <w:r>
              <w:rPr>
                <w:rFonts w:ascii="Expensify Neue;sans-serif" w:hAnsi="Expensify Neue;sans-serif"/>
                <w:b w:val="false"/>
                <w:color w:val="000000"/>
                <w:sz w:val="20"/>
              </w:rPr>
              <w:t>Operating expenses:</w:t>
            </w:r>
          </w:p>
        </w:tc>
        <w:tc>
          <w:tcPr>
            <w:tcW w:w="136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4"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5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Expensify Neue;sans-serif" w:hAnsi="Expensify Neue;sans-serif"/>
                <w:b w:val="false"/>
                <w:color w:val="000000"/>
                <w:sz w:val="20"/>
              </w:rPr>
            </w:pPr>
            <w:r>
              <w:rPr>
                <w:rFonts w:ascii="Expensify Neue;sans-serif" w:hAnsi="Expensify Neue;sans-serif"/>
                <w:b w:val="false"/>
                <w:color w:val="000000"/>
                <w:sz w:val="20"/>
              </w:rPr>
              <w:t>Research and development</w:t>
            </w:r>
          </w:p>
        </w:tc>
        <w:tc>
          <w:tcPr>
            <w:tcW w:w="12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Expensify Neue;sans-serif" w:hAnsi="Expensify Neue;sans-serif"/>
                <w:b w:val="false"/>
                <w:color w:val="000000"/>
                <w:sz w:val="20"/>
              </w:rPr>
            </w:pPr>
            <w:r>
              <w:rPr>
                <w:rFonts w:ascii="Expensify Neue;sans-serif" w:hAnsi="Expensify Neue;sans-serif"/>
                <w:b w:val="false"/>
                <w:color w:val="000000"/>
                <w:sz w:val="20"/>
              </w:rPr>
              <w:t>5,358 </w:t>
            </w:r>
          </w:p>
        </w:tc>
        <w:tc>
          <w:tcPr>
            <w:tcW w:w="1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Expensify Neue;sans-serif" w:hAnsi="Expensify Neue;sans-serif"/>
                <w:b w:val="false"/>
                <w:color w:val="000000"/>
                <w:sz w:val="20"/>
              </w:rPr>
            </w:pPr>
            <w:r>
              <w:rPr>
                <w:rFonts w:ascii="Expensify Neue;sans-serif" w:hAnsi="Expensify Neue;sans-serif"/>
                <w:b w:val="false"/>
                <w:color w:val="000000"/>
                <w:sz w:val="20"/>
              </w:rPr>
              <w:t>5,929 </w:t>
            </w:r>
          </w:p>
        </w:tc>
        <w:tc>
          <w:tcPr>
            <w:tcW w:w="17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5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Expensify Neue;sans-serif" w:hAnsi="Expensify Neue;sans-serif"/>
                <w:b w:val="false"/>
                <w:color w:val="000000"/>
                <w:sz w:val="20"/>
              </w:rPr>
            </w:pPr>
            <w:r>
              <w:rPr>
                <w:rFonts w:ascii="Expensify Neue;sans-serif" w:hAnsi="Expensify Neue;sans-serif"/>
                <w:b w:val="false"/>
                <w:color w:val="000000"/>
                <w:sz w:val="20"/>
              </w:rPr>
              <w:t>General and administrative</w:t>
            </w:r>
          </w:p>
        </w:tc>
        <w:tc>
          <w:tcPr>
            <w:tcW w:w="12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Expensify Neue;sans-serif" w:hAnsi="Expensify Neue;sans-serif"/>
                <w:b w:val="false"/>
                <w:color w:val="000000"/>
                <w:sz w:val="20"/>
              </w:rPr>
            </w:pPr>
            <w:r>
              <w:rPr>
                <w:rFonts w:ascii="Expensify Neue;sans-serif" w:hAnsi="Expensify Neue;sans-serif"/>
                <w:b w:val="false"/>
                <w:color w:val="000000"/>
                <w:sz w:val="20"/>
              </w:rPr>
              <w:t>10,829 </w:t>
            </w:r>
          </w:p>
        </w:tc>
        <w:tc>
          <w:tcPr>
            <w:tcW w:w="1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Expensify Neue;sans-serif" w:hAnsi="Expensify Neue;sans-serif"/>
                <w:b w:val="false"/>
                <w:color w:val="000000"/>
                <w:sz w:val="20"/>
              </w:rPr>
            </w:pPr>
            <w:r>
              <w:rPr>
                <w:rFonts w:ascii="Expensify Neue;sans-serif" w:hAnsi="Expensify Neue;sans-serif"/>
                <w:b w:val="false"/>
                <w:color w:val="000000"/>
                <w:sz w:val="20"/>
              </w:rPr>
              <w:t>11,431 </w:t>
            </w:r>
          </w:p>
        </w:tc>
        <w:tc>
          <w:tcPr>
            <w:tcW w:w="17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5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Expensify Neue;sans-serif" w:hAnsi="Expensify Neue;sans-serif"/>
                <w:b w:val="false"/>
                <w:color w:val="000000"/>
                <w:sz w:val="20"/>
              </w:rPr>
            </w:pPr>
            <w:r>
              <w:rPr>
                <w:rFonts w:ascii="Expensify Neue;sans-serif" w:hAnsi="Expensify Neue;sans-serif"/>
                <w:b w:val="false"/>
                <w:color w:val="000000"/>
                <w:sz w:val="20"/>
              </w:rPr>
              <w:t>Sales and marketing</w:t>
            </w:r>
          </w:p>
        </w:tc>
        <w:tc>
          <w:tcPr>
            <w:tcW w:w="12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Expensify Neue;sans-serif" w:hAnsi="Expensify Neue;sans-serif"/>
                <w:b w:val="false"/>
                <w:color w:val="000000"/>
                <w:sz w:val="20"/>
              </w:rPr>
            </w:pPr>
            <w:r>
              <w:rPr>
                <w:rFonts w:ascii="Expensify Neue;sans-serif" w:hAnsi="Expensify Neue;sans-serif"/>
                <w:b w:val="false"/>
                <w:color w:val="000000"/>
                <w:sz w:val="20"/>
              </w:rPr>
              <w:t>3,542 </w:t>
            </w:r>
          </w:p>
        </w:tc>
        <w:tc>
          <w:tcPr>
            <w:tcW w:w="1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Expensify Neue;sans-serif" w:hAnsi="Expensify Neue;sans-serif"/>
                <w:b w:val="false"/>
                <w:color w:val="000000"/>
                <w:sz w:val="20"/>
              </w:rPr>
            </w:pPr>
            <w:r>
              <w:rPr>
                <w:rFonts w:ascii="Expensify Neue;sans-serif" w:hAnsi="Expensify Neue;sans-serif"/>
                <w:b w:val="false"/>
                <w:color w:val="000000"/>
                <w:sz w:val="20"/>
              </w:rPr>
              <w:t>3,384 </w:t>
            </w:r>
          </w:p>
        </w:tc>
        <w:tc>
          <w:tcPr>
            <w:tcW w:w="17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5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Expensify Neue;sans-serif" w:hAnsi="Expensify Neue;sans-serif"/>
                <w:b w:val="false"/>
                <w:color w:val="000000"/>
                <w:sz w:val="20"/>
              </w:rPr>
            </w:pPr>
            <w:r>
              <w:rPr>
                <w:rFonts w:ascii="Expensify Neue;sans-serif" w:hAnsi="Expensify Neue;sans-serif"/>
                <w:b w:val="false"/>
                <w:color w:val="000000"/>
                <w:sz w:val="20"/>
              </w:rPr>
              <w:t>Total operating expenses</w:t>
            </w:r>
          </w:p>
        </w:tc>
        <w:tc>
          <w:tcPr>
            <w:tcW w:w="124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Expensify Neue;sans-serif" w:hAnsi="Expensify Neue;sans-serif"/>
                <w:b w:val="false"/>
                <w:color w:val="000000"/>
                <w:sz w:val="20"/>
              </w:rPr>
            </w:pPr>
            <w:r>
              <w:rPr>
                <w:rFonts w:ascii="Expensify Neue;sans-serif" w:hAnsi="Expensify Neue;sans-serif"/>
                <w:b w:val="false"/>
                <w:color w:val="000000"/>
                <w:sz w:val="20"/>
              </w:rPr>
              <w:t>19,729 </w:t>
            </w:r>
          </w:p>
        </w:tc>
        <w:tc>
          <w:tcPr>
            <w:tcW w:w="12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Expensify Neue;sans-serif" w:hAnsi="Expensify Neue;sans-serif"/>
                <w:b w:val="false"/>
                <w:color w:val="000000"/>
                <w:sz w:val="20"/>
              </w:rPr>
            </w:pPr>
            <w:r>
              <w:rPr>
                <w:rFonts w:ascii="Expensify Neue;sans-serif" w:hAnsi="Expensify Neue;sans-serif"/>
                <w:b w:val="false"/>
                <w:color w:val="000000"/>
                <w:sz w:val="20"/>
              </w:rPr>
              <w:t>20,744 </w:t>
            </w:r>
          </w:p>
        </w:tc>
        <w:tc>
          <w:tcPr>
            <w:tcW w:w="178"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5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Expensify Neue;sans-serif" w:hAnsi="Expensify Neue;sans-serif"/>
                <w:b w:val="false"/>
                <w:color w:val="000000"/>
                <w:sz w:val="20"/>
              </w:rPr>
            </w:pPr>
            <w:r>
              <w:rPr>
                <w:rFonts w:ascii="Expensify Neue;sans-serif" w:hAnsi="Expensify Neue;sans-serif"/>
                <w:b w:val="false"/>
                <w:color w:val="000000"/>
                <w:sz w:val="20"/>
              </w:rPr>
              <w:t>Loss from operations</w:t>
            </w:r>
          </w:p>
        </w:tc>
        <w:tc>
          <w:tcPr>
            <w:tcW w:w="124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Expensify Neue;sans-serif" w:hAnsi="Expensify Neue;sans-serif"/>
                <w:b w:val="false"/>
                <w:color w:val="000000"/>
                <w:sz w:val="20"/>
              </w:rPr>
            </w:pPr>
            <w:r>
              <w:rPr>
                <w:rFonts w:ascii="Expensify Neue;sans-serif" w:hAnsi="Expensify Neue;sans-serif"/>
                <w:b w:val="false"/>
                <w:color w:val="000000"/>
                <w:sz w:val="20"/>
              </w:rPr>
              <w:t>(1,487)</w:t>
            </w:r>
          </w:p>
        </w:tc>
        <w:tc>
          <w:tcPr>
            <w:tcW w:w="12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Expensify Neue;sans-serif" w:hAnsi="Expensify Neue;sans-serif"/>
                <w:b w:val="false"/>
                <w:color w:val="000000"/>
                <w:sz w:val="20"/>
              </w:rPr>
            </w:pPr>
            <w:r>
              <w:rPr>
                <w:rFonts w:ascii="Expensify Neue;sans-serif" w:hAnsi="Expensify Neue;sans-serif"/>
                <w:b w:val="false"/>
                <w:color w:val="000000"/>
                <w:sz w:val="20"/>
              </w:rPr>
              <w:t>(1,793)</w:t>
            </w:r>
          </w:p>
        </w:tc>
        <w:tc>
          <w:tcPr>
            <w:tcW w:w="17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5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Expensify Neue;sans-serif" w:hAnsi="Expensify Neue;sans-serif"/>
                <w:b w:val="false"/>
                <w:color w:val="000000"/>
                <w:sz w:val="20"/>
              </w:rPr>
            </w:pPr>
            <w:r>
              <w:rPr>
                <w:rFonts w:ascii="Expensify Neue;sans-serif" w:hAnsi="Expensify Neue;sans-serif"/>
                <w:b w:val="false"/>
                <w:color w:val="000000"/>
                <w:sz w:val="20"/>
              </w:rPr>
              <w:t>Other income (expenses), net</w:t>
            </w:r>
          </w:p>
        </w:tc>
        <w:tc>
          <w:tcPr>
            <w:tcW w:w="12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Expensify Neue;sans-serif" w:hAnsi="Expensify Neue;sans-serif"/>
                <w:b w:val="false"/>
                <w:color w:val="000000"/>
                <w:sz w:val="20"/>
              </w:rPr>
            </w:pPr>
            <w:r>
              <w:rPr>
                <w:rFonts w:ascii="Expensify Neue;sans-serif" w:hAnsi="Expensify Neue;sans-serif"/>
                <w:b w:val="false"/>
                <w:color w:val="000000"/>
                <w:sz w:val="20"/>
              </w:rPr>
              <w:t>324 </w:t>
            </w:r>
          </w:p>
        </w:tc>
        <w:tc>
          <w:tcPr>
            <w:tcW w:w="1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Expensify Neue;sans-serif" w:hAnsi="Expensify Neue;sans-serif"/>
                <w:b w:val="false"/>
                <w:color w:val="000000"/>
                <w:sz w:val="20"/>
              </w:rPr>
            </w:pPr>
            <w:r>
              <w:rPr>
                <w:rFonts w:ascii="Expensify Neue;sans-serif" w:hAnsi="Expensify Neue;sans-serif"/>
                <w:b w:val="false"/>
                <w:color w:val="000000"/>
                <w:sz w:val="20"/>
              </w:rPr>
              <w:t>(954)</w:t>
            </w:r>
          </w:p>
        </w:tc>
        <w:tc>
          <w:tcPr>
            <w:tcW w:w="17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5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Expensify Neue;sans-serif" w:hAnsi="Expensify Neue;sans-serif"/>
                <w:b w:val="false"/>
                <w:color w:val="000000"/>
                <w:sz w:val="20"/>
              </w:rPr>
            </w:pPr>
            <w:r>
              <w:rPr>
                <w:rFonts w:ascii="Expensify Neue;sans-serif" w:hAnsi="Expensify Neue;sans-serif"/>
                <w:b w:val="false"/>
                <w:color w:val="000000"/>
                <w:sz w:val="20"/>
              </w:rPr>
              <w:t>Loss before income taxes</w:t>
            </w:r>
          </w:p>
        </w:tc>
        <w:tc>
          <w:tcPr>
            <w:tcW w:w="124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Expensify Neue;sans-serif" w:hAnsi="Expensify Neue;sans-serif"/>
                <w:b w:val="false"/>
                <w:color w:val="000000"/>
                <w:sz w:val="20"/>
              </w:rPr>
            </w:pPr>
            <w:r>
              <w:rPr>
                <w:rFonts w:ascii="Expensify Neue;sans-serif" w:hAnsi="Expensify Neue;sans-serif"/>
                <w:b w:val="false"/>
                <w:color w:val="000000"/>
                <w:sz w:val="20"/>
              </w:rPr>
              <w:t>(1,163)</w:t>
            </w:r>
          </w:p>
        </w:tc>
        <w:tc>
          <w:tcPr>
            <w:tcW w:w="12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Expensify Neue;sans-serif" w:hAnsi="Expensify Neue;sans-serif"/>
                <w:b w:val="false"/>
                <w:color w:val="000000"/>
                <w:sz w:val="20"/>
              </w:rPr>
            </w:pPr>
            <w:r>
              <w:rPr>
                <w:rFonts w:ascii="Expensify Neue;sans-serif" w:hAnsi="Expensify Neue;sans-serif"/>
                <w:b w:val="false"/>
                <w:color w:val="000000"/>
                <w:sz w:val="20"/>
              </w:rPr>
              <w:t>(2,747)</w:t>
            </w:r>
          </w:p>
        </w:tc>
        <w:tc>
          <w:tcPr>
            <w:tcW w:w="17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5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Expensify Neue;sans-serif" w:hAnsi="Expensify Neue;sans-serif"/>
                <w:b w:val="false"/>
                <w:color w:val="000000"/>
                <w:sz w:val="20"/>
              </w:rPr>
            </w:pPr>
            <w:r>
              <w:rPr>
                <w:rFonts w:ascii="Expensify Neue;sans-serif" w:hAnsi="Expensify Neue;sans-serif"/>
                <w:b w:val="false"/>
                <w:color w:val="000000"/>
                <w:sz w:val="20"/>
              </w:rPr>
              <w:t>Provision for income taxes</w:t>
            </w:r>
          </w:p>
        </w:tc>
        <w:tc>
          <w:tcPr>
            <w:tcW w:w="12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Expensify Neue;sans-serif" w:hAnsi="Expensify Neue;sans-serif"/>
                <w:b w:val="false"/>
                <w:color w:val="000000"/>
                <w:sz w:val="20"/>
              </w:rPr>
            </w:pPr>
            <w:r>
              <w:rPr>
                <w:rFonts w:ascii="Expensify Neue;sans-serif" w:hAnsi="Expensify Neue;sans-serif"/>
                <w:b w:val="false"/>
                <w:color w:val="000000"/>
                <w:sz w:val="20"/>
              </w:rPr>
              <w:t>(2,006)</w:t>
            </w:r>
          </w:p>
        </w:tc>
        <w:tc>
          <w:tcPr>
            <w:tcW w:w="1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Expensify Neue;sans-serif" w:hAnsi="Expensify Neue;sans-serif"/>
                <w:b w:val="false"/>
                <w:color w:val="000000"/>
                <w:sz w:val="20"/>
              </w:rPr>
            </w:pPr>
            <w:r>
              <w:rPr>
                <w:rFonts w:ascii="Expensify Neue;sans-serif" w:hAnsi="Expensify Neue;sans-serif"/>
                <w:b w:val="false"/>
                <w:color w:val="000000"/>
                <w:sz w:val="20"/>
              </w:rPr>
              <w:t>(1,034)</w:t>
            </w:r>
          </w:p>
        </w:tc>
        <w:tc>
          <w:tcPr>
            <w:tcW w:w="17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5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Expensify Neue;sans-serif" w:hAnsi="Expensify Neue;sans-serif"/>
                <w:b w:val="false"/>
                <w:color w:val="000000"/>
                <w:sz w:val="20"/>
              </w:rPr>
            </w:pPr>
            <w:r>
              <w:rPr>
                <w:rFonts w:ascii="Expensify Neue;sans-serif" w:hAnsi="Expensify Neue;sans-serif"/>
                <w:b w:val="false"/>
                <w:color w:val="000000"/>
                <w:sz w:val="20"/>
              </w:rPr>
              <w:t>Net loss</w:t>
            </w:r>
          </w:p>
        </w:tc>
        <w:tc>
          <w:tcPr>
            <w:tcW w:w="26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Expensify Neue;sans-serif" w:hAnsi="Expensify Neue;sans-serif"/>
                <w:b w:val="false"/>
                <w:color w:val="000000"/>
                <w:sz w:val="20"/>
              </w:rPr>
            </w:pPr>
            <w:r>
              <w:rPr>
                <w:rFonts w:ascii="Expensify Neue;sans-serif" w:hAnsi="Expensify Neue;sans-serif"/>
                <w:b w:val="false"/>
                <w:color w:val="000000"/>
                <w:sz w:val="20"/>
              </w:rPr>
              <w:t>$</w:t>
            </w:r>
          </w:p>
        </w:tc>
        <w:tc>
          <w:tcPr>
            <w:tcW w:w="97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Expensify Neue;sans-serif" w:hAnsi="Expensify Neue;sans-serif"/>
                <w:b w:val="false"/>
                <w:color w:val="000000"/>
                <w:sz w:val="20"/>
              </w:rPr>
            </w:pPr>
            <w:r>
              <w:rPr>
                <w:rFonts w:ascii="Expensify Neue;sans-serif" w:hAnsi="Expensify Neue;sans-serif"/>
                <w:b w:val="false"/>
                <w:color w:val="000000"/>
                <w:sz w:val="20"/>
              </w:rPr>
              <w:t>(3,169)</w:t>
            </w:r>
          </w:p>
        </w:tc>
        <w:tc>
          <w:tcPr>
            <w:tcW w:w="12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Expensify Neue;sans-serif" w:hAnsi="Expensify Neue;sans-serif"/>
                <w:b w:val="false"/>
                <w:color w:val="000000"/>
                <w:sz w:val="20"/>
              </w:rPr>
            </w:pPr>
            <w:r>
              <w:rPr>
                <w:rFonts w:ascii="Expensify Neue;sans-serif" w:hAnsi="Expensify Neue;sans-serif"/>
                <w:b w:val="false"/>
                <w:color w:val="000000"/>
                <w:sz w:val="20"/>
              </w:rPr>
              <w:t>$</w:t>
            </w:r>
          </w:p>
        </w:tc>
        <w:tc>
          <w:tcPr>
            <w:tcW w:w="97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Expensify Neue;sans-serif" w:hAnsi="Expensify Neue;sans-serif"/>
                <w:b w:val="false"/>
                <w:color w:val="000000"/>
                <w:sz w:val="20"/>
              </w:rPr>
            </w:pPr>
            <w:r>
              <w:rPr>
                <w:rFonts w:ascii="Expensify Neue;sans-serif" w:hAnsi="Expensify Neue;sans-serif"/>
                <w:b w:val="false"/>
                <w:color w:val="000000"/>
                <w:sz w:val="20"/>
              </w:rPr>
              <w:t>(3,781)</w:t>
            </w:r>
          </w:p>
        </w:tc>
        <w:tc>
          <w:tcPr>
            <w:tcW w:w="17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5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Expensify Neue;sans-serif" w:hAnsi="Expensify Neue;sans-serif"/>
                <w:b w:val="false"/>
                <w:color w:val="000000"/>
                <w:sz w:val="20"/>
              </w:rPr>
            </w:pPr>
            <w:r>
              <w:rPr>
                <w:rFonts w:ascii="Expensify Neue;sans-serif" w:hAnsi="Expensify Neue;sans-serif"/>
                <w:b w:val="false"/>
                <w:color w:val="000000"/>
                <w:sz w:val="20"/>
              </w:rPr>
              <w:t>Net loss per share:</w:t>
            </w:r>
          </w:p>
        </w:tc>
        <w:tc>
          <w:tcPr>
            <w:tcW w:w="1367"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4"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5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Expensify Neue;sans-serif" w:hAnsi="Expensify Neue;sans-serif"/>
                <w:b w:val="false"/>
                <w:color w:val="000000"/>
                <w:sz w:val="20"/>
              </w:rPr>
            </w:pPr>
            <w:r>
              <w:rPr>
                <w:rFonts w:ascii="Expensify Neue;sans-serif" w:hAnsi="Expensify Neue;sans-serif"/>
                <w:b w:val="false"/>
                <w:color w:val="000000"/>
                <w:sz w:val="20"/>
              </w:rPr>
              <w:t>Basic and diluted</w:t>
            </w:r>
          </w:p>
        </w:tc>
        <w:tc>
          <w:tcPr>
            <w:tcW w:w="267"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Expensify Neue;sans-serif" w:hAnsi="Expensify Neue;sans-serif"/>
                <w:b w:val="false"/>
                <w:color w:val="000000"/>
                <w:sz w:val="20"/>
              </w:rPr>
            </w:pPr>
            <w:r>
              <w:rPr>
                <w:rFonts w:ascii="Expensify Neue;sans-serif" w:hAnsi="Expensify Neue;sans-serif"/>
                <w:b w:val="false"/>
                <w:color w:val="000000"/>
                <w:sz w:val="20"/>
              </w:rPr>
              <w:t>$</w:t>
            </w:r>
          </w:p>
        </w:tc>
        <w:tc>
          <w:tcPr>
            <w:tcW w:w="97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Expensify Neue;sans-serif" w:hAnsi="Expensify Neue;sans-serif"/>
                <w:b w:val="false"/>
                <w:color w:val="000000"/>
                <w:sz w:val="20"/>
              </w:rPr>
            </w:pPr>
            <w:r>
              <w:rPr>
                <w:rFonts w:ascii="Expensify Neue;sans-serif" w:hAnsi="Expensify Neue;sans-serif"/>
                <w:b w:val="false"/>
                <w:color w:val="000000"/>
                <w:sz w:val="20"/>
              </w:rPr>
              <w:t>(0.03)</w:t>
            </w:r>
          </w:p>
        </w:tc>
        <w:tc>
          <w:tcPr>
            <w:tcW w:w="1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7"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Expensify Neue;sans-serif" w:hAnsi="Expensify Neue;sans-serif"/>
                <w:b w:val="false"/>
                <w:color w:val="000000"/>
                <w:sz w:val="20"/>
              </w:rPr>
            </w:pPr>
            <w:r>
              <w:rPr>
                <w:rFonts w:ascii="Expensify Neue;sans-serif" w:hAnsi="Expensify Neue;sans-serif"/>
                <w:b w:val="false"/>
                <w:color w:val="000000"/>
                <w:sz w:val="20"/>
              </w:rPr>
              <w:t>$</w:t>
            </w:r>
          </w:p>
        </w:tc>
        <w:tc>
          <w:tcPr>
            <w:tcW w:w="97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Expensify Neue;sans-serif" w:hAnsi="Expensify Neue;sans-serif"/>
                <w:b w:val="false"/>
                <w:color w:val="000000"/>
                <w:sz w:val="20"/>
              </w:rPr>
            </w:pPr>
            <w:r>
              <w:rPr>
                <w:rFonts w:ascii="Expensify Neue;sans-serif" w:hAnsi="Expensify Neue;sans-serif"/>
                <w:b w:val="false"/>
                <w:color w:val="000000"/>
                <w:sz w:val="20"/>
              </w:rPr>
              <w:t>(0.04)</w:t>
            </w:r>
          </w:p>
        </w:tc>
        <w:tc>
          <w:tcPr>
            <w:tcW w:w="178" w:type="dxa"/>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705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Expensify Neue;sans-serif" w:hAnsi="Expensify Neue;sans-serif"/>
                <w:b w:val="false"/>
                <w:color w:val="000000"/>
                <w:sz w:val="20"/>
              </w:rPr>
            </w:pPr>
            <w:r>
              <w:rPr>
                <w:rFonts w:ascii="Expensify Neue;sans-serif" w:hAnsi="Expensify Neue;sans-serif"/>
                <w:b w:val="false"/>
                <w:color w:val="000000"/>
                <w:sz w:val="20"/>
              </w:rPr>
              <w:t>Weighted average shares of common stock used to compute net loss per share:</w:t>
            </w:r>
          </w:p>
        </w:tc>
        <w:tc>
          <w:tcPr>
            <w:tcW w:w="136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5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Expensify Neue;sans-serif" w:hAnsi="Expensify Neue;sans-serif"/>
                <w:b w:val="false"/>
                <w:color w:val="000000"/>
                <w:sz w:val="20"/>
              </w:rPr>
            </w:pPr>
            <w:r>
              <w:rPr>
                <w:rFonts w:ascii="Expensify Neue;sans-serif" w:hAnsi="Expensify Neue;sans-serif"/>
                <w:b w:val="false"/>
                <w:color w:val="000000"/>
                <w:sz w:val="20"/>
              </w:rPr>
              <w:t>Basic and diluted</w:t>
            </w:r>
          </w:p>
        </w:tc>
        <w:tc>
          <w:tcPr>
            <w:tcW w:w="12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Expensify Neue;sans-serif" w:hAnsi="Expensify Neue;sans-serif"/>
                <w:b w:val="false"/>
                <w:color w:val="000000"/>
                <w:sz w:val="20"/>
              </w:rPr>
            </w:pPr>
            <w:r>
              <w:rPr>
                <w:rFonts w:ascii="Expensify Neue;sans-serif" w:hAnsi="Expensify Neue;sans-serif"/>
                <w:b w:val="false"/>
                <w:color w:val="000000"/>
                <w:sz w:val="20"/>
              </w:rPr>
              <w:t>91,501,083 </w:t>
            </w:r>
          </w:p>
        </w:tc>
        <w:tc>
          <w:tcPr>
            <w:tcW w:w="1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Expensify Neue;sans-serif" w:hAnsi="Expensify Neue;sans-serif"/>
                <w:b w:val="false"/>
                <w:color w:val="000000"/>
                <w:sz w:val="20"/>
              </w:rPr>
            </w:pPr>
            <w:r>
              <w:rPr>
                <w:rFonts w:ascii="Expensify Neue;sans-serif" w:hAnsi="Expensify Neue;sans-serif"/>
                <w:b w:val="false"/>
                <w:color w:val="000000"/>
                <w:sz w:val="20"/>
              </w:rPr>
              <w:t>85,141,411 </w:t>
            </w:r>
          </w:p>
        </w:tc>
        <w:tc>
          <w:tcPr>
            <w:tcW w:w="17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51" w:type="dxa"/>
            <w:gridSpan w:val="3"/>
            <w:tcBorders>
              <w:bottom w:val="single" w:sz="8" w:space="0" w:color="000000"/>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367" w:type="dxa"/>
            <w:gridSpan w:val="3"/>
            <w:tcBorders>
              <w:bottom w:val="single" w:sz="8" w:space="0" w:color="000000"/>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63" w:type="dxa"/>
            <w:gridSpan w:val="3"/>
            <w:tcBorders>
              <w:bottom w:val="single" w:sz="8" w:space="0" w:color="000000"/>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424" w:type="dxa"/>
            <w:gridSpan w:val="3"/>
            <w:tcBorders>
              <w:bottom w:val="single" w:sz="8" w:space="0" w:color="000000"/>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0">
                <wp:simplePos x="0" y="0"/>
                <wp:positionH relativeFrom="character">
                  <wp:align>left</wp:align>
                </wp:positionH>
                <wp:positionV relativeFrom="line">
                  <wp:posOffset>635</wp:posOffset>
                </wp:positionV>
                <wp:extent cx="6480175" cy="1342390"/>
                <wp:effectExtent l="0" t="0" r="0" b="0"/>
                <wp:wrapNone/>
                <wp:docPr id="9" name="Frame8"/>
                <a:graphic xmlns:a="http://schemas.openxmlformats.org/drawingml/2006/main">
                  <a:graphicData uri="http://schemas.microsoft.com/office/word/2010/wordprocessingShape">
                    <wps:wsp>
                      <wps:cNvSpPr txBox="1"/>
                      <wps:spPr>
                        <a:xfrm>
                          <a:off x="0" y="0"/>
                          <a:ext cx="6480175" cy="1342390"/>
                        </a:xfrm>
                        <a:prstGeom prst="rect"/>
                        <a:solidFill>
                          <a:srgbClr val="FFFFFF"/>
                        </a:solidFill>
                      </wps:spPr>
                      <wps:txbx>
                        <w:txbxContent>
                          <w:tbl>
                            <w:tblPr>
                              <w:tblW w:w="7514" w:type="dxa"/>
                              <w:jc w:val="center"/>
                              <w:tblInd w:w="0" w:type="dxa"/>
                              <w:tblLayout w:type="fixed"/>
                              <w:tblCellMar>
                                <w:top w:w="28" w:type="dxa"/>
                                <w:left w:w="28" w:type="dxa"/>
                                <w:bottom w:w="28" w:type="dxa"/>
                                <w:right w:w="28" w:type="dxa"/>
                              </w:tblCellMar>
                            </w:tblPr>
                            <w:tblGrid>
                              <w:gridCol w:w="1303"/>
                              <w:gridCol w:w="1143"/>
                              <w:gridCol w:w="1143"/>
                              <w:gridCol w:w="1143"/>
                              <w:gridCol w:w="1143"/>
                              <w:gridCol w:w="1639"/>
                            </w:tblGrid>
                            <w:tr>
                              <w:trPr/>
                              <w:tc>
                                <w:tcPr>
                                  <w:tcW w:w="1303" w:type="dxa"/>
                                  <w:tcBorders/>
                                  <w:vAlign w:val="center"/>
                                </w:tcPr>
                                <w:p>
                                  <w:pPr>
                                    <w:pStyle w:val="TableContents"/>
                                    <w:bidi w:val="0"/>
                                    <w:spacing w:before="0" w:after="283"/>
                                    <w:jc w:val="left"/>
                                    <w:rPr>
                                      <w:sz w:val="4"/>
                                      <w:szCs w:val="4"/>
                                    </w:rPr>
                                  </w:pPr>
                                  <w:r>
                                    <w:rPr>
                                      <w:sz w:val="4"/>
                                      <w:szCs w:val="4"/>
                                    </w:rPr>
                                  </w:r>
                                </w:p>
                              </w:tc>
                              <w:tc>
                                <w:tcPr>
                                  <w:tcW w:w="1143" w:type="dxa"/>
                                  <w:tcBorders/>
                                  <w:vAlign w:val="center"/>
                                </w:tcPr>
                                <w:p>
                                  <w:pPr>
                                    <w:pStyle w:val="TableContents"/>
                                    <w:bidi w:val="0"/>
                                    <w:spacing w:before="0" w:after="283"/>
                                    <w:jc w:val="left"/>
                                    <w:rPr>
                                      <w:sz w:val="4"/>
                                      <w:szCs w:val="4"/>
                                    </w:rPr>
                                  </w:pPr>
                                  <w:r>
                                    <w:rPr>
                                      <w:sz w:val="4"/>
                                      <w:szCs w:val="4"/>
                                    </w:rPr>
                                  </w:r>
                                </w:p>
                              </w:tc>
                              <w:tc>
                                <w:tcPr>
                                  <w:tcW w:w="1143" w:type="dxa"/>
                                  <w:tcBorders/>
                                  <w:vAlign w:val="center"/>
                                </w:tcPr>
                                <w:p>
                                  <w:pPr>
                                    <w:pStyle w:val="TableContents"/>
                                    <w:bidi w:val="0"/>
                                    <w:spacing w:before="0" w:after="283"/>
                                    <w:jc w:val="left"/>
                                    <w:rPr>
                                      <w:sz w:val="4"/>
                                      <w:szCs w:val="4"/>
                                    </w:rPr>
                                  </w:pPr>
                                  <w:r>
                                    <w:rPr>
                                      <w:sz w:val="4"/>
                                      <w:szCs w:val="4"/>
                                    </w:rPr>
                                  </w:r>
                                </w:p>
                              </w:tc>
                              <w:tc>
                                <w:tcPr>
                                  <w:tcW w:w="1143" w:type="dxa"/>
                                  <w:tcBorders/>
                                  <w:vAlign w:val="center"/>
                                </w:tcPr>
                                <w:p>
                                  <w:pPr>
                                    <w:pStyle w:val="TableContents"/>
                                    <w:bidi w:val="0"/>
                                    <w:spacing w:before="0" w:after="283"/>
                                    <w:jc w:val="left"/>
                                    <w:rPr>
                                      <w:sz w:val="4"/>
                                      <w:szCs w:val="4"/>
                                    </w:rPr>
                                  </w:pPr>
                                  <w:r>
                                    <w:rPr>
                                      <w:sz w:val="4"/>
                                      <w:szCs w:val="4"/>
                                    </w:rPr>
                                  </w:r>
                                </w:p>
                              </w:tc>
                              <w:tc>
                                <w:tcPr>
                                  <w:tcW w:w="1143" w:type="dxa"/>
                                  <w:tcBorders/>
                                  <w:vAlign w:val="center"/>
                                </w:tcPr>
                                <w:p>
                                  <w:pPr>
                                    <w:pStyle w:val="TableContents"/>
                                    <w:bidi w:val="0"/>
                                    <w:spacing w:before="0" w:after="283"/>
                                    <w:jc w:val="left"/>
                                    <w:rPr>
                                      <w:sz w:val="4"/>
                                      <w:szCs w:val="4"/>
                                    </w:rPr>
                                  </w:pPr>
                                  <w:r>
                                    <w:rPr>
                                      <w:sz w:val="4"/>
                                      <w:szCs w:val="4"/>
                                    </w:rPr>
                                  </w:r>
                                </w:p>
                              </w:tc>
                              <w:tc>
                                <w:tcPr>
                                  <w:tcW w:w="1639" w:type="dxa"/>
                                  <w:tcBorders/>
                                  <w:vAlign w:val="center"/>
                                </w:tcPr>
                                <w:p>
                                  <w:pPr>
                                    <w:pStyle w:val="TableContents"/>
                                    <w:bidi w:val="0"/>
                                    <w:spacing w:before="0" w:after="283"/>
                                    <w:jc w:val="left"/>
                                    <w:rPr>
                                      <w:sz w:val="4"/>
                                      <w:szCs w:val="4"/>
                                    </w:rPr>
                                  </w:pPr>
                                  <w:r>
                                    <w:rPr>
                                      <w:sz w:val="4"/>
                                      <w:szCs w:val="4"/>
                                    </w:rPr>
                                  </w:r>
                                </w:p>
                              </w:tc>
                            </w:tr>
                            <w:tr>
                              <w:trPr/>
                              <w:tc>
                                <w:tcPr>
                                  <w:tcW w:w="7514" w:type="dxa"/>
                                  <w:gridSpan w:val="6"/>
                                  <w:tcBorders/>
                                  <w:tcMar>
                                    <w:top w:w="0" w:type="dxa"/>
                                    <w:left w:w="0" w:type="dxa"/>
                                    <w:bottom w:w="0" w:type="dxa"/>
                                    <w:right w:w="0" w:type="dxa"/>
                                  </w:tcMar>
                                  <w:vAlign w:val="center"/>
                                </w:tcPr>
                                <w:p>
                                  <w:pPr>
                                    <w:pStyle w:val="TableContents"/>
                                    <w:bidi w:val="0"/>
                                    <w:spacing w:lineRule="auto" w:line="288" w:before="0" w:after="283"/>
                                    <w:jc w:val="center"/>
                                    <w:rPr>
                                      <w:rFonts w:ascii="Expensify Neue;sans-serif" w:hAnsi="Expensify Neue;sans-serif"/>
                                      <w:b w:val="false"/>
                                      <w:color w:val="000000"/>
                                      <w:sz w:val="20"/>
                                    </w:rPr>
                                  </w:pPr>
                                  <w:r>
                                    <w:rPr>
                                      <w:rFonts w:ascii="Expensify Neue;sans-serif" w:hAnsi="Expensify Neue;sans-serif"/>
                                      <w:b w:val="false"/>
                                      <w:color w:val="000000"/>
                                      <w:sz w:val="20"/>
                                    </w:rPr>
                                    <w:t>See accompanying notes to Condensed Consolidated Financial Statements.</w:t>
                                  </w:r>
                                </w:p>
                              </w:tc>
                            </w:tr>
                            <w:tr>
                              <w:trPr/>
                              <w:tc>
                                <w:tcPr>
                                  <w:tcW w:w="7514" w:type="dxa"/>
                                  <w:gridSpan w:val="6"/>
                                  <w:tcBorders>
                                    <w:bottom w:val="single" w:sz="8" w:space="0" w:color="000000"/>
                                  </w:tcBorders>
                                  <w:tcMar>
                                    <w:top w:w="0" w:type="dxa"/>
                                    <w:left w:w="0" w:type="dxa"/>
                                    <w:bottom w:w="30" w:type="dxa"/>
                                    <w:right w:w="0" w:type="dxa"/>
                                  </w:tcMar>
                                  <w:vAlign w:val="center"/>
                                </w:tcPr>
                                <w:p>
                                  <w:pPr>
                                    <w:pStyle w:val="TableContents"/>
                                    <w:bidi w:val="0"/>
                                    <w:spacing w:lineRule="auto" w:line="288" w:before="0" w:after="283"/>
                                    <w:jc w:val="center"/>
                                    <w:rPr>
                                      <w:rFonts w:ascii="Expensify Neue;sans-serif" w:hAnsi="Expensify Neue;sans-serif"/>
                                      <w:b w:val="false"/>
                                      <w:color w:val="000000"/>
                                      <w:sz w:val="20"/>
                                    </w:rPr>
                                  </w:pPr>
                                  <w:r>
                                    <w:rPr>
                                      <w:rFonts w:ascii="Expensify Neue;sans-serif" w:hAnsi="Expensify Neue;sans-serif"/>
                                      <w:b w:val="false"/>
                                      <w:color w:val="000000"/>
                                      <w:sz w:val="20"/>
                                    </w:rPr>
                                    <w:t>3</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05.7pt;mso-wrap-distance-left:0pt;mso-wrap-distance-right:0pt;mso-wrap-distance-top:0pt;mso-wrap-distance-bottom:0pt;margin-top:0pt;mso-position-vertical:top;mso-position-vertical-relative:text;margin-left:0pt;mso-position-horizontal:left;mso-position-horizontal-relative:text">
                <v:textbox>
                  <w:txbxContent>
                    <w:tbl>
                      <w:tblPr>
                        <w:tblW w:w="7514" w:type="dxa"/>
                        <w:jc w:val="center"/>
                        <w:tblInd w:w="0" w:type="dxa"/>
                        <w:tblLayout w:type="fixed"/>
                        <w:tblCellMar>
                          <w:top w:w="28" w:type="dxa"/>
                          <w:left w:w="28" w:type="dxa"/>
                          <w:bottom w:w="28" w:type="dxa"/>
                          <w:right w:w="28" w:type="dxa"/>
                        </w:tblCellMar>
                      </w:tblPr>
                      <w:tblGrid>
                        <w:gridCol w:w="1303"/>
                        <w:gridCol w:w="1143"/>
                        <w:gridCol w:w="1143"/>
                        <w:gridCol w:w="1143"/>
                        <w:gridCol w:w="1143"/>
                        <w:gridCol w:w="1639"/>
                      </w:tblGrid>
                      <w:tr>
                        <w:trPr/>
                        <w:tc>
                          <w:tcPr>
                            <w:tcW w:w="1303" w:type="dxa"/>
                            <w:tcBorders/>
                            <w:vAlign w:val="center"/>
                          </w:tcPr>
                          <w:p>
                            <w:pPr>
                              <w:pStyle w:val="TableContents"/>
                              <w:bidi w:val="0"/>
                              <w:spacing w:before="0" w:after="283"/>
                              <w:jc w:val="left"/>
                              <w:rPr>
                                <w:sz w:val="4"/>
                                <w:szCs w:val="4"/>
                              </w:rPr>
                            </w:pPr>
                            <w:r>
                              <w:rPr>
                                <w:sz w:val="4"/>
                                <w:szCs w:val="4"/>
                              </w:rPr>
                            </w:r>
                          </w:p>
                        </w:tc>
                        <w:tc>
                          <w:tcPr>
                            <w:tcW w:w="1143" w:type="dxa"/>
                            <w:tcBorders/>
                            <w:vAlign w:val="center"/>
                          </w:tcPr>
                          <w:p>
                            <w:pPr>
                              <w:pStyle w:val="TableContents"/>
                              <w:bidi w:val="0"/>
                              <w:spacing w:before="0" w:after="283"/>
                              <w:jc w:val="left"/>
                              <w:rPr>
                                <w:sz w:val="4"/>
                                <w:szCs w:val="4"/>
                              </w:rPr>
                            </w:pPr>
                            <w:r>
                              <w:rPr>
                                <w:sz w:val="4"/>
                                <w:szCs w:val="4"/>
                              </w:rPr>
                            </w:r>
                          </w:p>
                        </w:tc>
                        <w:tc>
                          <w:tcPr>
                            <w:tcW w:w="1143" w:type="dxa"/>
                            <w:tcBorders/>
                            <w:vAlign w:val="center"/>
                          </w:tcPr>
                          <w:p>
                            <w:pPr>
                              <w:pStyle w:val="TableContents"/>
                              <w:bidi w:val="0"/>
                              <w:spacing w:before="0" w:after="283"/>
                              <w:jc w:val="left"/>
                              <w:rPr>
                                <w:sz w:val="4"/>
                                <w:szCs w:val="4"/>
                              </w:rPr>
                            </w:pPr>
                            <w:r>
                              <w:rPr>
                                <w:sz w:val="4"/>
                                <w:szCs w:val="4"/>
                              </w:rPr>
                            </w:r>
                          </w:p>
                        </w:tc>
                        <w:tc>
                          <w:tcPr>
                            <w:tcW w:w="1143" w:type="dxa"/>
                            <w:tcBorders/>
                            <w:vAlign w:val="center"/>
                          </w:tcPr>
                          <w:p>
                            <w:pPr>
                              <w:pStyle w:val="TableContents"/>
                              <w:bidi w:val="0"/>
                              <w:spacing w:before="0" w:after="283"/>
                              <w:jc w:val="left"/>
                              <w:rPr>
                                <w:sz w:val="4"/>
                                <w:szCs w:val="4"/>
                              </w:rPr>
                            </w:pPr>
                            <w:r>
                              <w:rPr>
                                <w:sz w:val="4"/>
                                <w:szCs w:val="4"/>
                              </w:rPr>
                            </w:r>
                          </w:p>
                        </w:tc>
                        <w:tc>
                          <w:tcPr>
                            <w:tcW w:w="1143" w:type="dxa"/>
                            <w:tcBorders/>
                            <w:vAlign w:val="center"/>
                          </w:tcPr>
                          <w:p>
                            <w:pPr>
                              <w:pStyle w:val="TableContents"/>
                              <w:bidi w:val="0"/>
                              <w:spacing w:before="0" w:after="283"/>
                              <w:jc w:val="left"/>
                              <w:rPr>
                                <w:sz w:val="4"/>
                                <w:szCs w:val="4"/>
                              </w:rPr>
                            </w:pPr>
                            <w:r>
                              <w:rPr>
                                <w:sz w:val="4"/>
                                <w:szCs w:val="4"/>
                              </w:rPr>
                            </w:r>
                          </w:p>
                        </w:tc>
                        <w:tc>
                          <w:tcPr>
                            <w:tcW w:w="1639" w:type="dxa"/>
                            <w:tcBorders/>
                            <w:vAlign w:val="center"/>
                          </w:tcPr>
                          <w:p>
                            <w:pPr>
                              <w:pStyle w:val="TableContents"/>
                              <w:bidi w:val="0"/>
                              <w:spacing w:before="0" w:after="283"/>
                              <w:jc w:val="left"/>
                              <w:rPr>
                                <w:sz w:val="4"/>
                                <w:szCs w:val="4"/>
                              </w:rPr>
                            </w:pPr>
                            <w:r>
                              <w:rPr>
                                <w:sz w:val="4"/>
                                <w:szCs w:val="4"/>
                              </w:rPr>
                            </w:r>
                          </w:p>
                        </w:tc>
                      </w:tr>
                      <w:tr>
                        <w:trPr/>
                        <w:tc>
                          <w:tcPr>
                            <w:tcW w:w="7514" w:type="dxa"/>
                            <w:gridSpan w:val="6"/>
                            <w:tcBorders/>
                            <w:tcMar>
                              <w:top w:w="0" w:type="dxa"/>
                              <w:left w:w="0" w:type="dxa"/>
                              <w:bottom w:w="0" w:type="dxa"/>
                              <w:right w:w="0" w:type="dxa"/>
                            </w:tcMar>
                            <w:vAlign w:val="center"/>
                          </w:tcPr>
                          <w:p>
                            <w:pPr>
                              <w:pStyle w:val="TableContents"/>
                              <w:bidi w:val="0"/>
                              <w:spacing w:lineRule="auto" w:line="288" w:before="0" w:after="283"/>
                              <w:jc w:val="center"/>
                              <w:rPr>
                                <w:rFonts w:ascii="Expensify Neue;sans-serif" w:hAnsi="Expensify Neue;sans-serif"/>
                                <w:b w:val="false"/>
                                <w:color w:val="000000"/>
                                <w:sz w:val="20"/>
                              </w:rPr>
                            </w:pPr>
                            <w:r>
                              <w:rPr>
                                <w:rFonts w:ascii="Expensify Neue;sans-serif" w:hAnsi="Expensify Neue;sans-serif"/>
                                <w:b w:val="false"/>
                                <w:color w:val="000000"/>
                                <w:sz w:val="20"/>
                              </w:rPr>
                              <w:t>See accompanying notes to Condensed Consolidated Financial Statements.</w:t>
                            </w:r>
                          </w:p>
                        </w:tc>
                      </w:tr>
                      <w:tr>
                        <w:trPr/>
                        <w:tc>
                          <w:tcPr>
                            <w:tcW w:w="7514" w:type="dxa"/>
                            <w:gridSpan w:val="6"/>
                            <w:tcBorders>
                              <w:bottom w:val="single" w:sz="8" w:space="0" w:color="000000"/>
                            </w:tcBorders>
                            <w:tcMar>
                              <w:top w:w="0" w:type="dxa"/>
                              <w:left w:w="0" w:type="dxa"/>
                              <w:bottom w:w="30" w:type="dxa"/>
                              <w:right w:w="0" w:type="dxa"/>
                            </w:tcMar>
                            <w:vAlign w:val="center"/>
                          </w:tcPr>
                          <w:p>
                            <w:pPr>
                              <w:pStyle w:val="TableContents"/>
                              <w:bidi w:val="0"/>
                              <w:spacing w:lineRule="auto" w:line="288" w:before="0" w:after="283"/>
                              <w:jc w:val="center"/>
                              <w:rPr>
                                <w:rFonts w:ascii="Expensify Neue;sans-serif" w:hAnsi="Expensify Neue;sans-serif"/>
                                <w:b w:val="false"/>
                                <w:color w:val="000000"/>
                                <w:sz w:val="20"/>
                              </w:rPr>
                            </w:pPr>
                            <w:r>
                              <w:rPr>
                                <w:rFonts w:ascii="Expensify Neue;sans-serif" w:hAnsi="Expensify Neue;sans-serif"/>
                                <w:b w:val="false"/>
                                <w:color w:val="000000"/>
                                <w:sz w:val="20"/>
                              </w:rPr>
                              <w:t>3</w:t>
                            </w:r>
                          </w:p>
                        </w:tc>
                      </w:tr>
                    </w:tbl>
                    <w:p>
                      <w:pPr>
                        <w:pStyle w:val="TextBody"/>
                        <w:bidi w:val="0"/>
                        <w:spacing w:before="0" w:after="283"/>
                        <w:jc w:val="left"/>
                        <w:rPr/>
                      </w:pPr>
                      <w:r>
                        <w:rPr/>
                      </w:r>
                    </w:p>
                  </w:txbxContent>
                </v:textbox>
                <w10:wrap type="none"/>
              </v:rect>
            </w:pict>
          </mc:Fallback>
        </mc:AlternateContent>
      </w:r>
    </w:p>
    <w:p>
      <w:pPr>
        <w:pStyle w:val="TextBody"/>
        <w:bidi w:val="0"/>
        <w:spacing w:lineRule="auto" w:line="288" w:before="0" w:after="160"/>
        <w:jc w:val="left"/>
        <w:rPr/>
      </w:pPr>
      <w:hyperlink w:anchor="i52a648c4f0e449f7bc3c2044827c8f0d_7">
        <w:r>
          <w:rPr>
            <w:rStyle w:val="InternetLink"/>
            <w:rFonts w:ascii="Expensify Neue;sans-serif" w:hAnsi="Expensify Neue;sans-serif"/>
            <w:b/>
            <w:color w:val="0000FF"/>
            <w:sz w:val="20"/>
            <w:u w:val="single"/>
          </w:rPr>
          <w:t>Table of Contents</w:t>
        </w:r>
      </w:hyperlink>
    </w:p>
    <w:p>
      <w:pPr>
        <w:pStyle w:val="TextBody"/>
        <w:bidi w:val="0"/>
        <w:spacing w:lineRule="auto" w:line="288" w:before="0" w:after="0"/>
        <w:jc w:val="center"/>
        <w:rPr>
          <w:rFonts w:ascii="Expensify Neue;sans-serif" w:hAnsi="Expensify Neue;sans-serif"/>
          <w:b/>
          <w:color w:val="000000"/>
          <w:sz w:val="24"/>
        </w:rPr>
      </w:pPr>
      <w:r>
        <w:rPr>
          <w:rFonts w:ascii="Expensify Neue;sans-serif" w:hAnsi="Expensify Neue;sans-serif"/>
          <w:b/>
          <w:color w:val="000000"/>
          <w:sz w:val="24"/>
        </w:rPr>
        <w:t>Expensify, Inc.</w:t>
      </w:r>
    </w:p>
    <w:p>
      <w:pPr>
        <w:pStyle w:val="TextBody"/>
        <w:bidi w:val="0"/>
        <w:spacing w:lineRule="auto" w:line="288" w:before="0" w:after="0"/>
        <w:jc w:val="center"/>
        <w:rPr>
          <w:rFonts w:ascii="Expensify Neue;sans-serif" w:hAnsi="Expensify Neue;sans-serif"/>
          <w:b/>
          <w:color w:val="000000"/>
          <w:sz w:val="24"/>
        </w:rPr>
      </w:pPr>
      <w:r>
        <w:rPr>
          <w:rFonts w:ascii="Expensify Neue;sans-serif" w:hAnsi="Expensify Neue;sans-serif"/>
          <w:b/>
          <w:color w:val="000000"/>
          <w:sz w:val="24"/>
        </w:rPr>
        <w:t>Condensed Consolidated Statements of Changes in Stockholders’ Equity</w:t>
      </w:r>
    </w:p>
    <w:p>
      <w:pPr>
        <w:pStyle w:val="TextBody"/>
        <w:bidi w:val="0"/>
        <w:spacing w:lineRule="auto" w:line="288" w:before="0" w:after="0"/>
        <w:jc w:val="center"/>
        <w:rPr>
          <w:rFonts w:ascii="Expensify Neue;sans-serif" w:hAnsi="Expensify Neue;sans-serif"/>
          <w:b/>
          <w:color w:val="000000"/>
          <w:sz w:val="20"/>
        </w:rPr>
      </w:pPr>
      <w:r>
        <w:rPr>
          <w:rFonts w:ascii="Expensify Neue;sans-serif" w:hAnsi="Expensify Neue;sans-serif"/>
          <w:b/>
          <w:color w:val="000000"/>
          <w:sz w:val="20"/>
        </w:rPr>
        <w:t>(unaudited, in thousands, except share data)</w:t>
      </w:r>
    </w:p>
    <w:tbl>
      <w:tblPr>
        <w:tblW w:w="11608" w:type="dxa"/>
        <w:jc w:val="left"/>
        <w:tblInd w:w="0" w:type="dxa"/>
        <w:tblLayout w:type="fixed"/>
        <w:tblCellMar>
          <w:top w:w="28" w:type="dxa"/>
          <w:left w:w="28" w:type="dxa"/>
          <w:bottom w:w="28" w:type="dxa"/>
          <w:right w:w="28" w:type="dxa"/>
        </w:tblCellMar>
      </w:tblPr>
      <w:tblGrid>
        <w:gridCol w:w="821"/>
        <w:gridCol w:w="287"/>
        <w:gridCol w:w="288"/>
        <w:gridCol w:w="245"/>
        <w:gridCol w:w="245"/>
        <w:gridCol w:w="246"/>
        <w:gridCol w:w="109"/>
        <w:gridCol w:w="109"/>
        <w:gridCol w:w="109"/>
        <w:gridCol w:w="256"/>
        <w:gridCol w:w="460"/>
        <w:gridCol w:w="125"/>
        <w:gridCol w:w="109"/>
        <w:gridCol w:w="109"/>
        <w:gridCol w:w="109"/>
        <w:gridCol w:w="109"/>
        <w:gridCol w:w="109"/>
        <w:gridCol w:w="109"/>
        <w:gridCol w:w="623"/>
        <w:gridCol w:w="623"/>
        <w:gridCol w:w="246"/>
        <w:gridCol w:w="109"/>
        <w:gridCol w:w="109"/>
        <w:gridCol w:w="109"/>
        <w:gridCol w:w="306"/>
        <w:gridCol w:w="387"/>
        <w:gridCol w:w="148"/>
        <w:gridCol w:w="109"/>
        <w:gridCol w:w="109"/>
        <w:gridCol w:w="109"/>
        <w:gridCol w:w="226"/>
        <w:gridCol w:w="946"/>
        <w:gridCol w:w="109"/>
        <w:gridCol w:w="109"/>
        <w:gridCol w:w="109"/>
        <w:gridCol w:w="109"/>
        <w:gridCol w:w="226"/>
        <w:gridCol w:w="986"/>
        <w:gridCol w:w="109"/>
        <w:gridCol w:w="109"/>
        <w:gridCol w:w="109"/>
        <w:gridCol w:w="109"/>
        <w:gridCol w:w="240"/>
        <w:gridCol w:w="1006"/>
        <w:gridCol w:w="165"/>
      </w:tblGrid>
      <w:tr>
        <w:trPr/>
        <w:tc>
          <w:tcPr>
            <w:tcW w:w="821" w:type="dxa"/>
            <w:tcBorders/>
            <w:vAlign w:val="center"/>
          </w:tcPr>
          <w:p>
            <w:pPr>
              <w:pStyle w:val="TableContents"/>
              <w:bidi w:val="0"/>
              <w:spacing w:before="0" w:after="283"/>
              <w:jc w:val="left"/>
              <w:rPr>
                <w:sz w:val="4"/>
                <w:szCs w:val="4"/>
              </w:rPr>
            </w:pPr>
            <w:r>
              <w:rPr>
                <w:sz w:val="4"/>
                <w:szCs w:val="4"/>
              </w:rPr>
            </w:r>
          </w:p>
        </w:tc>
        <w:tc>
          <w:tcPr>
            <w:tcW w:w="287" w:type="dxa"/>
            <w:tcBorders/>
            <w:vAlign w:val="center"/>
          </w:tcPr>
          <w:p>
            <w:pPr>
              <w:pStyle w:val="TableContents"/>
              <w:bidi w:val="0"/>
              <w:spacing w:before="0" w:after="283"/>
              <w:jc w:val="left"/>
              <w:rPr>
                <w:sz w:val="4"/>
                <w:szCs w:val="4"/>
              </w:rPr>
            </w:pPr>
            <w:r>
              <w:rPr>
                <w:sz w:val="4"/>
                <w:szCs w:val="4"/>
              </w:rPr>
            </w:r>
          </w:p>
        </w:tc>
        <w:tc>
          <w:tcPr>
            <w:tcW w:w="288" w:type="dxa"/>
            <w:tcBorders/>
            <w:vAlign w:val="center"/>
          </w:tcPr>
          <w:p>
            <w:pPr>
              <w:pStyle w:val="TableContents"/>
              <w:bidi w:val="0"/>
              <w:spacing w:before="0" w:after="283"/>
              <w:jc w:val="left"/>
              <w:rPr>
                <w:sz w:val="4"/>
                <w:szCs w:val="4"/>
              </w:rPr>
            </w:pPr>
            <w:r>
              <w:rPr>
                <w:sz w:val="4"/>
                <w:szCs w:val="4"/>
              </w:rPr>
            </w:r>
          </w:p>
        </w:tc>
        <w:tc>
          <w:tcPr>
            <w:tcW w:w="245" w:type="dxa"/>
            <w:tcBorders/>
            <w:vAlign w:val="center"/>
          </w:tcPr>
          <w:p>
            <w:pPr>
              <w:pStyle w:val="TableContents"/>
              <w:bidi w:val="0"/>
              <w:spacing w:before="0" w:after="283"/>
              <w:jc w:val="left"/>
              <w:rPr>
                <w:sz w:val="4"/>
                <w:szCs w:val="4"/>
              </w:rPr>
            </w:pPr>
            <w:r>
              <w:rPr>
                <w:sz w:val="4"/>
                <w:szCs w:val="4"/>
              </w:rPr>
            </w:r>
          </w:p>
        </w:tc>
        <w:tc>
          <w:tcPr>
            <w:tcW w:w="245" w:type="dxa"/>
            <w:tcBorders/>
            <w:vAlign w:val="center"/>
          </w:tcPr>
          <w:p>
            <w:pPr>
              <w:pStyle w:val="TableContents"/>
              <w:bidi w:val="0"/>
              <w:spacing w:before="0" w:after="283"/>
              <w:jc w:val="left"/>
              <w:rPr>
                <w:sz w:val="4"/>
                <w:szCs w:val="4"/>
              </w:rPr>
            </w:pPr>
            <w:r>
              <w:rPr>
                <w:sz w:val="4"/>
                <w:szCs w:val="4"/>
              </w:rPr>
            </w:r>
          </w:p>
        </w:tc>
        <w:tc>
          <w:tcPr>
            <w:tcW w:w="2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460"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23" w:type="dxa"/>
            <w:tcBorders/>
            <w:vAlign w:val="center"/>
          </w:tcPr>
          <w:p>
            <w:pPr>
              <w:pStyle w:val="TableContents"/>
              <w:bidi w:val="0"/>
              <w:spacing w:before="0" w:after="283"/>
              <w:jc w:val="left"/>
              <w:rPr>
                <w:sz w:val="4"/>
                <w:szCs w:val="4"/>
              </w:rPr>
            </w:pPr>
            <w:r>
              <w:rPr>
                <w:sz w:val="4"/>
                <w:szCs w:val="4"/>
              </w:rPr>
            </w:r>
          </w:p>
        </w:tc>
        <w:tc>
          <w:tcPr>
            <w:tcW w:w="623" w:type="dxa"/>
            <w:tcBorders/>
            <w:vAlign w:val="center"/>
          </w:tcPr>
          <w:p>
            <w:pPr>
              <w:pStyle w:val="TableContents"/>
              <w:bidi w:val="0"/>
              <w:spacing w:before="0" w:after="283"/>
              <w:jc w:val="left"/>
              <w:rPr>
                <w:sz w:val="4"/>
                <w:szCs w:val="4"/>
              </w:rPr>
            </w:pPr>
            <w:r>
              <w:rPr>
                <w:sz w:val="4"/>
                <w:szCs w:val="4"/>
              </w:rPr>
            </w:r>
          </w:p>
        </w:tc>
        <w:tc>
          <w:tcPr>
            <w:tcW w:w="2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6" w:type="dxa"/>
            <w:tcBorders/>
            <w:vAlign w:val="center"/>
          </w:tcPr>
          <w:p>
            <w:pPr>
              <w:pStyle w:val="TableContents"/>
              <w:bidi w:val="0"/>
              <w:spacing w:before="0" w:after="283"/>
              <w:jc w:val="left"/>
              <w:rPr>
                <w:sz w:val="4"/>
                <w:szCs w:val="4"/>
              </w:rPr>
            </w:pPr>
            <w:r>
              <w:rPr>
                <w:sz w:val="4"/>
                <w:szCs w:val="4"/>
              </w:rPr>
            </w:r>
          </w:p>
        </w:tc>
        <w:tc>
          <w:tcPr>
            <w:tcW w:w="387" w:type="dxa"/>
            <w:tcBorders/>
            <w:vAlign w:val="center"/>
          </w:tcPr>
          <w:p>
            <w:pPr>
              <w:pStyle w:val="TableContents"/>
              <w:bidi w:val="0"/>
              <w:spacing w:before="0" w:after="283"/>
              <w:jc w:val="left"/>
              <w:rPr>
                <w:sz w:val="4"/>
                <w:szCs w:val="4"/>
              </w:rPr>
            </w:pPr>
            <w:r>
              <w:rPr>
                <w:sz w:val="4"/>
                <w:szCs w:val="4"/>
              </w:rPr>
            </w:r>
          </w:p>
        </w:tc>
        <w:tc>
          <w:tcPr>
            <w:tcW w:w="14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9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98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0" w:type="dxa"/>
            <w:tcBorders/>
            <w:vAlign w:val="center"/>
          </w:tcPr>
          <w:p>
            <w:pPr>
              <w:pStyle w:val="TableContents"/>
              <w:bidi w:val="0"/>
              <w:spacing w:before="0" w:after="283"/>
              <w:jc w:val="left"/>
              <w:rPr>
                <w:sz w:val="4"/>
                <w:szCs w:val="4"/>
              </w:rPr>
            </w:pPr>
            <w:r>
              <w:rPr>
                <w:sz w:val="4"/>
                <w:szCs w:val="4"/>
              </w:rPr>
            </w:r>
          </w:p>
        </w:tc>
        <w:tc>
          <w:tcPr>
            <w:tcW w:w="1006" w:type="dxa"/>
            <w:tcBorders/>
            <w:vAlign w:val="center"/>
          </w:tcPr>
          <w:p>
            <w:pPr>
              <w:pStyle w:val="TableContents"/>
              <w:bidi w:val="0"/>
              <w:spacing w:before="0" w:after="283"/>
              <w:jc w:val="left"/>
              <w:rPr>
                <w:sz w:val="4"/>
                <w:szCs w:val="4"/>
              </w:rPr>
            </w:pPr>
            <w:r>
              <w:rPr>
                <w:sz w:val="4"/>
                <w:szCs w:val="4"/>
              </w:rPr>
            </w:r>
          </w:p>
        </w:tc>
        <w:tc>
          <w:tcPr>
            <w:tcW w:w="165" w:type="dxa"/>
            <w:tcBorders/>
            <w:vAlign w:val="center"/>
          </w:tcPr>
          <w:p>
            <w:pPr>
              <w:pStyle w:val="TableContents"/>
              <w:bidi w:val="0"/>
              <w:spacing w:before="0" w:after="283"/>
              <w:jc w:val="left"/>
              <w:rPr>
                <w:sz w:val="4"/>
                <w:szCs w:val="4"/>
              </w:rPr>
            </w:pPr>
            <w:r>
              <w:rPr>
                <w:sz w:val="4"/>
                <w:szCs w:val="4"/>
              </w:rPr>
            </w:r>
          </w:p>
        </w:tc>
      </w:tr>
      <w:tr>
        <w:trPr/>
        <w:tc>
          <w:tcPr>
            <w:tcW w:w="1396" w:type="dxa"/>
            <w:gridSpan w:val="3"/>
            <w:tcBorders>
              <w:top w:val="single" w:sz="16"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04" w:type="dxa"/>
            <w:gridSpan w:val="9"/>
            <w:tcBorders>
              <w:top w:val="single" w:sz="16"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Expensify Neue;sans-serif" w:hAnsi="Expensify Neue;sans-serif"/>
                <w:b/>
                <w:color w:val="000000"/>
                <w:sz w:val="16"/>
              </w:rPr>
            </w:pPr>
            <w:r>
              <w:rPr>
                <w:rFonts w:ascii="Expensify Neue;sans-serif" w:hAnsi="Expensify Neue;sans-serif"/>
                <w:b/>
                <w:color w:val="000000"/>
                <w:sz w:val="16"/>
              </w:rPr>
              <w:t>Preferred stock</w:t>
            </w:r>
          </w:p>
        </w:tc>
        <w:tc>
          <w:tcPr>
            <w:tcW w:w="327" w:type="dxa"/>
            <w:gridSpan w:val="3"/>
            <w:tcBorders>
              <w:top w:val="single" w:sz="1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16" w:space="0" w:color="000000"/>
              <w:left w:val="single" w:sz="8" w:space="0" w:color="000000"/>
            </w:tcBorders>
            <w:tcMar>
              <w:bottom w:w="0" w:type="dxa"/>
              <w:right w:w="0" w:type="dxa"/>
            </w:tcMar>
            <w:vAlign w:val="center"/>
          </w:tcPr>
          <w:p>
            <w:pPr>
              <w:pStyle w:val="TableContents"/>
              <w:bidi w:val="0"/>
              <w:spacing w:before="0" w:after="283"/>
              <w:jc w:val="left"/>
              <w:rPr>
                <w:sz w:val="4"/>
                <w:szCs w:val="4"/>
              </w:rPr>
            </w:pPr>
            <w:r>
              <w:rPr>
                <w:sz w:val="4"/>
                <w:szCs w:val="4"/>
              </w:rPr>
            </w:r>
          </w:p>
        </w:tc>
        <w:tc>
          <w:tcPr>
            <w:tcW w:w="2660" w:type="dxa"/>
            <w:gridSpan w:val="9"/>
            <w:tcBorders>
              <w:top w:val="single" w:sz="16"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Expensify Neue;sans-serif" w:hAnsi="Expensify Neue;sans-serif"/>
                <w:b/>
                <w:color w:val="000000"/>
                <w:sz w:val="16"/>
              </w:rPr>
            </w:pPr>
            <w:r>
              <w:rPr>
                <w:rFonts w:ascii="Expensify Neue;sans-serif" w:hAnsi="Expensify Neue;sans-serif"/>
                <w:b/>
                <w:color w:val="000000"/>
                <w:sz w:val="16"/>
              </w:rPr>
              <w:t>Common stock</w:t>
            </w:r>
          </w:p>
        </w:tc>
        <w:tc>
          <w:tcPr>
            <w:tcW w:w="327" w:type="dxa"/>
            <w:gridSpan w:val="3"/>
            <w:tcBorders>
              <w:top w:val="single" w:sz="1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1" w:type="dxa"/>
            <w:gridSpan w:val="3"/>
            <w:vMerge w:val="restart"/>
            <w:tcBorders>
              <w:top w:val="single" w:sz="16"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Expensify Neue;sans-serif" w:hAnsi="Expensify Neue;sans-serif"/>
                <w:b/>
                <w:color w:val="000000"/>
                <w:sz w:val="16"/>
              </w:rPr>
            </w:pPr>
            <w:r>
              <w:rPr>
                <w:rFonts w:ascii="Expensify Neue;sans-serif" w:hAnsi="Expensify Neue;sans-serif"/>
                <w:b/>
                <w:color w:val="000000"/>
                <w:sz w:val="16"/>
              </w:rPr>
              <w:t>Additional paid-in capital</w:t>
            </w:r>
          </w:p>
        </w:tc>
        <w:tc>
          <w:tcPr>
            <w:tcW w:w="327" w:type="dxa"/>
            <w:gridSpan w:val="3"/>
            <w:tcBorders>
              <w:top w:val="single" w:sz="1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1" w:type="dxa"/>
            <w:gridSpan w:val="3"/>
            <w:vMerge w:val="restart"/>
            <w:tcBorders>
              <w:top w:val="single" w:sz="16"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Expensify Neue;sans-serif" w:hAnsi="Expensify Neue;sans-serif"/>
                <w:b/>
                <w:color w:val="000000"/>
                <w:sz w:val="16"/>
              </w:rPr>
            </w:pPr>
            <w:r>
              <w:rPr>
                <w:rFonts w:ascii="Expensify Neue;sans-serif" w:hAnsi="Expensify Neue;sans-serif"/>
                <w:b/>
                <w:color w:val="000000"/>
                <w:sz w:val="16"/>
              </w:rPr>
              <w:t>Accumulated deficit</w:t>
            </w:r>
          </w:p>
        </w:tc>
        <w:tc>
          <w:tcPr>
            <w:tcW w:w="327" w:type="dxa"/>
            <w:gridSpan w:val="3"/>
            <w:tcBorders>
              <w:top w:val="single" w:sz="1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1" w:type="dxa"/>
            <w:gridSpan w:val="3"/>
            <w:vMerge w:val="restart"/>
            <w:tcBorders>
              <w:top w:val="single" w:sz="16"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Expensify Neue;sans-serif" w:hAnsi="Expensify Neue;sans-serif"/>
                <w:b/>
                <w:color w:val="000000"/>
                <w:sz w:val="16"/>
              </w:rPr>
            </w:pPr>
            <w:r>
              <w:rPr>
                <w:rFonts w:ascii="Expensify Neue;sans-serif" w:hAnsi="Expensify Neue;sans-serif"/>
                <w:b/>
                <w:color w:val="000000"/>
                <w:sz w:val="16"/>
              </w:rPr>
              <w:t xml:space="preserve">Total stockholders' </w:t>
              <w:br/>
              <w:t>equity</w:t>
            </w:r>
          </w:p>
        </w:tc>
      </w:tr>
      <w:tr>
        <w:trPr/>
        <w:tc>
          <w:tcPr>
            <w:tcW w:w="13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Expensify Neue;sans-serif" w:hAnsi="Expensify Neue;sans-serif"/>
                <w:b/>
                <w:color w:val="000000"/>
                <w:sz w:val="16"/>
              </w:rPr>
            </w:pPr>
            <w:r>
              <w:rPr>
                <w:rFonts w:ascii="Expensify Neue;sans-serif" w:hAnsi="Expensify Neue;sans-serif"/>
                <w:b/>
                <w:color w:val="000000"/>
                <w:sz w:val="16"/>
              </w:rPr>
              <w:t>Shares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Expensify Neue;sans-serif" w:hAnsi="Expensify Neue;sans-serif"/>
                <w:b/>
                <w:color w:val="000000"/>
                <w:sz w:val="16"/>
              </w:rPr>
            </w:pPr>
            <w:r>
              <w:rPr>
                <w:rFonts w:ascii="Expensify Neue;sans-serif" w:hAnsi="Expensify Neue;sans-serif"/>
                <w:b/>
                <w:color w:val="000000"/>
                <w:sz w:val="16"/>
              </w:rPr>
              <w:t>Amount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49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Expensify Neue;sans-serif" w:hAnsi="Expensify Neue;sans-serif"/>
                <w:b/>
                <w:color w:val="000000"/>
                <w:sz w:val="16"/>
              </w:rPr>
            </w:pPr>
            <w:r>
              <w:rPr>
                <w:rFonts w:ascii="Expensify Neue;sans-serif" w:hAnsi="Expensify Neue;sans-serif"/>
                <w:b/>
                <w:color w:val="000000"/>
                <w:sz w:val="16"/>
              </w:rPr>
              <w:t>Shares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Expensify Neue;sans-serif" w:hAnsi="Expensify Neue;sans-serif"/>
                <w:b/>
                <w:color w:val="000000"/>
                <w:sz w:val="16"/>
              </w:rPr>
            </w:pPr>
            <w:r>
              <w:rPr>
                <w:rFonts w:ascii="Expensify Neue;sans-serif" w:hAnsi="Expensify Neue;sans-serif"/>
                <w:b/>
                <w:color w:val="000000"/>
                <w:sz w:val="16"/>
              </w:rPr>
              <w:t>Amount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1" w:type="dxa"/>
            <w:gridSpan w:val="3"/>
            <w:vMerge w:val="continue"/>
            <w:tcBorders>
              <w:top w:val="single" w:sz="16" w:space="0" w:color="000000"/>
            </w:tcBorders>
            <w:tcMar>
              <w:top w:w="3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1" w:type="dxa"/>
            <w:gridSpan w:val="3"/>
            <w:vMerge w:val="continue"/>
            <w:tcBorders>
              <w:top w:val="single" w:sz="16" w:space="0" w:color="000000"/>
            </w:tcBorders>
            <w:tcMar>
              <w:top w:w="3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1" w:type="dxa"/>
            <w:gridSpan w:val="3"/>
            <w:vMerge w:val="continue"/>
            <w:tcBorders>
              <w:top w:val="single" w:sz="16" w:space="0" w:color="000000"/>
            </w:tcBorders>
            <w:tcMar>
              <w:top w:w="30" w:type="dxa"/>
              <w:left w:w="0" w:type="dxa"/>
              <w:bottom w:w="0" w:type="dxa"/>
              <w:right w:w="0" w:type="dxa"/>
            </w:tcMar>
            <w:vAlign w:val="center"/>
          </w:tcPr>
          <w:p>
            <w:pPr>
              <w:pStyle w:val="Normal"/>
              <w:bidi w:val="0"/>
              <w:jc w:val="left"/>
              <w:rPr/>
            </w:pPr>
            <w:r>
              <w:rPr/>
            </w:r>
          </w:p>
        </w:tc>
      </w:tr>
      <w:tr>
        <w:trPr/>
        <w:tc>
          <w:tcPr>
            <w:tcW w:w="139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Expensify Neue;sans-serif" w:hAnsi="Expensify Neue;sans-serif"/>
                <w:b/>
                <w:color w:val="000000"/>
                <w:sz w:val="18"/>
              </w:rPr>
            </w:pPr>
            <w:r>
              <w:rPr>
                <w:rFonts w:ascii="Expensify Neue;sans-serif" w:hAnsi="Expensify Neue;sans-serif"/>
                <w:b/>
                <w:color w:val="000000"/>
                <w:sz w:val="18"/>
              </w:rPr>
              <w:t>Three months ended March 31, 2025</w:t>
            </w:r>
          </w:p>
        </w:tc>
        <w:tc>
          <w:tcPr>
            <w:tcW w:w="73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CCEE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492"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9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Expensify Neue;sans-serif" w:hAnsi="Expensify Neue;sans-serif"/>
                <w:b w:val="false"/>
                <w:color w:val="000000"/>
                <w:sz w:val="18"/>
              </w:rPr>
            </w:pPr>
            <w:r>
              <w:rPr>
                <w:rFonts w:ascii="Expensify Neue;sans-serif" w:hAnsi="Expensify Neue;sans-serif"/>
                <w:b w:val="false"/>
                <w:color w:val="000000"/>
                <w:sz w:val="18"/>
              </w:rPr>
              <w:t>Balance at December 31, 2024</w:t>
            </w:r>
          </w:p>
        </w:tc>
        <w:tc>
          <w:tcPr>
            <w:tcW w:w="49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Expensify Neue;sans-serif" w:hAnsi="Expensify Neue;sans-serif"/>
                <w:b w:val="false"/>
                <w:color w:val="000000"/>
                <w:sz w:val="18"/>
              </w:rPr>
            </w:pPr>
            <w:r>
              <w:rPr>
                <w:rFonts w:ascii="Expensify Neue;sans-serif" w:hAnsi="Expensify Neue;sans-serif"/>
                <w:b w:val="false"/>
                <w:color w:val="000000"/>
                <w:sz w:val="18"/>
              </w:rPr>
              <w:t>$</w:t>
            </w:r>
          </w:p>
        </w:tc>
        <w:tc>
          <w:tcPr>
            <w:tcW w:w="46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FFFF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2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Expensify Neue;sans-serif" w:hAnsi="Expensify Neue;sans-serif"/>
                <w:b w:val="false"/>
                <w:color w:val="000000"/>
                <w:sz w:val="18"/>
              </w:rPr>
            </w:pPr>
            <w:r>
              <w:rPr>
                <w:rFonts w:ascii="Expensify Neue;sans-serif" w:hAnsi="Expensify Neue;sans-serif"/>
                <w:b w:val="false"/>
                <w:color w:val="000000"/>
                <w:sz w:val="18"/>
              </w:rPr>
              <w:t>91,376,765 </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Expensify Neue;sans-serif" w:hAnsi="Expensify Neue;sans-serif"/>
                <w:b w:val="false"/>
                <w:color w:val="000000"/>
                <w:sz w:val="18"/>
              </w:rPr>
            </w:pPr>
            <w:r>
              <w:rPr>
                <w:rFonts w:ascii="Expensify Neue;sans-serif" w:hAnsi="Expensify Neue;sans-serif"/>
                <w:b w:val="false"/>
                <w:color w:val="000000"/>
                <w:sz w:val="18"/>
              </w:rPr>
              <w:t>$</w:t>
            </w:r>
          </w:p>
        </w:tc>
        <w:tc>
          <w:tcPr>
            <w:tcW w:w="38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Expensify Neue;sans-serif" w:hAnsi="Expensify Neue;sans-serif"/>
                <w:b w:val="false"/>
                <w:color w:val="000000"/>
                <w:sz w:val="18"/>
              </w:rPr>
            </w:pPr>
            <w:r>
              <w:rPr>
                <w:rFonts w:ascii="Expensify Neue;sans-serif" w:hAnsi="Expensify Neue;sans-serif"/>
                <w:b w:val="false"/>
                <w:color w:val="000000"/>
                <w:sz w:val="18"/>
              </w:rPr>
              <w:t>9 </w:t>
            </w:r>
          </w:p>
        </w:tc>
        <w:tc>
          <w:tcPr>
            <w:tcW w:w="14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Expensify Neue;sans-serif" w:hAnsi="Expensify Neue;sans-serif"/>
                <w:b w:val="false"/>
                <w:color w:val="000000"/>
                <w:sz w:val="18"/>
              </w:rPr>
            </w:pPr>
            <w:r>
              <w:rPr>
                <w:rFonts w:ascii="Expensify Neue;sans-serif" w:hAnsi="Expensify Neue;sans-serif"/>
                <w:b w:val="false"/>
                <w:color w:val="000000"/>
                <w:sz w:val="18"/>
              </w:rPr>
              <w:t>$</w:t>
            </w:r>
          </w:p>
        </w:tc>
        <w:tc>
          <w:tcPr>
            <w:tcW w:w="94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Expensify Neue;sans-serif" w:hAnsi="Expensify Neue;sans-serif"/>
                <w:b w:val="false"/>
                <w:color w:val="000000"/>
                <w:sz w:val="18"/>
              </w:rPr>
            </w:pPr>
            <w:r>
              <w:rPr>
                <w:rFonts w:ascii="Expensify Neue;sans-serif" w:hAnsi="Expensify Neue;sans-serif"/>
                <w:b w:val="false"/>
                <w:color w:val="000000"/>
                <w:sz w:val="18"/>
              </w:rPr>
              <w:t>279,062 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Expensify Neue;sans-serif" w:hAnsi="Expensify Neue;sans-serif"/>
                <w:b w:val="false"/>
                <w:color w:val="000000"/>
                <w:sz w:val="18"/>
              </w:rPr>
            </w:pPr>
            <w:r>
              <w:rPr>
                <w:rFonts w:ascii="Expensify Neue;sans-serif" w:hAnsi="Expensify Neue;sans-serif"/>
                <w:b w:val="false"/>
                <w:color w:val="000000"/>
                <w:sz w:val="18"/>
              </w:rPr>
              <w:t>$</w:t>
            </w:r>
          </w:p>
        </w:tc>
        <w:tc>
          <w:tcPr>
            <w:tcW w:w="98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Expensify Neue;sans-serif" w:hAnsi="Expensify Neue;sans-serif"/>
                <w:b w:val="false"/>
                <w:color w:val="000000"/>
                <w:sz w:val="18"/>
              </w:rPr>
            </w:pPr>
            <w:r>
              <w:rPr>
                <w:rFonts w:ascii="Expensify Neue;sans-serif" w:hAnsi="Expensify Neue;sans-serif"/>
                <w:b w:val="false"/>
                <w:color w:val="000000"/>
                <w:sz w:val="18"/>
              </w:rPr>
              <w:t>(150,828)</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0"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Expensify Neue;sans-serif" w:hAnsi="Expensify Neue;sans-serif"/>
                <w:b w:val="false"/>
                <w:color w:val="000000"/>
                <w:sz w:val="18"/>
              </w:rPr>
            </w:pPr>
            <w:r>
              <w:rPr>
                <w:rFonts w:ascii="Expensify Neue;sans-serif" w:hAnsi="Expensify Neue;sans-serif"/>
                <w:b w:val="false"/>
                <w:color w:val="000000"/>
                <w:sz w:val="18"/>
              </w:rPr>
              <w:t>$</w:t>
            </w:r>
          </w:p>
        </w:tc>
        <w:tc>
          <w:tcPr>
            <w:tcW w:w="100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Expensify Neue;sans-serif" w:hAnsi="Expensify Neue;sans-serif"/>
                <w:b w:val="false"/>
                <w:color w:val="000000"/>
                <w:sz w:val="18"/>
              </w:rPr>
            </w:pPr>
            <w:r>
              <w:rPr>
                <w:rFonts w:ascii="Expensify Neue;sans-serif" w:hAnsi="Expensify Neue;sans-serif"/>
                <w:b w:val="false"/>
                <w:color w:val="000000"/>
                <w:sz w:val="18"/>
              </w:rPr>
              <w:t>128,243 </w:t>
            </w:r>
          </w:p>
        </w:tc>
        <w:tc>
          <w:tcPr>
            <w:tcW w:w="165"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139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Expensify Neue;sans-serif" w:hAnsi="Expensify Neue;sans-serif"/>
                <w:b w:val="false"/>
                <w:color w:val="000000"/>
                <w:sz w:val="18"/>
              </w:rPr>
            </w:pPr>
            <w:r>
              <w:rPr>
                <w:rFonts w:ascii="Expensify Neue;sans-serif" w:hAnsi="Expensify Neue;sans-serif"/>
                <w:b w:val="false"/>
                <w:color w:val="000000"/>
                <w:sz w:val="18"/>
              </w:rPr>
              <w:t>Issuance of common stock on exercise of stock options</w:t>
            </w:r>
          </w:p>
        </w:tc>
        <w:tc>
          <w:tcPr>
            <w:tcW w:w="49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4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CCEE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2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Expensify Neue;sans-serif" w:hAnsi="Expensify Neue;sans-serif"/>
                <w:b w:val="false"/>
                <w:color w:val="000000"/>
                <w:sz w:val="18"/>
              </w:rPr>
            </w:pPr>
            <w:r>
              <w:rPr>
                <w:rFonts w:ascii="Expensify Neue;sans-serif" w:hAnsi="Expensify Neue;sans-serif"/>
                <w:b w:val="false"/>
                <w:color w:val="000000"/>
                <w:sz w:val="18"/>
              </w:rPr>
              <w:t>75,289 </w:t>
            </w:r>
          </w:p>
        </w:tc>
        <w:tc>
          <w:tcPr>
            <w:tcW w:w="24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Expensify Neue;sans-serif" w:hAnsi="Expensify Neue;sans-serif"/>
                <w:b w:val="false"/>
                <w:color w:val="000000"/>
                <w:sz w:val="18"/>
              </w:rPr>
            </w:pPr>
            <w:r>
              <w:rPr>
                <w:rFonts w:ascii="Expensify Neue;sans-serif" w:hAnsi="Expensify Neue;sans-serif"/>
                <w:b w:val="false"/>
                <w:color w:val="000000"/>
                <w:sz w:val="18"/>
              </w:rPr>
              <w:t>91 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Expensify Neue;sans-serif" w:hAnsi="Expensify Neue;sans-serif"/>
                <w:b w:val="false"/>
                <w:color w:val="000000"/>
                <w:sz w:val="18"/>
              </w:rPr>
            </w:pPr>
            <w:r>
              <w:rPr>
                <w:rFonts w:ascii="Expensify Neue;sans-serif" w:hAnsi="Expensify Neue;sans-serif"/>
                <w:b w:val="false"/>
                <w:color w:val="000000"/>
                <w:sz w:val="18"/>
              </w:rPr>
              <w:t>91 </w:t>
            </w:r>
          </w:p>
        </w:tc>
        <w:tc>
          <w:tcPr>
            <w:tcW w:w="165" w:type="dxa"/>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139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Expensify Neue;sans-serif" w:hAnsi="Expensify Neue;sans-serif"/>
                <w:b w:val="false"/>
                <w:color w:val="000000"/>
                <w:sz w:val="18"/>
              </w:rPr>
            </w:pPr>
            <w:r>
              <w:rPr>
                <w:rFonts w:ascii="Expensify Neue;sans-serif" w:hAnsi="Expensify Neue;sans-serif"/>
                <w:b w:val="false"/>
                <w:color w:val="000000"/>
                <w:sz w:val="18"/>
              </w:rPr>
              <w:t>Vesting of early exercised stock options</w:t>
            </w:r>
          </w:p>
        </w:tc>
        <w:tc>
          <w:tcPr>
            <w:tcW w:w="49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FFFF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2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Expensify Neue;sans-serif" w:hAnsi="Expensify Neue;sans-serif"/>
                <w:b w:val="false"/>
                <w:color w:val="000000"/>
                <w:sz w:val="18"/>
              </w:rPr>
            </w:pPr>
            <w:r>
              <w:rPr>
                <w:rFonts w:ascii="Expensify Neue;sans-serif" w:hAnsi="Expensify Neue;sans-serif"/>
                <w:b w:val="false"/>
                <w:color w:val="000000"/>
                <w:sz w:val="18"/>
              </w:rPr>
              <w:t>88 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Expensify Neue;sans-serif" w:hAnsi="Expensify Neue;sans-serif"/>
                <w:b w:val="false"/>
                <w:color w:val="000000"/>
                <w:sz w:val="18"/>
              </w:rPr>
            </w:pPr>
            <w:r>
              <w:rPr>
                <w:rFonts w:ascii="Expensify Neue;sans-serif" w:hAnsi="Expensify Neue;sans-serif"/>
                <w:b w:val="false"/>
                <w:color w:val="000000"/>
                <w:sz w:val="18"/>
              </w:rPr>
              <w:t>88 </w:t>
            </w:r>
          </w:p>
        </w:tc>
        <w:tc>
          <w:tcPr>
            <w:tcW w:w="165"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139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Expensify Neue;sans-serif" w:hAnsi="Expensify Neue;sans-serif"/>
                <w:b w:val="false"/>
                <w:color w:val="000000"/>
                <w:sz w:val="18"/>
              </w:rPr>
            </w:pPr>
            <w:r>
              <w:rPr>
                <w:rFonts w:ascii="Expensify Neue;sans-serif" w:hAnsi="Expensify Neue;sans-serif"/>
                <w:b w:val="false"/>
                <w:color w:val="000000"/>
                <w:sz w:val="18"/>
              </w:rPr>
              <w:t>Issuance of restricted stock units</w:t>
            </w:r>
          </w:p>
        </w:tc>
        <w:tc>
          <w:tcPr>
            <w:tcW w:w="49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4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CCEE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2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Expensify Neue;sans-serif" w:hAnsi="Expensify Neue;sans-serif"/>
                <w:b w:val="false"/>
                <w:color w:val="000000"/>
                <w:sz w:val="18"/>
              </w:rPr>
            </w:pPr>
            <w:r>
              <w:rPr>
                <w:rFonts w:ascii="Expensify Neue;sans-serif" w:hAnsi="Expensify Neue;sans-serif"/>
                <w:b w:val="false"/>
                <w:color w:val="000000"/>
                <w:sz w:val="18"/>
              </w:rPr>
              <w:t>4,957 </w:t>
            </w:r>
          </w:p>
        </w:tc>
        <w:tc>
          <w:tcPr>
            <w:tcW w:w="24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Expensify Neue;sans-serif" w:hAnsi="Expensify Neue;sans-serif"/>
                <w:b w:val="false"/>
                <w:color w:val="000000"/>
                <w:sz w:val="18"/>
              </w:rPr>
            </w:pPr>
            <w:r>
              <w:rPr>
                <w:rFonts w:ascii="Expensify Neue;sans-serif" w:hAnsi="Expensify Neue;sans-serif"/>
                <w:b w:val="false"/>
                <w:color w:val="000000"/>
                <w:sz w:val="18"/>
              </w:rPr>
              <w:t>18 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Expensify Neue;sans-serif" w:hAnsi="Expensify Neue;sans-serif"/>
                <w:b w:val="false"/>
                <w:color w:val="000000"/>
                <w:sz w:val="18"/>
              </w:rPr>
            </w:pPr>
            <w:r>
              <w:rPr>
                <w:rFonts w:ascii="Expensify Neue;sans-serif" w:hAnsi="Expensify Neue;sans-serif"/>
                <w:b w:val="false"/>
                <w:color w:val="000000"/>
                <w:sz w:val="18"/>
              </w:rPr>
              <w:t>18 </w:t>
            </w:r>
          </w:p>
        </w:tc>
        <w:tc>
          <w:tcPr>
            <w:tcW w:w="165" w:type="dxa"/>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139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Expensify Neue;sans-serif" w:hAnsi="Expensify Neue;sans-serif"/>
                <w:b w:val="false"/>
                <w:color w:val="000000"/>
                <w:sz w:val="18"/>
              </w:rPr>
            </w:pPr>
            <w:r>
              <w:rPr>
                <w:rFonts w:ascii="Expensify Neue;sans-serif" w:hAnsi="Expensify Neue;sans-serif"/>
                <w:b w:val="false"/>
                <w:color w:val="000000"/>
                <w:sz w:val="18"/>
              </w:rPr>
              <w:t>Issuance of common stock under Matching Plan</w:t>
            </w:r>
          </w:p>
        </w:tc>
        <w:tc>
          <w:tcPr>
            <w:tcW w:w="49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FFFF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2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Expensify Neue;sans-serif" w:hAnsi="Expensify Neue;sans-serif"/>
                <w:b w:val="false"/>
                <w:color w:val="000000"/>
                <w:sz w:val="18"/>
              </w:rPr>
            </w:pPr>
            <w:r>
              <w:rPr>
                <w:rFonts w:ascii="Expensify Neue;sans-serif" w:hAnsi="Expensify Neue;sans-serif"/>
                <w:b w:val="false"/>
                <w:color w:val="000000"/>
                <w:sz w:val="18"/>
              </w:rPr>
              <w:t>729,486 </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Expensify Neue;sans-serif" w:hAnsi="Expensify Neue;sans-serif"/>
                <w:b w:val="false"/>
                <w:color w:val="000000"/>
                <w:sz w:val="18"/>
              </w:rPr>
            </w:pPr>
            <w:r>
              <w:rPr>
                <w:rFonts w:ascii="Expensify Neue;sans-serif" w:hAnsi="Expensify Neue;sans-serif"/>
                <w:b w:val="false"/>
                <w:color w:val="000000"/>
                <w:sz w:val="18"/>
              </w:rPr>
              <w:t>1,151 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Expensify Neue;sans-serif" w:hAnsi="Expensify Neue;sans-serif"/>
                <w:b w:val="false"/>
                <w:color w:val="000000"/>
                <w:sz w:val="18"/>
              </w:rPr>
            </w:pPr>
            <w:r>
              <w:rPr>
                <w:rFonts w:ascii="Expensify Neue;sans-serif" w:hAnsi="Expensify Neue;sans-serif"/>
                <w:b w:val="false"/>
                <w:color w:val="000000"/>
                <w:sz w:val="18"/>
              </w:rPr>
              <w:t>1,151 </w:t>
            </w:r>
          </w:p>
        </w:tc>
        <w:tc>
          <w:tcPr>
            <w:tcW w:w="165"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139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Expensify Neue;sans-serif" w:hAnsi="Expensify Neue;sans-serif"/>
                <w:b w:val="false"/>
                <w:color w:val="000000"/>
                <w:sz w:val="18"/>
              </w:rPr>
            </w:pPr>
            <w:r>
              <w:rPr>
                <w:rFonts w:ascii="Expensify Neue;sans-serif" w:hAnsi="Expensify Neue;sans-serif"/>
                <w:b w:val="false"/>
                <w:color w:val="000000"/>
                <w:sz w:val="18"/>
              </w:rPr>
              <w:t>Issuance of common stock in connection with restricted stock units vesting</w:t>
            </w:r>
          </w:p>
        </w:tc>
        <w:tc>
          <w:tcPr>
            <w:tcW w:w="49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4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CCEE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2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Expensify Neue;sans-serif" w:hAnsi="Expensify Neue;sans-serif"/>
                <w:b w:val="false"/>
                <w:color w:val="000000"/>
                <w:sz w:val="18"/>
              </w:rPr>
            </w:pPr>
            <w:r>
              <w:rPr>
                <w:rFonts w:ascii="Expensify Neue;sans-serif" w:hAnsi="Expensify Neue;sans-serif"/>
                <w:b w:val="false"/>
                <w:color w:val="000000"/>
                <w:sz w:val="18"/>
              </w:rPr>
              <w:t>197,170 </w:t>
            </w:r>
          </w:p>
        </w:tc>
        <w:tc>
          <w:tcPr>
            <w:tcW w:w="24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9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Expensify Neue;sans-serif" w:hAnsi="Expensify Neue;sans-serif"/>
                <w:b w:val="false"/>
                <w:color w:val="000000"/>
                <w:sz w:val="18"/>
              </w:rPr>
            </w:pPr>
            <w:r>
              <w:rPr>
                <w:rFonts w:ascii="Expensify Neue;sans-serif" w:hAnsi="Expensify Neue;sans-serif"/>
                <w:b w:val="false"/>
                <w:color w:val="000000"/>
                <w:sz w:val="18"/>
              </w:rPr>
              <w:t>Stock-based compensation</w:t>
            </w:r>
          </w:p>
        </w:tc>
        <w:tc>
          <w:tcPr>
            <w:tcW w:w="49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FFFF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2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Expensify Neue;sans-serif" w:hAnsi="Expensify Neue;sans-serif"/>
                <w:b w:val="false"/>
                <w:color w:val="000000"/>
                <w:sz w:val="18"/>
              </w:rPr>
            </w:pPr>
            <w:r>
              <w:rPr>
                <w:rFonts w:ascii="Expensify Neue;sans-serif" w:hAnsi="Expensify Neue;sans-serif"/>
                <w:b w:val="false"/>
                <w:color w:val="000000"/>
                <w:sz w:val="18"/>
              </w:rPr>
              <w:t>8,229 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Expensify Neue;sans-serif" w:hAnsi="Expensify Neue;sans-serif"/>
                <w:b w:val="false"/>
                <w:color w:val="000000"/>
                <w:sz w:val="18"/>
              </w:rPr>
            </w:pPr>
            <w:r>
              <w:rPr>
                <w:rFonts w:ascii="Expensify Neue;sans-serif" w:hAnsi="Expensify Neue;sans-serif"/>
                <w:b w:val="false"/>
                <w:color w:val="000000"/>
                <w:sz w:val="18"/>
              </w:rPr>
              <w:t>8,229 </w:t>
            </w:r>
          </w:p>
        </w:tc>
        <w:tc>
          <w:tcPr>
            <w:tcW w:w="16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9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Expensify Neue;sans-serif" w:hAnsi="Expensify Neue;sans-serif"/>
                <w:b w:val="false"/>
                <w:color w:val="000000"/>
                <w:sz w:val="18"/>
              </w:rPr>
            </w:pPr>
            <w:r>
              <w:rPr>
                <w:rFonts w:ascii="Expensify Neue;sans-serif" w:hAnsi="Expensify Neue;sans-serif"/>
                <w:b w:val="false"/>
                <w:color w:val="000000"/>
                <w:sz w:val="18"/>
              </w:rPr>
              <w:t>Net loss</w:t>
            </w:r>
          </w:p>
        </w:tc>
        <w:tc>
          <w:tcPr>
            <w:tcW w:w="49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4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CCEE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2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4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Expensify Neue;sans-serif" w:hAnsi="Expensify Neue;sans-serif"/>
                <w:b w:val="false"/>
                <w:color w:val="000000"/>
                <w:sz w:val="18"/>
              </w:rPr>
            </w:pPr>
            <w:r>
              <w:rPr>
                <w:rFonts w:ascii="Expensify Neue;sans-serif" w:hAnsi="Expensify Neue;sans-serif"/>
                <w:b w:val="false"/>
                <w:color w:val="000000"/>
                <w:sz w:val="18"/>
              </w:rPr>
              <w:t>(3,169)</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Expensify Neue;sans-serif" w:hAnsi="Expensify Neue;sans-serif"/>
                <w:b w:val="false"/>
                <w:color w:val="000000"/>
                <w:sz w:val="18"/>
              </w:rPr>
            </w:pPr>
            <w:r>
              <w:rPr>
                <w:rFonts w:ascii="Expensify Neue;sans-serif" w:hAnsi="Expensify Neue;sans-serif"/>
                <w:b w:val="false"/>
                <w:color w:val="000000"/>
                <w:sz w:val="18"/>
              </w:rPr>
              <w:t>(3,169)</w:t>
            </w:r>
          </w:p>
        </w:tc>
        <w:tc>
          <w:tcPr>
            <w:tcW w:w="16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9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Expensify Neue;sans-serif" w:hAnsi="Expensify Neue;sans-serif"/>
                <w:b w:val="false"/>
                <w:color w:val="000000"/>
                <w:sz w:val="18"/>
              </w:rPr>
            </w:pPr>
            <w:r>
              <w:rPr>
                <w:rFonts w:ascii="Expensify Neue;sans-serif" w:hAnsi="Expensify Neue;sans-serif"/>
                <w:b w:val="false"/>
                <w:color w:val="000000"/>
                <w:sz w:val="18"/>
              </w:rPr>
              <w:t>Balance at March 31, 2025</w:t>
            </w:r>
          </w:p>
        </w:tc>
        <w:tc>
          <w:tcPr>
            <w:tcW w:w="490"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4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Expensify Neue;sans-serif" w:hAnsi="Expensify Neue;sans-serif"/>
                <w:b w:val="false"/>
                <w:color w:val="000000"/>
                <w:sz w:val="18"/>
              </w:rPr>
            </w:pPr>
            <w:r>
              <w:rPr>
                <w:rFonts w:ascii="Expensify Neue;sans-serif" w:hAnsi="Expensify Neue;sans-serif"/>
                <w:b w:val="false"/>
                <w:color w:val="000000"/>
                <w:sz w:val="18"/>
              </w:rPr>
              <w:t>$</w:t>
            </w:r>
          </w:p>
        </w:tc>
        <w:tc>
          <w:tcPr>
            <w:tcW w:w="460"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FFFF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24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Expensify Neue;sans-serif" w:hAnsi="Expensify Neue;sans-serif"/>
                <w:b w:val="false"/>
                <w:color w:val="000000"/>
                <w:sz w:val="18"/>
              </w:rPr>
            </w:pPr>
            <w:r>
              <w:rPr>
                <w:rFonts w:ascii="Expensify Neue;sans-serif" w:hAnsi="Expensify Neue;sans-serif"/>
                <w:b w:val="false"/>
                <w:color w:val="000000"/>
                <w:sz w:val="18"/>
              </w:rPr>
              <w:t>92,383,667 </w:t>
            </w:r>
          </w:p>
        </w:tc>
        <w:tc>
          <w:tcPr>
            <w:tcW w:w="24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Expensify Neue;sans-serif" w:hAnsi="Expensify Neue;sans-serif"/>
                <w:b w:val="false"/>
                <w:color w:val="000000"/>
                <w:sz w:val="18"/>
              </w:rPr>
            </w:pPr>
            <w:r>
              <w:rPr>
                <w:rFonts w:ascii="Expensify Neue;sans-serif" w:hAnsi="Expensify Neue;sans-serif"/>
                <w:b w:val="false"/>
                <w:color w:val="000000"/>
                <w:sz w:val="18"/>
              </w:rPr>
              <w:t>$</w:t>
            </w:r>
          </w:p>
        </w:tc>
        <w:tc>
          <w:tcPr>
            <w:tcW w:w="387"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Expensify Neue;sans-serif" w:hAnsi="Expensify Neue;sans-serif"/>
                <w:b w:val="false"/>
                <w:color w:val="000000"/>
                <w:sz w:val="18"/>
              </w:rPr>
            </w:pPr>
            <w:r>
              <w:rPr>
                <w:rFonts w:ascii="Expensify Neue;sans-serif" w:hAnsi="Expensify Neue;sans-serif"/>
                <w:b w:val="false"/>
                <w:color w:val="000000"/>
                <w:sz w:val="18"/>
              </w:rPr>
              <w:t>9 </w:t>
            </w:r>
          </w:p>
        </w:tc>
        <w:tc>
          <w:tcPr>
            <w:tcW w:w="148"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Expensify Neue;sans-serif" w:hAnsi="Expensify Neue;sans-serif"/>
                <w:b w:val="false"/>
                <w:color w:val="000000"/>
                <w:sz w:val="18"/>
              </w:rPr>
            </w:pPr>
            <w:r>
              <w:rPr>
                <w:rFonts w:ascii="Expensify Neue;sans-serif" w:hAnsi="Expensify Neue;sans-serif"/>
                <w:b w:val="false"/>
                <w:color w:val="000000"/>
                <w:sz w:val="18"/>
              </w:rPr>
              <w:t>$</w:t>
            </w:r>
          </w:p>
        </w:tc>
        <w:tc>
          <w:tcPr>
            <w:tcW w:w="94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Expensify Neue;sans-serif" w:hAnsi="Expensify Neue;sans-serif"/>
                <w:b w:val="false"/>
                <w:color w:val="000000"/>
                <w:sz w:val="18"/>
              </w:rPr>
            </w:pPr>
            <w:r>
              <w:rPr>
                <w:rFonts w:ascii="Expensify Neue;sans-serif" w:hAnsi="Expensify Neue;sans-serif"/>
                <w:b w:val="false"/>
                <w:color w:val="000000"/>
                <w:sz w:val="18"/>
              </w:rPr>
              <w:t>288,639 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Expensify Neue;sans-serif" w:hAnsi="Expensify Neue;sans-serif"/>
                <w:b w:val="false"/>
                <w:color w:val="000000"/>
                <w:sz w:val="18"/>
              </w:rPr>
            </w:pPr>
            <w:r>
              <w:rPr>
                <w:rFonts w:ascii="Expensify Neue;sans-serif" w:hAnsi="Expensify Neue;sans-serif"/>
                <w:b w:val="false"/>
                <w:color w:val="000000"/>
                <w:sz w:val="18"/>
              </w:rPr>
              <w:t>$</w:t>
            </w:r>
          </w:p>
        </w:tc>
        <w:tc>
          <w:tcPr>
            <w:tcW w:w="98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Expensify Neue;sans-serif" w:hAnsi="Expensify Neue;sans-serif"/>
                <w:b w:val="false"/>
                <w:color w:val="000000"/>
                <w:sz w:val="18"/>
              </w:rPr>
            </w:pPr>
            <w:r>
              <w:rPr>
                <w:rFonts w:ascii="Expensify Neue;sans-serif" w:hAnsi="Expensify Neue;sans-serif"/>
                <w:b w:val="false"/>
                <w:color w:val="000000"/>
                <w:sz w:val="18"/>
              </w:rPr>
              <w:t>(153,997)</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0"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Expensify Neue;sans-serif" w:hAnsi="Expensify Neue;sans-serif"/>
                <w:b w:val="false"/>
                <w:color w:val="000000"/>
                <w:sz w:val="18"/>
              </w:rPr>
            </w:pPr>
            <w:r>
              <w:rPr>
                <w:rFonts w:ascii="Expensify Neue;sans-serif" w:hAnsi="Expensify Neue;sans-serif"/>
                <w:b w:val="false"/>
                <w:color w:val="000000"/>
                <w:sz w:val="18"/>
              </w:rPr>
              <w:t>$</w:t>
            </w:r>
          </w:p>
        </w:tc>
        <w:tc>
          <w:tcPr>
            <w:tcW w:w="100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Expensify Neue;sans-serif" w:hAnsi="Expensify Neue;sans-serif"/>
                <w:b w:val="false"/>
                <w:color w:val="000000"/>
                <w:sz w:val="18"/>
              </w:rPr>
            </w:pPr>
            <w:r>
              <w:rPr>
                <w:rFonts w:ascii="Expensify Neue;sans-serif" w:hAnsi="Expensify Neue;sans-serif"/>
                <w:b w:val="false"/>
                <w:color w:val="000000"/>
                <w:sz w:val="18"/>
              </w:rPr>
              <w:t>134,651 </w:t>
            </w:r>
          </w:p>
        </w:tc>
        <w:tc>
          <w:tcPr>
            <w:tcW w:w="16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96" w:type="dxa"/>
            <w:gridSpan w:val="3"/>
            <w:tcBorders>
              <w:bottom w:val="single" w:sz="8" w:space="0" w:color="000000"/>
            </w:tcBorders>
            <w:shd w:fill="CCEE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736" w:type="dxa"/>
            <w:gridSpan w:val="3"/>
            <w:tcBorders>
              <w:top w:val="double" w:sz="8" w:space="0" w:color="000000"/>
              <w:bottom w:val="single" w:sz="8" w:space="0" w:color="000000"/>
            </w:tcBorders>
            <w:shd w:fill="CCEEFF" w:val="clear"/>
            <w:tcMar>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8" w:space="0" w:color="000000"/>
            </w:tcBorders>
            <w:shd w:fill="CCEE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841" w:type="dxa"/>
            <w:gridSpan w:val="3"/>
            <w:tcBorders>
              <w:top w:val="double" w:sz="8" w:space="0" w:color="000000"/>
              <w:bottom w:val="single" w:sz="8" w:space="0" w:color="000000"/>
            </w:tcBorders>
            <w:shd w:fill="CCEEFF" w:val="clear"/>
            <w:tcMar>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8" w:space="0" w:color="000000"/>
            </w:tcBorders>
            <w:shd w:fill="CCEE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8" w:space="0" w:color="000000"/>
            </w:tcBorders>
            <w:shd w:fill="CCEE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492" w:type="dxa"/>
            <w:gridSpan w:val="3"/>
            <w:tcBorders>
              <w:top w:val="double" w:sz="8" w:space="0" w:color="000000"/>
              <w:bottom w:val="single" w:sz="8" w:space="0" w:color="000000"/>
            </w:tcBorders>
            <w:shd w:fill="CCEEFF" w:val="clear"/>
            <w:tcMar>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8" w:space="0" w:color="000000"/>
            </w:tcBorders>
            <w:shd w:fill="CCEE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841" w:type="dxa"/>
            <w:gridSpan w:val="3"/>
            <w:tcBorders>
              <w:top w:val="double" w:sz="8" w:space="0" w:color="000000"/>
              <w:bottom w:val="single" w:sz="8" w:space="0" w:color="000000"/>
            </w:tcBorders>
            <w:shd w:fill="CCEEFF" w:val="clear"/>
            <w:tcMar>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8" w:space="0" w:color="000000"/>
            </w:tcBorders>
            <w:shd w:fill="CCEE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281" w:type="dxa"/>
            <w:gridSpan w:val="3"/>
            <w:tcBorders>
              <w:top w:val="double" w:sz="8" w:space="0" w:color="000000"/>
              <w:bottom w:val="single" w:sz="8" w:space="0" w:color="000000"/>
            </w:tcBorders>
            <w:shd w:fill="CCEEFF" w:val="clear"/>
            <w:tcMar>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8" w:space="0" w:color="000000"/>
            </w:tcBorders>
            <w:shd w:fill="CCEE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321" w:type="dxa"/>
            <w:gridSpan w:val="3"/>
            <w:tcBorders>
              <w:top w:val="double" w:sz="8" w:space="0" w:color="000000"/>
              <w:bottom w:val="single" w:sz="8" w:space="0" w:color="000000"/>
            </w:tcBorders>
            <w:shd w:fill="CCEEFF" w:val="clear"/>
            <w:tcMar>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8" w:space="0" w:color="000000"/>
            </w:tcBorders>
            <w:shd w:fill="CCEE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411" w:type="dxa"/>
            <w:gridSpan w:val="3"/>
            <w:tcBorders>
              <w:top w:val="double" w:sz="8" w:space="0" w:color="000000"/>
              <w:bottom w:val="single" w:sz="8" w:space="0" w:color="000000"/>
            </w:tcBorders>
            <w:shd w:fill="CCEEFF" w:val="clear"/>
            <w:tcMar>
              <w:left w:w="0" w:type="dxa"/>
              <w:right w:w="0" w:type="dxa"/>
            </w:tcMar>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1">
                <wp:simplePos x="0" y="0"/>
                <wp:positionH relativeFrom="character">
                  <wp:align>left</wp:align>
                </wp:positionH>
                <wp:positionV relativeFrom="line">
                  <wp:posOffset>635</wp:posOffset>
                </wp:positionV>
                <wp:extent cx="6480175" cy="1075055"/>
                <wp:effectExtent l="0" t="0" r="0" b="0"/>
                <wp:wrapNone/>
                <wp:docPr id="10" name="Frame9"/>
                <a:graphic xmlns:a="http://schemas.openxmlformats.org/drawingml/2006/main">
                  <a:graphicData uri="http://schemas.microsoft.com/office/word/2010/wordprocessingShape">
                    <wps:wsp>
                      <wps:cNvSpPr txBox="1"/>
                      <wps:spPr>
                        <a:xfrm>
                          <a:off x="0" y="0"/>
                          <a:ext cx="6480175" cy="1075055"/>
                        </a:xfrm>
                        <a:prstGeom prst="rect"/>
                        <a:solidFill>
                          <a:srgbClr val="FFFFFF"/>
                        </a:solidFill>
                      </wps:spPr>
                      <wps:txbx>
                        <w:txbxContent>
                          <w:tbl>
                            <w:tblPr>
                              <w:tblW w:w="7515" w:type="dxa"/>
                              <w:jc w:val="left"/>
                              <w:tblInd w:w="0" w:type="dxa"/>
                              <w:tblLayout w:type="fixed"/>
                              <w:tblCellMar>
                                <w:top w:w="28" w:type="dxa"/>
                                <w:left w:w="28" w:type="dxa"/>
                                <w:bottom w:w="28" w:type="dxa"/>
                                <w:right w:w="28" w:type="dxa"/>
                              </w:tblCellMar>
                            </w:tblPr>
                            <w:tblGrid>
                              <w:gridCol w:w="2404"/>
                              <w:gridCol w:w="2116"/>
                              <w:gridCol w:w="2995"/>
                            </w:tblGrid>
                            <w:tr>
                              <w:trPr/>
                              <w:tc>
                                <w:tcPr>
                                  <w:tcW w:w="2404" w:type="dxa"/>
                                  <w:tcBorders/>
                                  <w:vAlign w:val="center"/>
                                </w:tcPr>
                                <w:p>
                                  <w:pPr>
                                    <w:pStyle w:val="TableContents"/>
                                    <w:bidi w:val="0"/>
                                    <w:spacing w:before="0" w:after="283"/>
                                    <w:jc w:val="left"/>
                                    <w:rPr>
                                      <w:sz w:val="4"/>
                                      <w:szCs w:val="4"/>
                                    </w:rPr>
                                  </w:pPr>
                                  <w:r>
                                    <w:rPr>
                                      <w:sz w:val="4"/>
                                      <w:szCs w:val="4"/>
                                    </w:rPr>
                                  </w:r>
                                </w:p>
                              </w:tc>
                              <w:tc>
                                <w:tcPr>
                                  <w:tcW w:w="2116" w:type="dxa"/>
                                  <w:tcBorders/>
                                  <w:vAlign w:val="center"/>
                                </w:tcPr>
                                <w:p>
                                  <w:pPr>
                                    <w:pStyle w:val="TableContents"/>
                                    <w:bidi w:val="0"/>
                                    <w:spacing w:before="0" w:after="283"/>
                                    <w:jc w:val="left"/>
                                    <w:rPr>
                                      <w:sz w:val="4"/>
                                      <w:szCs w:val="4"/>
                                    </w:rPr>
                                  </w:pPr>
                                  <w:r>
                                    <w:rPr>
                                      <w:sz w:val="4"/>
                                      <w:szCs w:val="4"/>
                                    </w:rPr>
                                  </w:r>
                                </w:p>
                              </w:tc>
                              <w:tc>
                                <w:tcPr>
                                  <w:tcW w:w="2995" w:type="dxa"/>
                                  <w:tcBorders/>
                                  <w:vAlign w:val="center"/>
                                </w:tcPr>
                                <w:p>
                                  <w:pPr>
                                    <w:pStyle w:val="TableContents"/>
                                    <w:bidi w:val="0"/>
                                    <w:spacing w:before="0" w:after="283"/>
                                    <w:jc w:val="left"/>
                                    <w:rPr>
                                      <w:sz w:val="4"/>
                                      <w:szCs w:val="4"/>
                                    </w:rPr>
                                  </w:pPr>
                                  <w:r>
                                    <w:rPr>
                                      <w:sz w:val="4"/>
                                      <w:szCs w:val="4"/>
                                    </w:rPr>
                                  </w:r>
                                </w:p>
                              </w:tc>
                            </w:tr>
                            <w:tr>
                              <w:trPr/>
                              <w:tc>
                                <w:tcPr>
                                  <w:tcW w:w="751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Expensify Neue;sans-serif" w:hAnsi="Expensify Neue;sans-serif"/>
                                      <w:b w:val="false"/>
                                      <w:color w:val="000000"/>
                                      <w:sz w:val="20"/>
                                    </w:rPr>
                                  </w:pPr>
                                  <w:r>
                                    <w:rPr>
                                      <w:rFonts w:ascii="Expensify Neue;sans-serif" w:hAnsi="Expensify Neue;sans-serif"/>
                                      <w:b w:val="false"/>
                                      <w:color w:val="000000"/>
                                      <w:sz w:val="20"/>
                                    </w:rPr>
                                    <w:t>See accompanying notes to Condensed Consolidated Financial Statements.</w:t>
                                  </w:r>
                                </w:p>
                              </w:tc>
                            </w:tr>
                            <w:tr>
                              <w:trPr/>
                              <w:tc>
                                <w:tcPr>
                                  <w:tcW w:w="7515"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0"/>
                                    <w:jc w:val="center"/>
                                    <w:rPr>
                                      <w:rFonts w:ascii="Expensify Neue;sans-serif" w:hAnsi="Expensify Neue;sans-serif"/>
                                      <w:b w:val="false"/>
                                      <w:color w:val="000000"/>
                                      <w:sz w:val="20"/>
                                    </w:rPr>
                                  </w:pPr>
                                  <w:r>
                                    <w:rPr>
                                      <w:rFonts w:ascii="Expensify Neue;sans-serif" w:hAnsi="Expensify Neue;sans-serif"/>
                                      <w:b w:val="false"/>
                                      <w:color w:val="000000"/>
                                      <w:sz w:val="20"/>
                                    </w:rPr>
                                    <w:t>4</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84.65pt;mso-wrap-distance-left:0pt;mso-wrap-distance-right:0pt;mso-wrap-distance-top:0pt;mso-wrap-distance-bottom:0pt;margin-top:0pt;mso-position-vertical:top;mso-position-vertical-relative:text;margin-left:0pt;mso-position-horizontal:left;mso-position-horizontal-relative:text">
                <v:textbox>
                  <w:txbxContent>
                    <w:tbl>
                      <w:tblPr>
                        <w:tblW w:w="7515" w:type="dxa"/>
                        <w:jc w:val="left"/>
                        <w:tblInd w:w="0" w:type="dxa"/>
                        <w:tblLayout w:type="fixed"/>
                        <w:tblCellMar>
                          <w:top w:w="28" w:type="dxa"/>
                          <w:left w:w="28" w:type="dxa"/>
                          <w:bottom w:w="28" w:type="dxa"/>
                          <w:right w:w="28" w:type="dxa"/>
                        </w:tblCellMar>
                      </w:tblPr>
                      <w:tblGrid>
                        <w:gridCol w:w="2404"/>
                        <w:gridCol w:w="2116"/>
                        <w:gridCol w:w="2995"/>
                      </w:tblGrid>
                      <w:tr>
                        <w:trPr/>
                        <w:tc>
                          <w:tcPr>
                            <w:tcW w:w="2404" w:type="dxa"/>
                            <w:tcBorders/>
                            <w:vAlign w:val="center"/>
                          </w:tcPr>
                          <w:p>
                            <w:pPr>
                              <w:pStyle w:val="TableContents"/>
                              <w:bidi w:val="0"/>
                              <w:spacing w:before="0" w:after="283"/>
                              <w:jc w:val="left"/>
                              <w:rPr>
                                <w:sz w:val="4"/>
                                <w:szCs w:val="4"/>
                              </w:rPr>
                            </w:pPr>
                            <w:r>
                              <w:rPr>
                                <w:sz w:val="4"/>
                                <w:szCs w:val="4"/>
                              </w:rPr>
                            </w:r>
                          </w:p>
                        </w:tc>
                        <w:tc>
                          <w:tcPr>
                            <w:tcW w:w="2116" w:type="dxa"/>
                            <w:tcBorders/>
                            <w:vAlign w:val="center"/>
                          </w:tcPr>
                          <w:p>
                            <w:pPr>
                              <w:pStyle w:val="TableContents"/>
                              <w:bidi w:val="0"/>
                              <w:spacing w:before="0" w:after="283"/>
                              <w:jc w:val="left"/>
                              <w:rPr>
                                <w:sz w:val="4"/>
                                <w:szCs w:val="4"/>
                              </w:rPr>
                            </w:pPr>
                            <w:r>
                              <w:rPr>
                                <w:sz w:val="4"/>
                                <w:szCs w:val="4"/>
                              </w:rPr>
                            </w:r>
                          </w:p>
                        </w:tc>
                        <w:tc>
                          <w:tcPr>
                            <w:tcW w:w="2995" w:type="dxa"/>
                            <w:tcBorders/>
                            <w:vAlign w:val="center"/>
                          </w:tcPr>
                          <w:p>
                            <w:pPr>
                              <w:pStyle w:val="TableContents"/>
                              <w:bidi w:val="0"/>
                              <w:spacing w:before="0" w:after="283"/>
                              <w:jc w:val="left"/>
                              <w:rPr>
                                <w:sz w:val="4"/>
                                <w:szCs w:val="4"/>
                              </w:rPr>
                            </w:pPr>
                            <w:r>
                              <w:rPr>
                                <w:sz w:val="4"/>
                                <w:szCs w:val="4"/>
                              </w:rPr>
                            </w:r>
                          </w:p>
                        </w:tc>
                      </w:tr>
                      <w:tr>
                        <w:trPr/>
                        <w:tc>
                          <w:tcPr>
                            <w:tcW w:w="751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Expensify Neue;sans-serif" w:hAnsi="Expensify Neue;sans-serif"/>
                                <w:b w:val="false"/>
                                <w:color w:val="000000"/>
                                <w:sz w:val="20"/>
                              </w:rPr>
                            </w:pPr>
                            <w:r>
                              <w:rPr>
                                <w:rFonts w:ascii="Expensify Neue;sans-serif" w:hAnsi="Expensify Neue;sans-serif"/>
                                <w:b w:val="false"/>
                                <w:color w:val="000000"/>
                                <w:sz w:val="20"/>
                              </w:rPr>
                              <w:t>See accompanying notes to Condensed Consolidated Financial Statements.</w:t>
                            </w:r>
                          </w:p>
                        </w:tc>
                      </w:tr>
                      <w:tr>
                        <w:trPr/>
                        <w:tc>
                          <w:tcPr>
                            <w:tcW w:w="7515"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0"/>
                              <w:jc w:val="center"/>
                              <w:rPr>
                                <w:rFonts w:ascii="Expensify Neue;sans-serif" w:hAnsi="Expensify Neue;sans-serif"/>
                                <w:b w:val="false"/>
                                <w:color w:val="000000"/>
                                <w:sz w:val="20"/>
                              </w:rPr>
                            </w:pPr>
                            <w:r>
                              <w:rPr>
                                <w:rFonts w:ascii="Expensify Neue;sans-serif" w:hAnsi="Expensify Neue;sans-serif"/>
                                <w:b w:val="false"/>
                                <w:color w:val="000000"/>
                                <w:sz w:val="20"/>
                              </w:rPr>
                              <w:t>4</w:t>
                            </w:r>
                          </w:p>
                        </w:tc>
                      </w:tr>
                    </w:tbl>
                    <w:p>
                      <w:pPr>
                        <w:pStyle w:val="TextBody"/>
                        <w:bidi w:val="0"/>
                        <w:spacing w:before="0" w:after="283"/>
                        <w:jc w:val="left"/>
                        <w:rPr/>
                      </w:pPr>
                      <w:r>
                        <w:rPr/>
                      </w:r>
                    </w:p>
                  </w:txbxContent>
                </v:textbox>
                <w10:wrap type="none"/>
              </v:rect>
            </w:pict>
          </mc:Fallback>
        </mc:AlternateContent>
      </w:r>
    </w:p>
    <w:p>
      <w:pPr>
        <w:pStyle w:val="TextBody"/>
        <w:bidi w:val="0"/>
        <w:spacing w:lineRule="auto" w:line="288" w:before="0" w:after="160"/>
        <w:jc w:val="left"/>
        <w:rPr/>
      </w:pPr>
      <w:hyperlink w:anchor="i52a648c4f0e449f7bc3c2044827c8f0d_7">
        <w:r>
          <w:rPr>
            <w:rStyle w:val="InternetLink"/>
            <w:rFonts w:ascii="Expensify Neue;sans-serif" w:hAnsi="Expensify Neue;sans-serif"/>
            <w:b/>
            <w:color w:val="0000FF"/>
            <w:sz w:val="20"/>
            <w:u w:val="single"/>
          </w:rPr>
          <w:t>Table of Contents</w:t>
        </w:r>
      </w:hyperlink>
    </w:p>
    <w:p>
      <w:pPr>
        <w:pStyle w:val="TextBody"/>
        <w:bidi w:val="0"/>
        <w:spacing w:lineRule="auto" w:line="288" w:before="0" w:after="0"/>
        <w:jc w:val="center"/>
        <w:rPr>
          <w:rFonts w:ascii="Expensify Neue;sans-serif" w:hAnsi="Expensify Neue;sans-serif"/>
          <w:b/>
          <w:color w:val="000000"/>
          <w:sz w:val="24"/>
        </w:rPr>
      </w:pPr>
      <w:r>
        <w:rPr>
          <w:rFonts w:ascii="Expensify Neue;sans-serif" w:hAnsi="Expensify Neue;sans-serif"/>
          <w:b/>
          <w:color w:val="000000"/>
          <w:sz w:val="24"/>
        </w:rPr>
        <w:t>Expensify, Inc.</w:t>
      </w:r>
    </w:p>
    <w:p>
      <w:pPr>
        <w:pStyle w:val="TextBody"/>
        <w:bidi w:val="0"/>
        <w:spacing w:lineRule="auto" w:line="288" w:before="0" w:after="0"/>
        <w:jc w:val="center"/>
        <w:rPr>
          <w:rFonts w:ascii="Expensify Neue;sans-serif" w:hAnsi="Expensify Neue;sans-serif"/>
          <w:b/>
          <w:color w:val="000000"/>
          <w:sz w:val="24"/>
        </w:rPr>
      </w:pPr>
      <w:r>
        <w:rPr>
          <w:rFonts w:ascii="Expensify Neue;sans-serif" w:hAnsi="Expensify Neue;sans-serif"/>
          <w:b/>
          <w:color w:val="000000"/>
          <w:sz w:val="24"/>
        </w:rPr>
        <w:t>Condensed Consolidated Statements of Changes in Stockholders’ Equity</w:t>
      </w:r>
    </w:p>
    <w:p>
      <w:pPr>
        <w:pStyle w:val="TextBody"/>
        <w:bidi w:val="0"/>
        <w:spacing w:lineRule="auto" w:line="288" w:before="0" w:after="0"/>
        <w:jc w:val="center"/>
        <w:rPr>
          <w:rFonts w:ascii="Expensify Neue;sans-serif" w:hAnsi="Expensify Neue;sans-serif"/>
          <w:b/>
          <w:color w:val="000000"/>
          <w:sz w:val="20"/>
        </w:rPr>
      </w:pPr>
      <w:r>
        <w:rPr>
          <w:rFonts w:ascii="Expensify Neue;sans-serif" w:hAnsi="Expensify Neue;sans-serif"/>
          <w:b/>
          <w:color w:val="000000"/>
          <w:sz w:val="20"/>
        </w:rPr>
        <w:t>(unaudited, in thousands, except share data)</w:t>
      </w:r>
    </w:p>
    <w:tbl>
      <w:tblPr>
        <w:tblW w:w="11608" w:type="dxa"/>
        <w:jc w:val="left"/>
        <w:tblInd w:w="0" w:type="dxa"/>
        <w:tblLayout w:type="fixed"/>
        <w:tblCellMar>
          <w:top w:w="28" w:type="dxa"/>
          <w:left w:w="28" w:type="dxa"/>
          <w:bottom w:w="28" w:type="dxa"/>
          <w:right w:w="28" w:type="dxa"/>
        </w:tblCellMar>
      </w:tblPr>
      <w:tblGrid>
        <w:gridCol w:w="821"/>
        <w:gridCol w:w="287"/>
        <w:gridCol w:w="288"/>
        <w:gridCol w:w="245"/>
        <w:gridCol w:w="245"/>
        <w:gridCol w:w="246"/>
        <w:gridCol w:w="109"/>
        <w:gridCol w:w="109"/>
        <w:gridCol w:w="109"/>
        <w:gridCol w:w="256"/>
        <w:gridCol w:w="460"/>
        <w:gridCol w:w="125"/>
        <w:gridCol w:w="109"/>
        <w:gridCol w:w="109"/>
        <w:gridCol w:w="109"/>
        <w:gridCol w:w="109"/>
        <w:gridCol w:w="109"/>
        <w:gridCol w:w="109"/>
        <w:gridCol w:w="623"/>
        <w:gridCol w:w="623"/>
        <w:gridCol w:w="246"/>
        <w:gridCol w:w="109"/>
        <w:gridCol w:w="109"/>
        <w:gridCol w:w="109"/>
        <w:gridCol w:w="306"/>
        <w:gridCol w:w="387"/>
        <w:gridCol w:w="148"/>
        <w:gridCol w:w="109"/>
        <w:gridCol w:w="109"/>
        <w:gridCol w:w="109"/>
        <w:gridCol w:w="226"/>
        <w:gridCol w:w="946"/>
        <w:gridCol w:w="109"/>
        <w:gridCol w:w="109"/>
        <w:gridCol w:w="109"/>
        <w:gridCol w:w="109"/>
        <w:gridCol w:w="226"/>
        <w:gridCol w:w="986"/>
        <w:gridCol w:w="109"/>
        <w:gridCol w:w="109"/>
        <w:gridCol w:w="109"/>
        <w:gridCol w:w="109"/>
        <w:gridCol w:w="240"/>
        <w:gridCol w:w="1006"/>
        <w:gridCol w:w="165"/>
      </w:tblGrid>
      <w:tr>
        <w:trPr/>
        <w:tc>
          <w:tcPr>
            <w:tcW w:w="821" w:type="dxa"/>
            <w:tcBorders/>
            <w:vAlign w:val="center"/>
          </w:tcPr>
          <w:p>
            <w:pPr>
              <w:pStyle w:val="TableContents"/>
              <w:bidi w:val="0"/>
              <w:spacing w:before="0" w:after="283"/>
              <w:jc w:val="left"/>
              <w:rPr>
                <w:sz w:val="4"/>
                <w:szCs w:val="4"/>
              </w:rPr>
            </w:pPr>
            <w:r>
              <w:rPr>
                <w:sz w:val="4"/>
                <w:szCs w:val="4"/>
              </w:rPr>
            </w:r>
          </w:p>
        </w:tc>
        <w:tc>
          <w:tcPr>
            <w:tcW w:w="287" w:type="dxa"/>
            <w:tcBorders/>
            <w:vAlign w:val="center"/>
          </w:tcPr>
          <w:p>
            <w:pPr>
              <w:pStyle w:val="TableContents"/>
              <w:bidi w:val="0"/>
              <w:spacing w:before="0" w:after="283"/>
              <w:jc w:val="left"/>
              <w:rPr>
                <w:sz w:val="4"/>
                <w:szCs w:val="4"/>
              </w:rPr>
            </w:pPr>
            <w:r>
              <w:rPr>
                <w:sz w:val="4"/>
                <w:szCs w:val="4"/>
              </w:rPr>
            </w:r>
          </w:p>
        </w:tc>
        <w:tc>
          <w:tcPr>
            <w:tcW w:w="288" w:type="dxa"/>
            <w:tcBorders/>
            <w:vAlign w:val="center"/>
          </w:tcPr>
          <w:p>
            <w:pPr>
              <w:pStyle w:val="TableContents"/>
              <w:bidi w:val="0"/>
              <w:spacing w:before="0" w:after="283"/>
              <w:jc w:val="left"/>
              <w:rPr>
                <w:sz w:val="4"/>
                <w:szCs w:val="4"/>
              </w:rPr>
            </w:pPr>
            <w:r>
              <w:rPr>
                <w:sz w:val="4"/>
                <w:szCs w:val="4"/>
              </w:rPr>
            </w:r>
          </w:p>
        </w:tc>
        <w:tc>
          <w:tcPr>
            <w:tcW w:w="245" w:type="dxa"/>
            <w:tcBorders/>
            <w:vAlign w:val="center"/>
          </w:tcPr>
          <w:p>
            <w:pPr>
              <w:pStyle w:val="TableContents"/>
              <w:bidi w:val="0"/>
              <w:spacing w:before="0" w:after="283"/>
              <w:jc w:val="left"/>
              <w:rPr>
                <w:sz w:val="4"/>
                <w:szCs w:val="4"/>
              </w:rPr>
            </w:pPr>
            <w:r>
              <w:rPr>
                <w:sz w:val="4"/>
                <w:szCs w:val="4"/>
              </w:rPr>
            </w:r>
          </w:p>
        </w:tc>
        <w:tc>
          <w:tcPr>
            <w:tcW w:w="245" w:type="dxa"/>
            <w:tcBorders/>
            <w:vAlign w:val="center"/>
          </w:tcPr>
          <w:p>
            <w:pPr>
              <w:pStyle w:val="TableContents"/>
              <w:bidi w:val="0"/>
              <w:spacing w:before="0" w:after="283"/>
              <w:jc w:val="left"/>
              <w:rPr>
                <w:sz w:val="4"/>
                <w:szCs w:val="4"/>
              </w:rPr>
            </w:pPr>
            <w:r>
              <w:rPr>
                <w:sz w:val="4"/>
                <w:szCs w:val="4"/>
              </w:rPr>
            </w:r>
          </w:p>
        </w:tc>
        <w:tc>
          <w:tcPr>
            <w:tcW w:w="2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460"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23" w:type="dxa"/>
            <w:tcBorders/>
            <w:vAlign w:val="center"/>
          </w:tcPr>
          <w:p>
            <w:pPr>
              <w:pStyle w:val="TableContents"/>
              <w:bidi w:val="0"/>
              <w:spacing w:before="0" w:after="283"/>
              <w:jc w:val="left"/>
              <w:rPr>
                <w:sz w:val="4"/>
                <w:szCs w:val="4"/>
              </w:rPr>
            </w:pPr>
            <w:r>
              <w:rPr>
                <w:sz w:val="4"/>
                <w:szCs w:val="4"/>
              </w:rPr>
            </w:r>
          </w:p>
        </w:tc>
        <w:tc>
          <w:tcPr>
            <w:tcW w:w="623" w:type="dxa"/>
            <w:tcBorders/>
            <w:vAlign w:val="center"/>
          </w:tcPr>
          <w:p>
            <w:pPr>
              <w:pStyle w:val="TableContents"/>
              <w:bidi w:val="0"/>
              <w:spacing w:before="0" w:after="283"/>
              <w:jc w:val="left"/>
              <w:rPr>
                <w:sz w:val="4"/>
                <w:szCs w:val="4"/>
              </w:rPr>
            </w:pPr>
            <w:r>
              <w:rPr>
                <w:sz w:val="4"/>
                <w:szCs w:val="4"/>
              </w:rPr>
            </w:r>
          </w:p>
        </w:tc>
        <w:tc>
          <w:tcPr>
            <w:tcW w:w="2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6" w:type="dxa"/>
            <w:tcBorders/>
            <w:vAlign w:val="center"/>
          </w:tcPr>
          <w:p>
            <w:pPr>
              <w:pStyle w:val="TableContents"/>
              <w:bidi w:val="0"/>
              <w:spacing w:before="0" w:after="283"/>
              <w:jc w:val="left"/>
              <w:rPr>
                <w:sz w:val="4"/>
                <w:szCs w:val="4"/>
              </w:rPr>
            </w:pPr>
            <w:r>
              <w:rPr>
                <w:sz w:val="4"/>
                <w:szCs w:val="4"/>
              </w:rPr>
            </w:r>
          </w:p>
        </w:tc>
        <w:tc>
          <w:tcPr>
            <w:tcW w:w="387" w:type="dxa"/>
            <w:tcBorders/>
            <w:vAlign w:val="center"/>
          </w:tcPr>
          <w:p>
            <w:pPr>
              <w:pStyle w:val="TableContents"/>
              <w:bidi w:val="0"/>
              <w:spacing w:before="0" w:after="283"/>
              <w:jc w:val="left"/>
              <w:rPr>
                <w:sz w:val="4"/>
                <w:szCs w:val="4"/>
              </w:rPr>
            </w:pPr>
            <w:r>
              <w:rPr>
                <w:sz w:val="4"/>
                <w:szCs w:val="4"/>
              </w:rPr>
            </w:r>
          </w:p>
        </w:tc>
        <w:tc>
          <w:tcPr>
            <w:tcW w:w="14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9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98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0" w:type="dxa"/>
            <w:tcBorders/>
            <w:vAlign w:val="center"/>
          </w:tcPr>
          <w:p>
            <w:pPr>
              <w:pStyle w:val="TableContents"/>
              <w:bidi w:val="0"/>
              <w:spacing w:before="0" w:after="283"/>
              <w:jc w:val="left"/>
              <w:rPr>
                <w:sz w:val="4"/>
                <w:szCs w:val="4"/>
              </w:rPr>
            </w:pPr>
            <w:r>
              <w:rPr>
                <w:sz w:val="4"/>
                <w:szCs w:val="4"/>
              </w:rPr>
            </w:r>
          </w:p>
        </w:tc>
        <w:tc>
          <w:tcPr>
            <w:tcW w:w="1006" w:type="dxa"/>
            <w:tcBorders/>
            <w:vAlign w:val="center"/>
          </w:tcPr>
          <w:p>
            <w:pPr>
              <w:pStyle w:val="TableContents"/>
              <w:bidi w:val="0"/>
              <w:spacing w:before="0" w:after="283"/>
              <w:jc w:val="left"/>
              <w:rPr>
                <w:sz w:val="4"/>
                <w:szCs w:val="4"/>
              </w:rPr>
            </w:pPr>
            <w:r>
              <w:rPr>
                <w:sz w:val="4"/>
                <w:szCs w:val="4"/>
              </w:rPr>
            </w:r>
          </w:p>
        </w:tc>
        <w:tc>
          <w:tcPr>
            <w:tcW w:w="165" w:type="dxa"/>
            <w:tcBorders/>
            <w:vAlign w:val="center"/>
          </w:tcPr>
          <w:p>
            <w:pPr>
              <w:pStyle w:val="TableContents"/>
              <w:bidi w:val="0"/>
              <w:spacing w:before="0" w:after="283"/>
              <w:jc w:val="left"/>
              <w:rPr>
                <w:sz w:val="4"/>
                <w:szCs w:val="4"/>
              </w:rPr>
            </w:pPr>
            <w:r>
              <w:rPr>
                <w:sz w:val="4"/>
                <w:szCs w:val="4"/>
              </w:rPr>
            </w:r>
          </w:p>
        </w:tc>
      </w:tr>
      <w:tr>
        <w:trPr/>
        <w:tc>
          <w:tcPr>
            <w:tcW w:w="1396" w:type="dxa"/>
            <w:gridSpan w:val="3"/>
            <w:tcBorders>
              <w:top w:val="single" w:sz="16"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04" w:type="dxa"/>
            <w:gridSpan w:val="9"/>
            <w:tcBorders>
              <w:top w:val="single" w:sz="16"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Expensify Neue;sans-serif" w:hAnsi="Expensify Neue;sans-serif"/>
                <w:b/>
                <w:color w:val="000000"/>
                <w:sz w:val="16"/>
              </w:rPr>
            </w:pPr>
            <w:r>
              <w:rPr>
                <w:rFonts w:ascii="Expensify Neue;sans-serif" w:hAnsi="Expensify Neue;sans-serif"/>
                <w:b/>
                <w:color w:val="000000"/>
                <w:sz w:val="16"/>
              </w:rPr>
              <w:t>Preferred stock</w:t>
            </w:r>
          </w:p>
        </w:tc>
        <w:tc>
          <w:tcPr>
            <w:tcW w:w="327" w:type="dxa"/>
            <w:gridSpan w:val="3"/>
            <w:tcBorders>
              <w:top w:val="single" w:sz="1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16" w:space="0" w:color="000000"/>
              <w:left w:val="single" w:sz="8" w:space="0" w:color="000000"/>
            </w:tcBorders>
            <w:tcMar>
              <w:bottom w:w="0" w:type="dxa"/>
              <w:right w:w="0" w:type="dxa"/>
            </w:tcMar>
            <w:vAlign w:val="center"/>
          </w:tcPr>
          <w:p>
            <w:pPr>
              <w:pStyle w:val="TableContents"/>
              <w:bidi w:val="0"/>
              <w:spacing w:before="0" w:after="283"/>
              <w:jc w:val="left"/>
              <w:rPr>
                <w:sz w:val="4"/>
                <w:szCs w:val="4"/>
              </w:rPr>
            </w:pPr>
            <w:r>
              <w:rPr>
                <w:sz w:val="4"/>
                <w:szCs w:val="4"/>
              </w:rPr>
            </w:r>
          </w:p>
        </w:tc>
        <w:tc>
          <w:tcPr>
            <w:tcW w:w="2660" w:type="dxa"/>
            <w:gridSpan w:val="9"/>
            <w:tcBorders>
              <w:top w:val="single" w:sz="16"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Expensify Neue;sans-serif" w:hAnsi="Expensify Neue;sans-serif"/>
                <w:b/>
                <w:color w:val="000000"/>
                <w:sz w:val="16"/>
              </w:rPr>
            </w:pPr>
            <w:r>
              <w:rPr>
                <w:rFonts w:ascii="Expensify Neue;sans-serif" w:hAnsi="Expensify Neue;sans-serif"/>
                <w:b/>
                <w:color w:val="000000"/>
                <w:sz w:val="16"/>
              </w:rPr>
              <w:t>Common stock</w:t>
            </w:r>
          </w:p>
        </w:tc>
        <w:tc>
          <w:tcPr>
            <w:tcW w:w="327" w:type="dxa"/>
            <w:gridSpan w:val="3"/>
            <w:tcBorders>
              <w:top w:val="single" w:sz="1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1" w:type="dxa"/>
            <w:gridSpan w:val="3"/>
            <w:vMerge w:val="restart"/>
            <w:tcBorders>
              <w:top w:val="single" w:sz="16"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Expensify Neue;sans-serif" w:hAnsi="Expensify Neue;sans-serif"/>
                <w:b/>
                <w:color w:val="000000"/>
                <w:sz w:val="16"/>
              </w:rPr>
            </w:pPr>
            <w:r>
              <w:rPr>
                <w:rFonts w:ascii="Expensify Neue;sans-serif" w:hAnsi="Expensify Neue;sans-serif"/>
                <w:b/>
                <w:color w:val="000000"/>
                <w:sz w:val="16"/>
              </w:rPr>
              <w:t>Additional paid-in capital</w:t>
            </w:r>
          </w:p>
        </w:tc>
        <w:tc>
          <w:tcPr>
            <w:tcW w:w="327" w:type="dxa"/>
            <w:gridSpan w:val="3"/>
            <w:tcBorders>
              <w:top w:val="single" w:sz="1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1" w:type="dxa"/>
            <w:gridSpan w:val="3"/>
            <w:vMerge w:val="restart"/>
            <w:tcBorders>
              <w:top w:val="single" w:sz="16"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Expensify Neue;sans-serif" w:hAnsi="Expensify Neue;sans-serif"/>
                <w:b/>
                <w:color w:val="000000"/>
                <w:sz w:val="16"/>
              </w:rPr>
            </w:pPr>
            <w:r>
              <w:rPr>
                <w:rFonts w:ascii="Expensify Neue;sans-serif" w:hAnsi="Expensify Neue;sans-serif"/>
                <w:b/>
                <w:color w:val="000000"/>
                <w:sz w:val="16"/>
              </w:rPr>
              <w:t>Accumulated deficit</w:t>
            </w:r>
          </w:p>
        </w:tc>
        <w:tc>
          <w:tcPr>
            <w:tcW w:w="327" w:type="dxa"/>
            <w:gridSpan w:val="3"/>
            <w:tcBorders>
              <w:top w:val="single" w:sz="1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1" w:type="dxa"/>
            <w:gridSpan w:val="3"/>
            <w:vMerge w:val="restart"/>
            <w:tcBorders>
              <w:top w:val="single" w:sz="16"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Expensify Neue;sans-serif" w:hAnsi="Expensify Neue;sans-serif"/>
                <w:b/>
                <w:color w:val="000000"/>
                <w:sz w:val="16"/>
              </w:rPr>
            </w:pPr>
            <w:r>
              <w:rPr>
                <w:rFonts w:ascii="Expensify Neue;sans-serif" w:hAnsi="Expensify Neue;sans-serif"/>
                <w:b/>
                <w:color w:val="000000"/>
                <w:sz w:val="16"/>
              </w:rPr>
              <w:t xml:space="preserve">Total stockholders' </w:t>
              <w:br/>
              <w:t>equity</w:t>
            </w:r>
          </w:p>
        </w:tc>
      </w:tr>
      <w:tr>
        <w:trPr/>
        <w:tc>
          <w:tcPr>
            <w:tcW w:w="13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Expensify Neue;sans-serif" w:hAnsi="Expensify Neue;sans-serif"/>
                <w:b/>
                <w:color w:val="000000"/>
                <w:sz w:val="16"/>
              </w:rPr>
            </w:pPr>
            <w:r>
              <w:rPr>
                <w:rFonts w:ascii="Expensify Neue;sans-serif" w:hAnsi="Expensify Neue;sans-serif"/>
                <w:b/>
                <w:color w:val="000000"/>
                <w:sz w:val="16"/>
              </w:rPr>
              <w:t>Shares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Expensify Neue;sans-serif" w:hAnsi="Expensify Neue;sans-serif"/>
                <w:b/>
                <w:color w:val="000000"/>
                <w:sz w:val="16"/>
              </w:rPr>
            </w:pPr>
            <w:r>
              <w:rPr>
                <w:rFonts w:ascii="Expensify Neue;sans-serif" w:hAnsi="Expensify Neue;sans-serif"/>
                <w:b/>
                <w:color w:val="000000"/>
                <w:sz w:val="16"/>
              </w:rPr>
              <w:t>Amount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49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Expensify Neue;sans-serif" w:hAnsi="Expensify Neue;sans-serif"/>
                <w:b/>
                <w:color w:val="000000"/>
                <w:sz w:val="16"/>
              </w:rPr>
            </w:pPr>
            <w:r>
              <w:rPr>
                <w:rFonts w:ascii="Expensify Neue;sans-serif" w:hAnsi="Expensify Neue;sans-serif"/>
                <w:b/>
                <w:color w:val="000000"/>
                <w:sz w:val="16"/>
              </w:rPr>
              <w:t>Shares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Expensify Neue;sans-serif" w:hAnsi="Expensify Neue;sans-serif"/>
                <w:b/>
                <w:color w:val="000000"/>
                <w:sz w:val="16"/>
              </w:rPr>
            </w:pPr>
            <w:r>
              <w:rPr>
                <w:rFonts w:ascii="Expensify Neue;sans-serif" w:hAnsi="Expensify Neue;sans-serif"/>
                <w:b/>
                <w:color w:val="000000"/>
                <w:sz w:val="16"/>
              </w:rPr>
              <w:t>Amount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1" w:type="dxa"/>
            <w:gridSpan w:val="3"/>
            <w:vMerge w:val="continue"/>
            <w:tcBorders>
              <w:top w:val="single" w:sz="16" w:space="0" w:color="000000"/>
            </w:tcBorders>
            <w:tcMar>
              <w:top w:w="3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1" w:type="dxa"/>
            <w:gridSpan w:val="3"/>
            <w:vMerge w:val="continue"/>
            <w:tcBorders>
              <w:top w:val="single" w:sz="16" w:space="0" w:color="000000"/>
            </w:tcBorders>
            <w:tcMar>
              <w:top w:w="3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1" w:type="dxa"/>
            <w:gridSpan w:val="3"/>
            <w:vMerge w:val="continue"/>
            <w:tcBorders>
              <w:top w:val="single" w:sz="16" w:space="0" w:color="000000"/>
            </w:tcBorders>
            <w:tcMar>
              <w:top w:w="30" w:type="dxa"/>
              <w:left w:w="0" w:type="dxa"/>
              <w:bottom w:w="0" w:type="dxa"/>
              <w:right w:w="0" w:type="dxa"/>
            </w:tcMar>
            <w:vAlign w:val="center"/>
          </w:tcPr>
          <w:p>
            <w:pPr>
              <w:pStyle w:val="Normal"/>
              <w:bidi w:val="0"/>
              <w:jc w:val="left"/>
              <w:rPr/>
            </w:pPr>
            <w:r>
              <w:rPr/>
            </w:r>
          </w:p>
        </w:tc>
      </w:tr>
      <w:tr>
        <w:trPr/>
        <w:tc>
          <w:tcPr>
            <w:tcW w:w="139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Expensify Neue;sans-serif" w:hAnsi="Expensify Neue;sans-serif"/>
                <w:b/>
                <w:color w:val="000000"/>
                <w:sz w:val="18"/>
              </w:rPr>
            </w:pPr>
            <w:r>
              <w:rPr>
                <w:rFonts w:ascii="Expensify Neue;sans-serif" w:hAnsi="Expensify Neue;sans-serif"/>
                <w:b/>
                <w:color w:val="000000"/>
                <w:sz w:val="18"/>
              </w:rPr>
              <w:t>Three months ended March 31, 2024</w:t>
            </w:r>
          </w:p>
        </w:tc>
        <w:tc>
          <w:tcPr>
            <w:tcW w:w="73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CCEE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492"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9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Expensify Neue;sans-serif" w:hAnsi="Expensify Neue;sans-serif"/>
                <w:b w:val="false"/>
                <w:color w:val="000000"/>
                <w:sz w:val="18"/>
              </w:rPr>
            </w:pPr>
            <w:r>
              <w:rPr>
                <w:rFonts w:ascii="Expensify Neue;sans-serif" w:hAnsi="Expensify Neue;sans-serif"/>
                <w:b w:val="false"/>
                <w:color w:val="000000"/>
                <w:sz w:val="18"/>
              </w:rPr>
              <w:t>Balance at December 31, 2023</w:t>
            </w:r>
          </w:p>
        </w:tc>
        <w:tc>
          <w:tcPr>
            <w:tcW w:w="49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Expensify Neue;sans-serif" w:hAnsi="Expensify Neue;sans-serif"/>
                <w:b w:val="false"/>
                <w:color w:val="000000"/>
                <w:sz w:val="18"/>
              </w:rPr>
            </w:pPr>
            <w:r>
              <w:rPr>
                <w:rFonts w:ascii="Expensify Neue;sans-serif" w:hAnsi="Expensify Neue;sans-serif"/>
                <w:b w:val="false"/>
                <w:color w:val="000000"/>
                <w:sz w:val="18"/>
              </w:rPr>
              <w:t>$</w:t>
            </w:r>
          </w:p>
        </w:tc>
        <w:tc>
          <w:tcPr>
            <w:tcW w:w="46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FFFF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2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Expensify Neue;sans-serif" w:hAnsi="Expensify Neue;sans-serif"/>
                <w:b w:val="false"/>
                <w:color w:val="000000"/>
                <w:sz w:val="18"/>
              </w:rPr>
            </w:pPr>
            <w:r>
              <w:rPr>
                <w:rFonts w:ascii="Expensify Neue;sans-serif" w:hAnsi="Expensify Neue;sans-serif"/>
                <w:b w:val="false"/>
                <w:color w:val="000000"/>
                <w:sz w:val="18"/>
              </w:rPr>
              <w:t>85,225,328 </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Expensify Neue;sans-serif" w:hAnsi="Expensify Neue;sans-serif"/>
                <w:b w:val="false"/>
                <w:color w:val="000000"/>
                <w:sz w:val="18"/>
              </w:rPr>
            </w:pPr>
            <w:r>
              <w:rPr>
                <w:rFonts w:ascii="Expensify Neue;sans-serif" w:hAnsi="Expensify Neue;sans-serif"/>
                <w:b w:val="false"/>
                <w:color w:val="000000"/>
                <w:sz w:val="18"/>
              </w:rPr>
              <w:t>$</w:t>
            </w:r>
          </w:p>
        </w:tc>
        <w:tc>
          <w:tcPr>
            <w:tcW w:w="38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Expensify Neue;sans-serif" w:hAnsi="Expensify Neue;sans-serif"/>
                <w:b w:val="false"/>
                <w:color w:val="000000"/>
                <w:sz w:val="18"/>
              </w:rPr>
            </w:pPr>
            <w:r>
              <w:rPr>
                <w:rFonts w:ascii="Expensify Neue;sans-serif" w:hAnsi="Expensify Neue;sans-serif"/>
                <w:b w:val="false"/>
                <w:color w:val="000000"/>
                <w:sz w:val="18"/>
              </w:rPr>
              <w:t>8 </w:t>
            </w:r>
          </w:p>
        </w:tc>
        <w:tc>
          <w:tcPr>
            <w:tcW w:w="14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Expensify Neue;sans-serif" w:hAnsi="Expensify Neue;sans-serif"/>
                <w:b w:val="false"/>
                <w:color w:val="000000"/>
                <w:sz w:val="18"/>
              </w:rPr>
            </w:pPr>
            <w:r>
              <w:rPr>
                <w:rFonts w:ascii="Expensify Neue;sans-serif" w:hAnsi="Expensify Neue;sans-serif"/>
                <w:b w:val="false"/>
                <w:color w:val="000000"/>
                <w:sz w:val="18"/>
              </w:rPr>
              <w:t>$</w:t>
            </w:r>
          </w:p>
        </w:tc>
        <w:tc>
          <w:tcPr>
            <w:tcW w:w="94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Expensify Neue;sans-serif" w:hAnsi="Expensify Neue;sans-serif"/>
                <w:b w:val="false"/>
                <w:color w:val="000000"/>
                <w:sz w:val="18"/>
              </w:rPr>
            </w:pPr>
            <w:r>
              <w:rPr>
                <w:rFonts w:ascii="Expensify Neue;sans-serif" w:hAnsi="Expensify Neue;sans-serif"/>
                <w:b w:val="false"/>
                <w:color w:val="000000"/>
                <w:sz w:val="18"/>
              </w:rPr>
              <w:t>241,509 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Expensify Neue;sans-serif" w:hAnsi="Expensify Neue;sans-serif"/>
                <w:b w:val="false"/>
                <w:color w:val="000000"/>
                <w:sz w:val="18"/>
              </w:rPr>
            </w:pPr>
            <w:r>
              <w:rPr>
                <w:rFonts w:ascii="Expensify Neue;sans-serif" w:hAnsi="Expensify Neue;sans-serif"/>
                <w:b w:val="false"/>
                <w:color w:val="000000"/>
                <w:sz w:val="18"/>
              </w:rPr>
              <w:t>$</w:t>
            </w:r>
          </w:p>
        </w:tc>
        <w:tc>
          <w:tcPr>
            <w:tcW w:w="98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Expensify Neue;sans-serif" w:hAnsi="Expensify Neue;sans-serif"/>
                <w:b w:val="false"/>
                <w:color w:val="000000"/>
                <w:sz w:val="18"/>
              </w:rPr>
            </w:pPr>
            <w:r>
              <w:rPr>
                <w:rFonts w:ascii="Expensify Neue;sans-serif" w:hAnsi="Expensify Neue;sans-serif"/>
                <w:b w:val="false"/>
                <w:color w:val="000000"/>
                <w:sz w:val="18"/>
              </w:rPr>
              <w:t>(140,773)</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0"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Expensify Neue;sans-serif" w:hAnsi="Expensify Neue;sans-serif"/>
                <w:b w:val="false"/>
                <w:color w:val="000000"/>
                <w:sz w:val="18"/>
              </w:rPr>
            </w:pPr>
            <w:r>
              <w:rPr>
                <w:rFonts w:ascii="Expensify Neue;sans-serif" w:hAnsi="Expensify Neue;sans-serif"/>
                <w:b w:val="false"/>
                <w:color w:val="000000"/>
                <w:sz w:val="18"/>
              </w:rPr>
              <w:t>$</w:t>
            </w:r>
          </w:p>
        </w:tc>
        <w:tc>
          <w:tcPr>
            <w:tcW w:w="100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Expensify Neue;sans-serif" w:hAnsi="Expensify Neue;sans-serif"/>
                <w:b w:val="false"/>
                <w:color w:val="000000"/>
                <w:sz w:val="18"/>
              </w:rPr>
            </w:pPr>
            <w:r>
              <w:rPr>
                <w:rFonts w:ascii="Expensify Neue;sans-serif" w:hAnsi="Expensify Neue;sans-serif"/>
                <w:b w:val="false"/>
                <w:color w:val="000000"/>
                <w:sz w:val="18"/>
              </w:rPr>
              <w:t>100,744 </w:t>
            </w:r>
          </w:p>
        </w:tc>
        <w:tc>
          <w:tcPr>
            <w:tcW w:w="165"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139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Expensify Neue;sans-serif" w:hAnsi="Expensify Neue;sans-serif"/>
                <w:b w:val="false"/>
                <w:color w:val="000000"/>
                <w:sz w:val="18"/>
              </w:rPr>
            </w:pPr>
            <w:r>
              <w:rPr>
                <w:rFonts w:ascii="Expensify Neue;sans-serif" w:hAnsi="Expensify Neue;sans-serif"/>
                <w:b w:val="false"/>
                <w:color w:val="000000"/>
                <w:sz w:val="18"/>
              </w:rPr>
              <w:t>Issuance of common stock upon exercise of stock options</w:t>
            </w:r>
          </w:p>
        </w:tc>
        <w:tc>
          <w:tcPr>
            <w:tcW w:w="49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4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CCEE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2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Expensify Neue;sans-serif" w:hAnsi="Expensify Neue;sans-serif"/>
                <w:b w:val="false"/>
                <w:color w:val="000000"/>
                <w:sz w:val="18"/>
              </w:rPr>
            </w:pPr>
            <w:r>
              <w:rPr>
                <w:rFonts w:ascii="Expensify Neue;sans-serif" w:hAnsi="Expensify Neue;sans-serif"/>
                <w:b w:val="false"/>
                <w:color w:val="000000"/>
                <w:sz w:val="18"/>
              </w:rPr>
              <w:t>42,304 </w:t>
            </w:r>
          </w:p>
        </w:tc>
        <w:tc>
          <w:tcPr>
            <w:tcW w:w="24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Expensify Neue;sans-serif" w:hAnsi="Expensify Neue;sans-serif"/>
                <w:b w:val="false"/>
                <w:color w:val="000000"/>
                <w:sz w:val="18"/>
              </w:rPr>
            </w:pPr>
            <w:r>
              <w:rPr>
                <w:rFonts w:ascii="Expensify Neue;sans-serif" w:hAnsi="Expensify Neue;sans-serif"/>
                <w:b w:val="false"/>
                <w:color w:val="000000"/>
                <w:sz w:val="18"/>
              </w:rPr>
              <w:t>39 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Expensify Neue;sans-serif" w:hAnsi="Expensify Neue;sans-serif"/>
                <w:b w:val="false"/>
                <w:color w:val="000000"/>
                <w:sz w:val="18"/>
              </w:rPr>
            </w:pPr>
            <w:r>
              <w:rPr>
                <w:rFonts w:ascii="Expensify Neue;sans-serif" w:hAnsi="Expensify Neue;sans-serif"/>
                <w:b w:val="false"/>
                <w:color w:val="000000"/>
                <w:sz w:val="18"/>
              </w:rPr>
              <w:t>39 </w:t>
            </w:r>
          </w:p>
        </w:tc>
        <w:tc>
          <w:tcPr>
            <w:tcW w:w="165" w:type="dxa"/>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139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Expensify Neue;sans-serif" w:hAnsi="Expensify Neue;sans-serif"/>
                <w:b w:val="false"/>
                <w:color w:val="000000"/>
                <w:sz w:val="18"/>
              </w:rPr>
            </w:pPr>
            <w:r>
              <w:rPr>
                <w:rFonts w:ascii="Expensify Neue;sans-serif" w:hAnsi="Expensify Neue;sans-serif"/>
                <w:b w:val="false"/>
                <w:color w:val="000000"/>
                <w:sz w:val="18"/>
              </w:rPr>
              <w:t>Vesting of early exercised stock options</w:t>
            </w:r>
          </w:p>
        </w:tc>
        <w:tc>
          <w:tcPr>
            <w:tcW w:w="49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FFFF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2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Expensify Neue;sans-serif" w:hAnsi="Expensify Neue;sans-serif"/>
                <w:b w:val="false"/>
                <w:color w:val="000000"/>
                <w:sz w:val="18"/>
              </w:rPr>
            </w:pPr>
            <w:r>
              <w:rPr>
                <w:rFonts w:ascii="Expensify Neue;sans-serif" w:hAnsi="Expensify Neue;sans-serif"/>
                <w:b w:val="false"/>
                <w:color w:val="000000"/>
                <w:sz w:val="18"/>
              </w:rPr>
              <w:t>137 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Expensify Neue;sans-serif" w:hAnsi="Expensify Neue;sans-serif"/>
                <w:b w:val="false"/>
                <w:color w:val="000000"/>
                <w:sz w:val="18"/>
              </w:rPr>
            </w:pPr>
            <w:r>
              <w:rPr>
                <w:rFonts w:ascii="Expensify Neue;sans-serif" w:hAnsi="Expensify Neue;sans-serif"/>
                <w:b w:val="false"/>
                <w:color w:val="000000"/>
                <w:sz w:val="18"/>
              </w:rPr>
              <w:t>137 </w:t>
            </w:r>
          </w:p>
        </w:tc>
        <w:tc>
          <w:tcPr>
            <w:tcW w:w="16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9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Expensify Neue;sans-serif" w:hAnsi="Expensify Neue;sans-serif"/>
                <w:b w:val="false"/>
                <w:color w:val="000000"/>
                <w:sz w:val="18"/>
              </w:rPr>
            </w:pPr>
            <w:r>
              <w:rPr>
                <w:rFonts w:ascii="Expensify Neue;sans-serif" w:hAnsi="Expensify Neue;sans-serif"/>
                <w:b w:val="false"/>
                <w:color w:val="000000"/>
                <w:sz w:val="18"/>
              </w:rPr>
              <w:t>Issuance of restricted stock units</w:t>
            </w:r>
          </w:p>
        </w:tc>
        <w:tc>
          <w:tcPr>
            <w:tcW w:w="49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4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CCEE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2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Expensify Neue;sans-serif" w:hAnsi="Expensify Neue;sans-serif"/>
                <w:b w:val="false"/>
                <w:color w:val="000000"/>
                <w:sz w:val="18"/>
              </w:rPr>
            </w:pPr>
            <w:r>
              <w:rPr>
                <w:rFonts w:ascii="Expensify Neue;sans-serif" w:hAnsi="Expensify Neue;sans-serif"/>
                <w:b w:val="false"/>
                <w:color w:val="000000"/>
                <w:sz w:val="18"/>
              </w:rPr>
              <w:t>7,288 </w:t>
            </w:r>
          </w:p>
        </w:tc>
        <w:tc>
          <w:tcPr>
            <w:tcW w:w="24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Expensify Neue;sans-serif" w:hAnsi="Expensify Neue;sans-serif"/>
                <w:b w:val="false"/>
                <w:color w:val="000000"/>
                <w:sz w:val="18"/>
              </w:rPr>
            </w:pPr>
            <w:r>
              <w:rPr>
                <w:rFonts w:ascii="Expensify Neue;sans-serif" w:hAnsi="Expensify Neue;sans-serif"/>
                <w:b w:val="false"/>
                <w:color w:val="000000"/>
                <w:sz w:val="18"/>
              </w:rPr>
              <w:t>18 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Expensify Neue;sans-serif" w:hAnsi="Expensify Neue;sans-serif"/>
                <w:b w:val="false"/>
                <w:color w:val="000000"/>
                <w:sz w:val="18"/>
              </w:rPr>
            </w:pPr>
            <w:r>
              <w:rPr>
                <w:rFonts w:ascii="Expensify Neue;sans-serif" w:hAnsi="Expensify Neue;sans-serif"/>
                <w:b w:val="false"/>
                <w:color w:val="000000"/>
                <w:sz w:val="18"/>
              </w:rPr>
              <w:t>18 </w:t>
            </w:r>
          </w:p>
        </w:tc>
        <w:tc>
          <w:tcPr>
            <w:tcW w:w="165" w:type="dxa"/>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139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Expensify Neue;sans-serif" w:hAnsi="Expensify Neue;sans-serif"/>
                <w:b w:val="false"/>
                <w:color w:val="000000"/>
                <w:sz w:val="18"/>
              </w:rPr>
            </w:pPr>
            <w:r>
              <w:rPr>
                <w:rFonts w:ascii="Expensify Neue;sans-serif" w:hAnsi="Expensify Neue;sans-serif"/>
                <w:b w:val="false"/>
                <w:color w:val="000000"/>
                <w:sz w:val="18"/>
              </w:rPr>
              <w:t>Repurchases of early exercised stock options</w:t>
            </w:r>
          </w:p>
        </w:tc>
        <w:tc>
          <w:tcPr>
            <w:tcW w:w="49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FFFF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2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Expensify Neue;sans-serif" w:hAnsi="Expensify Neue;sans-serif"/>
                <w:b w:val="false"/>
                <w:color w:val="000000"/>
                <w:sz w:val="18"/>
              </w:rPr>
            </w:pPr>
            <w:r>
              <w:rPr>
                <w:rFonts w:ascii="Expensify Neue;sans-serif" w:hAnsi="Expensify Neue;sans-serif"/>
                <w:b w:val="false"/>
                <w:color w:val="000000"/>
                <w:sz w:val="18"/>
              </w:rPr>
              <w:t>(30,434)</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5"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139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Expensify Neue;sans-serif" w:hAnsi="Expensify Neue;sans-serif"/>
                <w:b w:val="false"/>
                <w:color w:val="000000"/>
                <w:sz w:val="18"/>
              </w:rPr>
            </w:pPr>
            <w:r>
              <w:rPr>
                <w:rFonts w:ascii="Expensify Neue;sans-serif" w:hAnsi="Expensify Neue;sans-serif"/>
                <w:b w:val="false"/>
                <w:color w:val="000000"/>
                <w:sz w:val="18"/>
              </w:rPr>
              <w:t>Issuance of common stock under Matching Plan</w:t>
            </w:r>
          </w:p>
        </w:tc>
        <w:tc>
          <w:tcPr>
            <w:tcW w:w="49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4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CCEE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2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Expensify Neue;sans-serif" w:hAnsi="Expensify Neue;sans-serif"/>
                <w:b w:val="false"/>
                <w:color w:val="000000"/>
                <w:sz w:val="18"/>
              </w:rPr>
            </w:pPr>
            <w:r>
              <w:rPr>
                <w:rFonts w:ascii="Expensify Neue;sans-serif" w:hAnsi="Expensify Neue;sans-serif"/>
                <w:b w:val="false"/>
                <w:color w:val="000000"/>
                <w:sz w:val="18"/>
              </w:rPr>
              <w:t>1,030,144 </w:t>
            </w:r>
          </w:p>
        </w:tc>
        <w:tc>
          <w:tcPr>
            <w:tcW w:w="24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Expensify Neue;sans-serif" w:hAnsi="Expensify Neue;sans-serif"/>
                <w:b w:val="false"/>
                <w:color w:val="000000"/>
                <w:sz w:val="18"/>
              </w:rPr>
            </w:pPr>
            <w:r>
              <w:rPr>
                <w:rFonts w:ascii="Expensify Neue;sans-serif" w:hAnsi="Expensify Neue;sans-serif"/>
                <w:b w:val="false"/>
                <w:color w:val="000000"/>
                <w:sz w:val="18"/>
              </w:rPr>
              <w:t>1 </w:t>
            </w:r>
          </w:p>
        </w:tc>
        <w:tc>
          <w:tcPr>
            <w:tcW w:w="14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Expensify Neue;sans-serif" w:hAnsi="Expensify Neue;sans-serif"/>
                <w:b w:val="false"/>
                <w:color w:val="000000"/>
                <w:sz w:val="18"/>
              </w:rPr>
            </w:pPr>
            <w:r>
              <w:rPr>
                <w:rFonts w:ascii="Expensify Neue;sans-serif" w:hAnsi="Expensify Neue;sans-serif"/>
                <w:b w:val="false"/>
                <w:color w:val="000000"/>
                <w:sz w:val="18"/>
              </w:rPr>
              <w:t>913 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Expensify Neue;sans-serif" w:hAnsi="Expensify Neue;sans-serif"/>
                <w:b w:val="false"/>
                <w:color w:val="000000"/>
                <w:sz w:val="18"/>
              </w:rPr>
            </w:pPr>
            <w:r>
              <w:rPr>
                <w:rFonts w:ascii="Expensify Neue;sans-serif" w:hAnsi="Expensify Neue;sans-serif"/>
                <w:b w:val="false"/>
                <w:color w:val="000000"/>
                <w:sz w:val="18"/>
              </w:rPr>
              <w:t>914 </w:t>
            </w:r>
          </w:p>
        </w:tc>
        <w:tc>
          <w:tcPr>
            <w:tcW w:w="165" w:type="dxa"/>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139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Expensify Neue;sans-serif" w:hAnsi="Expensify Neue;sans-serif"/>
                <w:b w:val="false"/>
                <w:color w:val="000000"/>
                <w:sz w:val="18"/>
              </w:rPr>
            </w:pPr>
            <w:r>
              <w:rPr>
                <w:rFonts w:ascii="Expensify Neue;sans-serif" w:hAnsi="Expensify Neue;sans-serif"/>
                <w:b w:val="false"/>
                <w:color w:val="000000"/>
                <w:sz w:val="18"/>
              </w:rPr>
              <w:t>Issuance of common stock in connection with restricted stock units vesting</w:t>
            </w:r>
          </w:p>
        </w:tc>
        <w:tc>
          <w:tcPr>
            <w:tcW w:w="49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FFFF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2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Expensify Neue;sans-serif" w:hAnsi="Expensify Neue;sans-serif"/>
                <w:b w:val="false"/>
                <w:color w:val="000000"/>
                <w:sz w:val="18"/>
              </w:rPr>
            </w:pPr>
            <w:r>
              <w:rPr>
                <w:rFonts w:ascii="Expensify Neue;sans-serif" w:hAnsi="Expensify Neue;sans-serif"/>
                <w:b w:val="false"/>
                <w:color w:val="000000"/>
                <w:sz w:val="18"/>
              </w:rPr>
              <w:t>209,877 </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9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Expensify Neue;sans-serif" w:hAnsi="Expensify Neue;sans-serif"/>
                <w:b w:val="false"/>
                <w:color w:val="000000"/>
                <w:sz w:val="18"/>
              </w:rPr>
            </w:pPr>
            <w:r>
              <w:rPr>
                <w:rFonts w:ascii="Expensify Neue;sans-serif" w:hAnsi="Expensify Neue;sans-serif"/>
                <w:b w:val="false"/>
                <w:color w:val="000000"/>
                <w:sz w:val="18"/>
              </w:rPr>
              <w:t>Stock-based compensation</w:t>
            </w:r>
          </w:p>
        </w:tc>
        <w:tc>
          <w:tcPr>
            <w:tcW w:w="49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4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CCEE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2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4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Expensify Neue;sans-serif" w:hAnsi="Expensify Neue;sans-serif"/>
                <w:b w:val="false"/>
                <w:color w:val="000000"/>
                <w:sz w:val="18"/>
              </w:rPr>
            </w:pPr>
            <w:r>
              <w:rPr>
                <w:rFonts w:ascii="Expensify Neue;sans-serif" w:hAnsi="Expensify Neue;sans-serif"/>
                <w:b w:val="false"/>
                <w:color w:val="000000"/>
                <w:sz w:val="18"/>
              </w:rPr>
              <w:t>8,439 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Expensify Neue;sans-serif" w:hAnsi="Expensify Neue;sans-serif"/>
                <w:b w:val="false"/>
                <w:color w:val="000000"/>
                <w:sz w:val="18"/>
              </w:rPr>
            </w:pPr>
            <w:r>
              <w:rPr>
                <w:rFonts w:ascii="Expensify Neue;sans-serif" w:hAnsi="Expensify Neue;sans-serif"/>
                <w:b w:val="false"/>
                <w:color w:val="000000"/>
                <w:sz w:val="18"/>
              </w:rPr>
              <w:t>8,439 </w:t>
            </w:r>
          </w:p>
        </w:tc>
        <w:tc>
          <w:tcPr>
            <w:tcW w:w="16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9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Expensify Neue;sans-serif" w:hAnsi="Expensify Neue;sans-serif"/>
                <w:b w:val="false"/>
                <w:color w:val="000000"/>
                <w:sz w:val="18"/>
              </w:rPr>
            </w:pPr>
            <w:r>
              <w:rPr>
                <w:rFonts w:ascii="Expensify Neue;sans-serif" w:hAnsi="Expensify Neue;sans-serif"/>
                <w:b w:val="false"/>
                <w:color w:val="000000"/>
                <w:sz w:val="18"/>
              </w:rPr>
              <w:t>Net loss</w:t>
            </w:r>
          </w:p>
        </w:tc>
        <w:tc>
          <w:tcPr>
            <w:tcW w:w="49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FFFF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2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Expensify Neue;sans-serif" w:hAnsi="Expensify Neue;sans-serif"/>
                <w:b w:val="false"/>
                <w:color w:val="000000"/>
                <w:sz w:val="18"/>
              </w:rPr>
            </w:pPr>
            <w:r>
              <w:rPr>
                <w:rFonts w:ascii="Expensify Neue;sans-serif" w:hAnsi="Expensify Neue;sans-serif"/>
                <w:b w:val="false"/>
                <w:color w:val="000000"/>
                <w:sz w:val="18"/>
              </w:rPr>
              <w:t>(3,781)</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Expensify Neue;sans-serif" w:hAnsi="Expensify Neue;sans-serif"/>
                <w:b w:val="false"/>
                <w:color w:val="000000"/>
                <w:sz w:val="18"/>
              </w:rPr>
            </w:pPr>
            <w:r>
              <w:rPr>
                <w:rFonts w:ascii="Expensify Neue;sans-serif" w:hAnsi="Expensify Neue;sans-serif"/>
                <w:b w:val="false"/>
                <w:color w:val="000000"/>
                <w:sz w:val="18"/>
              </w:rPr>
              <w:t>(3,781)</w:t>
            </w:r>
          </w:p>
        </w:tc>
        <w:tc>
          <w:tcPr>
            <w:tcW w:w="16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9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Expensify Neue;sans-serif" w:hAnsi="Expensify Neue;sans-serif"/>
                <w:b w:val="false"/>
                <w:color w:val="000000"/>
                <w:sz w:val="18"/>
              </w:rPr>
            </w:pPr>
            <w:r>
              <w:rPr>
                <w:rFonts w:ascii="Expensify Neue;sans-serif" w:hAnsi="Expensify Neue;sans-serif"/>
                <w:b w:val="false"/>
                <w:color w:val="000000"/>
                <w:sz w:val="18"/>
              </w:rPr>
              <w:t>Balance at March 31, 2024</w:t>
            </w:r>
          </w:p>
        </w:tc>
        <w:tc>
          <w:tcPr>
            <w:tcW w:w="49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4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Expensify Neue;sans-serif" w:hAnsi="Expensify Neue;sans-serif"/>
                <w:b w:val="false"/>
                <w:color w:val="000000"/>
                <w:sz w:val="18"/>
              </w:rPr>
            </w:pPr>
            <w:r>
              <w:rPr>
                <w:rFonts w:ascii="Expensify Neue;sans-serif" w:hAnsi="Expensify Neue;sans-serif"/>
                <w:b w:val="false"/>
                <w:color w:val="000000"/>
                <w:sz w:val="18"/>
              </w:rPr>
              <w:t>$</w:t>
            </w:r>
          </w:p>
        </w:tc>
        <w:tc>
          <w:tcPr>
            <w:tcW w:w="46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CCEE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24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Expensify Neue;sans-serif" w:hAnsi="Expensify Neue;sans-serif"/>
                <w:b w:val="false"/>
                <w:color w:val="000000"/>
                <w:sz w:val="18"/>
              </w:rPr>
            </w:pPr>
            <w:r>
              <w:rPr>
                <w:rFonts w:ascii="Expensify Neue;sans-serif" w:hAnsi="Expensify Neue;sans-serif"/>
                <w:b w:val="false"/>
                <w:color w:val="000000"/>
                <w:sz w:val="18"/>
              </w:rPr>
              <w:t>86,484,507 </w:t>
            </w:r>
          </w:p>
        </w:tc>
        <w:tc>
          <w:tcPr>
            <w:tcW w:w="24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Expensify Neue;sans-serif" w:hAnsi="Expensify Neue;sans-serif"/>
                <w:b w:val="false"/>
                <w:color w:val="000000"/>
                <w:sz w:val="18"/>
              </w:rPr>
            </w:pPr>
            <w:r>
              <w:rPr>
                <w:rFonts w:ascii="Expensify Neue;sans-serif" w:hAnsi="Expensify Neue;sans-serif"/>
                <w:b w:val="false"/>
                <w:color w:val="000000"/>
                <w:sz w:val="18"/>
              </w:rPr>
              <w:t>$</w:t>
            </w:r>
          </w:p>
        </w:tc>
        <w:tc>
          <w:tcPr>
            <w:tcW w:w="38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Expensify Neue;sans-serif" w:hAnsi="Expensify Neue;sans-serif"/>
                <w:b w:val="false"/>
                <w:color w:val="000000"/>
                <w:sz w:val="18"/>
              </w:rPr>
            </w:pPr>
            <w:r>
              <w:rPr>
                <w:rFonts w:ascii="Expensify Neue;sans-serif" w:hAnsi="Expensify Neue;sans-serif"/>
                <w:b w:val="false"/>
                <w:color w:val="000000"/>
                <w:sz w:val="18"/>
              </w:rPr>
              <w:t>9 </w:t>
            </w:r>
          </w:p>
        </w:tc>
        <w:tc>
          <w:tcPr>
            <w:tcW w:w="14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Expensify Neue;sans-serif" w:hAnsi="Expensify Neue;sans-serif"/>
                <w:b w:val="false"/>
                <w:color w:val="000000"/>
                <w:sz w:val="18"/>
              </w:rPr>
            </w:pPr>
            <w:r>
              <w:rPr>
                <w:rFonts w:ascii="Expensify Neue;sans-serif" w:hAnsi="Expensify Neue;sans-serif"/>
                <w:b w:val="false"/>
                <w:color w:val="000000"/>
                <w:sz w:val="18"/>
              </w:rPr>
              <w:t>$</w:t>
            </w:r>
          </w:p>
        </w:tc>
        <w:tc>
          <w:tcPr>
            <w:tcW w:w="94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Expensify Neue;sans-serif" w:hAnsi="Expensify Neue;sans-serif"/>
                <w:b w:val="false"/>
                <w:color w:val="000000"/>
                <w:sz w:val="18"/>
              </w:rPr>
            </w:pPr>
            <w:r>
              <w:rPr>
                <w:rFonts w:ascii="Expensify Neue;sans-serif" w:hAnsi="Expensify Neue;sans-serif"/>
                <w:b w:val="false"/>
                <w:color w:val="000000"/>
                <w:sz w:val="18"/>
              </w:rPr>
              <w:t>251,055 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Expensify Neue;sans-serif" w:hAnsi="Expensify Neue;sans-serif"/>
                <w:b w:val="false"/>
                <w:color w:val="000000"/>
                <w:sz w:val="18"/>
              </w:rPr>
            </w:pPr>
            <w:r>
              <w:rPr>
                <w:rFonts w:ascii="Expensify Neue;sans-serif" w:hAnsi="Expensify Neue;sans-serif"/>
                <w:b w:val="false"/>
                <w:color w:val="000000"/>
                <w:sz w:val="18"/>
              </w:rPr>
              <w:t>$</w:t>
            </w:r>
          </w:p>
        </w:tc>
        <w:tc>
          <w:tcPr>
            <w:tcW w:w="98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Expensify Neue;sans-serif" w:hAnsi="Expensify Neue;sans-serif"/>
                <w:b w:val="false"/>
                <w:color w:val="000000"/>
                <w:sz w:val="18"/>
              </w:rPr>
            </w:pPr>
            <w:r>
              <w:rPr>
                <w:rFonts w:ascii="Expensify Neue;sans-serif" w:hAnsi="Expensify Neue;sans-serif"/>
                <w:b w:val="false"/>
                <w:color w:val="000000"/>
                <w:sz w:val="18"/>
              </w:rPr>
              <w:t>(144,554)</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Expensify Neue;sans-serif" w:hAnsi="Expensify Neue;sans-serif"/>
                <w:b w:val="false"/>
                <w:color w:val="000000"/>
                <w:sz w:val="18"/>
              </w:rPr>
            </w:pPr>
            <w:r>
              <w:rPr>
                <w:rFonts w:ascii="Expensify Neue;sans-serif" w:hAnsi="Expensify Neue;sans-serif"/>
                <w:b w:val="false"/>
                <w:color w:val="000000"/>
                <w:sz w:val="18"/>
              </w:rPr>
              <w:t>$</w:t>
            </w:r>
          </w:p>
        </w:tc>
        <w:tc>
          <w:tcPr>
            <w:tcW w:w="100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Expensify Neue;sans-serif" w:hAnsi="Expensify Neue;sans-serif"/>
                <w:b w:val="false"/>
                <w:color w:val="000000"/>
                <w:sz w:val="18"/>
              </w:rPr>
            </w:pPr>
            <w:r>
              <w:rPr>
                <w:rFonts w:ascii="Expensify Neue;sans-serif" w:hAnsi="Expensify Neue;sans-serif"/>
                <w:b w:val="false"/>
                <w:color w:val="000000"/>
                <w:sz w:val="18"/>
              </w:rPr>
              <w:t>106,510 </w:t>
            </w:r>
          </w:p>
        </w:tc>
        <w:tc>
          <w:tcPr>
            <w:tcW w:w="16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96"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736" w:type="dxa"/>
            <w:gridSpan w:val="3"/>
            <w:tcBorders>
              <w:top w:val="double" w:sz="8"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841" w:type="dxa"/>
            <w:gridSpan w:val="3"/>
            <w:tcBorders>
              <w:top w:val="double" w:sz="8"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492" w:type="dxa"/>
            <w:gridSpan w:val="3"/>
            <w:tcBorders>
              <w:top w:val="double" w:sz="8"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841" w:type="dxa"/>
            <w:gridSpan w:val="3"/>
            <w:tcBorders>
              <w:top w:val="double" w:sz="8"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281" w:type="dxa"/>
            <w:gridSpan w:val="3"/>
            <w:tcBorders>
              <w:top w:val="double" w:sz="8"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321" w:type="dxa"/>
            <w:gridSpan w:val="3"/>
            <w:tcBorders>
              <w:top w:val="double" w:sz="8"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411" w:type="dxa"/>
            <w:gridSpan w:val="3"/>
            <w:tcBorders>
              <w:top w:val="double" w:sz="8"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2">
                <wp:simplePos x="0" y="0"/>
                <wp:positionH relativeFrom="character">
                  <wp:align>left</wp:align>
                </wp:positionH>
                <wp:positionV relativeFrom="line">
                  <wp:posOffset>635</wp:posOffset>
                </wp:positionV>
                <wp:extent cx="6480175" cy="1075055"/>
                <wp:effectExtent l="0" t="0" r="0" b="0"/>
                <wp:wrapNone/>
                <wp:docPr id="11" name="Frame10"/>
                <a:graphic xmlns:a="http://schemas.openxmlformats.org/drawingml/2006/main">
                  <a:graphicData uri="http://schemas.microsoft.com/office/word/2010/wordprocessingShape">
                    <wps:wsp>
                      <wps:cNvSpPr txBox="1"/>
                      <wps:spPr>
                        <a:xfrm>
                          <a:off x="0" y="0"/>
                          <a:ext cx="6480175" cy="1075055"/>
                        </a:xfrm>
                        <a:prstGeom prst="rect"/>
                        <a:solidFill>
                          <a:srgbClr val="FFFFFF"/>
                        </a:solidFill>
                      </wps:spPr>
                      <wps:txbx>
                        <w:txbxContent>
                          <w:tbl>
                            <w:tblPr>
                              <w:tblW w:w="7515" w:type="dxa"/>
                              <w:jc w:val="left"/>
                              <w:tblInd w:w="0" w:type="dxa"/>
                              <w:tblLayout w:type="fixed"/>
                              <w:tblCellMar>
                                <w:top w:w="28" w:type="dxa"/>
                                <w:left w:w="28" w:type="dxa"/>
                                <w:bottom w:w="28" w:type="dxa"/>
                                <w:right w:w="28" w:type="dxa"/>
                              </w:tblCellMar>
                            </w:tblPr>
                            <w:tblGrid>
                              <w:gridCol w:w="2404"/>
                              <w:gridCol w:w="2116"/>
                              <w:gridCol w:w="2995"/>
                            </w:tblGrid>
                            <w:tr>
                              <w:trPr/>
                              <w:tc>
                                <w:tcPr>
                                  <w:tcW w:w="2404" w:type="dxa"/>
                                  <w:tcBorders/>
                                  <w:vAlign w:val="center"/>
                                </w:tcPr>
                                <w:p>
                                  <w:pPr>
                                    <w:pStyle w:val="TableContents"/>
                                    <w:bidi w:val="0"/>
                                    <w:spacing w:before="0" w:after="283"/>
                                    <w:jc w:val="left"/>
                                    <w:rPr>
                                      <w:sz w:val="4"/>
                                      <w:szCs w:val="4"/>
                                    </w:rPr>
                                  </w:pPr>
                                  <w:r>
                                    <w:rPr>
                                      <w:sz w:val="4"/>
                                      <w:szCs w:val="4"/>
                                    </w:rPr>
                                  </w:r>
                                </w:p>
                              </w:tc>
                              <w:tc>
                                <w:tcPr>
                                  <w:tcW w:w="2116" w:type="dxa"/>
                                  <w:tcBorders/>
                                  <w:vAlign w:val="center"/>
                                </w:tcPr>
                                <w:p>
                                  <w:pPr>
                                    <w:pStyle w:val="TableContents"/>
                                    <w:bidi w:val="0"/>
                                    <w:spacing w:before="0" w:after="283"/>
                                    <w:jc w:val="left"/>
                                    <w:rPr>
                                      <w:sz w:val="4"/>
                                      <w:szCs w:val="4"/>
                                    </w:rPr>
                                  </w:pPr>
                                  <w:r>
                                    <w:rPr>
                                      <w:sz w:val="4"/>
                                      <w:szCs w:val="4"/>
                                    </w:rPr>
                                  </w:r>
                                </w:p>
                              </w:tc>
                              <w:tc>
                                <w:tcPr>
                                  <w:tcW w:w="2995" w:type="dxa"/>
                                  <w:tcBorders/>
                                  <w:vAlign w:val="center"/>
                                </w:tcPr>
                                <w:p>
                                  <w:pPr>
                                    <w:pStyle w:val="TableContents"/>
                                    <w:bidi w:val="0"/>
                                    <w:spacing w:before="0" w:after="283"/>
                                    <w:jc w:val="left"/>
                                    <w:rPr>
                                      <w:sz w:val="4"/>
                                      <w:szCs w:val="4"/>
                                    </w:rPr>
                                  </w:pPr>
                                  <w:r>
                                    <w:rPr>
                                      <w:sz w:val="4"/>
                                      <w:szCs w:val="4"/>
                                    </w:rPr>
                                  </w:r>
                                </w:p>
                              </w:tc>
                            </w:tr>
                            <w:tr>
                              <w:trPr/>
                              <w:tc>
                                <w:tcPr>
                                  <w:tcW w:w="751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Expensify Neue;sans-serif" w:hAnsi="Expensify Neue;sans-serif"/>
                                      <w:b w:val="false"/>
                                      <w:color w:val="000000"/>
                                      <w:sz w:val="20"/>
                                    </w:rPr>
                                  </w:pPr>
                                  <w:r>
                                    <w:rPr>
                                      <w:rFonts w:ascii="Expensify Neue;sans-serif" w:hAnsi="Expensify Neue;sans-serif"/>
                                      <w:b w:val="false"/>
                                      <w:color w:val="000000"/>
                                      <w:sz w:val="20"/>
                                    </w:rPr>
                                    <w:t>See accompanying notes to Condensed Consolidated Financial Statements.</w:t>
                                  </w:r>
                                </w:p>
                              </w:tc>
                            </w:tr>
                            <w:tr>
                              <w:trPr/>
                              <w:tc>
                                <w:tcPr>
                                  <w:tcW w:w="7515"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0"/>
                                    <w:jc w:val="center"/>
                                    <w:rPr>
                                      <w:rFonts w:ascii="Expensify Neue;sans-serif" w:hAnsi="Expensify Neue;sans-serif"/>
                                      <w:b w:val="false"/>
                                      <w:color w:val="000000"/>
                                      <w:sz w:val="20"/>
                                    </w:rPr>
                                  </w:pPr>
                                  <w:r>
                                    <w:rPr>
                                      <w:rFonts w:ascii="Expensify Neue;sans-serif" w:hAnsi="Expensify Neue;sans-serif"/>
                                      <w:b w:val="false"/>
                                      <w:color w:val="000000"/>
                                      <w:sz w:val="20"/>
                                    </w:rPr>
                                    <w:t>5</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84.65pt;mso-wrap-distance-left:0pt;mso-wrap-distance-right:0pt;mso-wrap-distance-top:0pt;mso-wrap-distance-bottom:0pt;margin-top:0pt;mso-position-vertical:top;mso-position-vertical-relative:text;margin-left:0pt;mso-position-horizontal:left;mso-position-horizontal-relative:text">
                <v:textbox>
                  <w:txbxContent>
                    <w:tbl>
                      <w:tblPr>
                        <w:tblW w:w="7515" w:type="dxa"/>
                        <w:jc w:val="left"/>
                        <w:tblInd w:w="0" w:type="dxa"/>
                        <w:tblLayout w:type="fixed"/>
                        <w:tblCellMar>
                          <w:top w:w="28" w:type="dxa"/>
                          <w:left w:w="28" w:type="dxa"/>
                          <w:bottom w:w="28" w:type="dxa"/>
                          <w:right w:w="28" w:type="dxa"/>
                        </w:tblCellMar>
                      </w:tblPr>
                      <w:tblGrid>
                        <w:gridCol w:w="2404"/>
                        <w:gridCol w:w="2116"/>
                        <w:gridCol w:w="2995"/>
                      </w:tblGrid>
                      <w:tr>
                        <w:trPr/>
                        <w:tc>
                          <w:tcPr>
                            <w:tcW w:w="2404" w:type="dxa"/>
                            <w:tcBorders/>
                            <w:vAlign w:val="center"/>
                          </w:tcPr>
                          <w:p>
                            <w:pPr>
                              <w:pStyle w:val="TableContents"/>
                              <w:bidi w:val="0"/>
                              <w:spacing w:before="0" w:after="283"/>
                              <w:jc w:val="left"/>
                              <w:rPr>
                                <w:sz w:val="4"/>
                                <w:szCs w:val="4"/>
                              </w:rPr>
                            </w:pPr>
                            <w:r>
                              <w:rPr>
                                <w:sz w:val="4"/>
                                <w:szCs w:val="4"/>
                              </w:rPr>
                            </w:r>
                          </w:p>
                        </w:tc>
                        <w:tc>
                          <w:tcPr>
                            <w:tcW w:w="2116" w:type="dxa"/>
                            <w:tcBorders/>
                            <w:vAlign w:val="center"/>
                          </w:tcPr>
                          <w:p>
                            <w:pPr>
                              <w:pStyle w:val="TableContents"/>
                              <w:bidi w:val="0"/>
                              <w:spacing w:before="0" w:after="283"/>
                              <w:jc w:val="left"/>
                              <w:rPr>
                                <w:sz w:val="4"/>
                                <w:szCs w:val="4"/>
                              </w:rPr>
                            </w:pPr>
                            <w:r>
                              <w:rPr>
                                <w:sz w:val="4"/>
                                <w:szCs w:val="4"/>
                              </w:rPr>
                            </w:r>
                          </w:p>
                        </w:tc>
                        <w:tc>
                          <w:tcPr>
                            <w:tcW w:w="2995" w:type="dxa"/>
                            <w:tcBorders/>
                            <w:vAlign w:val="center"/>
                          </w:tcPr>
                          <w:p>
                            <w:pPr>
                              <w:pStyle w:val="TableContents"/>
                              <w:bidi w:val="0"/>
                              <w:spacing w:before="0" w:after="283"/>
                              <w:jc w:val="left"/>
                              <w:rPr>
                                <w:sz w:val="4"/>
                                <w:szCs w:val="4"/>
                              </w:rPr>
                            </w:pPr>
                            <w:r>
                              <w:rPr>
                                <w:sz w:val="4"/>
                                <w:szCs w:val="4"/>
                              </w:rPr>
                            </w:r>
                          </w:p>
                        </w:tc>
                      </w:tr>
                      <w:tr>
                        <w:trPr/>
                        <w:tc>
                          <w:tcPr>
                            <w:tcW w:w="751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Expensify Neue;sans-serif" w:hAnsi="Expensify Neue;sans-serif"/>
                                <w:b w:val="false"/>
                                <w:color w:val="000000"/>
                                <w:sz w:val="20"/>
                              </w:rPr>
                            </w:pPr>
                            <w:r>
                              <w:rPr>
                                <w:rFonts w:ascii="Expensify Neue;sans-serif" w:hAnsi="Expensify Neue;sans-serif"/>
                                <w:b w:val="false"/>
                                <w:color w:val="000000"/>
                                <w:sz w:val="20"/>
                              </w:rPr>
                              <w:t>See accompanying notes to Condensed Consolidated Financial Statements.</w:t>
                            </w:r>
                          </w:p>
                        </w:tc>
                      </w:tr>
                      <w:tr>
                        <w:trPr/>
                        <w:tc>
                          <w:tcPr>
                            <w:tcW w:w="7515"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0"/>
                              <w:jc w:val="center"/>
                              <w:rPr>
                                <w:rFonts w:ascii="Expensify Neue;sans-serif" w:hAnsi="Expensify Neue;sans-serif"/>
                                <w:b w:val="false"/>
                                <w:color w:val="000000"/>
                                <w:sz w:val="20"/>
                              </w:rPr>
                            </w:pPr>
                            <w:r>
                              <w:rPr>
                                <w:rFonts w:ascii="Expensify Neue;sans-serif" w:hAnsi="Expensify Neue;sans-serif"/>
                                <w:b w:val="false"/>
                                <w:color w:val="000000"/>
                                <w:sz w:val="20"/>
                              </w:rPr>
                              <w:t>5</w:t>
                            </w:r>
                          </w:p>
                        </w:tc>
                      </w:tr>
                    </w:tbl>
                    <w:p>
                      <w:pPr>
                        <w:pStyle w:val="TextBody"/>
                        <w:bidi w:val="0"/>
                        <w:spacing w:before="0" w:after="283"/>
                        <w:jc w:val="left"/>
                        <w:rPr/>
                      </w:pPr>
                      <w:r>
                        <w:rPr/>
                      </w:r>
                    </w:p>
                  </w:txbxContent>
                </v:textbox>
                <w10:wrap type="none"/>
              </v:rect>
            </w:pict>
          </mc:Fallback>
        </mc:AlternateContent>
      </w:r>
    </w:p>
    <w:p>
      <w:pPr>
        <w:pStyle w:val="TextBody"/>
        <w:bidi w:val="0"/>
        <w:spacing w:lineRule="auto" w:line="288" w:before="0" w:after="160"/>
        <w:jc w:val="left"/>
        <w:rPr/>
      </w:pPr>
      <w:hyperlink w:anchor="i52a648c4f0e449f7bc3c2044827c8f0d_7">
        <w:r>
          <w:rPr>
            <w:rStyle w:val="InternetLink"/>
            <w:rFonts w:ascii="Expensify Neue;sans-serif" w:hAnsi="Expensify Neue;sans-serif"/>
            <w:b/>
            <w:color w:val="0000FF"/>
            <w:sz w:val="20"/>
            <w:u w:val="single"/>
          </w:rPr>
          <w:t>Table of Contents</w:t>
        </w:r>
      </w:hyperlink>
    </w:p>
    <w:p>
      <w:pPr>
        <w:pStyle w:val="TextBody"/>
        <w:bidi w:val="0"/>
        <w:spacing w:lineRule="auto" w:line="288" w:before="0" w:after="0"/>
        <w:jc w:val="center"/>
        <w:rPr>
          <w:rFonts w:ascii="Expensify Neue;sans-serif" w:hAnsi="Expensify Neue;sans-serif"/>
          <w:b/>
          <w:color w:val="000000"/>
          <w:sz w:val="24"/>
        </w:rPr>
      </w:pPr>
      <w:r>
        <w:rPr>
          <w:rFonts w:ascii="Expensify Neue;sans-serif" w:hAnsi="Expensify Neue;sans-serif"/>
          <w:b/>
          <w:color w:val="000000"/>
          <w:sz w:val="24"/>
        </w:rPr>
        <w:t>Expensify, Inc.</w:t>
      </w:r>
    </w:p>
    <w:p>
      <w:pPr>
        <w:pStyle w:val="TextBody"/>
        <w:bidi w:val="0"/>
        <w:spacing w:lineRule="auto" w:line="288" w:before="0" w:after="0"/>
        <w:jc w:val="center"/>
        <w:rPr>
          <w:rFonts w:ascii="Expensify Neue;sans-serif" w:hAnsi="Expensify Neue;sans-serif"/>
          <w:b/>
          <w:color w:val="000000"/>
          <w:sz w:val="24"/>
        </w:rPr>
      </w:pPr>
      <w:r>
        <w:rPr>
          <w:rFonts w:ascii="Expensify Neue;sans-serif" w:hAnsi="Expensify Neue;sans-serif"/>
          <w:b/>
          <w:color w:val="000000"/>
          <w:sz w:val="24"/>
        </w:rPr>
        <w:t>Condensed Consolidated Statements of Cash Flows</w:t>
      </w:r>
    </w:p>
    <w:p>
      <w:pPr>
        <w:pStyle w:val="TextBody"/>
        <w:bidi w:val="0"/>
        <w:spacing w:lineRule="auto" w:line="288" w:before="0" w:after="0"/>
        <w:jc w:val="center"/>
        <w:rPr>
          <w:rFonts w:ascii="Expensify Neue;sans-serif" w:hAnsi="Expensify Neue;sans-serif"/>
          <w:b/>
          <w:color w:val="000000"/>
          <w:sz w:val="20"/>
        </w:rPr>
      </w:pPr>
      <w:r>
        <w:rPr>
          <w:rFonts w:ascii="Expensify Neue;sans-serif" w:hAnsi="Expensify Neue;sans-serif"/>
          <w:b/>
          <w:color w:val="000000"/>
          <w:sz w:val="20"/>
        </w:rPr>
        <w:t>(unaudited, in thousands)</w:t>
      </w:r>
    </w:p>
    <w:tbl>
      <w:tblPr>
        <w:tblW w:w="10205" w:type="dxa"/>
        <w:jc w:val="left"/>
        <w:tblInd w:w="0" w:type="dxa"/>
        <w:tblLayout w:type="fixed"/>
        <w:tblCellMar>
          <w:top w:w="28" w:type="dxa"/>
          <w:left w:w="28" w:type="dxa"/>
          <w:bottom w:w="28" w:type="dxa"/>
          <w:right w:w="28" w:type="dxa"/>
        </w:tblCellMar>
      </w:tblPr>
      <w:tblGrid>
        <w:gridCol w:w="2835"/>
        <w:gridCol w:w="2478"/>
        <w:gridCol w:w="2487"/>
        <w:gridCol w:w="207"/>
        <w:gridCol w:w="683"/>
        <w:gridCol w:w="114"/>
        <w:gridCol w:w="114"/>
        <w:gridCol w:w="114"/>
        <w:gridCol w:w="114"/>
        <w:gridCol w:w="207"/>
        <w:gridCol w:w="683"/>
        <w:gridCol w:w="169"/>
      </w:tblGrid>
      <w:tr>
        <w:trPr/>
        <w:tc>
          <w:tcPr>
            <w:tcW w:w="2835" w:type="dxa"/>
            <w:tcBorders/>
            <w:vAlign w:val="center"/>
          </w:tcPr>
          <w:p>
            <w:pPr>
              <w:pStyle w:val="TableContents"/>
              <w:bidi w:val="0"/>
              <w:spacing w:before="0" w:after="283"/>
              <w:jc w:val="left"/>
              <w:rPr>
                <w:sz w:val="4"/>
                <w:szCs w:val="4"/>
              </w:rPr>
            </w:pPr>
            <w:r>
              <w:rPr>
                <w:sz w:val="4"/>
                <w:szCs w:val="4"/>
              </w:rPr>
            </w:r>
          </w:p>
        </w:tc>
        <w:tc>
          <w:tcPr>
            <w:tcW w:w="2478" w:type="dxa"/>
            <w:tcBorders/>
            <w:vAlign w:val="center"/>
          </w:tcPr>
          <w:p>
            <w:pPr>
              <w:pStyle w:val="TableContents"/>
              <w:bidi w:val="0"/>
              <w:spacing w:before="0" w:after="283"/>
              <w:jc w:val="left"/>
              <w:rPr>
                <w:sz w:val="4"/>
                <w:szCs w:val="4"/>
              </w:rPr>
            </w:pPr>
            <w:r>
              <w:rPr>
                <w:sz w:val="4"/>
                <w:szCs w:val="4"/>
              </w:rPr>
            </w:r>
          </w:p>
        </w:tc>
        <w:tc>
          <w:tcPr>
            <w:tcW w:w="2487" w:type="dxa"/>
            <w:tcBorders/>
            <w:vAlign w:val="center"/>
          </w:tcPr>
          <w:p>
            <w:pPr>
              <w:pStyle w:val="TableContents"/>
              <w:bidi w:val="0"/>
              <w:spacing w:before="0" w:after="283"/>
              <w:jc w:val="left"/>
              <w:rPr>
                <w:sz w:val="4"/>
                <w:szCs w:val="4"/>
              </w:rPr>
            </w:pPr>
            <w:r>
              <w:rPr>
                <w:sz w:val="4"/>
                <w:szCs w:val="4"/>
              </w:rPr>
            </w:r>
          </w:p>
        </w:tc>
        <w:tc>
          <w:tcPr>
            <w:tcW w:w="207" w:type="dxa"/>
            <w:tcBorders/>
            <w:vAlign w:val="center"/>
          </w:tcPr>
          <w:p>
            <w:pPr>
              <w:pStyle w:val="TableContents"/>
              <w:bidi w:val="0"/>
              <w:spacing w:before="0" w:after="283"/>
              <w:jc w:val="left"/>
              <w:rPr>
                <w:sz w:val="4"/>
                <w:szCs w:val="4"/>
              </w:rPr>
            </w:pPr>
            <w:r>
              <w:rPr>
                <w:sz w:val="4"/>
                <w:szCs w:val="4"/>
              </w:rPr>
            </w:r>
          </w:p>
        </w:tc>
        <w:tc>
          <w:tcPr>
            <w:tcW w:w="683"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207" w:type="dxa"/>
            <w:tcBorders/>
            <w:vAlign w:val="center"/>
          </w:tcPr>
          <w:p>
            <w:pPr>
              <w:pStyle w:val="TableContents"/>
              <w:bidi w:val="0"/>
              <w:spacing w:before="0" w:after="283"/>
              <w:jc w:val="left"/>
              <w:rPr>
                <w:sz w:val="4"/>
                <w:szCs w:val="4"/>
              </w:rPr>
            </w:pPr>
            <w:r>
              <w:rPr>
                <w:sz w:val="4"/>
                <w:szCs w:val="4"/>
              </w:rPr>
            </w:r>
          </w:p>
        </w:tc>
        <w:tc>
          <w:tcPr>
            <w:tcW w:w="683" w:type="dxa"/>
            <w:tcBorders/>
            <w:vAlign w:val="center"/>
          </w:tcPr>
          <w:p>
            <w:pPr>
              <w:pStyle w:val="TableContents"/>
              <w:bidi w:val="0"/>
              <w:spacing w:before="0" w:after="283"/>
              <w:jc w:val="left"/>
              <w:rPr>
                <w:sz w:val="4"/>
                <w:szCs w:val="4"/>
              </w:rPr>
            </w:pPr>
            <w:r>
              <w:rPr>
                <w:sz w:val="4"/>
                <w:szCs w:val="4"/>
              </w:rPr>
            </w:r>
          </w:p>
        </w:tc>
        <w:tc>
          <w:tcPr>
            <w:tcW w:w="169" w:type="dxa"/>
            <w:tcBorders/>
            <w:vAlign w:val="center"/>
          </w:tcPr>
          <w:p>
            <w:pPr>
              <w:pStyle w:val="TableContents"/>
              <w:bidi w:val="0"/>
              <w:spacing w:before="0" w:after="283"/>
              <w:jc w:val="left"/>
              <w:rPr>
                <w:sz w:val="4"/>
                <w:szCs w:val="4"/>
              </w:rPr>
            </w:pPr>
            <w:r>
              <w:rPr>
                <w:sz w:val="4"/>
                <w:szCs w:val="4"/>
              </w:rPr>
            </w:r>
          </w:p>
        </w:tc>
      </w:tr>
      <w:tr>
        <w:trPr/>
        <w:tc>
          <w:tcPr>
            <w:tcW w:w="7800" w:type="dxa"/>
            <w:gridSpan w:val="3"/>
            <w:tcBorders>
              <w:top w:val="single" w:sz="1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05" w:type="dxa"/>
            <w:gridSpan w:val="9"/>
            <w:tcBorders>
              <w:top w:val="single" w:sz="16"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Expensify Neue;sans-serif" w:hAnsi="Expensify Neue;sans-serif"/>
                <w:b/>
                <w:color w:val="000000"/>
                <w:sz w:val="14"/>
              </w:rPr>
            </w:pPr>
            <w:r>
              <w:rPr>
                <w:rFonts w:ascii="Expensify Neue;sans-serif" w:hAnsi="Expensify Neue;sans-serif"/>
                <w:b/>
                <w:color w:val="000000"/>
                <w:sz w:val="14"/>
              </w:rPr>
              <w:t>Three Months Ended March 31,</w:t>
            </w:r>
          </w:p>
        </w:tc>
      </w:tr>
      <w:tr>
        <w:trPr/>
        <w:tc>
          <w:tcPr>
            <w:tcW w:w="780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4"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Expensify Neue;sans-serif" w:hAnsi="Expensify Neue;sans-serif"/>
                <w:b/>
                <w:color w:val="000000"/>
                <w:sz w:val="14"/>
              </w:rPr>
            </w:pPr>
            <w:r>
              <w:rPr>
                <w:rFonts w:ascii="Expensify Neue;sans-serif" w:hAnsi="Expensify Neue;sans-serif"/>
                <w:b/>
                <w:color w:val="000000"/>
                <w:sz w:val="14"/>
              </w:rPr>
              <w:t>2025</w:t>
            </w:r>
          </w:p>
        </w:tc>
        <w:tc>
          <w:tcPr>
            <w:tcW w:w="342"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Expensify Neue;sans-serif" w:hAnsi="Expensify Neue;sans-serif"/>
                <w:b/>
                <w:color w:val="000000"/>
                <w:sz w:val="14"/>
              </w:rPr>
            </w:pPr>
            <w:r>
              <w:rPr>
                <w:rFonts w:ascii="Expensify Neue;sans-serif" w:hAnsi="Expensify Neue;sans-serif"/>
                <w:b/>
                <w:color w:val="000000"/>
                <w:sz w:val="14"/>
              </w:rPr>
              <w:t>2024</w:t>
            </w:r>
          </w:p>
        </w:tc>
      </w:tr>
      <w:tr>
        <w:trPr/>
        <w:tc>
          <w:tcPr>
            <w:tcW w:w="780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Expensify Neue;sans-serif" w:hAnsi="Expensify Neue;sans-serif"/>
                <w:b w:val="false"/>
                <w:color w:val="000000"/>
                <w:sz w:val="14"/>
              </w:rPr>
            </w:pPr>
            <w:r>
              <w:rPr>
                <w:rFonts w:ascii="Expensify Neue;sans-serif" w:hAnsi="Expensify Neue;sans-serif"/>
                <w:b w:val="false"/>
                <w:color w:val="000000"/>
                <w:sz w:val="14"/>
              </w:rPr>
              <w:t>Cash flows from operating activities:</w:t>
            </w:r>
          </w:p>
        </w:tc>
        <w:tc>
          <w:tcPr>
            <w:tcW w:w="1004"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9"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80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Expensify Neue;sans-serif" w:hAnsi="Expensify Neue;sans-serif"/>
                <w:b w:val="false"/>
                <w:color w:val="000000"/>
                <w:sz w:val="14"/>
              </w:rPr>
            </w:pPr>
            <w:r>
              <w:rPr>
                <w:rFonts w:ascii="Expensify Neue;sans-serif" w:hAnsi="Expensify Neue;sans-serif"/>
                <w:b w:val="false"/>
                <w:color w:val="000000"/>
                <w:sz w:val="14"/>
              </w:rPr>
              <w:t>Net loss</w:t>
            </w:r>
          </w:p>
        </w:tc>
        <w:tc>
          <w:tcPr>
            <w:tcW w:w="207"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Expensify Neue;sans-serif" w:hAnsi="Expensify Neue;sans-serif"/>
                <w:b w:val="false"/>
                <w:color w:val="000000"/>
                <w:sz w:val="14"/>
              </w:rPr>
            </w:pPr>
            <w:r>
              <w:rPr>
                <w:rFonts w:ascii="Expensify Neue;sans-serif" w:hAnsi="Expensify Neue;sans-serif"/>
                <w:b w:val="false"/>
                <w:color w:val="000000"/>
                <w:sz w:val="14"/>
              </w:rPr>
              <w:t>$</w:t>
            </w:r>
          </w:p>
        </w:tc>
        <w:tc>
          <w:tcPr>
            <w:tcW w:w="68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Expensify Neue;sans-serif" w:hAnsi="Expensify Neue;sans-serif"/>
                <w:b w:val="false"/>
                <w:color w:val="000000"/>
                <w:sz w:val="14"/>
              </w:rPr>
            </w:pPr>
            <w:r>
              <w:rPr>
                <w:rFonts w:ascii="Expensify Neue;sans-serif" w:hAnsi="Expensify Neue;sans-serif"/>
                <w:b w:val="false"/>
                <w:color w:val="000000"/>
                <w:sz w:val="14"/>
              </w:rPr>
              <w:t>(3,169)</w:t>
            </w:r>
          </w:p>
        </w:tc>
        <w:tc>
          <w:tcPr>
            <w:tcW w:w="1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7"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Expensify Neue;sans-serif" w:hAnsi="Expensify Neue;sans-serif"/>
                <w:b w:val="false"/>
                <w:color w:val="000000"/>
                <w:sz w:val="14"/>
              </w:rPr>
            </w:pPr>
            <w:r>
              <w:rPr>
                <w:rFonts w:ascii="Expensify Neue;sans-serif" w:hAnsi="Expensify Neue;sans-serif"/>
                <w:b w:val="false"/>
                <w:color w:val="000000"/>
                <w:sz w:val="14"/>
              </w:rPr>
              <w:t>$</w:t>
            </w:r>
          </w:p>
        </w:tc>
        <w:tc>
          <w:tcPr>
            <w:tcW w:w="68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Expensify Neue;sans-serif" w:hAnsi="Expensify Neue;sans-serif"/>
                <w:b w:val="false"/>
                <w:color w:val="000000"/>
                <w:sz w:val="14"/>
              </w:rPr>
            </w:pPr>
            <w:r>
              <w:rPr>
                <w:rFonts w:ascii="Expensify Neue;sans-serif" w:hAnsi="Expensify Neue;sans-serif"/>
                <w:b w:val="false"/>
                <w:color w:val="000000"/>
                <w:sz w:val="14"/>
              </w:rPr>
              <w:t>(3,781)</w:t>
            </w:r>
          </w:p>
        </w:tc>
        <w:tc>
          <w:tcPr>
            <w:tcW w:w="16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80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Expensify Neue;sans-serif" w:hAnsi="Expensify Neue;sans-serif"/>
                <w:b w:val="false"/>
                <w:color w:val="000000"/>
                <w:sz w:val="14"/>
              </w:rPr>
            </w:pPr>
            <w:r>
              <w:rPr>
                <w:rFonts w:ascii="Expensify Neue;sans-serif" w:hAnsi="Expensify Neue;sans-serif"/>
                <w:b w:val="false"/>
                <w:color w:val="000000"/>
                <w:sz w:val="14"/>
              </w:rPr>
              <w:t>Adjustments to reconcile net loss to net cash provided by operating activities:</w:t>
            </w:r>
          </w:p>
        </w:tc>
        <w:tc>
          <w:tcPr>
            <w:tcW w:w="100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80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Expensify Neue;sans-serif" w:hAnsi="Expensify Neue;sans-serif"/>
                <w:b w:val="false"/>
                <w:color w:val="000000"/>
                <w:sz w:val="14"/>
              </w:rPr>
            </w:pPr>
            <w:r>
              <w:rPr>
                <w:rFonts w:ascii="Expensify Neue;sans-serif" w:hAnsi="Expensify Neue;sans-serif"/>
                <w:b w:val="false"/>
                <w:color w:val="000000"/>
                <w:sz w:val="14"/>
              </w:rPr>
              <w:t>Depreciation and amortization</w:t>
            </w:r>
          </w:p>
        </w:tc>
        <w:tc>
          <w:tcPr>
            <w:tcW w:w="89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Expensify Neue;sans-serif" w:hAnsi="Expensify Neue;sans-serif"/>
                <w:b w:val="false"/>
                <w:color w:val="000000"/>
                <w:sz w:val="14"/>
              </w:rPr>
            </w:pPr>
            <w:r>
              <w:rPr>
                <w:rFonts w:ascii="Expensify Neue;sans-serif" w:hAnsi="Expensify Neue;sans-serif"/>
                <w:b w:val="false"/>
                <w:color w:val="000000"/>
                <w:sz w:val="14"/>
              </w:rPr>
              <w:t>1,983 </w:t>
            </w:r>
          </w:p>
        </w:tc>
        <w:tc>
          <w:tcPr>
            <w:tcW w:w="1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Expensify Neue;sans-serif" w:hAnsi="Expensify Neue;sans-serif"/>
                <w:b w:val="false"/>
                <w:color w:val="000000"/>
                <w:sz w:val="14"/>
              </w:rPr>
            </w:pPr>
            <w:r>
              <w:rPr>
                <w:rFonts w:ascii="Expensify Neue;sans-serif" w:hAnsi="Expensify Neue;sans-serif"/>
                <w:b w:val="false"/>
                <w:color w:val="000000"/>
                <w:sz w:val="14"/>
              </w:rPr>
              <w:t>1,423 </w:t>
            </w:r>
          </w:p>
        </w:tc>
        <w:tc>
          <w:tcPr>
            <w:tcW w:w="16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80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Expensify Neue;sans-serif" w:hAnsi="Expensify Neue;sans-serif"/>
                <w:b w:val="false"/>
                <w:color w:val="000000"/>
                <w:sz w:val="14"/>
              </w:rPr>
            </w:pPr>
            <w:r>
              <w:rPr>
                <w:rFonts w:ascii="Expensify Neue;sans-serif" w:hAnsi="Expensify Neue;sans-serif"/>
                <w:b w:val="false"/>
                <w:color w:val="000000"/>
                <w:sz w:val="14"/>
              </w:rPr>
              <w:t>Reduction of operating lease right-of-use assets</w:t>
            </w:r>
          </w:p>
        </w:tc>
        <w:tc>
          <w:tcPr>
            <w:tcW w:w="89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Expensify Neue;sans-serif" w:hAnsi="Expensify Neue;sans-serif"/>
                <w:b w:val="false"/>
                <w:color w:val="000000"/>
                <w:sz w:val="14"/>
              </w:rPr>
            </w:pPr>
            <w:r>
              <w:rPr>
                <w:rFonts w:ascii="Expensify Neue;sans-serif" w:hAnsi="Expensify Neue;sans-serif"/>
                <w:b w:val="false"/>
                <w:color w:val="000000"/>
                <w:sz w:val="14"/>
              </w:rPr>
              <w:t>138 </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Expensify Neue;sans-serif" w:hAnsi="Expensify Neue;sans-serif"/>
                <w:b w:val="false"/>
                <w:color w:val="000000"/>
                <w:sz w:val="14"/>
              </w:rPr>
            </w:pPr>
            <w:r>
              <w:rPr>
                <w:rFonts w:ascii="Expensify Neue;sans-serif" w:hAnsi="Expensify Neue;sans-serif"/>
                <w:b w:val="false"/>
                <w:color w:val="000000"/>
                <w:sz w:val="14"/>
              </w:rPr>
              <w:t>136 </w:t>
            </w:r>
          </w:p>
        </w:tc>
        <w:tc>
          <w:tcPr>
            <w:tcW w:w="16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80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Expensify Neue;sans-serif" w:hAnsi="Expensify Neue;sans-serif"/>
                <w:b w:val="false"/>
                <w:color w:val="000000"/>
                <w:sz w:val="14"/>
              </w:rPr>
            </w:pPr>
            <w:r>
              <w:rPr>
                <w:rFonts w:ascii="Expensify Neue;sans-serif" w:hAnsi="Expensify Neue;sans-serif"/>
                <w:b w:val="false"/>
                <w:color w:val="000000"/>
                <w:sz w:val="14"/>
              </w:rPr>
              <w:t>Loss on impairment, receivables and sale or disposal of equipment</w:t>
            </w:r>
          </w:p>
        </w:tc>
        <w:tc>
          <w:tcPr>
            <w:tcW w:w="89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Expensify Neue;sans-serif" w:hAnsi="Expensify Neue;sans-serif"/>
                <w:b w:val="false"/>
                <w:color w:val="000000"/>
                <w:sz w:val="14"/>
              </w:rPr>
            </w:pPr>
            <w:r>
              <w:rPr>
                <w:rFonts w:ascii="Expensify Neue;sans-serif" w:hAnsi="Expensify Neue;sans-serif"/>
                <w:b w:val="false"/>
                <w:color w:val="000000"/>
                <w:sz w:val="14"/>
              </w:rPr>
              <w:t>156 </w:t>
            </w:r>
          </w:p>
        </w:tc>
        <w:tc>
          <w:tcPr>
            <w:tcW w:w="1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Expensify Neue;sans-serif" w:hAnsi="Expensify Neue;sans-serif"/>
                <w:b w:val="false"/>
                <w:color w:val="000000"/>
                <w:sz w:val="14"/>
              </w:rPr>
            </w:pPr>
            <w:r>
              <w:rPr>
                <w:rFonts w:ascii="Expensify Neue;sans-serif" w:hAnsi="Expensify Neue;sans-serif"/>
                <w:b w:val="false"/>
                <w:color w:val="000000"/>
                <w:sz w:val="14"/>
              </w:rPr>
              <w:t>337 </w:t>
            </w:r>
          </w:p>
        </w:tc>
        <w:tc>
          <w:tcPr>
            <w:tcW w:w="16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80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Expensify Neue;sans-serif" w:hAnsi="Expensify Neue;sans-serif"/>
                <w:b w:val="false"/>
                <w:color w:val="000000"/>
                <w:sz w:val="14"/>
              </w:rPr>
            </w:pPr>
            <w:r>
              <w:rPr>
                <w:rFonts w:ascii="Expensify Neue;sans-serif" w:hAnsi="Expensify Neue;sans-serif"/>
                <w:b w:val="false"/>
                <w:color w:val="000000"/>
                <w:sz w:val="14"/>
              </w:rPr>
              <w:t>Stock-based compensation expense</w:t>
            </w:r>
          </w:p>
        </w:tc>
        <w:tc>
          <w:tcPr>
            <w:tcW w:w="89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Expensify Neue;sans-serif" w:hAnsi="Expensify Neue;sans-serif"/>
                <w:b w:val="false"/>
                <w:color w:val="000000"/>
                <w:sz w:val="14"/>
              </w:rPr>
            </w:pPr>
            <w:r>
              <w:rPr>
                <w:rFonts w:ascii="Expensify Neue;sans-serif" w:hAnsi="Expensify Neue;sans-serif"/>
                <w:b w:val="false"/>
                <w:color w:val="000000"/>
                <w:sz w:val="14"/>
              </w:rPr>
              <w:t>7,990 </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Expensify Neue;sans-serif" w:hAnsi="Expensify Neue;sans-serif"/>
                <w:b w:val="false"/>
                <w:color w:val="000000"/>
                <w:sz w:val="14"/>
              </w:rPr>
            </w:pPr>
            <w:r>
              <w:rPr>
                <w:rFonts w:ascii="Expensify Neue;sans-serif" w:hAnsi="Expensify Neue;sans-serif"/>
                <w:b w:val="false"/>
                <w:color w:val="000000"/>
                <w:sz w:val="14"/>
              </w:rPr>
              <w:t>7,524 </w:t>
            </w:r>
          </w:p>
        </w:tc>
        <w:tc>
          <w:tcPr>
            <w:tcW w:w="16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80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Expensify Neue;sans-serif" w:hAnsi="Expensify Neue;sans-serif"/>
                <w:b w:val="false"/>
                <w:color w:val="000000"/>
                <w:sz w:val="14"/>
              </w:rPr>
            </w:pPr>
            <w:r>
              <w:rPr>
                <w:rFonts w:ascii="Expensify Neue;sans-serif" w:hAnsi="Expensify Neue;sans-serif"/>
                <w:b w:val="false"/>
                <w:color w:val="000000"/>
                <w:sz w:val="14"/>
              </w:rPr>
              <w:t>Amortization of original issue discount and debt issuance costs</w:t>
            </w:r>
          </w:p>
        </w:tc>
        <w:tc>
          <w:tcPr>
            <w:tcW w:w="89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Expensify Neue;sans-serif" w:hAnsi="Expensify Neue;sans-serif"/>
                <w:b w:val="false"/>
                <w:color w:val="000000"/>
                <w:sz w:val="14"/>
              </w:rPr>
            </w:pPr>
            <w:r>
              <w:rPr>
                <w:rFonts w:ascii="Expensify Neue;sans-serif" w:hAnsi="Expensify Neue;sans-serif"/>
                <w:b w:val="false"/>
                <w:color w:val="000000"/>
                <w:sz w:val="14"/>
              </w:rPr>
              <w:t>11 </w:t>
            </w:r>
          </w:p>
        </w:tc>
        <w:tc>
          <w:tcPr>
            <w:tcW w:w="1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Expensify Neue;sans-serif" w:hAnsi="Expensify Neue;sans-serif"/>
                <w:b w:val="false"/>
                <w:color w:val="000000"/>
                <w:sz w:val="14"/>
              </w:rPr>
            </w:pPr>
            <w:r>
              <w:rPr>
                <w:rFonts w:ascii="Expensify Neue;sans-serif" w:hAnsi="Expensify Neue;sans-serif"/>
                <w:b w:val="false"/>
                <w:color w:val="000000"/>
                <w:sz w:val="14"/>
              </w:rPr>
              <w:t>11 </w:t>
            </w:r>
          </w:p>
        </w:tc>
        <w:tc>
          <w:tcPr>
            <w:tcW w:w="16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80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Expensify Neue;sans-serif" w:hAnsi="Expensify Neue;sans-serif"/>
                <w:b w:val="false"/>
                <w:color w:val="000000"/>
                <w:sz w:val="14"/>
              </w:rPr>
            </w:pPr>
            <w:r>
              <w:rPr>
                <w:rFonts w:ascii="Expensify Neue;sans-serif" w:hAnsi="Expensify Neue;sans-serif"/>
                <w:b w:val="false"/>
                <w:color w:val="000000"/>
                <w:sz w:val="14"/>
              </w:rPr>
              <w:t>Deferred tax assets</w:t>
            </w:r>
          </w:p>
        </w:tc>
        <w:tc>
          <w:tcPr>
            <w:tcW w:w="89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Expensify Neue;sans-serif" w:hAnsi="Expensify Neue;sans-serif"/>
                <w:b w:val="false"/>
                <w:color w:val="000000"/>
                <w:sz w:val="14"/>
              </w:rPr>
            </w:pPr>
            <w:r>
              <w:rPr>
                <w:rFonts w:ascii="Expensify Neue;sans-serif" w:hAnsi="Expensify Neue;sans-serif"/>
                <w:b w:val="false"/>
                <w:color w:val="000000"/>
                <w:sz w:val="14"/>
              </w:rPr>
              <w:t>(6)</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Expensify Neue;sans-serif" w:hAnsi="Expensify Neue;sans-serif"/>
                <w:b w:val="false"/>
                <w:color w:val="000000"/>
                <w:sz w:val="14"/>
              </w:rPr>
            </w:pPr>
            <w:r>
              <w:rPr>
                <w:rFonts w:ascii="Expensify Neue;sans-serif" w:hAnsi="Expensify Neue;sans-serif"/>
                <w:b w:val="false"/>
                <w:color w:val="000000"/>
                <w:sz w:val="14"/>
              </w:rPr>
              <w:t>(9)</w:t>
            </w:r>
          </w:p>
        </w:tc>
        <w:tc>
          <w:tcPr>
            <w:tcW w:w="16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80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Expensify Neue;sans-serif" w:hAnsi="Expensify Neue;sans-serif"/>
                <w:b w:val="false"/>
                <w:color w:val="000000"/>
                <w:sz w:val="14"/>
              </w:rPr>
            </w:pPr>
            <w:r>
              <w:rPr>
                <w:rFonts w:ascii="Expensify Neue;sans-serif" w:hAnsi="Expensify Neue;sans-serif"/>
                <w:b w:val="false"/>
                <w:color w:val="000000"/>
                <w:sz w:val="14"/>
              </w:rPr>
              <w:t>Changes in assets and liabilities:</w:t>
            </w:r>
          </w:p>
        </w:tc>
        <w:tc>
          <w:tcPr>
            <w:tcW w:w="100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80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Expensify Neue;sans-serif" w:hAnsi="Expensify Neue;sans-serif"/>
                <w:b w:val="false"/>
                <w:color w:val="000000"/>
                <w:sz w:val="14"/>
              </w:rPr>
            </w:pPr>
            <w:r>
              <w:rPr>
                <w:rFonts w:ascii="Expensify Neue;sans-serif" w:hAnsi="Expensify Neue;sans-serif"/>
                <w:b w:val="false"/>
                <w:color w:val="000000"/>
                <w:sz w:val="14"/>
              </w:rPr>
              <w:t>Accounts receivable, net</w:t>
            </w:r>
          </w:p>
        </w:tc>
        <w:tc>
          <w:tcPr>
            <w:tcW w:w="89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Expensify Neue;sans-serif" w:hAnsi="Expensify Neue;sans-serif"/>
                <w:b w:val="false"/>
                <w:color w:val="000000"/>
                <w:sz w:val="14"/>
              </w:rPr>
            </w:pPr>
            <w:r>
              <w:rPr>
                <w:rFonts w:ascii="Expensify Neue;sans-serif" w:hAnsi="Expensify Neue;sans-serif"/>
                <w:b w:val="false"/>
                <w:color w:val="000000"/>
                <w:sz w:val="14"/>
              </w:rPr>
              <w:t>53 </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Expensify Neue;sans-serif" w:hAnsi="Expensify Neue;sans-serif"/>
                <w:b w:val="false"/>
                <w:color w:val="000000"/>
                <w:sz w:val="14"/>
              </w:rPr>
            </w:pPr>
            <w:r>
              <w:rPr>
                <w:rFonts w:ascii="Expensify Neue;sans-serif" w:hAnsi="Expensify Neue;sans-serif"/>
                <w:b w:val="false"/>
                <w:color w:val="000000"/>
                <w:sz w:val="14"/>
              </w:rPr>
              <w:t>139 </w:t>
            </w:r>
          </w:p>
        </w:tc>
        <w:tc>
          <w:tcPr>
            <w:tcW w:w="16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80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Expensify Neue;sans-serif" w:hAnsi="Expensify Neue;sans-serif"/>
                <w:b w:val="false"/>
                <w:color w:val="000000"/>
                <w:sz w:val="14"/>
              </w:rPr>
            </w:pPr>
            <w:r>
              <w:rPr>
                <w:rFonts w:ascii="Expensify Neue;sans-serif" w:hAnsi="Expensify Neue;sans-serif"/>
                <w:b w:val="false"/>
                <w:color w:val="000000"/>
                <w:sz w:val="14"/>
              </w:rPr>
              <w:t>Settlement assets, net</w:t>
            </w:r>
          </w:p>
        </w:tc>
        <w:tc>
          <w:tcPr>
            <w:tcW w:w="89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Expensify Neue;sans-serif" w:hAnsi="Expensify Neue;sans-serif"/>
                <w:b w:val="false"/>
                <w:color w:val="000000"/>
                <w:sz w:val="14"/>
              </w:rPr>
            </w:pPr>
            <w:r>
              <w:rPr>
                <w:rFonts w:ascii="Expensify Neue;sans-serif" w:hAnsi="Expensify Neue;sans-serif"/>
                <w:b w:val="false"/>
                <w:color w:val="000000"/>
                <w:sz w:val="14"/>
              </w:rPr>
              <w:t>(12,217)</w:t>
            </w:r>
          </w:p>
        </w:tc>
        <w:tc>
          <w:tcPr>
            <w:tcW w:w="1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Expensify Neue;sans-serif" w:hAnsi="Expensify Neue;sans-serif"/>
                <w:b w:val="false"/>
                <w:color w:val="000000"/>
                <w:sz w:val="14"/>
              </w:rPr>
            </w:pPr>
            <w:r>
              <w:rPr>
                <w:rFonts w:ascii="Expensify Neue;sans-serif" w:hAnsi="Expensify Neue;sans-serif"/>
                <w:b w:val="false"/>
                <w:color w:val="000000"/>
                <w:sz w:val="14"/>
              </w:rPr>
              <w:t>(6,120)</w:t>
            </w:r>
          </w:p>
        </w:tc>
        <w:tc>
          <w:tcPr>
            <w:tcW w:w="16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80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Expensify Neue;sans-serif" w:hAnsi="Expensify Neue;sans-serif"/>
                <w:b w:val="false"/>
                <w:color w:val="000000"/>
                <w:sz w:val="14"/>
              </w:rPr>
            </w:pPr>
            <w:r>
              <w:rPr>
                <w:rFonts w:ascii="Expensify Neue;sans-serif" w:hAnsi="Expensify Neue;sans-serif"/>
                <w:b w:val="false"/>
                <w:color w:val="000000"/>
                <w:sz w:val="14"/>
              </w:rPr>
              <w:t>Prepaid expenses</w:t>
            </w:r>
          </w:p>
        </w:tc>
        <w:tc>
          <w:tcPr>
            <w:tcW w:w="89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Expensify Neue;sans-serif" w:hAnsi="Expensify Neue;sans-serif"/>
                <w:b w:val="false"/>
                <w:color w:val="000000"/>
                <w:sz w:val="14"/>
              </w:rPr>
            </w:pPr>
            <w:r>
              <w:rPr>
                <w:rFonts w:ascii="Expensify Neue;sans-serif" w:hAnsi="Expensify Neue;sans-serif"/>
                <w:b w:val="false"/>
                <w:color w:val="000000"/>
                <w:sz w:val="14"/>
              </w:rPr>
              <w:t>590 </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Expensify Neue;sans-serif" w:hAnsi="Expensify Neue;sans-serif"/>
                <w:b w:val="false"/>
                <w:color w:val="000000"/>
                <w:sz w:val="14"/>
              </w:rPr>
            </w:pPr>
            <w:r>
              <w:rPr>
                <w:rFonts w:ascii="Expensify Neue;sans-serif" w:hAnsi="Expensify Neue;sans-serif"/>
                <w:b w:val="false"/>
                <w:color w:val="000000"/>
                <w:sz w:val="14"/>
              </w:rPr>
              <w:t>1,270 </w:t>
            </w:r>
          </w:p>
        </w:tc>
        <w:tc>
          <w:tcPr>
            <w:tcW w:w="16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80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Expensify Neue;sans-serif" w:hAnsi="Expensify Neue;sans-serif"/>
                <w:b w:val="false"/>
                <w:color w:val="000000"/>
                <w:sz w:val="14"/>
              </w:rPr>
            </w:pPr>
            <w:r>
              <w:rPr>
                <w:rFonts w:ascii="Expensify Neue;sans-serif" w:hAnsi="Expensify Neue;sans-serif"/>
                <w:b w:val="false"/>
                <w:color w:val="000000"/>
                <w:sz w:val="14"/>
              </w:rPr>
              <w:t>Other current assets</w:t>
            </w:r>
          </w:p>
        </w:tc>
        <w:tc>
          <w:tcPr>
            <w:tcW w:w="89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Expensify Neue;sans-serif" w:hAnsi="Expensify Neue;sans-serif"/>
                <w:b w:val="false"/>
                <w:color w:val="000000"/>
                <w:sz w:val="14"/>
              </w:rPr>
            </w:pPr>
            <w:r>
              <w:rPr>
                <w:rFonts w:ascii="Expensify Neue;sans-serif" w:hAnsi="Expensify Neue;sans-serif"/>
                <w:b w:val="false"/>
                <w:color w:val="000000"/>
                <w:sz w:val="14"/>
              </w:rPr>
              <w:t>150 </w:t>
            </w:r>
          </w:p>
        </w:tc>
        <w:tc>
          <w:tcPr>
            <w:tcW w:w="1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Expensify Neue;sans-serif" w:hAnsi="Expensify Neue;sans-serif"/>
                <w:b w:val="false"/>
                <w:color w:val="000000"/>
                <w:sz w:val="14"/>
              </w:rPr>
            </w:pPr>
            <w:r>
              <w:rPr>
                <w:rFonts w:ascii="Expensify Neue;sans-serif" w:hAnsi="Expensify Neue;sans-serif"/>
                <w:b w:val="false"/>
                <w:color w:val="000000"/>
                <w:sz w:val="14"/>
              </w:rPr>
              <w:t>171 </w:t>
            </w:r>
          </w:p>
        </w:tc>
        <w:tc>
          <w:tcPr>
            <w:tcW w:w="16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80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Expensify Neue;sans-serif" w:hAnsi="Expensify Neue;sans-serif"/>
                <w:b w:val="false"/>
                <w:color w:val="000000"/>
                <w:sz w:val="14"/>
              </w:rPr>
            </w:pPr>
            <w:r>
              <w:rPr>
                <w:rFonts w:ascii="Expensify Neue;sans-serif" w:hAnsi="Expensify Neue;sans-serif"/>
                <w:b w:val="false"/>
                <w:color w:val="000000"/>
                <w:sz w:val="14"/>
              </w:rPr>
              <w:t>Other assets</w:t>
            </w:r>
          </w:p>
        </w:tc>
        <w:tc>
          <w:tcPr>
            <w:tcW w:w="89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Expensify Neue;sans-serif" w:hAnsi="Expensify Neue;sans-serif"/>
                <w:b w:val="false"/>
                <w:color w:val="000000"/>
                <w:sz w:val="14"/>
              </w:rPr>
            </w:pPr>
            <w:r>
              <w:rPr>
                <w:rFonts w:ascii="Expensify Neue;sans-serif" w:hAnsi="Expensify Neue;sans-serif"/>
                <w:b w:val="false"/>
                <w:color w:val="000000"/>
                <w:sz w:val="14"/>
              </w:rPr>
              <w:t>(26)</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Expensify Neue;sans-serif" w:hAnsi="Expensify Neue;sans-serif"/>
                <w:b w:val="false"/>
                <w:color w:val="000000"/>
                <w:sz w:val="14"/>
              </w:rPr>
            </w:pPr>
            <w:r>
              <w:rPr>
                <w:rFonts w:ascii="Expensify Neue;sans-serif" w:hAnsi="Expensify Neue;sans-serif"/>
                <w:b w:val="false"/>
                <w:color w:val="000000"/>
                <w:sz w:val="14"/>
              </w:rPr>
              <w:t>(124)</w:t>
            </w:r>
          </w:p>
        </w:tc>
        <w:tc>
          <w:tcPr>
            <w:tcW w:w="16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80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Expensify Neue;sans-serif" w:hAnsi="Expensify Neue;sans-serif"/>
                <w:b w:val="false"/>
                <w:color w:val="000000"/>
                <w:sz w:val="14"/>
              </w:rPr>
            </w:pPr>
            <w:r>
              <w:rPr>
                <w:rFonts w:ascii="Expensify Neue;sans-serif" w:hAnsi="Expensify Neue;sans-serif"/>
                <w:b w:val="false"/>
                <w:color w:val="000000"/>
                <w:sz w:val="14"/>
              </w:rPr>
              <w:t>Accounts payable</w:t>
            </w:r>
          </w:p>
        </w:tc>
        <w:tc>
          <w:tcPr>
            <w:tcW w:w="89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Expensify Neue;sans-serif" w:hAnsi="Expensify Neue;sans-serif"/>
                <w:b w:val="false"/>
                <w:color w:val="000000"/>
                <w:sz w:val="14"/>
              </w:rPr>
            </w:pPr>
            <w:r>
              <w:rPr>
                <w:rFonts w:ascii="Expensify Neue;sans-serif" w:hAnsi="Expensify Neue;sans-serif"/>
                <w:b w:val="false"/>
                <w:color w:val="000000"/>
                <w:sz w:val="14"/>
              </w:rPr>
              <w:t>330 </w:t>
            </w:r>
          </w:p>
        </w:tc>
        <w:tc>
          <w:tcPr>
            <w:tcW w:w="1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Expensify Neue;sans-serif" w:hAnsi="Expensify Neue;sans-serif"/>
                <w:b w:val="false"/>
                <w:color w:val="000000"/>
                <w:sz w:val="14"/>
              </w:rPr>
            </w:pPr>
            <w:r>
              <w:rPr>
                <w:rFonts w:ascii="Expensify Neue;sans-serif" w:hAnsi="Expensify Neue;sans-serif"/>
                <w:b w:val="false"/>
                <w:color w:val="000000"/>
                <w:sz w:val="14"/>
              </w:rPr>
              <w:t>(260)</w:t>
            </w:r>
          </w:p>
        </w:tc>
        <w:tc>
          <w:tcPr>
            <w:tcW w:w="16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80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Expensify Neue;sans-serif" w:hAnsi="Expensify Neue;sans-serif"/>
                <w:b w:val="false"/>
                <w:color w:val="000000"/>
                <w:sz w:val="14"/>
              </w:rPr>
            </w:pPr>
            <w:r>
              <w:rPr>
                <w:rFonts w:ascii="Expensify Neue;sans-serif" w:hAnsi="Expensify Neue;sans-serif"/>
                <w:b w:val="false"/>
                <w:color w:val="000000"/>
                <w:sz w:val="14"/>
              </w:rPr>
              <w:t>Accrued expenses and other liabilities</w:t>
            </w:r>
          </w:p>
        </w:tc>
        <w:tc>
          <w:tcPr>
            <w:tcW w:w="89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Expensify Neue;sans-serif" w:hAnsi="Expensify Neue;sans-serif"/>
                <w:b w:val="false"/>
                <w:color w:val="000000"/>
                <w:sz w:val="14"/>
              </w:rPr>
            </w:pPr>
            <w:r>
              <w:rPr>
                <w:rFonts w:ascii="Expensify Neue;sans-serif" w:hAnsi="Expensify Neue;sans-serif"/>
                <w:b w:val="false"/>
                <w:color w:val="000000"/>
                <w:sz w:val="14"/>
              </w:rPr>
              <w:t>1,462 </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Expensify Neue;sans-serif" w:hAnsi="Expensify Neue;sans-serif"/>
                <w:b w:val="false"/>
                <w:color w:val="000000"/>
                <w:sz w:val="14"/>
              </w:rPr>
            </w:pPr>
            <w:r>
              <w:rPr>
                <w:rFonts w:ascii="Expensify Neue;sans-serif" w:hAnsi="Expensify Neue;sans-serif"/>
                <w:b w:val="false"/>
                <w:color w:val="000000"/>
                <w:sz w:val="14"/>
              </w:rPr>
              <w:t>1,044 </w:t>
            </w:r>
          </w:p>
        </w:tc>
        <w:tc>
          <w:tcPr>
            <w:tcW w:w="16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80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Expensify Neue;sans-serif" w:hAnsi="Expensify Neue;sans-serif"/>
                <w:b w:val="false"/>
                <w:color w:val="000000"/>
                <w:sz w:val="14"/>
              </w:rPr>
            </w:pPr>
            <w:r>
              <w:rPr>
                <w:rFonts w:ascii="Expensify Neue;sans-serif" w:hAnsi="Expensify Neue;sans-serif"/>
                <w:b w:val="false"/>
                <w:color w:val="000000"/>
                <w:sz w:val="14"/>
              </w:rPr>
              <w:t>Operating lease liabilities</w:t>
            </w:r>
          </w:p>
        </w:tc>
        <w:tc>
          <w:tcPr>
            <w:tcW w:w="89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Expensify Neue;sans-serif" w:hAnsi="Expensify Neue;sans-serif"/>
                <w:b w:val="false"/>
                <w:color w:val="000000"/>
                <w:sz w:val="14"/>
              </w:rPr>
            </w:pPr>
            <w:r>
              <w:rPr>
                <w:rFonts w:ascii="Expensify Neue;sans-serif" w:hAnsi="Expensify Neue;sans-serif"/>
                <w:b w:val="false"/>
                <w:color w:val="000000"/>
                <w:sz w:val="14"/>
              </w:rPr>
              <w:t>(137)</w:t>
            </w:r>
          </w:p>
        </w:tc>
        <w:tc>
          <w:tcPr>
            <w:tcW w:w="1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Expensify Neue;sans-serif" w:hAnsi="Expensify Neue;sans-serif"/>
                <w:b w:val="false"/>
                <w:color w:val="000000"/>
                <w:sz w:val="14"/>
              </w:rPr>
            </w:pPr>
            <w:r>
              <w:rPr>
                <w:rFonts w:ascii="Expensify Neue;sans-serif" w:hAnsi="Expensify Neue;sans-serif"/>
                <w:b w:val="false"/>
                <w:color w:val="000000"/>
                <w:sz w:val="14"/>
              </w:rPr>
              <w:t>34 </w:t>
            </w:r>
          </w:p>
        </w:tc>
        <w:tc>
          <w:tcPr>
            <w:tcW w:w="16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80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Expensify Neue;sans-serif" w:hAnsi="Expensify Neue;sans-serif"/>
                <w:b w:val="false"/>
                <w:color w:val="000000"/>
                <w:sz w:val="14"/>
              </w:rPr>
            </w:pPr>
            <w:r>
              <w:rPr>
                <w:rFonts w:ascii="Expensify Neue;sans-serif" w:hAnsi="Expensify Neue;sans-serif"/>
                <w:b w:val="false"/>
                <w:color w:val="000000"/>
                <w:sz w:val="14"/>
              </w:rPr>
              <w:t>Settlement liabilities</w:t>
            </w:r>
          </w:p>
        </w:tc>
        <w:tc>
          <w:tcPr>
            <w:tcW w:w="89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Expensify Neue;sans-serif" w:hAnsi="Expensify Neue;sans-serif"/>
                <w:b w:val="false"/>
                <w:color w:val="000000"/>
                <w:sz w:val="14"/>
              </w:rPr>
            </w:pPr>
            <w:r>
              <w:rPr>
                <w:rFonts w:ascii="Expensify Neue;sans-serif" w:hAnsi="Expensify Neue;sans-serif"/>
                <w:b w:val="false"/>
                <w:color w:val="000000"/>
                <w:sz w:val="14"/>
              </w:rPr>
              <w:t>7,420 </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Expensify Neue;sans-serif" w:hAnsi="Expensify Neue;sans-serif"/>
                <w:b w:val="false"/>
                <w:color w:val="000000"/>
                <w:sz w:val="14"/>
              </w:rPr>
            </w:pPr>
            <w:r>
              <w:rPr>
                <w:rFonts w:ascii="Expensify Neue;sans-serif" w:hAnsi="Expensify Neue;sans-serif"/>
                <w:b w:val="false"/>
                <w:color w:val="000000"/>
                <w:sz w:val="14"/>
              </w:rPr>
              <w:t>1,570 </w:t>
            </w:r>
          </w:p>
        </w:tc>
        <w:tc>
          <w:tcPr>
            <w:tcW w:w="16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80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Expensify Neue;sans-serif" w:hAnsi="Expensify Neue;sans-serif"/>
                <w:b w:val="false"/>
                <w:color w:val="000000"/>
                <w:sz w:val="14"/>
              </w:rPr>
            </w:pPr>
            <w:r>
              <w:rPr>
                <w:rFonts w:ascii="Expensify Neue;sans-serif" w:hAnsi="Expensify Neue;sans-serif"/>
                <w:b w:val="false"/>
                <w:color w:val="000000"/>
                <w:sz w:val="14"/>
              </w:rPr>
              <w:t>Other liabilities</w:t>
            </w:r>
          </w:p>
        </w:tc>
        <w:tc>
          <w:tcPr>
            <w:tcW w:w="89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Expensify Neue;sans-serif" w:hAnsi="Expensify Neue;sans-serif"/>
                <w:b w:val="false"/>
                <w:color w:val="000000"/>
                <w:sz w:val="14"/>
              </w:rPr>
            </w:pPr>
            <w:r>
              <w:rPr>
                <w:rFonts w:ascii="Expensify Neue;sans-serif" w:hAnsi="Expensify Neue;sans-serif"/>
                <w:b w:val="false"/>
                <w:color w:val="000000"/>
                <w:sz w:val="14"/>
              </w:rPr>
              <w:t>77 </w:t>
            </w:r>
          </w:p>
        </w:tc>
        <w:tc>
          <w:tcPr>
            <w:tcW w:w="1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Expensify Neue;sans-serif" w:hAnsi="Expensify Neue;sans-serif"/>
                <w:b w:val="false"/>
                <w:color w:val="000000"/>
                <w:sz w:val="14"/>
              </w:rPr>
            </w:pPr>
            <w:r>
              <w:rPr>
                <w:rFonts w:ascii="Expensify Neue;sans-serif" w:hAnsi="Expensify Neue;sans-serif"/>
                <w:b w:val="false"/>
                <w:color w:val="000000"/>
                <w:sz w:val="14"/>
              </w:rPr>
              <w:t>106 </w:t>
            </w:r>
          </w:p>
        </w:tc>
        <w:tc>
          <w:tcPr>
            <w:tcW w:w="16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80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Expensify Neue;sans-serif" w:hAnsi="Expensify Neue;sans-serif"/>
                <w:b w:val="false"/>
                <w:color w:val="000000"/>
                <w:sz w:val="14"/>
              </w:rPr>
            </w:pPr>
            <w:r>
              <w:rPr>
                <w:rFonts w:ascii="Expensify Neue;sans-serif" w:hAnsi="Expensify Neue;sans-serif"/>
                <w:b w:val="false"/>
                <w:color w:val="000000"/>
                <w:sz w:val="14"/>
              </w:rPr>
              <w:t>Net cash provided by operating activities</w:t>
            </w:r>
          </w:p>
        </w:tc>
        <w:tc>
          <w:tcPr>
            <w:tcW w:w="890"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Expensify Neue;sans-serif" w:hAnsi="Expensify Neue;sans-serif"/>
                <w:b w:val="false"/>
                <w:color w:val="000000"/>
                <w:sz w:val="14"/>
              </w:rPr>
            </w:pPr>
            <w:r>
              <w:rPr>
                <w:rFonts w:ascii="Expensify Neue;sans-serif" w:hAnsi="Expensify Neue;sans-serif"/>
                <w:b w:val="false"/>
                <w:color w:val="000000"/>
                <w:sz w:val="14"/>
              </w:rPr>
              <w:t>4,805 </w:t>
            </w:r>
          </w:p>
        </w:tc>
        <w:tc>
          <w:tcPr>
            <w:tcW w:w="11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0"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Expensify Neue;sans-serif" w:hAnsi="Expensify Neue;sans-serif"/>
                <w:b w:val="false"/>
                <w:color w:val="000000"/>
                <w:sz w:val="14"/>
              </w:rPr>
            </w:pPr>
            <w:r>
              <w:rPr>
                <w:rFonts w:ascii="Expensify Neue;sans-serif" w:hAnsi="Expensify Neue;sans-serif"/>
                <w:b w:val="false"/>
                <w:color w:val="000000"/>
                <w:sz w:val="14"/>
              </w:rPr>
              <w:t>3,471 </w:t>
            </w:r>
          </w:p>
        </w:tc>
        <w:tc>
          <w:tcPr>
            <w:tcW w:w="16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80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Expensify Neue;sans-serif" w:hAnsi="Expensify Neue;sans-serif"/>
                <w:b w:val="false"/>
                <w:color w:val="000000"/>
                <w:sz w:val="14"/>
              </w:rPr>
            </w:pPr>
            <w:r>
              <w:rPr>
                <w:rFonts w:ascii="Expensify Neue;sans-serif" w:hAnsi="Expensify Neue;sans-serif"/>
                <w:b w:val="false"/>
                <w:color w:val="000000"/>
                <w:sz w:val="14"/>
              </w:rPr>
              <w:t>Cash flows from investing activities:</w:t>
            </w:r>
          </w:p>
        </w:tc>
        <w:tc>
          <w:tcPr>
            <w:tcW w:w="1004"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9"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80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Expensify Neue;sans-serif" w:hAnsi="Expensify Neue;sans-serif"/>
                <w:b w:val="false"/>
                <w:color w:val="000000"/>
                <w:sz w:val="14"/>
              </w:rPr>
            </w:pPr>
            <w:r>
              <w:rPr>
                <w:rFonts w:ascii="Expensify Neue;sans-serif" w:hAnsi="Expensify Neue;sans-serif"/>
                <w:b w:val="false"/>
                <w:color w:val="000000"/>
                <w:sz w:val="14"/>
              </w:rPr>
              <w:t>Software development costs</w:t>
            </w:r>
          </w:p>
        </w:tc>
        <w:tc>
          <w:tcPr>
            <w:tcW w:w="89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Expensify Neue;sans-serif" w:hAnsi="Expensify Neue;sans-serif"/>
                <w:b w:val="false"/>
                <w:color w:val="000000"/>
                <w:sz w:val="14"/>
              </w:rPr>
            </w:pPr>
            <w:r>
              <w:rPr>
                <w:rFonts w:ascii="Expensify Neue;sans-serif" w:hAnsi="Expensify Neue;sans-serif"/>
                <w:b w:val="false"/>
                <w:color w:val="000000"/>
                <w:sz w:val="14"/>
              </w:rPr>
              <w:t>(498)</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Expensify Neue;sans-serif" w:hAnsi="Expensify Neue;sans-serif"/>
                <w:b w:val="false"/>
                <w:color w:val="000000"/>
                <w:sz w:val="14"/>
              </w:rPr>
            </w:pPr>
            <w:r>
              <w:rPr>
                <w:rFonts w:ascii="Expensify Neue;sans-serif" w:hAnsi="Expensify Neue;sans-serif"/>
                <w:b w:val="false"/>
                <w:color w:val="000000"/>
                <w:sz w:val="14"/>
              </w:rPr>
              <w:t>(2,829)</w:t>
            </w:r>
          </w:p>
        </w:tc>
        <w:tc>
          <w:tcPr>
            <w:tcW w:w="16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80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Expensify Neue;sans-serif" w:hAnsi="Expensify Neue;sans-serif"/>
                <w:b w:val="false"/>
                <w:color w:val="000000"/>
                <w:sz w:val="14"/>
              </w:rPr>
            </w:pPr>
            <w:r>
              <w:rPr>
                <w:rFonts w:ascii="Expensify Neue;sans-serif" w:hAnsi="Expensify Neue;sans-serif"/>
                <w:b w:val="false"/>
                <w:color w:val="000000"/>
                <w:sz w:val="14"/>
              </w:rPr>
              <w:t>Net cash used in investing activities</w:t>
            </w:r>
          </w:p>
        </w:tc>
        <w:tc>
          <w:tcPr>
            <w:tcW w:w="89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Expensify Neue;sans-serif" w:hAnsi="Expensify Neue;sans-serif"/>
                <w:b w:val="false"/>
                <w:color w:val="000000"/>
                <w:sz w:val="14"/>
              </w:rPr>
            </w:pPr>
            <w:r>
              <w:rPr>
                <w:rFonts w:ascii="Expensify Neue;sans-serif" w:hAnsi="Expensify Neue;sans-serif"/>
                <w:b w:val="false"/>
                <w:color w:val="000000"/>
                <w:sz w:val="14"/>
              </w:rPr>
              <w:t>(498)</w:t>
            </w:r>
          </w:p>
        </w:tc>
        <w:tc>
          <w:tcPr>
            <w:tcW w:w="11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Expensify Neue;sans-serif" w:hAnsi="Expensify Neue;sans-serif"/>
                <w:b w:val="false"/>
                <w:color w:val="000000"/>
                <w:sz w:val="14"/>
              </w:rPr>
            </w:pPr>
            <w:r>
              <w:rPr>
                <w:rFonts w:ascii="Expensify Neue;sans-serif" w:hAnsi="Expensify Neue;sans-serif"/>
                <w:b w:val="false"/>
                <w:color w:val="000000"/>
                <w:sz w:val="14"/>
              </w:rPr>
              <w:t>(2,829)</w:t>
            </w:r>
          </w:p>
        </w:tc>
        <w:tc>
          <w:tcPr>
            <w:tcW w:w="16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80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Expensify Neue;sans-serif" w:hAnsi="Expensify Neue;sans-serif"/>
                <w:b w:val="false"/>
                <w:color w:val="000000"/>
                <w:sz w:val="14"/>
              </w:rPr>
            </w:pPr>
            <w:r>
              <w:rPr>
                <w:rFonts w:ascii="Expensify Neue;sans-serif" w:hAnsi="Expensify Neue;sans-serif"/>
                <w:b w:val="false"/>
                <w:color w:val="000000"/>
                <w:sz w:val="14"/>
              </w:rPr>
              <w:t>Cash flows from financing activities:</w:t>
            </w:r>
          </w:p>
        </w:tc>
        <w:tc>
          <w:tcPr>
            <w:tcW w:w="1004"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9"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80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Expensify Neue;sans-serif" w:hAnsi="Expensify Neue;sans-serif"/>
                <w:b w:val="false"/>
                <w:color w:val="000000"/>
                <w:sz w:val="14"/>
              </w:rPr>
            </w:pPr>
            <w:r>
              <w:rPr>
                <w:rFonts w:ascii="Expensify Neue;sans-serif" w:hAnsi="Expensify Neue;sans-serif"/>
                <w:b w:val="false"/>
                <w:color w:val="000000"/>
                <w:sz w:val="14"/>
              </w:rPr>
              <w:t>Principal payments of finance leases</w:t>
            </w:r>
          </w:p>
        </w:tc>
        <w:tc>
          <w:tcPr>
            <w:tcW w:w="89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Expensify Neue;sans-serif" w:hAnsi="Expensify Neue;sans-serif"/>
                <w:b w:val="false"/>
                <w:color w:val="000000"/>
                <w:sz w:val="14"/>
              </w:rPr>
            </w:pPr>
            <w:r>
              <w:rPr>
                <w:rFonts w:ascii="Expensify Neue;sans-serif" w:hAnsi="Expensify Neue;sans-serif"/>
                <w:b w:val="false"/>
                <w:color w:val="000000"/>
                <w:sz w:val="14"/>
              </w:rPr>
              <w:t>(34)</w:t>
            </w:r>
          </w:p>
        </w:tc>
        <w:tc>
          <w:tcPr>
            <w:tcW w:w="1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Expensify Neue;sans-serif" w:hAnsi="Expensify Neue;sans-serif"/>
                <w:b w:val="false"/>
                <w:color w:val="000000"/>
                <w:sz w:val="14"/>
              </w:rPr>
            </w:pPr>
            <w:r>
              <w:rPr>
                <w:rFonts w:ascii="Expensify Neue;sans-serif" w:hAnsi="Expensify Neue;sans-serif"/>
                <w:b w:val="false"/>
                <w:color w:val="000000"/>
                <w:sz w:val="14"/>
              </w:rPr>
              <w:t>(31)</w:t>
            </w:r>
          </w:p>
        </w:tc>
        <w:tc>
          <w:tcPr>
            <w:tcW w:w="16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80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Expensify Neue;sans-serif" w:hAnsi="Expensify Neue;sans-serif"/>
                <w:b w:val="false"/>
                <w:color w:val="000000"/>
                <w:sz w:val="14"/>
              </w:rPr>
            </w:pPr>
            <w:r>
              <w:rPr>
                <w:rFonts w:ascii="Expensify Neue;sans-serif" w:hAnsi="Expensify Neue;sans-serif"/>
                <w:b w:val="false"/>
                <w:color w:val="000000"/>
                <w:sz w:val="14"/>
              </w:rPr>
              <w:t>Principal payments of outstanding debt</w:t>
            </w:r>
          </w:p>
        </w:tc>
        <w:tc>
          <w:tcPr>
            <w:tcW w:w="89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Expensify Neue;sans-serif" w:hAnsi="Expensify Neue;sans-serif"/>
                <w:b w:val="false"/>
                <w:color w:val="000000"/>
                <w:sz w:val="14"/>
              </w:rPr>
            </w:pPr>
            <w:r>
              <w:rPr>
                <w:rFonts w:ascii="Expensify Neue;sans-serif" w:hAnsi="Expensify Neue;sans-serif"/>
                <w:b w:val="false"/>
                <w:color w:val="000000"/>
                <w:sz w:val="14"/>
              </w:rPr>
              <w:t>(37)</w:t>
            </w:r>
          </w:p>
        </w:tc>
        <w:tc>
          <w:tcPr>
            <w:tcW w:w="169"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780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Expensify Neue;sans-serif" w:hAnsi="Expensify Neue;sans-serif"/>
                <w:b w:val="false"/>
                <w:color w:val="000000"/>
                <w:sz w:val="14"/>
              </w:rPr>
            </w:pPr>
            <w:r>
              <w:rPr>
                <w:rFonts w:ascii="Expensify Neue;sans-serif" w:hAnsi="Expensify Neue;sans-serif"/>
                <w:b w:val="false"/>
                <w:color w:val="000000"/>
                <w:sz w:val="14"/>
              </w:rPr>
              <w:t>Payments for debt issuance costs</w:t>
            </w:r>
          </w:p>
        </w:tc>
        <w:tc>
          <w:tcPr>
            <w:tcW w:w="89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Expensify Neue;sans-serif" w:hAnsi="Expensify Neue;sans-serif"/>
                <w:b w:val="false"/>
                <w:color w:val="000000"/>
                <w:sz w:val="14"/>
              </w:rPr>
            </w:pPr>
            <w:r>
              <w:rPr>
                <w:rFonts w:ascii="Expensify Neue;sans-serif" w:hAnsi="Expensify Neue;sans-serif"/>
                <w:b w:val="false"/>
                <w:color w:val="000000"/>
                <w:sz w:val="14"/>
              </w:rPr>
              <w:t>(8)</w:t>
            </w:r>
          </w:p>
        </w:tc>
        <w:tc>
          <w:tcPr>
            <w:tcW w:w="16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80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Expensify Neue;sans-serif" w:hAnsi="Expensify Neue;sans-serif"/>
                <w:b w:val="false"/>
                <w:color w:val="000000"/>
                <w:sz w:val="14"/>
              </w:rPr>
            </w:pPr>
            <w:r>
              <w:rPr>
                <w:rFonts w:ascii="Expensify Neue;sans-serif" w:hAnsi="Expensify Neue;sans-serif"/>
                <w:b w:val="false"/>
                <w:color w:val="000000"/>
                <w:sz w:val="14"/>
              </w:rPr>
              <w:t>Repurchases of early exercised stock options</w:t>
            </w:r>
          </w:p>
        </w:tc>
        <w:tc>
          <w:tcPr>
            <w:tcW w:w="89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Expensify Neue;sans-serif" w:hAnsi="Expensify Neue;sans-serif"/>
                <w:b w:val="false"/>
                <w:color w:val="000000"/>
                <w:sz w:val="14"/>
              </w:rPr>
            </w:pPr>
            <w:r>
              <w:rPr>
                <w:rFonts w:ascii="Expensify Neue;sans-serif" w:hAnsi="Expensify Neue;sans-serif"/>
                <w:b w:val="false"/>
                <w:color w:val="000000"/>
                <w:sz w:val="14"/>
              </w:rPr>
              <w:t>(32)</w:t>
            </w:r>
          </w:p>
        </w:tc>
        <w:tc>
          <w:tcPr>
            <w:tcW w:w="16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80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Expensify Neue;sans-serif" w:hAnsi="Expensify Neue;sans-serif"/>
                <w:b w:val="false"/>
                <w:color w:val="000000"/>
                <w:sz w:val="14"/>
              </w:rPr>
            </w:pPr>
            <w:r>
              <w:rPr>
                <w:rFonts w:ascii="Expensify Neue;sans-serif" w:hAnsi="Expensify Neue;sans-serif"/>
                <w:b w:val="false"/>
                <w:color w:val="000000"/>
                <w:sz w:val="14"/>
              </w:rPr>
              <w:t>Proceeds from common stock purchased under Matching Plan</w:t>
            </w:r>
          </w:p>
        </w:tc>
        <w:tc>
          <w:tcPr>
            <w:tcW w:w="89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Expensify Neue;sans-serif" w:hAnsi="Expensify Neue;sans-serif"/>
                <w:b w:val="false"/>
                <w:color w:val="000000"/>
                <w:sz w:val="14"/>
              </w:rPr>
            </w:pPr>
            <w:r>
              <w:rPr>
                <w:rFonts w:ascii="Expensify Neue;sans-serif" w:hAnsi="Expensify Neue;sans-serif"/>
                <w:b w:val="false"/>
                <w:color w:val="000000"/>
                <w:sz w:val="14"/>
              </w:rPr>
              <w:t>1,151 </w:t>
            </w:r>
          </w:p>
        </w:tc>
        <w:tc>
          <w:tcPr>
            <w:tcW w:w="1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Expensify Neue;sans-serif" w:hAnsi="Expensify Neue;sans-serif"/>
                <w:b w:val="false"/>
                <w:color w:val="000000"/>
                <w:sz w:val="14"/>
              </w:rPr>
            </w:pPr>
            <w:r>
              <w:rPr>
                <w:rFonts w:ascii="Expensify Neue;sans-serif" w:hAnsi="Expensify Neue;sans-serif"/>
                <w:b w:val="false"/>
                <w:color w:val="000000"/>
                <w:sz w:val="14"/>
              </w:rPr>
              <w:t>914 </w:t>
            </w:r>
          </w:p>
        </w:tc>
        <w:tc>
          <w:tcPr>
            <w:tcW w:w="16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80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Expensify Neue;sans-serif" w:hAnsi="Expensify Neue;sans-serif"/>
                <w:b w:val="false"/>
                <w:color w:val="000000"/>
                <w:sz w:val="14"/>
              </w:rPr>
            </w:pPr>
            <w:r>
              <w:rPr>
                <w:rFonts w:ascii="Expensify Neue;sans-serif" w:hAnsi="Expensify Neue;sans-serif"/>
                <w:b w:val="false"/>
                <w:color w:val="000000"/>
                <w:sz w:val="14"/>
              </w:rPr>
              <w:t>Proceeds from issuance of common stock on exercise of stock options</w:t>
            </w:r>
          </w:p>
        </w:tc>
        <w:tc>
          <w:tcPr>
            <w:tcW w:w="89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Expensify Neue;sans-serif" w:hAnsi="Expensify Neue;sans-serif"/>
                <w:b w:val="false"/>
                <w:color w:val="000000"/>
                <w:sz w:val="14"/>
              </w:rPr>
            </w:pPr>
            <w:r>
              <w:rPr>
                <w:rFonts w:ascii="Expensify Neue;sans-serif" w:hAnsi="Expensify Neue;sans-serif"/>
                <w:b w:val="false"/>
                <w:color w:val="000000"/>
                <w:sz w:val="14"/>
              </w:rPr>
              <w:t>91 </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Expensify Neue;sans-serif" w:hAnsi="Expensify Neue;sans-serif"/>
                <w:b w:val="false"/>
                <w:color w:val="000000"/>
                <w:sz w:val="14"/>
              </w:rPr>
            </w:pPr>
            <w:r>
              <w:rPr>
                <w:rFonts w:ascii="Expensify Neue;sans-serif" w:hAnsi="Expensify Neue;sans-serif"/>
                <w:b w:val="false"/>
                <w:color w:val="000000"/>
                <w:sz w:val="14"/>
              </w:rPr>
              <w:t>39 </w:t>
            </w:r>
          </w:p>
        </w:tc>
        <w:tc>
          <w:tcPr>
            <w:tcW w:w="16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80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Expensify Neue;sans-serif" w:hAnsi="Expensify Neue;sans-serif"/>
                <w:b w:val="false"/>
                <w:color w:val="000000"/>
                <w:sz w:val="14"/>
              </w:rPr>
            </w:pPr>
            <w:r>
              <w:rPr>
                <w:rFonts w:ascii="Expensify Neue;sans-serif" w:hAnsi="Expensify Neue;sans-serif"/>
                <w:b w:val="false"/>
                <w:color w:val="000000"/>
                <w:sz w:val="14"/>
              </w:rPr>
              <w:t>Net cash provided by financing activities</w:t>
            </w:r>
          </w:p>
        </w:tc>
        <w:tc>
          <w:tcPr>
            <w:tcW w:w="89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Expensify Neue;sans-serif" w:hAnsi="Expensify Neue;sans-serif"/>
                <w:b w:val="false"/>
                <w:color w:val="000000"/>
                <w:sz w:val="14"/>
              </w:rPr>
            </w:pPr>
            <w:r>
              <w:rPr>
                <w:rFonts w:ascii="Expensify Neue;sans-serif" w:hAnsi="Expensify Neue;sans-serif"/>
                <w:b w:val="false"/>
                <w:color w:val="000000"/>
                <w:sz w:val="14"/>
              </w:rPr>
              <w:t>1,208 </w:t>
            </w:r>
          </w:p>
        </w:tc>
        <w:tc>
          <w:tcPr>
            <w:tcW w:w="11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Expensify Neue;sans-serif" w:hAnsi="Expensify Neue;sans-serif"/>
                <w:b w:val="false"/>
                <w:color w:val="000000"/>
                <w:sz w:val="14"/>
              </w:rPr>
            </w:pPr>
            <w:r>
              <w:rPr>
                <w:rFonts w:ascii="Expensify Neue;sans-serif" w:hAnsi="Expensify Neue;sans-serif"/>
                <w:b w:val="false"/>
                <w:color w:val="000000"/>
                <w:sz w:val="14"/>
              </w:rPr>
              <w:t>845 </w:t>
            </w:r>
          </w:p>
        </w:tc>
        <w:tc>
          <w:tcPr>
            <w:tcW w:w="16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80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Expensify Neue;sans-serif" w:hAnsi="Expensify Neue;sans-serif"/>
                <w:b w:val="false"/>
                <w:color w:val="000000"/>
                <w:sz w:val="14"/>
              </w:rPr>
            </w:pPr>
            <w:r>
              <w:rPr>
                <w:rFonts w:ascii="Expensify Neue;sans-serif" w:hAnsi="Expensify Neue;sans-serif"/>
                <w:b w:val="false"/>
                <w:color w:val="000000"/>
                <w:sz w:val="14"/>
              </w:rPr>
              <w:t>Net increase in cash and cash equivalents and restricted cash</w:t>
            </w:r>
          </w:p>
        </w:tc>
        <w:tc>
          <w:tcPr>
            <w:tcW w:w="890"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Expensify Neue;sans-serif" w:hAnsi="Expensify Neue;sans-serif"/>
                <w:b w:val="false"/>
                <w:color w:val="000000"/>
                <w:sz w:val="14"/>
              </w:rPr>
            </w:pPr>
            <w:r>
              <w:rPr>
                <w:rFonts w:ascii="Expensify Neue;sans-serif" w:hAnsi="Expensify Neue;sans-serif"/>
                <w:b w:val="false"/>
                <w:color w:val="000000"/>
                <w:sz w:val="14"/>
              </w:rPr>
              <w:t>5,515 </w:t>
            </w:r>
          </w:p>
        </w:tc>
        <w:tc>
          <w:tcPr>
            <w:tcW w:w="11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0"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Expensify Neue;sans-serif" w:hAnsi="Expensify Neue;sans-serif"/>
                <w:b w:val="false"/>
                <w:color w:val="000000"/>
                <w:sz w:val="14"/>
              </w:rPr>
            </w:pPr>
            <w:r>
              <w:rPr>
                <w:rFonts w:ascii="Expensify Neue;sans-serif" w:hAnsi="Expensify Neue;sans-serif"/>
                <w:b w:val="false"/>
                <w:color w:val="000000"/>
                <w:sz w:val="14"/>
              </w:rPr>
              <w:t>1,487 </w:t>
            </w:r>
          </w:p>
        </w:tc>
        <w:tc>
          <w:tcPr>
            <w:tcW w:w="16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80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Expensify Neue;sans-serif" w:hAnsi="Expensify Neue;sans-serif"/>
                <w:b w:val="false"/>
                <w:color w:val="000000"/>
                <w:sz w:val="14"/>
              </w:rPr>
            </w:pPr>
            <w:r>
              <w:rPr>
                <w:rFonts w:ascii="Expensify Neue;sans-serif" w:hAnsi="Expensify Neue;sans-serif"/>
                <w:b w:val="false"/>
                <w:color w:val="000000"/>
                <w:sz w:val="14"/>
              </w:rPr>
              <w:t>Cash and cash equivalents and restricted cash, beginning of period</w:t>
            </w:r>
          </w:p>
        </w:tc>
        <w:tc>
          <w:tcPr>
            <w:tcW w:w="89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Expensify Neue;sans-serif" w:hAnsi="Expensify Neue;sans-serif"/>
                <w:b w:val="false"/>
                <w:color w:val="000000"/>
                <w:sz w:val="14"/>
              </w:rPr>
            </w:pPr>
            <w:r>
              <w:rPr>
                <w:rFonts w:ascii="Expensify Neue;sans-serif" w:hAnsi="Expensify Neue;sans-serif"/>
                <w:b w:val="false"/>
                <w:color w:val="000000"/>
                <w:sz w:val="14"/>
              </w:rPr>
              <w:t>90,834 </w:t>
            </w:r>
          </w:p>
        </w:tc>
        <w:tc>
          <w:tcPr>
            <w:tcW w:w="1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Expensify Neue;sans-serif" w:hAnsi="Expensify Neue;sans-serif"/>
                <w:b w:val="false"/>
                <w:color w:val="000000"/>
                <w:sz w:val="14"/>
              </w:rPr>
            </w:pPr>
            <w:r>
              <w:rPr>
                <w:rFonts w:ascii="Expensify Neue;sans-serif" w:hAnsi="Expensify Neue;sans-serif"/>
                <w:b w:val="false"/>
                <w:color w:val="000000"/>
                <w:sz w:val="14"/>
              </w:rPr>
              <w:t>96,658 </w:t>
            </w:r>
          </w:p>
        </w:tc>
        <w:tc>
          <w:tcPr>
            <w:tcW w:w="16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80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Expensify Neue;sans-serif" w:hAnsi="Expensify Neue;sans-serif"/>
                <w:b w:val="false"/>
                <w:color w:val="000000"/>
                <w:sz w:val="14"/>
              </w:rPr>
            </w:pPr>
            <w:r>
              <w:rPr>
                <w:rFonts w:ascii="Expensify Neue;sans-serif" w:hAnsi="Expensify Neue;sans-serif"/>
                <w:b w:val="false"/>
                <w:color w:val="000000"/>
                <w:sz w:val="14"/>
              </w:rPr>
              <w:t>Cash and cash equivalents and restricted cash, end of period</w:t>
            </w:r>
          </w:p>
        </w:tc>
        <w:tc>
          <w:tcPr>
            <w:tcW w:w="207"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Expensify Neue;sans-serif" w:hAnsi="Expensify Neue;sans-serif"/>
                <w:b w:val="false"/>
                <w:color w:val="000000"/>
                <w:sz w:val="14"/>
              </w:rPr>
            </w:pPr>
            <w:r>
              <w:rPr>
                <w:rFonts w:ascii="Expensify Neue;sans-serif" w:hAnsi="Expensify Neue;sans-serif"/>
                <w:b w:val="false"/>
                <w:color w:val="000000"/>
                <w:sz w:val="14"/>
              </w:rPr>
              <w:t>$</w:t>
            </w:r>
          </w:p>
        </w:tc>
        <w:tc>
          <w:tcPr>
            <w:tcW w:w="683"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Expensify Neue;sans-serif" w:hAnsi="Expensify Neue;sans-serif"/>
                <w:b w:val="false"/>
                <w:color w:val="000000"/>
                <w:sz w:val="14"/>
              </w:rPr>
            </w:pPr>
            <w:r>
              <w:rPr>
                <w:rFonts w:ascii="Expensify Neue;sans-serif" w:hAnsi="Expensify Neue;sans-serif"/>
                <w:b w:val="false"/>
                <w:color w:val="000000"/>
                <w:sz w:val="14"/>
              </w:rPr>
              <w:t>96,349 </w:t>
            </w:r>
          </w:p>
        </w:tc>
        <w:tc>
          <w:tcPr>
            <w:tcW w:w="11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7"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Expensify Neue;sans-serif" w:hAnsi="Expensify Neue;sans-serif"/>
                <w:b w:val="false"/>
                <w:color w:val="000000"/>
                <w:sz w:val="14"/>
              </w:rPr>
            </w:pPr>
            <w:r>
              <w:rPr>
                <w:rFonts w:ascii="Expensify Neue;sans-serif" w:hAnsi="Expensify Neue;sans-serif"/>
                <w:b w:val="false"/>
                <w:color w:val="000000"/>
                <w:sz w:val="14"/>
              </w:rPr>
              <w:t>$</w:t>
            </w:r>
          </w:p>
        </w:tc>
        <w:tc>
          <w:tcPr>
            <w:tcW w:w="683"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Expensify Neue;sans-serif" w:hAnsi="Expensify Neue;sans-serif"/>
                <w:b w:val="false"/>
                <w:color w:val="000000"/>
                <w:sz w:val="14"/>
              </w:rPr>
            </w:pPr>
            <w:r>
              <w:rPr>
                <w:rFonts w:ascii="Expensify Neue;sans-serif" w:hAnsi="Expensify Neue;sans-serif"/>
                <w:b w:val="false"/>
                <w:color w:val="000000"/>
                <w:sz w:val="14"/>
              </w:rPr>
              <w:t>98,145 </w:t>
            </w:r>
          </w:p>
        </w:tc>
        <w:tc>
          <w:tcPr>
            <w:tcW w:w="16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80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Expensify Neue;sans-serif" w:hAnsi="Expensify Neue;sans-serif"/>
                <w:b w:val="false"/>
                <w:color w:val="000000"/>
                <w:sz w:val="14"/>
              </w:rPr>
            </w:pPr>
            <w:r>
              <w:rPr>
                <w:rFonts w:ascii="Expensify Neue;sans-serif" w:hAnsi="Expensify Neue;sans-serif"/>
                <w:b w:val="false"/>
                <w:color w:val="000000"/>
                <w:sz w:val="14"/>
              </w:rPr>
              <w:t>Supplemental disclosure of cash flow information:</w:t>
            </w:r>
          </w:p>
        </w:tc>
        <w:tc>
          <w:tcPr>
            <w:tcW w:w="1004"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9"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80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Expensify Neue;sans-serif" w:hAnsi="Expensify Neue;sans-serif"/>
                <w:b w:val="false"/>
                <w:color w:val="000000"/>
                <w:sz w:val="14"/>
              </w:rPr>
            </w:pPr>
            <w:r>
              <w:rPr>
                <w:rFonts w:ascii="Expensify Neue;sans-serif" w:hAnsi="Expensify Neue;sans-serif"/>
                <w:b w:val="false"/>
                <w:color w:val="000000"/>
                <w:sz w:val="14"/>
              </w:rPr>
              <w:t>Cash paid for interest</w:t>
            </w:r>
          </w:p>
        </w:tc>
        <w:tc>
          <w:tcPr>
            <w:tcW w:w="207"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Expensify Neue;sans-serif" w:hAnsi="Expensify Neue;sans-serif"/>
                <w:b w:val="false"/>
                <w:color w:val="000000"/>
                <w:sz w:val="14"/>
              </w:rPr>
            </w:pPr>
            <w:r>
              <w:rPr>
                <w:rFonts w:ascii="Expensify Neue;sans-serif" w:hAnsi="Expensify Neue;sans-serif"/>
                <w:b w:val="false"/>
                <w:color w:val="000000"/>
                <w:sz w:val="14"/>
              </w:rPr>
              <w:t>$</w:t>
            </w:r>
          </w:p>
        </w:tc>
        <w:tc>
          <w:tcPr>
            <w:tcW w:w="68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7"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Expensify Neue;sans-serif" w:hAnsi="Expensify Neue;sans-serif"/>
                <w:b w:val="false"/>
                <w:color w:val="000000"/>
                <w:sz w:val="14"/>
              </w:rPr>
            </w:pPr>
            <w:r>
              <w:rPr>
                <w:rFonts w:ascii="Expensify Neue;sans-serif" w:hAnsi="Expensify Neue;sans-serif"/>
                <w:b w:val="false"/>
                <w:color w:val="000000"/>
                <w:sz w:val="14"/>
              </w:rPr>
              <w:t>$</w:t>
            </w:r>
          </w:p>
        </w:tc>
        <w:tc>
          <w:tcPr>
            <w:tcW w:w="68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Expensify Neue;sans-serif" w:hAnsi="Expensify Neue;sans-serif"/>
                <w:b w:val="false"/>
                <w:color w:val="000000"/>
                <w:sz w:val="14"/>
              </w:rPr>
            </w:pPr>
            <w:r>
              <w:rPr>
                <w:rFonts w:ascii="Expensify Neue;sans-serif" w:hAnsi="Expensify Neue;sans-serif"/>
                <w:b w:val="false"/>
                <w:color w:val="000000"/>
                <w:sz w:val="14"/>
              </w:rPr>
              <w:t>454 </w:t>
            </w:r>
          </w:p>
        </w:tc>
        <w:tc>
          <w:tcPr>
            <w:tcW w:w="16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80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Expensify Neue;sans-serif" w:hAnsi="Expensify Neue;sans-serif"/>
                <w:b w:val="false"/>
                <w:color w:val="000000"/>
                <w:sz w:val="14"/>
              </w:rPr>
            </w:pPr>
            <w:r>
              <w:rPr>
                <w:rFonts w:ascii="Expensify Neue;sans-serif" w:hAnsi="Expensify Neue;sans-serif"/>
                <w:b w:val="false"/>
                <w:color w:val="000000"/>
                <w:sz w:val="14"/>
              </w:rPr>
              <w:t>Cash paid for income taxes</w:t>
            </w:r>
          </w:p>
        </w:tc>
        <w:tc>
          <w:tcPr>
            <w:tcW w:w="207"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Expensify Neue;sans-serif" w:hAnsi="Expensify Neue;sans-serif"/>
                <w:b w:val="false"/>
                <w:color w:val="000000"/>
                <w:sz w:val="14"/>
              </w:rPr>
            </w:pPr>
            <w:r>
              <w:rPr>
                <w:rFonts w:ascii="Expensify Neue;sans-serif" w:hAnsi="Expensify Neue;sans-serif"/>
                <w:b w:val="false"/>
                <w:color w:val="000000"/>
                <w:sz w:val="14"/>
              </w:rPr>
              <w:t>$</w:t>
            </w:r>
          </w:p>
        </w:tc>
        <w:tc>
          <w:tcPr>
            <w:tcW w:w="68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Expensify Neue;sans-serif" w:hAnsi="Expensify Neue;sans-serif"/>
                <w:b w:val="false"/>
                <w:color w:val="000000"/>
                <w:sz w:val="14"/>
              </w:rPr>
            </w:pPr>
            <w:r>
              <w:rPr>
                <w:rFonts w:ascii="Expensify Neue;sans-serif" w:hAnsi="Expensify Neue;sans-serif"/>
                <w:b w:val="false"/>
                <w:color w:val="000000"/>
                <w:sz w:val="14"/>
              </w:rPr>
              <w:t>585 </w:t>
            </w:r>
          </w:p>
        </w:tc>
        <w:tc>
          <w:tcPr>
            <w:tcW w:w="1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7"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Expensify Neue;sans-serif" w:hAnsi="Expensify Neue;sans-serif"/>
                <w:b w:val="false"/>
                <w:color w:val="000000"/>
                <w:sz w:val="14"/>
              </w:rPr>
            </w:pPr>
            <w:r>
              <w:rPr>
                <w:rFonts w:ascii="Expensify Neue;sans-serif" w:hAnsi="Expensify Neue;sans-serif"/>
                <w:b w:val="false"/>
                <w:color w:val="000000"/>
                <w:sz w:val="14"/>
              </w:rPr>
              <w:t>$</w:t>
            </w:r>
          </w:p>
        </w:tc>
        <w:tc>
          <w:tcPr>
            <w:tcW w:w="68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Expensify Neue;sans-serif" w:hAnsi="Expensify Neue;sans-serif"/>
                <w:b w:val="false"/>
                <w:color w:val="000000"/>
                <w:sz w:val="14"/>
              </w:rPr>
            </w:pPr>
            <w:r>
              <w:rPr>
                <w:rFonts w:ascii="Expensify Neue;sans-serif" w:hAnsi="Expensify Neue;sans-serif"/>
                <w:b w:val="false"/>
                <w:color w:val="000000"/>
                <w:sz w:val="14"/>
              </w:rPr>
              <w:t>1,164 </w:t>
            </w:r>
          </w:p>
        </w:tc>
        <w:tc>
          <w:tcPr>
            <w:tcW w:w="16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80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Expensify Neue;sans-serif" w:hAnsi="Expensify Neue;sans-serif"/>
                <w:b w:val="false"/>
                <w:color w:val="000000"/>
                <w:sz w:val="14"/>
              </w:rPr>
            </w:pPr>
            <w:r>
              <w:rPr>
                <w:rFonts w:ascii="Expensify Neue;sans-serif" w:hAnsi="Expensify Neue;sans-serif"/>
                <w:b w:val="false"/>
                <w:color w:val="000000"/>
                <w:sz w:val="14"/>
              </w:rPr>
              <w:t>Noncash investing and financing items:</w:t>
            </w:r>
          </w:p>
        </w:tc>
        <w:tc>
          <w:tcPr>
            <w:tcW w:w="100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80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Expensify Neue;sans-serif" w:hAnsi="Expensify Neue;sans-serif"/>
                <w:b w:val="false"/>
                <w:color w:val="000000"/>
                <w:sz w:val="14"/>
              </w:rPr>
            </w:pPr>
            <w:r>
              <w:rPr>
                <w:rFonts w:ascii="Expensify Neue;sans-serif" w:hAnsi="Expensify Neue;sans-serif"/>
                <w:b w:val="false"/>
                <w:color w:val="000000"/>
                <w:sz w:val="14"/>
              </w:rPr>
              <w:t>Stock-based compensation capitalized as software development costs</w:t>
            </w:r>
          </w:p>
        </w:tc>
        <w:tc>
          <w:tcPr>
            <w:tcW w:w="207"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Expensify Neue;sans-serif" w:hAnsi="Expensify Neue;sans-serif"/>
                <w:b w:val="false"/>
                <w:color w:val="000000"/>
                <w:sz w:val="14"/>
              </w:rPr>
            </w:pPr>
            <w:r>
              <w:rPr>
                <w:rFonts w:ascii="Expensify Neue;sans-serif" w:hAnsi="Expensify Neue;sans-serif"/>
                <w:b w:val="false"/>
                <w:color w:val="000000"/>
                <w:sz w:val="14"/>
              </w:rPr>
              <w:t>$</w:t>
            </w:r>
          </w:p>
        </w:tc>
        <w:tc>
          <w:tcPr>
            <w:tcW w:w="68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Expensify Neue;sans-serif" w:hAnsi="Expensify Neue;sans-serif"/>
                <w:b w:val="false"/>
                <w:color w:val="000000"/>
                <w:sz w:val="14"/>
              </w:rPr>
            </w:pPr>
            <w:r>
              <w:rPr>
                <w:rFonts w:ascii="Expensify Neue;sans-serif" w:hAnsi="Expensify Neue;sans-serif"/>
                <w:b w:val="false"/>
                <w:color w:val="000000"/>
                <w:sz w:val="14"/>
              </w:rPr>
              <w:t>239 </w:t>
            </w:r>
          </w:p>
        </w:tc>
        <w:tc>
          <w:tcPr>
            <w:tcW w:w="1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7"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Expensify Neue;sans-serif" w:hAnsi="Expensify Neue;sans-serif"/>
                <w:b w:val="false"/>
                <w:color w:val="000000"/>
                <w:sz w:val="14"/>
              </w:rPr>
            </w:pPr>
            <w:r>
              <w:rPr>
                <w:rFonts w:ascii="Expensify Neue;sans-serif" w:hAnsi="Expensify Neue;sans-serif"/>
                <w:b w:val="false"/>
                <w:color w:val="000000"/>
                <w:sz w:val="14"/>
              </w:rPr>
              <w:t>$</w:t>
            </w:r>
          </w:p>
        </w:tc>
        <w:tc>
          <w:tcPr>
            <w:tcW w:w="68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Expensify Neue;sans-serif" w:hAnsi="Expensify Neue;sans-serif"/>
                <w:b w:val="false"/>
                <w:color w:val="000000"/>
                <w:sz w:val="14"/>
              </w:rPr>
            </w:pPr>
            <w:r>
              <w:rPr>
                <w:rFonts w:ascii="Expensify Neue;sans-serif" w:hAnsi="Expensify Neue;sans-serif"/>
                <w:b w:val="false"/>
                <w:color w:val="000000"/>
                <w:sz w:val="14"/>
              </w:rPr>
              <w:t>915 </w:t>
            </w:r>
          </w:p>
        </w:tc>
        <w:tc>
          <w:tcPr>
            <w:tcW w:w="16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80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Expensify Neue;sans-serif" w:hAnsi="Expensify Neue;sans-serif"/>
                <w:b w:val="false"/>
                <w:color w:val="000000"/>
                <w:sz w:val="14"/>
              </w:rPr>
            </w:pPr>
            <w:r>
              <w:rPr>
                <w:rFonts w:ascii="Expensify Neue;sans-serif" w:hAnsi="Expensify Neue;sans-serif"/>
                <w:b w:val="false"/>
                <w:color w:val="000000"/>
                <w:sz w:val="14"/>
              </w:rPr>
              <w:t>Purchases of property and equipment and capitalized software in accounts payable and accrued expenses</w:t>
            </w:r>
          </w:p>
        </w:tc>
        <w:tc>
          <w:tcPr>
            <w:tcW w:w="207"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Expensify Neue;sans-serif" w:hAnsi="Expensify Neue;sans-serif"/>
                <w:b w:val="false"/>
                <w:color w:val="000000"/>
                <w:sz w:val="14"/>
              </w:rPr>
            </w:pPr>
            <w:r>
              <w:rPr>
                <w:rFonts w:ascii="Expensify Neue;sans-serif" w:hAnsi="Expensify Neue;sans-serif"/>
                <w:b w:val="false"/>
                <w:color w:val="000000"/>
                <w:sz w:val="14"/>
              </w:rPr>
              <w:t>$</w:t>
            </w:r>
          </w:p>
        </w:tc>
        <w:tc>
          <w:tcPr>
            <w:tcW w:w="68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Expensify Neue;sans-serif" w:hAnsi="Expensify Neue;sans-serif"/>
                <w:b w:val="false"/>
                <w:color w:val="000000"/>
                <w:sz w:val="14"/>
              </w:rPr>
            </w:pPr>
            <w:r>
              <w:rPr>
                <w:rFonts w:ascii="Expensify Neue;sans-serif" w:hAnsi="Expensify Neue;sans-serif"/>
                <w:b w:val="false"/>
                <w:color w:val="000000"/>
                <w:sz w:val="14"/>
              </w:rPr>
              <w:t>174 </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7"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Expensify Neue;sans-serif" w:hAnsi="Expensify Neue;sans-serif"/>
                <w:b w:val="false"/>
                <w:color w:val="000000"/>
                <w:sz w:val="14"/>
              </w:rPr>
            </w:pPr>
            <w:r>
              <w:rPr>
                <w:rFonts w:ascii="Expensify Neue;sans-serif" w:hAnsi="Expensify Neue;sans-serif"/>
                <w:b w:val="false"/>
                <w:color w:val="000000"/>
                <w:sz w:val="14"/>
              </w:rPr>
              <w:t>$</w:t>
            </w:r>
          </w:p>
        </w:tc>
        <w:tc>
          <w:tcPr>
            <w:tcW w:w="68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Expensify Neue;sans-serif" w:hAnsi="Expensify Neue;sans-serif"/>
                <w:b w:val="false"/>
                <w:color w:val="000000"/>
                <w:sz w:val="14"/>
              </w:rPr>
            </w:pPr>
            <w:r>
              <w:rPr>
                <w:rFonts w:ascii="Expensify Neue;sans-serif" w:hAnsi="Expensify Neue;sans-serif"/>
                <w:b w:val="false"/>
                <w:color w:val="000000"/>
                <w:sz w:val="14"/>
              </w:rPr>
              <w:t>223 </w:t>
            </w:r>
          </w:p>
        </w:tc>
        <w:tc>
          <w:tcPr>
            <w:tcW w:w="16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80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Expensify Neue;sans-serif" w:hAnsi="Expensify Neue;sans-serif"/>
                <w:b w:val="false"/>
                <w:color w:val="000000"/>
                <w:sz w:val="14"/>
              </w:rPr>
            </w:pPr>
            <w:r>
              <w:rPr>
                <w:rFonts w:ascii="Expensify Neue;sans-serif" w:hAnsi="Expensify Neue;sans-serif"/>
                <w:b w:val="false"/>
                <w:color w:val="000000"/>
                <w:sz w:val="14"/>
              </w:rPr>
              <w:t>Reconciliation of cash and cash equivalents and restricted cash to the Condensed Consolidated Balance Sheets</w:t>
            </w:r>
          </w:p>
        </w:tc>
        <w:tc>
          <w:tcPr>
            <w:tcW w:w="100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80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Expensify Neue;sans-serif" w:hAnsi="Expensify Neue;sans-serif"/>
                <w:b w:val="false"/>
                <w:color w:val="000000"/>
                <w:sz w:val="14"/>
              </w:rPr>
            </w:pPr>
            <w:r>
              <w:rPr>
                <w:rFonts w:ascii="Expensify Neue;sans-serif" w:hAnsi="Expensify Neue;sans-serif"/>
                <w:b w:val="false"/>
                <w:color w:val="000000"/>
                <w:sz w:val="14"/>
              </w:rPr>
              <w:t>Cash and cash equivalents</w:t>
            </w:r>
          </w:p>
        </w:tc>
        <w:tc>
          <w:tcPr>
            <w:tcW w:w="207"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Expensify Neue;sans-serif" w:hAnsi="Expensify Neue;sans-serif"/>
                <w:b w:val="false"/>
                <w:color w:val="000000"/>
                <w:sz w:val="14"/>
              </w:rPr>
            </w:pPr>
            <w:r>
              <w:rPr>
                <w:rFonts w:ascii="Expensify Neue;sans-serif" w:hAnsi="Expensify Neue;sans-serif"/>
                <w:b w:val="false"/>
                <w:color w:val="000000"/>
                <w:sz w:val="14"/>
              </w:rPr>
              <w:t>$</w:t>
            </w:r>
          </w:p>
        </w:tc>
        <w:tc>
          <w:tcPr>
            <w:tcW w:w="68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Expensify Neue;sans-serif" w:hAnsi="Expensify Neue;sans-serif"/>
                <w:b w:val="false"/>
                <w:color w:val="000000"/>
                <w:sz w:val="14"/>
              </w:rPr>
            </w:pPr>
            <w:r>
              <w:rPr>
                <w:rFonts w:ascii="Expensify Neue;sans-serif" w:hAnsi="Expensify Neue;sans-serif"/>
                <w:b w:val="false"/>
                <w:color w:val="000000"/>
                <w:sz w:val="14"/>
              </w:rPr>
              <w:t>59,627 </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7"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Expensify Neue;sans-serif" w:hAnsi="Expensify Neue;sans-serif"/>
                <w:b w:val="false"/>
                <w:color w:val="000000"/>
                <w:sz w:val="14"/>
              </w:rPr>
            </w:pPr>
            <w:r>
              <w:rPr>
                <w:rFonts w:ascii="Expensify Neue;sans-serif" w:hAnsi="Expensify Neue;sans-serif"/>
                <w:b w:val="false"/>
                <w:color w:val="000000"/>
                <w:sz w:val="14"/>
              </w:rPr>
              <w:t>$</w:t>
            </w:r>
          </w:p>
        </w:tc>
        <w:tc>
          <w:tcPr>
            <w:tcW w:w="68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Expensify Neue;sans-serif" w:hAnsi="Expensify Neue;sans-serif"/>
                <w:b w:val="false"/>
                <w:color w:val="000000"/>
                <w:sz w:val="14"/>
              </w:rPr>
            </w:pPr>
            <w:r>
              <w:rPr>
                <w:rFonts w:ascii="Expensify Neue;sans-serif" w:hAnsi="Expensify Neue;sans-serif"/>
                <w:b w:val="false"/>
                <w:color w:val="000000"/>
                <w:sz w:val="14"/>
              </w:rPr>
              <w:t>49,340 </w:t>
            </w:r>
          </w:p>
        </w:tc>
        <w:tc>
          <w:tcPr>
            <w:tcW w:w="16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80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Expensify Neue;sans-serif" w:hAnsi="Expensify Neue;sans-serif"/>
                <w:b w:val="false"/>
                <w:color w:val="000000"/>
                <w:sz w:val="14"/>
              </w:rPr>
            </w:pPr>
            <w:r>
              <w:rPr>
                <w:rFonts w:ascii="Expensify Neue;sans-serif" w:hAnsi="Expensify Neue;sans-serif"/>
                <w:b w:val="false"/>
                <w:color w:val="000000"/>
                <w:sz w:val="14"/>
              </w:rPr>
              <w:t>Restricted cash included in other current assets</w:t>
            </w:r>
          </w:p>
        </w:tc>
        <w:tc>
          <w:tcPr>
            <w:tcW w:w="89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Expensify Neue;sans-serif" w:hAnsi="Expensify Neue;sans-serif"/>
                <w:b w:val="false"/>
                <w:color w:val="000000"/>
                <w:sz w:val="14"/>
              </w:rPr>
            </w:pPr>
            <w:r>
              <w:rPr>
                <w:rFonts w:ascii="Expensify Neue;sans-serif" w:hAnsi="Expensify Neue;sans-serif"/>
                <w:b w:val="false"/>
                <w:color w:val="000000"/>
                <w:sz w:val="14"/>
              </w:rPr>
              <w:t>19,225 </w:t>
            </w:r>
          </w:p>
        </w:tc>
        <w:tc>
          <w:tcPr>
            <w:tcW w:w="1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Expensify Neue;sans-serif" w:hAnsi="Expensify Neue;sans-serif"/>
                <w:b w:val="false"/>
                <w:color w:val="000000"/>
                <w:sz w:val="14"/>
              </w:rPr>
            </w:pPr>
            <w:r>
              <w:rPr>
                <w:rFonts w:ascii="Expensify Neue;sans-serif" w:hAnsi="Expensify Neue;sans-serif"/>
                <w:b w:val="false"/>
                <w:color w:val="000000"/>
                <w:sz w:val="14"/>
              </w:rPr>
              <w:t>24,267 </w:t>
            </w:r>
          </w:p>
        </w:tc>
        <w:tc>
          <w:tcPr>
            <w:tcW w:w="16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80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Expensify Neue;sans-serif" w:hAnsi="Expensify Neue;sans-serif"/>
                <w:b w:val="false"/>
                <w:color w:val="000000"/>
                <w:sz w:val="14"/>
              </w:rPr>
            </w:pPr>
            <w:r>
              <w:rPr>
                <w:rFonts w:ascii="Expensify Neue;sans-serif" w:hAnsi="Expensify Neue;sans-serif"/>
                <w:b w:val="false"/>
                <w:color w:val="000000"/>
                <w:sz w:val="14"/>
              </w:rPr>
              <w:t>Restricted cash included in settlement assets, net</w:t>
            </w:r>
          </w:p>
        </w:tc>
        <w:tc>
          <w:tcPr>
            <w:tcW w:w="89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Expensify Neue;sans-serif" w:hAnsi="Expensify Neue;sans-serif"/>
                <w:b w:val="false"/>
                <w:color w:val="000000"/>
                <w:sz w:val="14"/>
              </w:rPr>
            </w:pPr>
            <w:r>
              <w:rPr>
                <w:rFonts w:ascii="Expensify Neue;sans-serif" w:hAnsi="Expensify Neue;sans-serif"/>
                <w:b w:val="false"/>
                <w:color w:val="000000"/>
                <w:sz w:val="14"/>
              </w:rPr>
              <w:t>17,497 </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Expensify Neue;sans-serif" w:hAnsi="Expensify Neue;sans-serif"/>
                <w:b w:val="false"/>
                <w:color w:val="000000"/>
                <w:sz w:val="14"/>
              </w:rPr>
            </w:pPr>
            <w:r>
              <w:rPr>
                <w:rFonts w:ascii="Expensify Neue;sans-serif" w:hAnsi="Expensify Neue;sans-serif"/>
                <w:b w:val="false"/>
                <w:color w:val="000000"/>
                <w:sz w:val="14"/>
              </w:rPr>
              <w:t>24,538 </w:t>
            </w:r>
          </w:p>
        </w:tc>
        <w:tc>
          <w:tcPr>
            <w:tcW w:w="16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80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Expensify Neue;sans-serif" w:hAnsi="Expensify Neue;sans-serif"/>
                <w:b w:val="false"/>
                <w:color w:val="000000"/>
                <w:sz w:val="14"/>
              </w:rPr>
            </w:pPr>
            <w:r>
              <w:rPr>
                <w:rFonts w:ascii="Expensify Neue;sans-serif" w:hAnsi="Expensify Neue;sans-serif"/>
                <w:b w:val="false"/>
                <w:color w:val="000000"/>
                <w:sz w:val="14"/>
              </w:rPr>
              <w:t>Total cash, cash equivalents and restricted cash</w:t>
            </w:r>
          </w:p>
        </w:tc>
        <w:tc>
          <w:tcPr>
            <w:tcW w:w="20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Expensify Neue;sans-serif" w:hAnsi="Expensify Neue;sans-serif"/>
                <w:b w:val="false"/>
                <w:color w:val="000000"/>
                <w:sz w:val="14"/>
              </w:rPr>
            </w:pPr>
            <w:r>
              <w:rPr>
                <w:rFonts w:ascii="Expensify Neue;sans-serif" w:hAnsi="Expensify Neue;sans-serif"/>
                <w:b w:val="false"/>
                <w:color w:val="000000"/>
                <w:sz w:val="14"/>
              </w:rPr>
              <w:t>$</w:t>
            </w:r>
          </w:p>
        </w:tc>
        <w:tc>
          <w:tcPr>
            <w:tcW w:w="68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Expensify Neue;sans-serif" w:hAnsi="Expensify Neue;sans-serif"/>
                <w:b w:val="false"/>
                <w:color w:val="000000"/>
                <w:sz w:val="14"/>
              </w:rPr>
            </w:pPr>
            <w:r>
              <w:rPr>
                <w:rFonts w:ascii="Expensify Neue;sans-serif" w:hAnsi="Expensify Neue;sans-serif"/>
                <w:b w:val="false"/>
                <w:color w:val="000000"/>
                <w:sz w:val="14"/>
              </w:rPr>
              <w:t>96,349 </w:t>
            </w:r>
          </w:p>
        </w:tc>
        <w:tc>
          <w:tcPr>
            <w:tcW w:w="11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Expensify Neue;sans-serif" w:hAnsi="Expensify Neue;sans-serif"/>
                <w:b w:val="false"/>
                <w:color w:val="000000"/>
                <w:sz w:val="14"/>
              </w:rPr>
            </w:pPr>
            <w:r>
              <w:rPr>
                <w:rFonts w:ascii="Expensify Neue;sans-serif" w:hAnsi="Expensify Neue;sans-serif"/>
                <w:b w:val="false"/>
                <w:color w:val="000000"/>
                <w:sz w:val="14"/>
              </w:rPr>
              <w:t>$</w:t>
            </w:r>
          </w:p>
        </w:tc>
        <w:tc>
          <w:tcPr>
            <w:tcW w:w="68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Expensify Neue;sans-serif" w:hAnsi="Expensify Neue;sans-serif"/>
                <w:b w:val="false"/>
                <w:color w:val="000000"/>
                <w:sz w:val="14"/>
              </w:rPr>
            </w:pPr>
            <w:r>
              <w:rPr>
                <w:rFonts w:ascii="Expensify Neue;sans-serif" w:hAnsi="Expensify Neue;sans-serif"/>
                <w:b w:val="false"/>
                <w:color w:val="000000"/>
                <w:sz w:val="14"/>
              </w:rPr>
              <w:t>98,145 </w:t>
            </w:r>
          </w:p>
        </w:tc>
        <w:tc>
          <w:tcPr>
            <w:tcW w:w="16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800"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004" w:type="dxa"/>
            <w:gridSpan w:val="3"/>
            <w:tcBorders>
              <w:top w:val="double" w:sz="8"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059" w:type="dxa"/>
            <w:gridSpan w:val="3"/>
            <w:tcBorders>
              <w:top w:val="double" w:sz="8"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3">
                <wp:simplePos x="0" y="0"/>
                <wp:positionH relativeFrom="character">
                  <wp:align>left</wp:align>
                </wp:positionH>
                <wp:positionV relativeFrom="line">
                  <wp:posOffset>635</wp:posOffset>
                </wp:positionV>
                <wp:extent cx="6480175" cy="1075055"/>
                <wp:effectExtent l="0" t="0" r="0" b="0"/>
                <wp:wrapNone/>
                <wp:docPr id="12" name="Frame11"/>
                <a:graphic xmlns:a="http://schemas.openxmlformats.org/drawingml/2006/main">
                  <a:graphicData uri="http://schemas.microsoft.com/office/word/2010/wordprocessingShape">
                    <wps:wsp>
                      <wps:cNvSpPr txBox="1"/>
                      <wps:spPr>
                        <a:xfrm>
                          <a:off x="0" y="0"/>
                          <a:ext cx="6480175" cy="1075055"/>
                        </a:xfrm>
                        <a:prstGeom prst="rect"/>
                        <a:solidFill>
                          <a:srgbClr val="FFFFFF"/>
                        </a:solidFill>
                      </wps:spPr>
                      <wps:txbx>
                        <w:txbxContent>
                          <w:tbl>
                            <w:tblPr>
                              <w:tblW w:w="7514" w:type="dxa"/>
                              <w:jc w:val="left"/>
                              <w:tblInd w:w="0" w:type="dxa"/>
                              <w:tblLayout w:type="fixed"/>
                              <w:tblCellMar>
                                <w:top w:w="28" w:type="dxa"/>
                                <w:left w:w="28" w:type="dxa"/>
                                <w:bottom w:w="28" w:type="dxa"/>
                                <w:right w:w="28" w:type="dxa"/>
                              </w:tblCellMar>
                            </w:tblPr>
                            <w:tblGrid>
                              <w:gridCol w:w="1303"/>
                              <w:gridCol w:w="1143"/>
                              <w:gridCol w:w="1143"/>
                              <w:gridCol w:w="1143"/>
                              <w:gridCol w:w="1143"/>
                              <w:gridCol w:w="1639"/>
                            </w:tblGrid>
                            <w:tr>
                              <w:trPr/>
                              <w:tc>
                                <w:tcPr>
                                  <w:tcW w:w="1303" w:type="dxa"/>
                                  <w:tcBorders/>
                                  <w:vAlign w:val="center"/>
                                </w:tcPr>
                                <w:p>
                                  <w:pPr>
                                    <w:pStyle w:val="TableContents"/>
                                    <w:bidi w:val="0"/>
                                    <w:spacing w:before="0" w:after="283"/>
                                    <w:jc w:val="left"/>
                                    <w:rPr>
                                      <w:sz w:val="4"/>
                                      <w:szCs w:val="4"/>
                                    </w:rPr>
                                  </w:pPr>
                                  <w:r>
                                    <w:rPr>
                                      <w:sz w:val="4"/>
                                      <w:szCs w:val="4"/>
                                    </w:rPr>
                                  </w:r>
                                </w:p>
                              </w:tc>
                              <w:tc>
                                <w:tcPr>
                                  <w:tcW w:w="1143" w:type="dxa"/>
                                  <w:tcBorders/>
                                  <w:vAlign w:val="center"/>
                                </w:tcPr>
                                <w:p>
                                  <w:pPr>
                                    <w:pStyle w:val="TableContents"/>
                                    <w:bidi w:val="0"/>
                                    <w:spacing w:before="0" w:after="283"/>
                                    <w:jc w:val="left"/>
                                    <w:rPr>
                                      <w:sz w:val="4"/>
                                      <w:szCs w:val="4"/>
                                    </w:rPr>
                                  </w:pPr>
                                  <w:r>
                                    <w:rPr>
                                      <w:sz w:val="4"/>
                                      <w:szCs w:val="4"/>
                                    </w:rPr>
                                  </w:r>
                                </w:p>
                              </w:tc>
                              <w:tc>
                                <w:tcPr>
                                  <w:tcW w:w="1143" w:type="dxa"/>
                                  <w:tcBorders/>
                                  <w:vAlign w:val="center"/>
                                </w:tcPr>
                                <w:p>
                                  <w:pPr>
                                    <w:pStyle w:val="TableContents"/>
                                    <w:bidi w:val="0"/>
                                    <w:spacing w:before="0" w:after="283"/>
                                    <w:jc w:val="left"/>
                                    <w:rPr>
                                      <w:sz w:val="4"/>
                                      <w:szCs w:val="4"/>
                                    </w:rPr>
                                  </w:pPr>
                                  <w:r>
                                    <w:rPr>
                                      <w:sz w:val="4"/>
                                      <w:szCs w:val="4"/>
                                    </w:rPr>
                                  </w:r>
                                </w:p>
                              </w:tc>
                              <w:tc>
                                <w:tcPr>
                                  <w:tcW w:w="1143" w:type="dxa"/>
                                  <w:tcBorders/>
                                  <w:vAlign w:val="center"/>
                                </w:tcPr>
                                <w:p>
                                  <w:pPr>
                                    <w:pStyle w:val="TableContents"/>
                                    <w:bidi w:val="0"/>
                                    <w:spacing w:before="0" w:after="283"/>
                                    <w:jc w:val="left"/>
                                    <w:rPr>
                                      <w:sz w:val="4"/>
                                      <w:szCs w:val="4"/>
                                    </w:rPr>
                                  </w:pPr>
                                  <w:r>
                                    <w:rPr>
                                      <w:sz w:val="4"/>
                                      <w:szCs w:val="4"/>
                                    </w:rPr>
                                  </w:r>
                                </w:p>
                              </w:tc>
                              <w:tc>
                                <w:tcPr>
                                  <w:tcW w:w="1143" w:type="dxa"/>
                                  <w:tcBorders/>
                                  <w:vAlign w:val="center"/>
                                </w:tcPr>
                                <w:p>
                                  <w:pPr>
                                    <w:pStyle w:val="TableContents"/>
                                    <w:bidi w:val="0"/>
                                    <w:spacing w:before="0" w:after="283"/>
                                    <w:jc w:val="left"/>
                                    <w:rPr>
                                      <w:sz w:val="4"/>
                                      <w:szCs w:val="4"/>
                                    </w:rPr>
                                  </w:pPr>
                                  <w:r>
                                    <w:rPr>
                                      <w:sz w:val="4"/>
                                      <w:szCs w:val="4"/>
                                    </w:rPr>
                                  </w:r>
                                </w:p>
                              </w:tc>
                              <w:tc>
                                <w:tcPr>
                                  <w:tcW w:w="1639" w:type="dxa"/>
                                  <w:tcBorders/>
                                  <w:vAlign w:val="center"/>
                                </w:tcPr>
                                <w:p>
                                  <w:pPr>
                                    <w:pStyle w:val="TableContents"/>
                                    <w:bidi w:val="0"/>
                                    <w:spacing w:before="0" w:after="283"/>
                                    <w:jc w:val="left"/>
                                    <w:rPr>
                                      <w:sz w:val="4"/>
                                      <w:szCs w:val="4"/>
                                    </w:rPr>
                                  </w:pPr>
                                  <w:r>
                                    <w:rPr>
                                      <w:sz w:val="4"/>
                                      <w:szCs w:val="4"/>
                                    </w:rPr>
                                  </w:r>
                                </w:p>
                              </w:tc>
                            </w:tr>
                            <w:tr>
                              <w:trPr/>
                              <w:tc>
                                <w:tcPr>
                                  <w:tcW w:w="7514" w:type="dxa"/>
                                  <w:gridSpan w:val="6"/>
                                  <w:tcBorders/>
                                  <w:tcMar>
                                    <w:top w:w="0" w:type="dxa"/>
                                    <w:left w:w="0" w:type="dxa"/>
                                    <w:bottom w:w="0" w:type="dxa"/>
                                    <w:right w:w="0" w:type="dxa"/>
                                  </w:tcMar>
                                  <w:vAlign w:val="center"/>
                                </w:tcPr>
                                <w:p>
                                  <w:pPr>
                                    <w:pStyle w:val="TableContents"/>
                                    <w:bidi w:val="0"/>
                                    <w:spacing w:lineRule="auto" w:line="240" w:before="0" w:after="283"/>
                                    <w:jc w:val="center"/>
                                    <w:rPr>
                                      <w:rFonts w:ascii="Expensify Neue;sans-serif" w:hAnsi="Expensify Neue;sans-serif"/>
                                      <w:b w:val="false"/>
                                      <w:color w:val="000000"/>
                                      <w:sz w:val="20"/>
                                    </w:rPr>
                                  </w:pPr>
                                  <w:r>
                                    <w:rPr>
                                      <w:rFonts w:ascii="Expensify Neue;sans-serif" w:hAnsi="Expensify Neue;sans-serif"/>
                                      <w:b w:val="false"/>
                                      <w:color w:val="000000"/>
                                      <w:sz w:val="20"/>
                                    </w:rPr>
                                    <w:t>See accompanying notes to Condensed Consolidated Financial Statements.</w:t>
                                  </w:r>
                                </w:p>
                              </w:tc>
                            </w:tr>
                            <w:tr>
                              <w:trPr/>
                              <w:tc>
                                <w:tcPr>
                                  <w:tcW w:w="7514" w:type="dxa"/>
                                  <w:gridSpan w:val="6"/>
                                  <w:tcBorders>
                                    <w:bottom w:val="single" w:sz="8" w:space="0" w:color="000000"/>
                                  </w:tcBorders>
                                  <w:tcMar>
                                    <w:top w:w="0" w:type="dxa"/>
                                    <w:left w:w="0" w:type="dxa"/>
                                    <w:bottom w:w="30" w:type="dxa"/>
                                    <w:right w:w="0" w:type="dxa"/>
                                  </w:tcMar>
                                  <w:vAlign w:val="center"/>
                                </w:tcPr>
                                <w:p>
                                  <w:pPr>
                                    <w:pStyle w:val="TableContents"/>
                                    <w:bidi w:val="0"/>
                                    <w:spacing w:lineRule="auto" w:line="240" w:before="0" w:after="0"/>
                                    <w:jc w:val="center"/>
                                    <w:rPr>
                                      <w:rFonts w:ascii="Expensify Neue;sans-serif" w:hAnsi="Expensify Neue;sans-serif"/>
                                      <w:b w:val="false"/>
                                      <w:color w:val="000000"/>
                                      <w:sz w:val="20"/>
                                    </w:rPr>
                                  </w:pPr>
                                  <w:r>
                                    <w:rPr>
                                      <w:rFonts w:ascii="Expensify Neue;sans-serif" w:hAnsi="Expensify Neue;sans-serif"/>
                                      <w:b w:val="false"/>
                                      <w:color w:val="000000"/>
                                      <w:sz w:val="20"/>
                                    </w:rPr>
                                    <w:t>6</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84.65pt;mso-wrap-distance-left:0pt;mso-wrap-distance-right:0pt;mso-wrap-distance-top:0pt;mso-wrap-distance-bottom:0pt;margin-top:0pt;mso-position-vertical:top;mso-position-vertical-relative:text;margin-left:0pt;mso-position-horizontal:left;mso-position-horizontal-relative:text">
                <v:textbox>
                  <w:txbxContent>
                    <w:tbl>
                      <w:tblPr>
                        <w:tblW w:w="7514" w:type="dxa"/>
                        <w:jc w:val="left"/>
                        <w:tblInd w:w="0" w:type="dxa"/>
                        <w:tblLayout w:type="fixed"/>
                        <w:tblCellMar>
                          <w:top w:w="28" w:type="dxa"/>
                          <w:left w:w="28" w:type="dxa"/>
                          <w:bottom w:w="28" w:type="dxa"/>
                          <w:right w:w="28" w:type="dxa"/>
                        </w:tblCellMar>
                      </w:tblPr>
                      <w:tblGrid>
                        <w:gridCol w:w="1303"/>
                        <w:gridCol w:w="1143"/>
                        <w:gridCol w:w="1143"/>
                        <w:gridCol w:w="1143"/>
                        <w:gridCol w:w="1143"/>
                        <w:gridCol w:w="1639"/>
                      </w:tblGrid>
                      <w:tr>
                        <w:trPr/>
                        <w:tc>
                          <w:tcPr>
                            <w:tcW w:w="1303" w:type="dxa"/>
                            <w:tcBorders/>
                            <w:vAlign w:val="center"/>
                          </w:tcPr>
                          <w:p>
                            <w:pPr>
                              <w:pStyle w:val="TableContents"/>
                              <w:bidi w:val="0"/>
                              <w:spacing w:before="0" w:after="283"/>
                              <w:jc w:val="left"/>
                              <w:rPr>
                                <w:sz w:val="4"/>
                                <w:szCs w:val="4"/>
                              </w:rPr>
                            </w:pPr>
                            <w:r>
                              <w:rPr>
                                <w:sz w:val="4"/>
                                <w:szCs w:val="4"/>
                              </w:rPr>
                            </w:r>
                          </w:p>
                        </w:tc>
                        <w:tc>
                          <w:tcPr>
                            <w:tcW w:w="1143" w:type="dxa"/>
                            <w:tcBorders/>
                            <w:vAlign w:val="center"/>
                          </w:tcPr>
                          <w:p>
                            <w:pPr>
                              <w:pStyle w:val="TableContents"/>
                              <w:bidi w:val="0"/>
                              <w:spacing w:before="0" w:after="283"/>
                              <w:jc w:val="left"/>
                              <w:rPr>
                                <w:sz w:val="4"/>
                                <w:szCs w:val="4"/>
                              </w:rPr>
                            </w:pPr>
                            <w:r>
                              <w:rPr>
                                <w:sz w:val="4"/>
                                <w:szCs w:val="4"/>
                              </w:rPr>
                            </w:r>
                          </w:p>
                        </w:tc>
                        <w:tc>
                          <w:tcPr>
                            <w:tcW w:w="1143" w:type="dxa"/>
                            <w:tcBorders/>
                            <w:vAlign w:val="center"/>
                          </w:tcPr>
                          <w:p>
                            <w:pPr>
                              <w:pStyle w:val="TableContents"/>
                              <w:bidi w:val="0"/>
                              <w:spacing w:before="0" w:after="283"/>
                              <w:jc w:val="left"/>
                              <w:rPr>
                                <w:sz w:val="4"/>
                                <w:szCs w:val="4"/>
                              </w:rPr>
                            </w:pPr>
                            <w:r>
                              <w:rPr>
                                <w:sz w:val="4"/>
                                <w:szCs w:val="4"/>
                              </w:rPr>
                            </w:r>
                          </w:p>
                        </w:tc>
                        <w:tc>
                          <w:tcPr>
                            <w:tcW w:w="1143" w:type="dxa"/>
                            <w:tcBorders/>
                            <w:vAlign w:val="center"/>
                          </w:tcPr>
                          <w:p>
                            <w:pPr>
                              <w:pStyle w:val="TableContents"/>
                              <w:bidi w:val="0"/>
                              <w:spacing w:before="0" w:after="283"/>
                              <w:jc w:val="left"/>
                              <w:rPr>
                                <w:sz w:val="4"/>
                                <w:szCs w:val="4"/>
                              </w:rPr>
                            </w:pPr>
                            <w:r>
                              <w:rPr>
                                <w:sz w:val="4"/>
                                <w:szCs w:val="4"/>
                              </w:rPr>
                            </w:r>
                          </w:p>
                        </w:tc>
                        <w:tc>
                          <w:tcPr>
                            <w:tcW w:w="1143" w:type="dxa"/>
                            <w:tcBorders/>
                            <w:vAlign w:val="center"/>
                          </w:tcPr>
                          <w:p>
                            <w:pPr>
                              <w:pStyle w:val="TableContents"/>
                              <w:bidi w:val="0"/>
                              <w:spacing w:before="0" w:after="283"/>
                              <w:jc w:val="left"/>
                              <w:rPr>
                                <w:sz w:val="4"/>
                                <w:szCs w:val="4"/>
                              </w:rPr>
                            </w:pPr>
                            <w:r>
                              <w:rPr>
                                <w:sz w:val="4"/>
                                <w:szCs w:val="4"/>
                              </w:rPr>
                            </w:r>
                          </w:p>
                        </w:tc>
                        <w:tc>
                          <w:tcPr>
                            <w:tcW w:w="1639" w:type="dxa"/>
                            <w:tcBorders/>
                            <w:vAlign w:val="center"/>
                          </w:tcPr>
                          <w:p>
                            <w:pPr>
                              <w:pStyle w:val="TableContents"/>
                              <w:bidi w:val="0"/>
                              <w:spacing w:before="0" w:after="283"/>
                              <w:jc w:val="left"/>
                              <w:rPr>
                                <w:sz w:val="4"/>
                                <w:szCs w:val="4"/>
                              </w:rPr>
                            </w:pPr>
                            <w:r>
                              <w:rPr>
                                <w:sz w:val="4"/>
                                <w:szCs w:val="4"/>
                              </w:rPr>
                            </w:r>
                          </w:p>
                        </w:tc>
                      </w:tr>
                      <w:tr>
                        <w:trPr/>
                        <w:tc>
                          <w:tcPr>
                            <w:tcW w:w="7514" w:type="dxa"/>
                            <w:gridSpan w:val="6"/>
                            <w:tcBorders/>
                            <w:tcMar>
                              <w:top w:w="0" w:type="dxa"/>
                              <w:left w:w="0" w:type="dxa"/>
                              <w:bottom w:w="0" w:type="dxa"/>
                              <w:right w:w="0" w:type="dxa"/>
                            </w:tcMar>
                            <w:vAlign w:val="center"/>
                          </w:tcPr>
                          <w:p>
                            <w:pPr>
                              <w:pStyle w:val="TableContents"/>
                              <w:bidi w:val="0"/>
                              <w:spacing w:lineRule="auto" w:line="240" w:before="0" w:after="283"/>
                              <w:jc w:val="center"/>
                              <w:rPr>
                                <w:rFonts w:ascii="Expensify Neue;sans-serif" w:hAnsi="Expensify Neue;sans-serif"/>
                                <w:b w:val="false"/>
                                <w:color w:val="000000"/>
                                <w:sz w:val="20"/>
                              </w:rPr>
                            </w:pPr>
                            <w:r>
                              <w:rPr>
                                <w:rFonts w:ascii="Expensify Neue;sans-serif" w:hAnsi="Expensify Neue;sans-serif"/>
                                <w:b w:val="false"/>
                                <w:color w:val="000000"/>
                                <w:sz w:val="20"/>
                              </w:rPr>
                              <w:t>See accompanying notes to Condensed Consolidated Financial Statements.</w:t>
                            </w:r>
                          </w:p>
                        </w:tc>
                      </w:tr>
                      <w:tr>
                        <w:trPr/>
                        <w:tc>
                          <w:tcPr>
                            <w:tcW w:w="7514" w:type="dxa"/>
                            <w:gridSpan w:val="6"/>
                            <w:tcBorders>
                              <w:bottom w:val="single" w:sz="8" w:space="0" w:color="000000"/>
                            </w:tcBorders>
                            <w:tcMar>
                              <w:top w:w="0" w:type="dxa"/>
                              <w:left w:w="0" w:type="dxa"/>
                              <w:bottom w:w="30" w:type="dxa"/>
                              <w:right w:w="0" w:type="dxa"/>
                            </w:tcMar>
                            <w:vAlign w:val="center"/>
                          </w:tcPr>
                          <w:p>
                            <w:pPr>
                              <w:pStyle w:val="TableContents"/>
                              <w:bidi w:val="0"/>
                              <w:spacing w:lineRule="auto" w:line="240" w:before="0" w:after="0"/>
                              <w:jc w:val="center"/>
                              <w:rPr>
                                <w:rFonts w:ascii="Expensify Neue;sans-serif" w:hAnsi="Expensify Neue;sans-serif"/>
                                <w:b w:val="false"/>
                                <w:color w:val="000000"/>
                                <w:sz w:val="20"/>
                              </w:rPr>
                            </w:pPr>
                            <w:r>
                              <w:rPr>
                                <w:rFonts w:ascii="Expensify Neue;sans-serif" w:hAnsi="Expensify Neue;sans-serif"/>
                                <w:b w:val="false"/>
                                <w:color w:val="000000"/>
                                <w:sz w:val="20"/>
                              </w:rPr>
                              <w:t>6</w:t>
                            </w:r>
                          </w:p>
                        </w:tc>
                      </w:tr>
                    </w:tbl>
                    <w:p>
                      <w:pPr>
                        <w:pStyle w:val="TextBody"/>
                        <w:bidi w:val="0"/>
                        <w:spacing w:before="0" w:after="283"/>
                        <w:jc w:val="left"/>
                        <w:rPr/>
                      </w:pPr>
                      <w:r>
                        <w:rPr/>
                      </w:r>
                    </w:p>
                  </w:txbxContent>
                </v:textbox>
                <w10:wrap type="none"/>
              </v:rect>
            </w:pict>
          </mc:Fallback>
        </mc:AlternateContent>
      </w:r>
    </w:p>
    <w:p>
      <w:pPr>
        <w:pStyle w:val="TextBody"/>
        <w:bidi w:val="0"/>
        <w:spacing w:lineRule="auto" w:line="288" w:before="0" w:after="160"/>
        <w:jc w:val="left"/>
        <w:rPr/>
      </w:pPr>
      <w:hyperlink w:anchor="i52a648c4f0e449f7bc3c2044827c8f0d_7">
        <w:r>
          <w:rPr>
            <w:rStyle w:val="InternetLink"/>
            <w:rFonts w:ascii="Expensify Neue;sans-serif" w:hAnsi="Expensify Neue;sans-serif"/>
            <w:b/>
            <w:color w:val="0000FF"/>
            <w:sz w:val="20"/>
            <w:u w:val="single"/>
          </w:rPr>
          <w:t>Table of Contents</w:t>
        </w:r>
      </w:hyperlink>
    </w:p>
    <w:p>
      <w:pPr>
        <w:pStyle w:val="TextBody"/>
        <w:bidi w:val="0"/>
        <w:spacing w:lineRule="auto" w:line="288" w:before="0" w:after="0"/>
        <w:jc w:val="center"/>
        <w:rPr>
          <w:rFonts w:ascii="Expensify Neue;sans-serif" w:hAnsi="Expensify Neue;sans-serif"/>
          <w:b/>
          <w:color w:val="000000"/>
          <w:sz w:val="24"/>
        </w:rPr>
      </w:pPr>
      <w:r>
        <w:rPr>
          <w:rFonts w:ascii="Expensify Neue;sans-serif" w:hAnsi="Expensify Neue;sans-serif"/>
          <w:b/>
          <w:color w:val="000000"/>
          <w:sz w:val="24"/>
        </w:rPr>
        <w:t>Expensify, Inc.</w:t>
      </w:r>
    </w:p>
    <w:p>
      <w:pPr>
        <w:pStyle w:val="TextBody"/>
        <w:bidi w:val="0"/>
        <w:spacing w:lineRule="auto" w:line="288" w:before="0" w:after="0"/>
        <w:jc w:val="center"/>
        <w:rPr>
          <w:rFonts w:ascii="Expensify Neue;sans-serif" w:hAnsi="Expensify Neue;sans-serif"/>
          <w:b/>
          <w:color w:val="000000"/>
          <w:sz w:val="24"/>
        </w:rPr>
      </w:pPr>
      <w:r>
        <w:rPr>
          <w:rFonts w:ascii="Expensify Neue;sans-serif" w:hAnsi="Expensify Neue;sans-serif"/>
          <w:b/>
          <w:color w:val="000000"/>
          <w:sz w:val="24"/>
        </w:rPr>
        <w:t>Notes to the Condensed Consolidated Financial Statements</w:t>
      </w:r>
    </w:p>
    <w:p>
      <w:pPr>
        <w:pStyle w:val="TextBody"/>
        <w:bidi w:val="0"/>
        <w:spacing w:lineRule="auto" w:line="288" w:before="0" w:after="0"/>
        <w:jc w:val="center"/>
        <w:rPr>
          <w:rFonts w:ascii="Expensify Neue;sans-serif" w:hAnsi="Expensify Neue;sans-serif"/>
          <w:b/>
          <w:color w:val="000000"/>
          <w:sz w:val="20"/>
        </w:rPr>
      </w:pPr>
      <w:r>
        <w:rPr>
          <w:rFonts w:ascii="Expensify Neue;sans-serif" w:hAnsi="Expensify Neue;sans-serif"/>
          <w:b/>
          <w:color w:val="000000"/>
          <w:sz w:val="20"/>
        </w:rPr>
        <w:t>(unaudited)</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60"/>
        <w:jc w:val="left"/>
        <w:rPr>
          <w:rFonts w:ascii="Expensify Neue;sans-serif" w:hAnsi="Expensify Neue;sans-serif"/>
          <w:b/>
          <w:color w:val="002E22"/>
          <w:sz w:val="32"/>
        </w:rPr>
      </w:pPr>
      <w:r>
        <w:rPr>
          <w:rFonts w:ascii="Expensify Neue;sans-serif" w:hAnsi="Expensify Neue;sans-serif"/>
          <w:b/>
          <w:color w:val="002E22"/>
          <w:sz w:val="32"/>
        </w:rPr>
        <w:t>NOTE 1 – GENERAL INFORMATION</w:t>
      </w:r>
    </w:p>
    <w:p>
      <w:pPr>
        <w:pStyle w:val="TextBody"/>
        <w:bidi w:val="0"/>
        <w:spacing w:lineRule="auto" w:line="288" w:before="0" w:after="160"/>
        <w:jc w:val="left"/>
        <w:rPr/>
      </w:pPr>
      <w:r>
        <w:rPr>
          <w:rFonts w:ascii="Expensify Neue;sans-serif" w:hAnsi="Expensify Neue;sans-serif"/>
          <w:b/>
          <w:color w:val="000000"/>
          <w:sz w:val="20"/>
        </w:rPr>
        <w:t>Description of the Business</w:t>
      </w:r>
      <w:r>
        <w:rPr>
          <w:color w:val="000000"/>
        </w:rPr>
        <w:t xml:space="preserve"> </w:t>
      </w:r>
    </w:p>
    <w:p>
      <w:pPr>
        <w:pStyle w:val="TextBody"/>
        <w:bidi w:val="0"/>
        <w:spacing w:lineRule="auto" w:line="288" w:before="0" w:after="160"/>
        <w:jc w:val="left"/>
        <w:rPr>
          <w:rFonts w:ascii="Expensify Neue;sans-serif" w:hAnsi="Expensify Neue;sans-serif"/>
          <w:b w:val="false"/>
          <w:color w:val="000000"/>
          <w:sz w:val="20"/>
        </w:rPr>
      </w:pPr>
      <w:r>
        <w:rPr>
          <w:rFonts w:ascii="Expensify Neue;sans-serif" w:hAnsi="Expensify Neue;sans-serif"/>
          <w:b w:val="false"/>
          <w:color w:val="000000"/>
          <w:sz w:val="20"/>
        </w:rPr>
        <w:t>Expensify, Inc. ("Expensify") was incorporated in Delaware on April 29, 2009. Expensify offers a comprehensive expense management platform that integrates with a variety of third-party accounting applications, including QuickBooks Desktop, QuickBooks Online, Xero, NetSuite, Intacct, Sage, Microsoft Dynamics, MYOB and others. Expensify's product simplifies the way that employees and vendors manage and submit expense receipts and bills and provides efficiencies to companies for the payment of those bills. Expensify delivers its services over the internet to corporations and individuals under license arrangements and offers unique pricing options for small and medium-sized businesses and enterprises on a per-active-member basis. Expensify has subsidiaries in the United States ("U.S."), Australia, Canada, Netherlands and United Kingdom ("UK").</w:t>
      </w:r>
    </w:p>
    <w:p>
      <w:pPr>
        <w:pStyle w:val="TextBody"/>
        <w:bidi w:val="0"/>
        <w:spacing w:lineRule="auto" w:line="288" w:before="0" w:after="160"/>
        <w:jc w:val="left"/>
        <w:rPr>
          <w:rFonts w:ascii="Expensify Neue;sans-serif" w:hAnsi="Expensify Neue;sans-serif"/>
          <w:b w:val="false"/>
          <w:color w:val="000000"/>
          <w:sz w:val="20"/>
        </w:rPr>
      </w:pPr>
      <w:r>
        <w:rPr>
          <w:rFonts w:ascii="Expensify Neue;sans-serif" w:hAnsi="Expensify Neue;sans-serif"/>
          <w:b w:val="false"/>
          <w:color w:val="000000"/>
          <w:sz w:val="20"/>
        </w:rPr>
        <w:t>Expensify also offers an Expensify charge card (the "Expensify Card"), which is primarily distributed to corporate customers in the U.S. who subsequently distribute the card to their employees for business use. The Expensify Card allows customers to have real-time control over their employees' spending and compliance with spending limits in addition to eReceipt reporting on purchases.</w:t>
      </w:r>
    </w:p>
    <w:p>
      <w:pPr>
        <w:pStyle w:val="TextBody"/>
        <w:bidi w:val="0"/>
        <w:spacing w:lineRule="auto" w:line="288" w:before="0" w:after="160"/>
        <w:jc w:val="left"/>
        <w:rPr/>
      </w:pPr>
      <w:r>
        <w:rPr>
          <w:rFonts w:ascii="Expensify Neue;sans-serif" w:hAnsi="Expensify Neue;sans-serif"/>
          <w:b w:val="false"/>
          <w:color w:val="000000"/>
          <w:sz w:val="20"/>
          <w:shd w:fill="FFFFFF" w:val="clear"/>
        </w:rPr>
        <w:t xml:space="preserve">As of </w:t>
      </w:r>
      <w:r>
        <w:rPr>
          <w:rFonts w:ascii="Expensify Neue;sans-serif" w:hAnsi="Expensify Neue;sans-serif"/>
          <w:b w:val="false"/>
          <w:color w:val="000000"/>
          <w:sz w:val="20"/>
        </w:rPr>
        <w:t>March 31, 2025</w:t>
      </w:r>
      <w:r>
        <w:rPr>
          <w:rFonts w:ascii="Expensify Neue;sans-serif" w:hAnsi="Expensify Neue;sans-serif"/>
          <w:b w:val="false"/>
          <w:color w:val="000000"/>
          <w:sz w:val="20"/>
          <w:shd w:fill="FFFFFF" w:val="clear"/>
        </w:rPr>
        <w:t xml:space="preserve">, the Expensify Card consisted substantially of a single card program that launched in February 2024 (the "Updated Card Program"). </w:t>
      </w:r>
      <w:r>
        <w:rPr>
          <w:rFonts w:ascii="Expensify Neue;sans-serif" w:hAnsi="Expensify Neue;sans-serif"/>
          <w:b w:val="false"/>
          <w:color w:val="000000"/>
          <w:sz w:val="20"/>
        </w:rPr>
        <w:t xml:space="preserve">The Updated Card Program operates under an agreement with the issuing bank, </w:t>
      </w:r>
      <w:r>
        <w:rPr>
          <w:rFonts w:ascii="Expensify Neue;sans-serif" w:hAnsi="Expensify Neue;sans-serif"/>
          <w:b w:val="false"/>
          <w:color w:val="000000"/>
          <w:sz w:val="20"/>
          <w:shd w:fill="FFFFFF" w:val="clear"/>
        </w:rPr>
        <w:t>The Bancorp Bank, N.A. ("Bancorp"),</w:t>
      </w:r>
      <w:r>
        <w:rPr>
          <w:color w:val="000000"/>
        </w:rPr>
        <w:t xml:space="preserve"> </w:t>
      </w:r>
      <w:r>
        <w:rPr>
          <w:rFonts w:ascii="Expensify Neue;sans-serif" w:hAnsi="Expensify Neue;sans-serif"/>
          <w:b w:val="false"/>
          <w:color w:val="000000"/>
          <w:sz w:val="20"/>
        </w:rPr>
        <w:t>to issue Expensify Cards to customers and authorize and settle transactions on the Visa card network.</w:t>
      </w:r>
    </w:p>
    <w:p>
      <w:pPr>
        <w:pStyle w:val="TextBody"/>
        <w:bidi w:val="0"/>
        <w:spacing w:lineRule="auto" w:line="288" w:before="0" w:after="160"/>
        <w:jc w:val="left"/>
        <w:rPr>
          <w:rFonts w:ascii="Expensify Neue;sans-serif" w:hAnsi="Expensify Neue;sans-serif"/>
          <w:b/>
          <w:color w:val="000000"/>
          <w:sz w:val="20"/>
        </w:rPr>
      </w:pPr>
      <w:r>
        <w:rPr>
          <w:rFonts w:ascii="Expensify Neue;sans-serif" w:hAnsi="Expensify Neue;sans-serif"/>
          <w:b/>
          <w:color w:val="000000"/>
          <w:sz w:val="20"/>
        </w:rPr>
        <w:t>Basis of Presentation and Principles of Consolidation</w:t>
      </w:r>
    </w:p>
    <w:p>
      <w:pPr>
        <w:pStyle w:val="TextBody"/>
        <w:bidi w:val="0"/>
        <w:spacing w:lineRule="auto" w:line="288" w:before="0" w:after="160"/>
        <w:jc w:val="left"/>
        <w:rPr>
          <w:rFonts w:ascii="Expensify Neue;sans-serif" w:hAnsi="Expensify Neue;sans-serif"/>
          <w:b w:val="false"/>
          <w:color w:val="000000"/>
          <w:sz w:val="20"/>
        </w:rPr>
      </w:pPr>
      <w:r>
        <w:rPr>
          <w:rFonts w:ascii="Expensify Neue;sans-serif" w:hAnsi="Expensify Neue;sans-serif"/>
          <w:b w:val="false"/>
          <w:color w:val="000000"/>
          <w:sz w:val="20"/>
        </w:rPr>
        <w:t>The accompanying condensed consolidated financial statements include the accounts of Expensify, its wholly-owned subsidiaries, and Expensify.org (collectively, the "Company") and have been prepared in accordance with U.S. generally accepted accounting principles ("GAAP") and the applicable rules and regulations of the Securities and Exchange Commission ("SEC") for interim reporting in conformity with the instructions to Form 10-Q and Article 10 of Regulation S-X. Certain information and footnote disclosures normally included in financial statements presented in accordance with GAAP have been condensed or omitted pursuant to such SEC rules. These condensed consolidated financial statements should be read in conjunction with the consolidated financial statements and notes thereto included in the Annual Report on Form 10-K for the year ended December 31, 2024 ("2024 Annual Report").</w:t>
      </w:r>
    </w:p>
    <w:p>
      <w:pPr>
        <w:pStyle w:val="TextBody"/>
        <w:bidi w:val="0"/>
        <w:spacing w:lineRule="auto" w:line="288" w:before="0" w:after="160"/>
        <w:jc w:val="left"/>
        <w:rPr>
          <w:rFonts w:ascii="Expensify Neue;sans-serif" w:hAnsi="Expensify Neue;sans-serif"/>
          <w:b w:val="false"/>
          <w:color w:val="000000"/>
          <w:sz w:val="20"/>
        </w:rPr>
      </w:pPr>
      <w:r>
        <w:rPr>
          <w:rFonts w:ascii="Expensify Neue;sans-serif" w:hAnsi="Expensify Neue;sans-serif"/>
          <w:b w:val="false"/>
          <w:color w:val="000000"/>
          <w:sz w:val="20"/>
        </w:rPr>
        <w:t>All intercompany transactions and balances have been eliminated in consolidation. In the opinion of management, the accompanying condensed consolidated financial statements reflect all normal and recurring adjustments that are necessary for the fair presentation of the Company's financial position, results of operations, equity, and cash flows for the periods presented.</w:t>
      </w:r>
    </w:p>
    <w:p>
      <w:pPr>
        <w:pStyle w:val="TextBody"/>
        <w:bidi w:val="0"/>
        <w:spacing w:lineRule="auto" w:line="288" w:before="0" w:after="160"/>
        <w:jc w:val="left"/>
        <w:rPr>
          <w:rFonts w:ascii="Expensify Neue;sans-serif" w:hAnsi="Expensify Neue;sans-serif"/>
          <w:b w:val="false"/>
          <w:color w:val="000000"/>
          <w:sz w:val="20"/>
        </w:rPr>
      </w:pPr>
      <w:r>
        <w:rPr>
          <w:rFonts w:ascii="Expensify Neue;sans-serif" w:hAnsi="Expensify Neue;sans-serif"/>
          <w:b w:val="false"/>
          <w:color w:val="000000"/>
          <w:sz w:val="20"/>
        </w:rPr>
        <w:t>Results of operations for the three months ended March 31, 2025 are not necessarily indicative of the results that may be expected for the year ending December 31, 2025 or for any other future annual or interim period.</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4">
                <wp:simplePos x="0" y="0"/>
                <wp:positionH relativeFrom="character">
                  <wp:align>left</wp:align>
                </wp:positionH>
                <wp:positionV relativeFrom="line">
                  <wp:posOffset>635</wp:posOffset>
                </wp:positionV>
                <wp:extent cx="6480175" cy="730250"/>
                <wp:effectExtent l="0" t="0" r="0" b="0"/>
                <wp:wrapNone/>
                <wp:docPr id="13" name="Frame12"/>
                <a:graphic xmlns:a="http://schemas.openxmlformats.org/drawingml/2006/main">
                  <a:graphicData uri="http://schemas.microsoft.com/office/word/2010/wordprocessingShape">
                    <wps:wsp>
                      <wps:cNvSpPr txBox="1"/>
                      <wps:spPr>
                        <a:xfrm>
                          <a:off x="0" y="0"/>
                          <a:ext cx="6480175" cy="730250"/>
                        </a:xfrm>
                        <a:prstGeom prst="rect"/>
                        <a:solidFill>
                          <a:srgbClr val="FFFFFF"/>
                        </a:solidFill>
                      </wps:spPr>
                      <wps:txbx>
                        <w:txbxContent>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88" w:before="0" w:after="160"/>
                                    <w:jc w:val="center"/>
                                    <w:rPr>
                                      <w:rFonts w:ascii="Expensify Neue;sans-serif" w:hAnsi="Expensify Neue;sans-serif"/>
                                      <w:b w:val="false"/>
                                      <w:color w:val="000000"/>
                                      <w:sz w:val="20"/>
                                    </w:rPr>
                                  </w:pPr>
                                  <w:r>
                                    <w:rPr>
                                      <w:rFonts w:ascii="Expensify Neue;sans-serif" w:hAnsi="Expensify Neue;sans-serif"/>
                                      <w:b w:val="false"/>
                                      <w:color w:val="000000"/>
                                      <w:sz w:val="20"/>
                                    </w:rPr>
                                    <w:t>7</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57.5pt;mso-wrap-distance-left:0pt;mso-wrap-distance-right:0pt;mso-wrap-distance-top:0pt;mso-wrap-distance-bottom:0pt;margin-top:0pt;mso-position-vertical:top;mso-position-vertical-relative:text;margin-left:0pt;mso-position-horizontal:left;mso-position-horizontal-relative:text">
                <v:textbox>
                  <w:txbxContent>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88" w:before="0" w:after="160"/>
                              <w:jc w:val="center"/>
                              <w:rPr>
                                <w:rFonts w:ascii="Expensify Neue;sans-serif" w:hAnsi="Expensify Neue;sans-serif"/>
                                <w:b w:val="false"/>
                                <w:color w:val="000000"/>
                                <w:sz w:val="20"/>
                              </w:rPr>
                            </w:pPr>
                            <w:r>
                              <w:rPr>
                                <w:rFonts w:ascii="Expensify Neue;sans-serif" w:hAnsi="Expensify Neue;sans-serif"/>
                                <w:b w:val="false"/>
                                <w:color w:val="000000"/>
                                <w:sz w:val="20"/>
                              </w:rPr>
                              <w:t>7</w:t>
                            </w:r>
                          </w:p>
                        </w:tc>
                      </w:tr>
                    </w:tbl>
                    <w:p>
                      <w:pPr>
                        <w:pStyle w:val="TextBody"/>
                        <w:bidi w:val="0"/>
                        <w:spacing w:before="0" w:after="283"/>
                        <w:jc w:val="left"/>
                        <w:rPr/>
                      </w:pPr>
                      <w:r>
                        <w:rPr/>
                      </w:r>
                    </w:p>
                  </w:txbxContent>
                </v:textbox>
                <w10:wrap type="none"/>
              </v:rect>
            </w:pict>
          </mc:Fallback>
        </mc:AlternateContent>
      </w:r>
    </w:p>
    <w:p>
      <w:pPr>
        <w:pStyle w:val="TextBody"/>
        <w:bidi w:val="0"/>
        <w:spacing w:lineRule="auto" w:line="288" w:before="0" w:after="160"/>
        <w:jc w:val="left"/>
        <w:rPr/>
      </w:pPr>
      <w:hyperlink w:anchor="i52a648c4f0e449f7bc3c2044827c8f0d_7">
        <w:r>
          <w:rPr>
            <w:rStyle w:val="InternetLink"/>
            <w:rFonts w:ascii="Expensify Neue;sans-serif" w:hAnsi="Expensify Neue;sans-serif"/>
            <w:b/>
            <w:color w:val="0000FF"/>
            <w:sz w:val="20"/>
            <w:u w:val="single"/>
          </w:rPr>
          <w:t>Table of Contents</w:t>
        </w:r>
      </w:hyperlink>
    </w:p>
    <w:p>
      <w:pPr>
        <w:pStyle w:val="TextBody"/>
        <w:bidi w:val="0"/>
        <w:spacing w:lineRule="auto" w:line="288" w:before="0" w:after="0"/>
        <w:jc w:val="center"/>
        <w:rPr>
          <w:rFonts w:ascii="Expensify Neue;sans-serif" w:hAnsi="Expensify Neue;sans-serif"/>
          <w:b/>
          <w:color w:val="000000"/>
          <w:sz w:val="24"/>
        </w:rPr>
      </w:pPr>
      <w:r>
        <w:rPr>
          <w:rFonts w:ascii="Expensify Neue;sans-serif" w:hAnsi="Expensify Neue;sans-serif"/>
          <w:b/>
          <w:color w:val="000000"/>
          <w:sz w:val="24"/>
        </w:rPr>
        <w:t>Expensify, Inc.</w:t>
      </w:r>
    </w:p>
    <w:p>
      <w:pPr>
        <w:pStyle w:val="TextBody"/>
        <w:bidi w:val="0"/>
        <w:spacing w:lineRule="auto" w:line="288" w:before="0" w:after="0"/>
        <w:jc w:val="center"/>
        <w:rPr>
          <w:rFonts w:ascii="Expensify Neue;sans-serif" w:hAnsi="Expensify Neue;sans-serif"/>
          <w:b/>
          <w:color w:val="000000"/>
          <w:sz w:val="24"/>
        </w:rPr>
      </w:pPr>
      <w:r>
        <w:rPr>
          <w:rFonts w:ascii="Expensify Neue;sans-serif" w:hAnsi="Expensify Neue;sans-serif"/>
          <w:b/>
          <w:color w:val="000000"/>
          <w:sz w:val="24"/>
        </w:rPr>
        <w:t>Notes to the Condensed Consolidated Financial Statements</w:t>
      </w:r>
    </w:p>
    <w:p>
      <w:pPr>
        <w:pStyle w:val="TextBody"/>
        <w:bidi w:val="0"/>
        <w:spacing w:lineRule="auto" w:line="288" w:before="0" w:after="0"/>
        <w:jc w:val="center"/>
        <w:rPr>
          <w:rFonts w:ascii="Expensify Neue;sans-serif" w:hAnsi="Expensify Neue;sans-serif"/>
          <w:b/>
          <w:color w:val="000000"/>
          <w:sz w:val="20"/>
        </w:rPr>
      </w:pPr>
      <w:r>
        <w:rPr>
          <w:rFonts w:ascii="Expensify Neue;sans-serif" w:hAnsi="Expensify Neue;sans-serif"/>
          <w:b/>
          <w:color w:val="000000"/>
          <w:sz w:val="20"/>
        </w:rPr>
        <w:t>(unaudited)</w:t>
      </w:r>
    </w:p>
    <w:p>
      <w:pPr>
        <w:pStyle w:val="TextBody"/>
        <w:bidi w:val="0"/>
        <w:spacing w:lineRule="auto" w:line="288" w:before="0" w:after="160"/>
        <w:jc w:val="left"/>
        <w:rPr>
          <w:rFonts w:ascii="Expensify Neue;sans-serif" w:hAnsi="Expensify Neue;sans-serif"/>
          <w:b/>
          <w:color w:val="000000"/>
          <w:sz w:val="20"/>
        </w:rPr>
      </w:pPr>
      <w:r>
        <w:rPr>
          <w:rFonts w:ascii="Expensify Neue;sans-serif" w:hAnsi="Expensify Neue;sans-serif"/>
          <w:b/>
          <w:color w:val="000000"/>
          <w:sz w:val="20"/>
        </w:rPr>
        <w:t xml:space="preserve">Use of Estimates </w:t>
      </w:r>
    </w:p>
    <w:p>
      <w:pPr>
        <w:pStyle w:val="TextBody"/>
        <w:bidi w:val="0"/>
        <w:spacing w:lineRule="auto" w:line="288" w:before="0" w:after="160"/>
        <w:jc w:val="left"/>
        <w:rPr>
          <w:rFonts w:ascii="Expensify Neue;sans-serif" w:hAnsi="Expensify Neue;sans-serif"/>
          <w:b w:val="false"/>
          <w:color w:val="000000"/>
          <w:sz w:val="20"/>
        </w:rPr>
      </w:pPr>
      <w:r>
        <w:rPr>
          <w:rFonts w:ascii="Expensify Neue;sans-serif" w:hAnsi="Expensify Neue;sans-serif"/>
          <w:b w:val="false"/>
          <w:color w:val="000000"/>
          <w:sz w:val="20"/>
        </w:rPr>
        <w:t>The preparation of condensed consolidated financial statements in conformity with GAAP requires management to make estimates and assumptions that affect the reported amounts of assets and liabilities at the date of the condensed consolidated financial statements and the reported amounts of revenues and expenses during the reporting period. Estimates and judgments are based on historical experience, forecasted events and various other assumptions that the Company believes to be reasonable under the circumstances. Estimates and judgments are evaluated on an ongoing basis. Actual results could differ from those estimates. Changes in estimates are recorded in the period in which they become known.</w:t>
      </w:r>
    </w:p>
    <w:p>
      <w:pPr>
        <w:pStyle w:val="TextBody"/>
        <w:bidi w:val="0"/>
        <w:spacing w:lineRule="auto" w:line="288" w:before="0" w:after="160"/>
        <w:jc w:val="left"/>
        <w:rPr>
          <w:rFonts w:ascii="Expensify Neue;sans-serif" w:hAnsi="Expensify Neue;sans-serif"/>
          <w:b w:val="false"/>
          <w:color w:val="000000"/>
          <w:sz w:val="20"/>
        </w:rPr>
      </w:pPr>
      <w:r>
        <w:rPr>
          <w:rFonts w:ascii="Expensify Neue;sans-serif" w:hAnsi="Expensify Neue;sans-serif"/>
          <w:b w:val="false"/>
          <w:color w:val="000000"/>
          <w:sz w:val="20"/>
        </w:rPr>
        <w:t>Estimates and assumptions by management affect the Company’s classification of employee and employee-related expenses, the useful lives and recoverability of long-lived assets and deferred contract acquisition costs, income taxes, capitalization of internal-use software costs, stock-based compensation and the Company's incremental borrowing rate utilized to measure its lease right-of-use ("ROU") assets and lease liabilities.</w:t>
      </w:r>
    </w:p>
    <w:p>
      <w:pPr>
        <w:pStyle w:val="TextBody"/>
        <w:bidi w:val="0"/>
        <w:spacing w:lineRule="auto" w:line="288" w:before="0" w:after="160"/>
        <w:jc w:val="left"/>
        <w:rPr>
          <w:rFonts w:ascii="Expensify Neue;sans-serif" w:hAnsi="Expensify Neue;sans-serif"/>
          <w:b/>
          <w:color w:val="000000"/>
          <w:sz w:val="20"/>
        </w:rPr>
      </w:pPr>
      <w:r>
        <w:rPr>
          <w:rFonts w:ascii="Expensify Neue;sans-serif" w:hAnsi="Expensify Neue;sans-serif"/>
          <w:b/>
          <w:color w:val="000000"/>
          <w:sz w:val="20"/>
        </w:rPr>
        <w:t xml:space="preserve">Segment Reporting </w:t>
      </w:r>
    </w:p>
    <w:p>
      <w:pPr>
        <w:pStyle w:val="TextBody"/>
        <w:bidi w:val="0"/>
        <w:spacing w:lineRule="auto" w:line="288" w:before="0" w:after="160"/>
        <w:jc w:val="left"/>
        <w:rPr>
          <w:rFonts w:ascii="Expensify Neue;sans-serif" w:hAnsi="Expensify Neue;sans-serif"/>
          <w:b w:val="false"/>
          <w:color w:val="000000"/>
          <w:sz w:val="20"/>
        </w:rPr>
      </w:pPr>
      <w:r>
        <w:rPr>
          <w:rFonts w:ascii="Expensify Neue;sans-serif" w:hAnsi="Expensify Neue;sans-serif"/>
          <w:b w:val="false"/>
          <w:color w:val="000000"/>
          <w:sz w:val="20"/>
        </w:rPr>
        <w:t xml:space="preserve">The Company operates as one reportable segment because its chief operating decision maker ("CODM"), a committee that consists of the chief executive officer, the chief financial officer, and the chief operating officer, reviews the Company’s financial information on a consolidated basis for purposes of making decisions regarding allocating resources and assessing performance. Accordingly, the CODM uses Net loss on a consolidated basis to measure segment profit or loss and reviews significant segment expenses on a consolidated basis to manage the Company's operations, which includes Cost of revenue, net, Research and development, General and administrative, and Sales and marketing. All significant segment expenses for the three months ended March 31, 2025 and 2024 are presented on the Condensed Consolidated Statements of Operations. Interest income is recorded within Other income (expenses), net on the Condensed Consolidated Statements of Operations. Interest income for the three months ended March 31, 2025 and 2024 was $0.4 million and $0.1 million, respectively. The measure of segment assets is Total assets as reported on the Condensed Consolidated Balance Sheets. Substantially all long-lived assets are located in the United States. </w:t>
      </w:r>
    </w:p>
    <w:p>
      <w:pPr>
        <w:pStyle w:val="TextBody"/>
        <w:bidi w:val="0"/>
        <w:spacing w:lineRule="auto" w:line="288" w:before="0" w:after="160"/>
        <w:jc w:val="left"/>
        <w:rPr>
          <w:rFonts w:ascii="Expensify Neue;sans-serif" w:hAnsi="Expensify Neue;sans-serif"/>
          <w:b/>
          <w:color w:val="000000"/>
          <w:sz w:val="20"/>
        </w:rPr>
      </w:pPr>
      <w:r>
        <w:rPr>
          <w:rFonts w:ascii="Expensify Neue;sans-serif" w:hAnsi="Expensify Neue;sans-serif"/>
          <w:b/>
          <w:color w:val="000000"/>
          <w:sz w:val="20"/>
        </w:rPr>
        <w:t>Updates to Significant Accounting Policies</w:t>
      </w:r>
    </w:p>
    <w:p>
      <w:pPr>
        <w:pStyle w:val="TextBody"/>
        <w:bidi w:val="0"/>
        <w:spacing w:lineRule="auto" w:line="288" w:before="0" w:after="160"/>
        <w:jc w:val="left"/>
        <w:rPr>
          <w:rFonts w:ascii="Expensify Neue;sans-serif" w:hAnsi="Expensify Neue;sans-serif"/>
          <w:b w:val="false"/>
          <w:color w:val="000000"/>
          <w:sz w:val="20"/>
        </w:rPr>
      </w:pPr>
      <w:r>
        <w:rPr>
          <w:rFonts w:ascii="Expensify Neue;sans-serif" w:hAnsi="Expensify Neue;sans-serif"/>
          <w:b w:val="false"/>
          <w:color w:val="000000"/>
          <w:sz w:val="20"/>
        </w:rPr>
        <w:t xml:space="preserve">The Company’s significant accounting policies are discussed in Note 2 of the 2024 Annual Report. Since the date the 2024 Annual Report was filed with the SEC, there have been no material changes to the Company's significant accounting policies, including the adoption status of recent accounting pronouncements.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5">
                <wp:simplePos x="0" y="0"/>
                <wp:positionH relativeFrom="character">
                  <wp:align>left</wp:align>
                </wp:positionH>
                <wp:positionV relativeFrom="line">
                  <wp:posOffset>635</wp:posOffset>
                </wp:positionV>
                <wp:extent cx="6480175" cy="730250"/>
                <wp:effectExtent l="0" t="0" r="0" b="0"/>
                <wp:wrapNone/>
                <wp:docPr id="14" name="Frame13"/>
                <a:graphic xmlns:a="http://schemas.openxmlformats.org/drawingml/2006/main">
                  <a:graphicData uri="http://schemas.microsoft.com/office/word/2010/wordprocessingShape">
                    <wps:wsp>
                      <wps:cNvSpPr txBox="1"/>
                      <wps:spPr>
                        <a:xfrm>
                          <a:off x="0" y="0"/>
                          <a:ext cx="6480175" cy="730250"/>
                        </a:xfrm>
                        <a:prstGeom prst="rect"/>
                        <a:solidFill>
                          <a:srgbClr val="FFFFFF"/>
                        </a:solidFill>
                      </wps:spPr>
                      <wps:txbx>
                        <w:txbxContent>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88" w:before="0" w:after="160"/>
                                    <w:jc w:val="center"/>
                                    <w:rPr>
                                      <w:rFonts w:ascii="Expensify Neue;sans-serif" w:hAnsi="Expensify Neue;sans-serif"/>
                                      <w:b w:val="false"/>
                                      <w:color w:val="000000"/>
                                      <w:sz w:val="20"/>
                                    </w:rPr>
                                  </w:pPr>
                                  <w:r>
                                    <w:rPr>
                                      <w:rFonts w:ascii="Expensify Neue;sans-serif" w:hAnsi="Expensify Neue;sans-serif"/>
                                      <w:b w:val="false"/>
                                      <w:color w:val="000000"/>
                                      <w:sz w:val="20"/>
                                    </w:rPr>
                                    <w:t>8</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57.5pt;mso-wrap-distance-left:0pt;mso-wrap-distance-right:0pt;mso-wrap-distance-top:0pt;mso-wrap-distance-bottom:0pt;margin-top:0pt;mso-position-vertical:top;mso-position-vertical-relative:text;margin-left:0pt;mso-position-horizontal:left;mso-position-horizontal-relative:text">
                <v:textbox>
                  <w:txbxContent>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88" w:before="0" w:after="160"/>
                              <w:jc w:val="center"/>
                              <w:rPr>
                                <w:rFonts w:ascii="Expensify Neue;sans-serif" w:hAnsi="Expensify Neue;sans-serif"/>
                                <w:b w:val="false"/>
                                <w:color w:val="000000"/>
                                <w:sz w:val="20"/>
                              </w:rPr>
                            </w:pPr>
                            <w:r>
                              <w:rPr>
                                <w:rFonts w:ascii="Expensify Neue;sans-serif" w:hAnsi="Expensify Neue;sans-serif"/>
                                <w:b w:val="false"/>
                                <w:color w:val="000000"/>
                                <w:sz w:val="20"/>
                              </w:rPr>
                              <w:t>8</w:t>
                            </w:r>
                          </w:p>
                        </w:tc>
                      </w:tr>
                    </w:tbl>
                    <w:p>
                      <w:pPr>
                        <w:pStyle w:val="TextBody"/>
                        <w:bidi w:val="0"/>
                        <w:spacing w:before="0" w:after="283"/>
                        <w:jc w:val="left"/>
                        <w:rPr/>
                      </w:pPr>
                      <w:r>
                        <w:rPr/>
                      </w:r>
                    </w:p>
                  </w:txbxContent>
                </v:textbox>
                <w10:wrap type="none"/>
              </v:rect>
            </w:pict>
          </mc:Fallback>
        </mc:AlternateContent>
      </w:r>
    </w:p>
    <w:p>
      <w:pPr>
        <w:pStyle w:val="TextBody"/>
        <w:bidi w:val="0"/>
        <w:spacing w:lineRule="auto" w:line="288" w:before="0" w:after="160"/>
        <w:jc w:val="left"/>
        <w:rPr/>
      </w:pPr>
      <w:hyperlink w:anchor="i52a648c4f0e449f7bc3c2044827c8f0d_7">
        <w:r>
          <w:rPr>
            <w:rStyle w:val="InternetLink"/>
            <w:rFonts w:ascii="Expensify Neue;sans-serif" w:hAnsi="Expensify Neue;sans-serif"/>
            <w:b/>
            <w:color w:val="0000FF"/>
            <w:sz w:val="20"/>
            <w:u w:val="single"/>
          </w:rPr>
          <w:t>Table of Contents</w:t>
        </w:r>
      </w:hyperlink>
    </w:p>
    <w:p>
      <w:pPr>
        <w:pStyle w:val="TextBody"/>
        <w:bidi w:val="0"/>
        <w:spacing w:lineRule="auto" w:line="288" w:before="0" w:after="0"/>
        <w:jc w:val="center"/>
        <w:rPr>
          <w:rFonts w:ascii="Expensify Neue;sans-serif" w:hAnsi="Expensify Neue;sans-serif"/>
          <w:b/>
          <w:color w:val="000000"/>
          <w:sz w:val="24"/>
        </w:rPr>
      </w:pPr>
      <w:r>
        <w:rPr>
          <w:rFonts w:ascii="Expensify Neue;sans-serif" w:hAnsi="Expensify Neue;sans-serif"/>
          <w:b/>
          <w:color w:val="000000"/>
          <w:sz w:val="24"/>
        </w:rPr>
        <w:t>Expensify, Inc.</w:t>
      </w:r>
    </w:p>
    <w:p>
      <w:pPr>
        <w:pStyle w:val="TextBody"/>
        <w:bidi w:val="0"/>
        <w:spacing w:lineRule="auto" w:line="288" w:before="0" w:after="0"/>
        <w:jc w:val="center"/>
        <w:rPr>
          <w:rFonts w:ascii="Expensify Neue;sans-serif" w:hAnsi="Expensify Neue;sans-serif"/>
          <w:b/>
          <w:color w:val="000000"/>
          <w:sz w:val="24"/>
        </w:rPr>
      </w:pPr>
      <w:r>
        <w:rPr>
          <w:rFonts w:ascii="Expensify Neue;sans-serif" w:hAnsi="Expensify Neue;sans-serif"/>
          <w:b/>
          <w:color w:val="000000"/>
          <w:sz w:val="24"/>
        </w:rPr>
        <w:t>Notes to the Condensed Consolidated Financial Statements</w:t>
      </w:r>
    </w:p>
    <w:p>
      <w:pPr>
        <w:pStyle w:val="TextBody"/>
        <w:bidi w:val="0"/>
        <w:spacing w:lineRule="auto" w:line="288" w:before="0" w:after="0"/>
        <w:jc w:val="center"/>
        <w:rPr>
          <w:rFonts w:ascii="Expensify Neue;sans-serif" w:hAnsi="Expensify Neue;sans-serif"/>
          <w:b/>
          <w:color w:val="000000"/>
          <w:sz w:val="20"/>
        </w:rPr>
      </w:pPr>
      <w:r>
        <w:rPr>
          <w:rFonts w:ascii="Expensify Neue;sans-serif" w:hAnsi="Expensify Neue;sans-serif"/>
          <w:b/>
          <w:color w:val="000000"/>
          <w:sz w:val="20"/>
        </w:rPr>
        <w:t>(unaudited)</w:t>
      </w:r>
    </w:p>
    <w:p>
      <w:pPr>
        <w:pStyle w:val="TextBody"/>
        <w:bidi w:val="0"/>
        <w:spacing w:lineRule="auto" w:line="288" w:before="0" w:after="160"/>
        <w:jc w:val="left"/>
        <w:rPr>
          <w:rFonts w:ascii="Expensify Neue;sans-serif" w:hAnsi="Expensify Neue;sans-serif"/>
          <w:b/>
          <w:color w:val="002E22"/>
          <w:sz w:val="32"/>
        </w:rPr>
      </w:pPr>
      <w:r>
        <w:rPr>
          <w:rFonts w:ascii="Expensify Neue;sans-serif" w:hAnsi="Expensify Neue;sans-serif"/>
          <w:b/>
          <w:color w:val="002E22"/>
          <w:sz w:val="32"/>
        </w:rPr>
        <w:t>NOTE 2 - REVENUE AND CERTAIN STATEMENT OF OPERATIONS COMPONENTS</w:t>
      </w:r>
    </w:p>
    <w:p>
      <w:pPr>
        <w:pStyle w:val="TextBody"/>
        <w:bidi w:val="0"/>
        <w:spacing w:lineRule="auto" w:line="288" w:before="0" w:after="160"/>
        <w:jc w:val="left"/>
        <w:rPr>
          <w:rFonts w:ascii="Expensify Neue;sans-serif" w:hAnsi="Expensify Neue;sans-serif"/>
          <w:b w:val="false"/>
          <w:color w:val="000000"/>
          <w:sz w:val="20"/>
        </w:rPr>
      </w:pPr>
      <w:r>
        <w:rPr>
          <w:rFonts w:ascii="Expensify Neue;sans-serif" w:hAnsi="Expensify Neue;sans-serif"/>
          <w:b w:val="false"/>
          <w:color w:val="000000"/>
          <w:sz w:val="20"/>
        </w:rPr>
        <w:t>The table below provides the Company's total revenue by geographic region based on the currency of the revenue received (in thousands). No other individual country outside of the United States accounted for more than 10% of total revenue.</w:t>
      </w:r>
    </w:p>
    <w:tbl>
      <w:tblPr>
        <w:tblW w:w="4963" w:type="dxa"/>
        <w:jc w:val="left"/>
        <w:tblInd w:w="0" w:type="dxa"/>
        <w:tblLayout w:type="fixed"/>
        <w:tblCellMar>
          <w:top w:w="28" w:type="dxa"/>
          <w:left w:w="28" w:type="dxa"/>
          <w:bottom w:w="28" w:type="dxa"/>
          <w:right w:w="28" w:type="dxa"/>
        </w:tblCellMar>
      </w:tblPr>
      <w:tblGrid>
        <w:gridCol w:w="684"/>
        <w:gridCol w:w="602"/>
        <w:gridCol w:w="604"/>
        <w:gridCol w:w="258"/>
        <w:gridCol w:w="943"/>
        <w:gridCol w:w="124"/>
        <w:gridCol w:w="124"/>
        <w:gridCol w:w="124"/>
        <w:gridCol w:w="124"/>
        <w:gridCol w:w="258"/>
        <w:gridCol w:w="943"/>
        <w:gridCol w:w="175"/>
      </w:tblGrid>
      <w:tr>
        <w:trPr/>
        <w:tc>
          <w:tcPr>
            <w:tcW w:w="684" w:type="dxa"/>
            <w:tcBorders/>
            <w:vAlign w:val="center"/>
          </w:tcPr>
          <w:p>
            <w:pPr>
              <w:pStyle w:val="TableContents"/>
              <w:bidi w:val="0"/>
              <w:spacing w:before="0" w:after="283"/>
              <w:jc w:val="left"/>
              <w:rPr>
                <w:sz w:val="4"/>
                <w:szCs w:val="4"/>
              </w:rPr>
            </w:pPr>
            <w:r>
              <w:rPr>
                <w:sz w:val="4"/>
                <w:szCs w:val="4"/>
              </w:rPr>
            </w:r>
          </w:p>
        </w:tc>
        <w:tc>
          <w:tcPr>
            <w:tcW w:w="602" w:type="dxa"/>
            <w:tcBorders/>
            <w:vAlign w:val="center"/>
          </w:tcPr>
          <w:p>
            <w:pPr>
              <w:pStyle w:val="TableContents"/>
              <w:bidi w:val="0"/>
              <w:spacing w:before="0" w:after="283"/>
              <w:jc w:val="left"/>
              <w:rPr>
                <w:sz w:val="4"/>
                <w:szCs w:val="4"/>
              </w:rPr>
            </w:pPr>
            <w:r>
              <w:rPr>
                <w:sz w:val="4"/>
                <w:szCs w:val="4"/>
              </w:rPr>
            </w:r>
          </w:p>
        </w:tc>
        <w:tc>
          <w:tcPr>
            <w:tcW w:w="604" w:type="dxa"/>
            <w:tcBorders/>
            <w:vAlign w:val="center"/>
          </w:tcPr>
          <w:p>
            <w:pPr>
              <w:pStyle w:val="TableContents"/>
              <w:bidi w:val="0"/>
              <w:spacing w:before="0" w:after="283"/>
              <w:jc w:val="left"/>
              <w:rPr>
                <w:sz w:val="4"/>
                <w:szCs w:val="4"/>
              </w:rPr>
            </w:pPr>
            <w:r>
              <w:rPr>
                <w:sz w:val="4"/>
                <w:szCs w:val="4"/>
              </w:rPr>
            </w:r>
          </w:p>
        </w:tc>
        <w:tc>
          <w:tcPr>
            <w:tcW w:w="258" w:type="dxa"/>
            <w:tcBorders/>
            <w:vAlign w:val="center"/>
          </w:tcPr>
          <w:p>
            <w:pPr>
              <w:pStyle w:val="TableContents"/>
              <w:bidi w:val="0"/>
              <w:spacing w:before="0" w:after="283"/>
              <w:jc w:val="left"/>
              <w:rPr>
                <w:sz w:val="4"/>
                <w:szCs w:val="4"/>
              </w:rPr>
            </w:pPr>
            <w:r>
              <w:rPr>
                <w:sz w:val="4"/>
                <w:szCs w:val="4"/>
              </w:rPr>
            </w:r>
          </w:p>
        </w:tc>
        <w:tc>
          <w:tcPr>
            <w:tcW w:w="943" w:type="dxa"/>
            <w:tcBorders/>
            <w:vAlign w:val="center"/>
          </w:tcPr>
          <w:p>
            <w:pPr>
              <w:pStyle w:val="TableContents"/>
              <w:bidi w:val="0"/>
              <w:spacing w:before="0" w:after="283"/>
              <w:jc w:val="left"/>
              <w:rPr>
                <w:sz w:val="4"/>
                <w:szCs w:val="4"/>
              </w:rPr>
            </w:pPr>
            <w:r>
              <w:rPr>
                <w:sz w:val="4"/>
                <w:szCs w:val="4"/>
              </w:rPr>
            </w:r>
          </w:p>
        </w:tc>
        <w:tc>
          <w:tcPr>
            <w:tcW w:w="124" w:type="dxa"/>
            <w:tcBorders/>
            <w:vAlign w:val="center"/>
          </w:tcPr>
          <w:p>
            <w:pPr>
              <w:pStyle w:val="TableContents"/>
              <w:bidi w:val="0"/>
              <w:spacing w:before="0" w:after="283"/>
              <w:jc w:val="left"/>
              <w:rPr>
                <w:sz w:val="4"/>
                <w:szCs w:val="4"/>
              </w:rPr>
            </w:pPr>
            <w:r>
              <w:rPr>
                <w:sz w:val="4"/>
                <w:szCs w:val="4"/>
              </w:rPr>
            </w:r>
          </w:p>
        </w:tc>
        <w:tc>
          <w:tcPr>
            <w:tcW w:w="124" w:type="dxa"/>
            <w:tcBorders/>
            <w:vAlign w:val="center"/>
          </w:tcPr>
          <w:p>
            <w:pPr>
              <w:pStyle w:val="TableContents"/>
              <w:bidi w:val="0"/>
              <w:spacing w:before="0" w:after="283"/>
              <w:jc w:val="left"/>
              <w:rPr>
                <w:sz w:val="4"/>
                <w:szCs w:val="4"/>
              </w:rPr>
            </w:pPr>
            <w:r>
              <w:rPr>
                <w:sz w:val="4"/>
                <w:szCs w:val="4"/>
              </w:rPr>
            </w:r>
          </w:p>
        </w:tc>
        <w:tc>
          <w:tcPr>
            <w:tcW w:w="124" w:type="dxa"/>
            <w:tcBorders/>
            <w:vAlign w:val="center"/>
          </w:tcPr>
          <w:p>
            <w:pPr>
              <w:pStyle w:val="TableContents"/>
              <w:bidi w:val="0"/>
              <w:spacing w:before="0" w:after="283"/>
              <w:jc w:val="left"/>
              <w:rPr>
                <w:sz w:val="4"/>
                <w:szCs w:val="4"/>
              </w:rPr>
            </w:pPr>
            <w:r>
              <w:rPr>
                <w:sz w:val="4"/>
                <w:szCs w:val="4"/>
              </w:rPr>
            </w:r>
          </w:p>
        </w:tc>
        <w:tc>
          <w:tcPr>
            <w:tcW w:w="124" w:type="dxa"/>
            <w:tcBorders/>
            <w:vAlign w:val="center"/>
          </w:tcPr>
          <w:p>
            <w:pPr>
              <w:pStyle w:val="TableContents"/>
              <w:bidi w:val="0"/>
              <w:spacing w:before="0" w:after="283"/>
              <w:jc w:val="left"/>
              <w:rPr>
                <w:sz w:val="4"/>
                <w:szCs w:val="4"/>
              </w:rPr>
            </w:pPr>
            <w:r>
              <w:rPr>
                <w:sz w:val="4"/>
                <w:szCs w:val="4"/>
              </w:rPr>
            </w:r>
          </w:p>
        </w:tc>
        <w:tc>
          <w:tcPr>
            <w:tcW w:w="258" w:type="dxa"/>
            <w:tcBorders/>
            <w:vAlign w:val="center"/>
          </w:tcPr>
          <w:p>
            <w:pPr>
              <w:pStyle w:val="TableContents"/>
              <w:bidi w:val="0"/>
              <w:spacing w:before="0" w:after="283"/>
              <w:jc w:val="left"/>
              <w:rPr>
                <w:sz w:val="4"/>
                <w:szCs w:val="4"/>
              </w:rPr>
            </w:pPr>
            <w:r>
              <w:rPr>
                <w:sz w:val="4"/>
                <w:szCs w:val="4"/>
              </w:rPr>
            </w:r>
          </w:p>
        </w:tc>
        <w:tc>
          <w:tcPr>
            <w:tcW w:w="943" w:type="dxa"/>
            <w:tcBorders/>
            <w:vAlign w:val="center"/>
          </w:tcPr>
          <w:p>
            <w:pPr>
              <w:pStyle w:val="TableContents"/>
              <w:bidi w:val="0"/>
              <w:spacing w:before="0" w:after="283"/>
              <w:jc w:val="left"/>
              <w:rPr>
                <w:sz w:val="4"/>
                <w:szCs w:val="4"/>
              </w:rPr>
            </w:pPr>
            <w:r>
              <w:rPr>
                <w:sz w:val="4"/>
                <w:szCs w:val="4"/>
              </w:rPr>
            </w:r>
          </w:p>
        </w:tc>
        <w:tc>
          <w:tcPr>
            <w:tcW w:w="175" w:type="dxa"/>
            <w:tcBorders/>
            <w:vAlign w:val="center"/>
          </w:tcPr>
          <w:p>
            <w:pPr>
              <w:pStyle w:val="TableContents"/>
              <w:bidi w:val="0"/>
              <w:spacing w:before="0" w:after="283"/>
              <w:jc w:val="left"/>
              <w:rPr>
                <w:sz w:val="4"/>
                <w:szCs w:val="4"/>
              </w:rPr>
            </w:pPr>
            <w:r>
              <w:rPr>
                <w:sz w:val="4"/>
                <w:szCs w:val="4"/>
              </w:rPr>
            </w:r>
          </w:p>
        </w:tc>
      </w:tr>
      <w:tr>
        <w:trPr/>
        <w:tc>
          <w:tcPr>
            <w:tcW w:w="1890" w:type="dxa"/>
            <w:gridSpan w:val="3"/>
            <w:tcBorders>
              <w:top w:val="single" w:sz="1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73" w:type="dxa"/>
            <w:gridSpan w:val="9"/>
            <w:tcBorders>
              <w:top w:val="single" w:sz="16"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Expensify Neue;sans-serif" w:hAnsi="Expensify Neue;sans-serif"/>
                <w:b/>
                <w:color w:val="000000"/>
                <w:sz w:val="16"/>
              </w:rPr>
            </w:pPr>
            <w:r>
              <w:rPr>
                <w:rFonts w:ascii="Expensify Neue;sans-serif" w:hAnsi="Expensify Neue;sans-serif"/>
                <w:b/>
                <w:color w:val="000000"/>
                <w:sz w:val="16"/>
              </w:rPr>
              <w:t>Three Months Ended March 31,</w:t>
            </w:r>
          </w:p>
        </w:tc>
      </w:tr>
      <w:tr>
        <w:trPr/>
        <w:tc>
          <w:tcPr>
            <w:tcW w:w="189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Expensify Neue;sans-serif" w:hAnsi="Expensify Neue;sans-serif"/>
                <w:b/>
                <w:color w:val="000000"/>
                <w:sz w:val="16"/>
              </w:rPr>
            </w:pPr>
            <w:r>
              <w:rPr>
                <w:rFonts w:ascii="Expensify Neue;sans-serif" w:hAnsi="Expensify Neue;sans-serif"/>
                <w:b/>
                <w:color w:val="000000"/>
                <w:sz w:val="16"/>
              </w:rPr>
              <w:t>2025</w:t>
            </w:r>
          </w:p>
        </w:tc>
        <w:tc>
          <w:tcPr>
            <w:tcW w:w="372"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Expensify Neue;sans-serif" w:hAnsi="Expensify Neue;sans-serif"/>
                <w:b/>
                <w:color w:val="000000"/>
                <w:sz w:val="16"/>
              </w:rPr>
            </w:pPr>
            <w:r>
              <w:rPr>
                <w:rFonts w:ascii="Expensify Neue;sans-serif" w:hAnsi="Expensify Neue;sans-serif"/>
                <w:b/>
                <w:color w:val="000000"/>
                <w:sz w:val="16"/>
              </w:rPr>
              <w:t>2024</w:t>
            </w:r>
          </w:p>
        </w:tc>
      </w:tr>
      <w:tr>
        <w:trPr/>
        <w:tc>
          <w:tcPr>
            <w:tcW w:w="189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Expensify Neue;sans-serif" w:hAnsi="Expensify Neue;sans-serif"/>
                <w:b w:val="false"/>
                <w:color w:val="000000"/>
                <w:sz w:val="20"/>
              </w:rPr>
            </w:pPr>
            <w:r>
              <w:rPr>
                <w:rFonts w:ascii="Expensify Neue;sans-serif" w:hAnsi="Expensify Neue;sans-serif"/>
                <w:b w:val="false"/>
                <w:color w:val="000000"/>
                <w:sz w:val="20"/>
              </w:rPr>
              <w:t>United States</w:t>
            </w:r>
          </w:p>
        </w:tc>
        <w:tc>
          <w:tcPr>
            <w:tcW w:w="25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Expensify Neue;sans-serif" w:hAnsi="Expensify Neue;sans-serif"/>
                <w:b w:val="false"/>
                <w:color w:val="000000"/>
                <w:sz w:val="20"/>
              </w:rPr>
            </w:pPr>
            <w:r>
              <w:rPr>
                <w:rFonts w:ascii="Expensify Neue;sans-serif" w:hAnsi="Expensify Neue;sans-serif"/>
                <w:b w:val="false"/>
                <w:color w:val="000000"/>
                <w:sz w:val="20"/>
              </w:rPr>
              <w:t>$</w:t>
            </w:r>
          </w:p>
        </w:tc>
        <w:tc>
          <w:tcPr>
            <w:tcW w:w="94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Expensify Neue;sans-serif" w:hAnsi="Expensify Neue;sans-serif"/>
                <w:b w:val="false"/>
                <w:color w:val="000000"/>
                <w:sz w:val="20"/>
              </w:rPr>
            </w:pPr>
            <w:r>
              <w:rPr>
                <w:rFonts w:ascii="Expensify Neue;sans-serif" w:hAnsi="Expensify Neue;sans-serif"/>
                <w:b w:val="false"/>
                <w:color w:val="000000"/>
                <w:sz w:val="20"/>
              </w:rPr>
              <w:t>33,074 </w:t>
            </w:r>
          </w:p>
        </w:tc>
        <w:tc>
          <w:tcPr>
            <w:tcW w:w="12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Expensify Neue;sans-serif" w:hAnsi="Expensify Neue;sans-serif"/>
                <w:b w:val="false"/>
                <w:color w:val="000000"/>
                <w:sz w:val="20"/>
              </w:rPr>
            </w:pPr>
            <w:r>
              <w:rPr>
                <w:rFonts w:ascii="Expensify Neue;sans-serif" w:hAnsi="Expensify Neue;sans-serif"/>
                <w:b w:val="false"/>
                <w:color w:val="000000"/>
                <w:sz w:val="20"/>
              </w:rPr>
              <w:t>$</w:t>
            </w:r>
          </w:p>
        </w:tc>
        <w:tc>
          <w:tcPr>
            <w:tcW w:w="94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Expensify Neue;sans-serif" w:hAnsi="Expensify Neue;sans-serif"/>
                <w:b w:val="false"/>
                <w:color w:val="000000"/>
                <w:sz w:val="20"/>
              </w:rPr>
            </w:pPr>
            <w:r>
              <w:rPr>
                <w:rFonts w:ascii="Expensify Neue;sans-serif" w:hAnsi="Expensify Neue;sans-serif"/>
                <w:b w:val="false"/>
                <w:color w:val="000000"/>
                <w:sz w:val="20"/>
              </w:rPr>
              <w:t>30,513 </w:t>
            </w:r>
          </w:p>
        </w:tc>
        <w:tc>
          <w:tcPr>
            <w:tcW w:w="17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9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Expensify Neue;sans-serif" w:hAnsi="Expensify Neue;sans-serif"/>
                <w:b w:val="false"/>
                <w:color w:val="000000"/>
                <w:sz w:val="20"/>
              </w:rPr>
            </w:pPr>
            <w:r>
              <w:rPr>
                <w:rFonts w:ascii="Expensify Neue;sans-serif" w:hAnsi="Expensify Neue;sans-serif"/>
                <w:b w:val="false"/>
                <w:color w:val="000000"/>
                <w:sz w:val="20"/>
              </w:rPr>
              <w:t>All other locations</w:t>
            </w:r>
          </w:p>
        </w:tc>
        <w:tc>
          <w:tcPr>
            <w:tcW w:w="120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Expensify Neue;sans-serif" w:hAnsi="Expensify Neue;sans-serif"/>
                <w:b w:val="false"/>
                <w:color w:val="000000"/>
                <w:sz w:val="20"/>
              </w:rPr>
            </w:pPr>
            <w:r>
              <w:rPr>
                <w:rFonts w:ascii="Expensify Neue;sans-serif" w:hAnsi="Expensify Neue;sans-serif"/>
                <w:b w:val="false"/>
                <w:color w:val="000000"/>
                <w:sz w:val="20"/>
              </w:rPr>
              <w:t>3,000 </w:t>
            </w:r>
          </w:p>
        </w:tc>
        <w:tc>
          <w:tcPr>
            <w:tcW w:w="12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Expensify Neue;sans-serif" w:hAnsi="Expensify Neue;sans-serif"/>
                <w:b w:val="false"/>
                <w:color w:val="000000"/>
                <w:sz w:val="20"/>
              </w:rPr>
            </w:pPr>
            <w:r>
              <w:rPr>
                <w:rFonts w:ascii="Expensify Neue;sans-serif" w:hAnsi="Expensify Neue;sans-serif"/>
                <w:b w:val="false"/>
                <w:color w:val="000000"/>
                <w:sz w:val="20"/>
              </w:rPr>
              <w:t>3,022 </w:t>
            </w:r>
          </w:p>
        </w:tc>
        <w:tc>
          <w:tcPr>
            <w:tcW w:w="17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9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Expensify Neue;sans-serif" w:hAnsi="Expensify Neue;sans-serif"/>
                <w:b w:val="false"/>
                <w:color w:val="000000"/>
                <w:sz w:val="20"/>
              </w:rPr>
            </w:pPr>
            <w:r>
              <w:rPr>
                <w:rFonts w:ascii="Expensify Neue;sans-serif" w:hAnsi="Expensify Neue;sans-serif"/>
                <w:b w:val="false"/>
                <w:color w:val="000000"/>
                <w:sz w:val="20"/>
              </w:rPr>
              <w:t>Total revenue</w:t>
            </w:r>
          </w:p>
        </w:tc>
        <w:tc>
          <w:tcPr>
            <w:tcW w:w="25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Expensify Neue;sans-serif" w:hAnsi="Expensify Neue;sans-serif"/>
                <w:b w:val="false"/>
                <w:color w:val="000000"/>
                <w:sz w:val="20"/>
              </w:rPr>
            </w:pPr>
            <w:r>
              <w:rPr>
                <w:rFonts w:ascii="Expensify Neue;sans-serif" w:hAnsi="Expensify Neue;sans-serif"/>
                <w:b w:val="false"/>
                <w:color w:val="000000"/>
                <w:sz w:val="20"/>
              </w:rPr>
              <w:t>$</w:t>
            </w:r>
          </w:p>
        </w:tc>
        <w:tc>
          <w:tcPr>
            <w:tcW w:w="94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Expensify Neue;sans-serif" w:hAnsi="Expensify Neue;sans-serif"/>
                <w:b w:val="false"/>
                <w:color w:val="000000"/>
                <w:sz w:val="20"/>
              </w:rPr>
            </w:pPr>
            <w:r>
              <w:rPr>
                <w:rFonts w:ascii="Expensify Neue;sans-serif" w:hAnsi="Expensify Neue;sans-serif"/>
                <w:b w:val="false"/>
                <w:color w:val="000000"/>
                <w:sz w:val="20"/>
              </w:rPr>
              <w:t>36,074 </w:t>
            </w:r>
          </w:p>
        </w:tc>
        <w:tc>
          <w:tcPr>
            <w:tcW w:w="12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Expensify Neue;sans-serif" w:hAnsi="Expensify Neue;sans-serif"/>
                <w:b w:val="false"/>
                <w:color w:val="000000"/>
                <w:sz w:val="20"/>
              </w:rPr>
            </w:pPr>
            <w:r>
              <w:rPr>
                <w:rFonts w:ascii="Expensify Neue;sans-serif" w:hAnsi="Expensify Neue;sans-serif"/>
                <w:b w:val="false"/>
                <w:color w:val="000000"/>
                <w:sz w:val="20"/>
              </w:rPr>
              <w:t>$</w:t>
            </w:r>
          </w:p>
        </w:tc>
        <w:tc>
          <w:tcPr>
            <w:tcW w:w="94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Expensify Neue;sans-serif" w:hAnsi="Expensify Neue;sans-serif"/>
                <w:b w:val="false"/>
                <w:color w:val="000000"/>
                <w:sz w:val="20"/>
              </w:rPr>
            </w:pPr>
            <w:r>
              <w:rPr>
                <w:rFonts w:ascii="Expensify Neue;sans-serif" w:hAnsi="Expensify Neue;sans-serif"/>
                <w:b w:val="false"/>
                <w:color w:val="000000"/>
                <w:sz w:val="20"/>
              </w:rPr>
              <w:t>33,535 </w:t>
            </w:r>
          </w:p>
        </w:tc>
        <w:tc>
          <w:tcPr>
            <w:tcW w:w="17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90" w:type="dxa"/>
            <w:gridSpan w:val="3"/>
            <w:tcBorders>
              <w:bottom w:val="single" w:sz="8" w:space="0" w:color="000000"/>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325" w:type="dxa"/>
            <w:gridSpan w:val="3"/>
            <w:tcBorders>
              <w:top w:val="double" w:sz="8" w:space="0" w:color="000000"/>
              <w:bottom w:val="single" w:sz="8" w:space="0" w:color="000000"/>
            </w:tcBorders>
            <w:shd w:fill="FFFFFF" w:val="clear"/>
            <w:tcMar>
              <w:left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bottom w:val="single" w:sz="8" w:space="0" w:color="000000"/>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376" w:type="dxa"/>
            <w:gridSpan w:val="3"/>
            <w:tcBorders>
              <w:top w:val="double" w:sz="8" w:space="0" w:color="000000"/>
              <w:bottom w:val="single" w:sz="8" w:space="0" w:color="000000"/>
            </w:tcBorders>
            <w:shd w:fill="FFFFFF" w:val="clear"/>
            <w:tcMar>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160"/>
        <w:jc w:val="left"/>
        <w:rPr>
          <w:rFonts w:ascii="Expensify Neue;sans-serif" w:hAnsi="Expensify Neue;sans-serif"/>
          <w:b w:val="false"/>
          <w:color w:val="000000"/>
          <w:sz w:val="20"/>
        </w:rPr>
      </w:pPr>
      <w:r>
        <w:rPr>
          <w:rFonts w:ascii="Expensify Neue;sans-serif" w:hAnsi="Expensify Neue;sans-serif"/>
          <w:b w:val="false"/>
          <w:color w:val="000000"/>
          <w:sz w:val="20"/>
        </w:rPr>
        <w:t>No individual customer represented more than 10% of the Company’s total revenue during each of the three months ended March 31, 2025 and 2024.</w:t>
      </w:r>
    </w:p>
    <w:p>
      <w:pPr>
        <w:pStyle w:val="TextBody"/>
        <w:bidi w:val="0"/>
        <w:spacing w:lineRule="auto" w:line="288" w:before="0" w:after="160"/>
        <w:jc w:val="left"/>
        <w:rPr/>
      </w:pPr>
      <w:r>
        <w:rPr>
          <w:rFonts w:ascii="Expensify Neue;sans-serif" w:hAnsi="Expensify Neue;sans-serif"/>
          <w:b/>
          <w:color w:val="000000"/>
          <w:sz w:val="20"/>
          <w:shd w:fill="FFFFFF" w:val="clear"/>
        </w:rPr>
        <w:t>Cashback Rewards</w:t>
      </w:r>
      <w:r>
        <w:rPr>
          <w:color w:val="000000"/>
          <w:shd w:fill="FFFFFF" w:val="clear"/>
        </w:rPr>
        <w:t xml:space="preserve"> </w:t>
      </w:r>
    </w:p>
    <w:p>
      <w:pPr>
        <w:pStyle w:val="TextBody"/>
        <w:bidi w:val="0"/>
        <w:spacing w:lineRule="auto" w:line="288" w:before="0" w:after="160"/>
        <w:jc w:val="left"/>
        <w:rPr/>
      </w:pPr>
      <w:r>
        <w:rPr>
          <w:rFonts w:ascii="Expensify Neue;sans-serif" w:hAnsi="Expensify Neue;sans-serif"/>
          <w:b w:val="false"/>
          <w:color w:val="000000"/>
          <w:sz w:val="20"/>
          <w:shd w:fill="FFFFFF" w:val="clear"/>
        </w:rPr>
        <w:t xml:space="preserve">The Company offers a cashback rewards program to all customers on the Updated Card Program based on volume of Expensify Card transactions. Cashback rewards are earned on a monthly basis and are applied against outstanding customer receivables or paid out the following month. The Company considers cashback rewards as consideration payable to a customer, and it is recorded as contra revenue within Revenue on the Condensed Consolidated Statements of Operations. </w:t>
      </w:r>
      <w:r>
        <w:rPr>
          <w:rFonts w:ascii="Expensify Neue;sans-serif" w:hAnsi="Expensify Neue;sans-serif"/>
          <w:b w:val="false"/>
          <w:color w:val="000000"/>
          <w:sz w:val="20"/>
        </w:rPr>
        <w:t>Cashback rewards were $2.3 million and $2.0 million for the three months ended March 31, 2025 and 2024, respectively.</w:t>
      </w:r>
    </w:p>
    <w:p>
      <w:pPr>
        <w:pStyle w:val="TextBody"/>
        <w:bidi w:val="0"/>
        <w:spacing w:lineRule="auto" w:line="288" w:before="0" w:after="160"/>
        <w:jc w:val="left"/>
        <w:rPr/>
      </w:pPr>
      <w:r>
        <w:rPr>
          <w:rFonts w:ascii="Expensify Neue;sans-serif" w:hAnsi="Expensify Neue;sans-serif"/>
          <w:b/>
          <w:color w:val="000000"/>
          <w:sz w:val="20"/>
          <w:shd w:fill="FFFFFF" w:val="clear"/>
        </w:rPr>
        <w:t>Interchange</w:t>
      </w:r>
      <w:r>
        <w:rPr>
          <w:color w:val="000000"/>
          <w:shd w:fill="FFFFFF" w:val="clear"/>
        </w:rPr>
        <w:t xml:space="preserve"> </w:t>
      </w:r>
    </w:p>
    <w:p>
      <w:pPr>
        <w:pStyle w:val="TextBody"/>
        <w:bidi w:val="0"/>
        <w:spacing w:lineRule="auto" w:line="288" w:before="0" w:after="160"/>
        <w:jc w:val="left"/>
        <w:rPr/>
      </w:pPr>
      <w:r>
        <w:rPr>
          <w:rFonts w:ascii="Expensify Neue;sans-serif" w:hAnsi="Expensify Neue;sans-serif"/>
          <w:b w:val="false"/>
          <w:color w:val="000000"/>
          <w:sz w:val="20"/>
          <w:shd w:fill="FFFFFF" w:val="clear"/>
        </w:rPr>
        <w:t xml:space="preserve">The Company generates revenue from the authorization and settlement of Expensify Card transactions under the Updated Card Program. The Company is contractually entitled to all interchange generated on Expensify Card transactions based on its agreement with the issuing bank, and such funds are held as restricted cash within Other current assets on the Condensed Consolidated Balance Sheets until released by the issuing bank. Under the Updated Card Program, the Company is the principal in the transaction and recognizes interchange as revenue on a gross basis within Revenue on the accompanying Condensed Consolidated Statements of Operations. </w:t>
      </w:r>
      <w:r>
        <w:rPr>
          <w:rFonts w:ascii="Expensify Neue;sans-serif" w:hAnsi="Expensify Neue;sans-serif"/>
          <w:b w:val="false"/>
          <w:color w:val="000000"/>
          <w:sz w:val="20"/>
        </w:rPr>
        <w:t xml:space="preserve">Interchange revenue was $5.0 million for three months ended March 31, 2025. For the three months ended March 31, 2024, the Company had an immaterial amount of interchange revenue. </w:t>
      </w:r>
    </w:p>
    <w:p>
      <w:pPr>
        <w:pStyle w:val="TextBody"/>
        <w:bidi w:val="0"/>
        <w:spacing w:lineRule="auto" w:line="288" w:before="0" w:after="160"/>
        <w:jc w:val="left"/>
        <w:rPr/>
      </w:pPr>
      <w:r>
        <w:rPr>
          <w:rFonts w:ascii="Expensify Neue;sans-serif" w:hAnsi="Expensify Neue;sans-serif"/>
          <w:b/>
          <w:color w:val="000000"/>
          <w:sz w:val="20"/>
          <w:shd w:fill="FFFFFF" w:val="clear"/>
        </w:rPr>
        <w:t>Consideration From a Vendor, Net</w:t>
      </w:r>
      <w:r>
        <w:rPr>
          <w:color w:val="000000"/>
          <w:shd w:fill="FFFFFF" w:val="clear"/>
        </w:rPr>
        <w:t xml:space="preserve"> </w:t>
      </w:r>
    </w:p>
    <w:p>
      <w:pPr>
        <w:pStyle w:val="TextBody"/>
        <w:bidi w:val="0"/>
        <w:spacing w:lineRule="auto" w:line="288" w:before="0" w:after="160"/>
        <w:jc w:val="left"/>
        <w:rPr/>
      </w:pPr>
      <w:r>
        <w:rPr>
          <w:rFonts w:ascii="Expensify Neue;sans-serif" w:hAnsi="Expensify Neue;sans-serif"/>
          <w:b w:val="false"/>
          <w:color w:val="000000"/>
          <w:sz w:val="20"/>
          <w:shd w:fill="FFFFFF" w:val="clear"/>
        </w:rPr>
        <w:t xml:space="preserve">The Company receives consideration from a vendor for monetizing Expensify Card activities under the Company's previous card program (the "Legacy Card Program"), under which an immaterial number of cardholders continue to operate. </w:t>
      </w:r>
      <w:r>
        <w:rPr>
          <w:rFonts w:ascii="Expensify Neue;sans-serif" w:hAnsi="Expensify Neue;sans-serif"/>
          <w:b w:val="false"/>
          <w:color w:val="000000"/>
          <w:sz w:val="20"/>
        </w:rPr>
        <w:t>The Legacy Card Program operates under an agreement with the payment processor, M</w:t>
      </w:r>
      <w:r>
        <w:rPr>
          <w:rFonts w:ascii="Expensify Neue;sans-serif" w:hAnsi="Expensify Neue;sans-serif"/>
          <w:b w:val="false"/>
          <w:color w:val="000000"/>
          <w:sz w:val="20"/>
          <w:shd w:fill="FFFFFF" w:val="clear"/>
        </w:rPr>
        <w:t xml:space="preserve">arqeta, Inc. ("Marqeta"), </w:t>
      </w:r>
      <w:r>
        <w:rPr>
          <w:rFonts w:ascii="Expensify Neue;sans-serif" w:hAnsi="Expensify Neue;sans-serif"/>
          <w:b w:val="false"/>
          <w:color w:val="000000"/>
          <w:sz w:val="20"/>
        </w:rPr>
        <w:t xml:space="preserve">and relies on Marqeta to manage the relationship with the issuing bank, Sutton Bank, and the card network, Visa, in authorizing and settling transactions. </w:t>
      </w:r>
      <w:r>
        <w:rPr>
          <w:rFonts w:ascii="Expensify Neue;sans-serif" w:hAnsi="Expensify Neue;sans-serif"/>
          <w:b w:val="false"/>
          <w:color w:val="000000"/>
          <w:sz w:val="20"/>
          <w:shd w:fill="FFFFFF" w:val="clear"/>
        </w:rPr>
        <w:t xml:space="preserve">This consideration, net of credit card processing fees paid to the vendor, is included as a reduction to Cost of revenue, net on the Condensed Consolidated Statements of Operations. </w:t>
      </w:r>
      <w:r>
        <w:rPr>
          <w:rFonts w:ascii="Expensify Neue;sans-serif" w:hAnsi="Expensify Neue;sans-serif"/>
          <w:b w:val="false"/>
          <w:color w:val="000000"/>
          <w:sz w:val="20"/>
        </w:rPr>
        <w:t>Consideration from a vendor, net was immaterial for the three months ended March 31, 2025. For the three months ended March 31, 2024, consideration from a vendor, net was $3.2 million.</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6">
                <wp:simplePos x="0" y="0"/>
                <wp:positionH relativeFrom="character">
                  <wp:align>left</wp:align>
                </wp:positionH>
                <wp:positionV relativeFrom="line">
                  <wp:posOffset>635</wp:posOffset>
                </wp:positionV>
                <wp:extent cx="6480175" cy="730250"/>
                <wp:effectExtent l="0" t="0" r="0" b="0"/>
                <wp:wrapNone/>
                <wp:docPr id="15" name="Frame14"/>
                <a:graphic xmlns:a="http://schemas.openxmlformats.org/drawingml/2006/main">
                  <a:graphicData uri="http://schemas.microsoft.com/office/word/2010/wordprocessingShape">
                    <wps:wsp>
                      <wps:cNvSpPr txBox="1"/>
                      <wps:spPr>
                        <a:xfrm>
                          <a:off x="0" y="0"/>
                          <a:ext cx="6480175" cy="730250"/>
                        </a:xfrm>
                        <a:prstGeom prst="rect"/>
                        <a:solidFill>
                          <a:srgbClr val="FFFFFF"/>
                        </a:solidFill>
                      </wps:spPr>
                      <wps:txbx>
                        <w:txbxContent>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88" w:before="0" w:after="160"/>
                                    <w:jc w:val="center"/>
                                    <w:rPr>
                                      <w:rFonts w:ascii="Expensify Neue;sans-serif" w:hAnsi="Expensify Neue;sans-serif"/>
                                      <w:b w:val="false"/>
                                      <w:color w:val="000000"/>
                                      <w:sz w:val="20"/>
                                    </w:rPr>
                                  </w:pPr>
                                  <w:r>
                                    <w:rPr>
                                      <w:rFonts w:ascii="Expensify Neue;sans-serif" w:hAnsi="Expensify Neue;sans-serif"/>
                                      <w:b w:val="false"/>
                                      <w:color w:val="000000"/>
                                      <w:sz w:val="20"/>
                                    </w:rPr>
                                    <w:t>9</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57.5pt;mso-wrap-distance-left:0pt;mso-wrap-distance-right:0pt;mso-wrap-distance-top:0pt;mso-wrap-distance-bottom:0pt;margin-top:0pt;mso-position-vertical:top;mso-position-vertical-relative:text;margin-left:0pt;mso-position-horizontal:left;mso-position-horizontal-relative:text">
                <v:textbox>
                  <w:txbxContent>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88" w:before="0" w:after="160"/>
                              <w:jc w:val="center"/>
                              <w:rPr>
                                <w:rFonts w:ascii="Expensify Neue;sans-serif" w:hAnsi="Expensify Neue;sans-serif"/>
                                <w:b w:val="false"/>
                                <w:color w:val="000000"/>
                                <w:sz w:val="20"/>
                              </w:rPr>
                            </w:pPr>
                            <w:r>
                              <w:rPr>
                                <w:rFonts w:ascii="Expensify Neue;sans-serif" w:hAnsi="Expensify Neue;sans-serif"/>
                                <w:b w:val="false"/>
                                <w:color w:val="000000"/>
                                <w:sz w:val="20"/>
                              </w:rPr>
                              <w:t>9</w:t>
                            </w:r>
                          </w:p>
                        </w:tc>
                      </w:tr>
                    </w:tbl>
                    <w:p>
                      <w:pPr>
                        <w:pStyle w:val="TextBody"/>
                        <w:bidi w:val="0"/>
                        <w:spacing w:before="0" w:after="283"/>
                        <w:jc w:val="left"/>
                        <w:rPr/>
                      </w:pPr>
                      <w:r>
                        <w:rPr/>
                      </w:r>
                    </w:p>
                  </w:txbxContent>
                </v:textbox>
                <w10:wrap type="none"/>
              </v:rect>
            </w:pict>
          </mc:Fallback>
        </mc:AlternateContent>
      </w:r>
    </w:p>
    <w:p>
      <w:pPr>
        <w:pStyle w:val="TextBody"/>
        <w:bidi w:val="0"/>
        <w:spacing w:lineRule="auto" w:line="288" w:before="0" w:after="160"/>
        <w:jc w:val="left"/>
        <w:rPr/>
      </w:pPr>
      <w:hyperlink w:anchor="i52a648c4f0e449f7bc3c2044827c8f0d_7">
        <w:r>
          <w:rPr>
            <w:rStyle w:val="InternetLink"/>
            <w:rFonts w:ascii="Expensify Neue;sans-serif" w:hAnsi="Expensify Neue;sans-serif"/>
            <w:b/>
            <w:color w:val="0000FF"/>
            <w:sz w:val="20"/>
            <w:u w:val="single"/>
          </w:rPr>
          <w:t>Table of Contents</w:t>
        </w:r>
      </w:hyperlink>
    </w:p>
    <w:p>
      <w:pPr>
        <w:pStyle w:val="TextBody"/>
        <w:bidi w:val="0"/>
        <w:spacing w:lineRule="auto" w:line="288" w:before="0" w:after="0"/>
        <w:jc w:val="center"/>
        <w:rPr>
          <w:rFonts w:ascii="Expensify Neue;sans-serif" w:hAnsi="Expensify Neue;sans-serif"/>
          <w:b/>
          <w:color w:val="000000"/>
          <w:sz w:val="24"/>
        </w:rPr>
      </w:pPr>
      <w:r>
        <w:rPr>
          <w:rFonts w:ascii="Expensify Neue;sans-serif" w:hAnsi="Expensify Neue;sans-serif"/>
          <w:b/>
          <w:color w:val="000000"/>
          <w:sz w:val="24"/>
        </w:rPr>
        <w:t>Expensify, Inc.</w:t>
      </w:r>
    </w:p>
    <w:p>
      <w:pPr>
        <w:pStyle w:val="TextBody"/>
        <w:bidi w:val="0"/>
        <w:spacing w:lineRule="auto" w:line="288" w:before="0" w:after="0"/>
        <w:jc w:val="center"/>
        <w:rPr>
          <w:rFonts w:ascii="Expensify Neue;sans-serif" w:hAnsi="Expensify Neue;sans-serif"/>
          <w:b/>
          <w:color w:val="000000"/>
          <w:sz w:val="24"/>
        </w:rPr>
      </w:pPr>
      <w:r>
        <w:rPr>
          <w:rFonts w:ascii="Expensify Neue;sans-serif" w:hAnsi="Expensify Neue;sans-serif"/>
          <w:b/>
          <w:color w:val="000000"/>
          <w:sz w:val="24"/>
        </w:rPr>
        <w:t>Notes to the Condensed Consolidated Financial Statements</w:t>
      </w:r>
    </w:p>
    <w:p>
      <w:pPr>
        <w:pStyle w:val="TextBody"/>
        <w:bidi w:val="0"/>
        <w:spacing w:lineRule="auto" w:line="288" w:before="0" w:after="0"/>
        <w:jc w:val="center"/>
        <w:rPr>
          <w:rFonts w:ascii="Expensify Neue;sans-serif" w:hAnsi="Expensify Neue;sans-serif"/>
          <w:b/>
          <w:color w:val="000000"/>
          <w:sz w:val="20"/>
        </w:rPr>
      </w:pPr>
      <w:r>
        <w:rPr>
          <w:rFonts w:ascii="Expensify Neue;sans-serif" w:hAnsi="Expensify Neue;sans-serif"/>
          <w:b/>
          <w:color w:val="000000"/>
          <w:sz w:val="20"/>
        </w:rPr>
        <w:t>(unaudited)</w:t>
      </w:r>
    </w:p>
    <w:p>
      <w:pPr>
        <w:pStyle w:val="TextBody"/>
        <w:bidi w:val="0"/>
        <w:spacing w:lineRule="auto" w:line="288" w:before="0" w:after="160"/>
        <w:jc w:val="left"/>
        <w:rPr>
          <w:rFonts w:ascii="Expensify Neue;sans-serif" w:hAnsi="Expensify Neue;sans-serif"/>
          <w:b/>
          <w:color w:val="002E22"/>
          <w:sz w:val="32"/>
        </w:rPr>
      </w:pPr>
      <w:r>
        <w:rPr>
          <w:rFonts w:ascii="Expensify Neue;sans-serif" w:hAnsi="Expensify Neue;sans-serif"/>
          <w:b/>
          <w:color w:val="002E22"/>
          <w:sz w:val="32"/>
        </w:rPr>
        <w:t>NOTE 3 - CERTAIN BALANCE SHEET COMPONENTS</w:t>
      </w:r>
    </w:p>
    <w:p>
      <w:pPr>
        <w:pStyle w:val="TextBody"/>
        <w:bidi w:val="0"/>
        <w:spacing w:lineRule="auto" w:line="288" w:before="0" w:after="160"/>
        <w:jc w:val="left"/>
        <w:rPr>
          <w:rFonts w:ascii="Expensify Neue;sans-serif" w:hAnsi="Expensify Neue;sans-serif"/>
          <w:b/>
          <w:color w:val="000000"/>
          <w:sz w:val="20"/>
        </w:rPr>
      </w:pPr>
      <w:r>
        <w:rPr>
          <w:rFonts w:ascii="Expensify Neue;sans-serif" w:hAnsi="Expensify Neue;sans-serif"/>
          <w:b/>
          <w:color w:val="000000"/>
          <w:sz w:val="20"/>
        </w:rPr>
        <w:t>Other Current Assets</w:t>
      </w:r>
    </w:p>
    <w:p>
      <w:pPr>
        <w:pStyle w:val="TextBody"/>
        <w:bidi w:val="0"/>
        <w:spacing w:lineRule="auto" w:line="288" w:before="0" w:after="160"/>
        <w:jc w:val="left"/>
        <w:rPr>
          <w:rFonts w:ascii="Expensify Neue;sans-serif" w:hAnsi="Expensify Neue;sans-serif"/>
          <w:b w:val="false"/>
          <w:color w:val="000000"/>
          <w:sz w:val="20"/>
        </w:rPr>
      </w:pPr>
      <w:r>
        <w:rPr>
          <w:rFonts w:ascii="Expensify Neue;sans-serif" w:hAnsi="Expensify Neue;sans-serif"/>
          <w:b w:val="false"/>
          <w:color w:val="000000"/>
          <w:sz w:val="20"/>
        </w:rPr>
        <w:t>Other current assets consisted of the following (in thousands):</w:t>
      </w:r>
    </w:p>
    <w:tbl>
      <w:tblPr>
        <w:tblW w:w="10000" w:type="dxa"/>
        <w:jc w:val="left"/>
        <w:tblInd w:w="0" w:type="dxa"/>
        <w:tblLayout w:type="fixed"/>
        <w:tblCellMar>
          <w:top w:w="28" w:type="dxa"/>
          <w:left w:w="28" w:type="dxa"/>
          <w:bottom w:w="28" w:type="dxa"/>
          <w:right w:w="28" w:type="dxa"/>
        </w:tblCellMar>
      </w:tblPr>
      <w:tblGrid>
        <w:gridCol w:w="2210"/>
        <w:gridCol w:w="1942"/>
        <w:gridCol w:w="1953"/>
        <w:gridCol w:w="309"/>
        <w:gridCol w:w="1131"/>
        <w:gridCol w:w="149"/>
        <w:gridCol w:w="109"/>
        <w:gridCol w:w="109"/>
        <w:gridCol w:w="109"/>
        <w:gridCol w:w="371"/>
        <w:gridCol w:w="1356"/>
        <w:gridCol w:w="252"/>
      </w:tblGrid>
      <w:tr>
        <w:trPr/>
        <w:tc>
          <w:tcPr>
            <w:tcW w:w="2210" w:type="dxa"/>
            <w:tcBorders/>
            <w:vAlign w:val="center"/>
          </w:tcPr>
          <w:p>
            <w:pPr>
              <w:pStyle w:val="TableContents"/>
              <w:bidi w:val="0"/>
              <w:spacing w:before="0" w:after="283"/>
              <w:jc w:val="left"/>
              <w:rPr>
                <w:sz w:val="4"/>
                <w:szCs w:val="4"/>
              </w:rPr>
            </w:pPr>
            <w:r>
              <w:rPr>
                <w:sz w:val="4"/>
                <w:szCs w:val="4"/>
              </w:rPr>
            </w:r>
          </w:p>
        </w:tc>
        <w:tc>
          <w:tcPr>
            <w:tcW w:w="1942" w:type="dxa"/>
            <w:tcBorders/>
            <w:vAlign w:val="center"/>
          </w:tcPr>
          <w:p>
            <w:pPr>
              <w:pStyle w:val="TableContents"/>
              <w:bidi w:val="0"/>
              <w:spacing w:before="0" w:after="283"/>
              <w:jc w:val="left"/>
              <w:rPr>
                <w:sz w:val="4"/>
                <w:szCs w:val="4"/>
              </w:rPr>
            </w:pPr>
            <w:r>
              <w:rPr>
                <w:sz w:val="4"/>
                <w:szCs w:val="4"/>
              </w:rPr>
            </w:r>
          </w:p>
        </w:tc>
        <w:tc>
          <w:tcPr>
            <w:tcW w:w="1953" w:type="dxa"/>
            <w:tcBorders/>
            <w:vAlign w:val="center"/>
          </w:tcPr>
          <w:p>
            <w:pPr>
              <w:pStyle w:val="TableContents"/>
              <w:bidi w:val="0"/>
              <w:spacing w:before="0" w:after="283"/>
              <w:jc w:val="left"/>
              <w:rPr>
                <w:sz w:val="4"/>
                <w:szCs w:val="4"/>
              </w:rPr>
            </w:pPr>
            <w:r>
              <w:rPr>
                <w:sz w:val="4"/>
                <w:szCs w:val="4"/>
              </w:rPr>
            </w:r>
          </w:p>
        </w:tc>
        <w:tc>
          <w:tcPr>
            <w:tcW w:w="309" w:type="dxa"/>
            <w:tcBorders/>
            <w:vAlign w:val="center"/>
          </w:tcPr>
          <w:p>
            <w:pPr>
              <w:pStyle w:val="TableContents"/>
              <w:bidi w:val="0"/>
              <w:spacing w:before="0" w:after="283"/>
              <w:jc w:val="left"/>
              <w:rPr>
                <w:sz w:val="4"/>
                <w:szCs w:val="4"/>
              </w:rPr>
            </w:pPr>
            <w:r>
              <w:rPr>
                <w:sz w:val="4"/>
                <w:szCs w:val="4"/>
              </w:rPr>
            </w:r>
          </w:p>
        </w:tc>
        <w:tc>
          <w:tcPr>
            <w:tcW w:w="1131" w:type="dxa"/>
            <w:tcBorders/>
            <w:vAlign w:val="center"/>
          </w:tcPr>
          <w:p>
            <w:pPr>
              <w:pStyle w:val="TableContents"/>
              <w:bidi w:val="0"/>
              <w:spacing w:before="0" w:after="283"/>
              <w:jc w:val="left"/>
              <w:rPr>
                <w:sz w:val="4"/>
                <w:szCs w:val="4"/>
              </w:rPr>
            </w:pPr>
            <w:r>
              <w:rPr>
                <w:sz w:val="4"/>
                <w:szCs w:val="4"/>
              </w:rPr>
            </w:r>
          </w:p>
        </w:tc>
        <w:tc>
          <w:tcPr>
            <w:tcW w:w="14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71" w:type="dxa"/>
            <w:tcBorders/>
            <w:vAlign w:val="center"/>
          </w:tcPr>
          <w:p>
            <w:pPr>
              <w:pStyle w:val="TableContents"/>
              <w:bidi w:val="0"/>
              <w:spacing w:before="0" w:after="283"/>
              <w:jc w:val="left"/>
              <w:rPr>
                <w:sz w:val="4"/>
                <w:szCs w:val="4"/>
              </w:rPr>
            </w:pPr>
            <w:r>
              <w:rPr>
                <w:sz w:val="4"/>
                <w:szCs w:val="4"/>
              </w:rPr>
            </w:r>
          </w:p>
        </w:tc>
        <w:tc>
          <w:tcPr>
            <w:tcW w:w="1356" w:type="dxa"/>
            <w:tcBorders/>
            <w:vAlign w:val="center"/>
          </w:tcPr>
          <w:p>
            <w:pPr>
              <w:pStyle w:val="TableContents"/>
              <w:bidi w:val="0"/>
              <w:spacing w:before="0" w:after="283"/>
              <w:jc w:val="left"/>
              <w:rPr>
                <w:sz w:val="4"/>
                <w:szCs w:val="4"/>
              </w:rPr>
            </w:pPr>
            <w:r>
              <w:rPr>
                <w:sz w:val="4"/>
                <w:szCs w:val="4"/>
              </w:rPr>
            </w:r>
          </w:p>
        </w:tc>
        <w:tc>
          <w:tcPr>
            <w:tcW w:w="252" w:type="dxa"/>
            <w:tcBorders/>
            <w:vAlign w:val="center"/>
          </w:tcPr>
          <w:p>
            <w:pPr>
              <w:pStyle w:val="TableContents"/>
              <w:bidi w:val="0"/>
              <w:spacing w:before="0" w:after="283"/>
              <w:jc w:val="left"/>
              <w:rPr>
                <w:sz w:val="4"/>
                <w:szCs w:val="4"/>
              </w:rPr>
            </w:pPr>
            <w:r>
              <w:rPr>
                <w:sz w:val="4"/>
                <w:szCs w:val="4"/>
              </w:rPr>
            </w:r>
          </w:p>
        </w:tc>
      </w:tr>
      <w:tr>
        <w:trPr/>
        <w:tc>
          <w:tcPr>
            <w:tcW w:w="6105" w:type="dxa"/>
            <w:gridSpan w:val="3"/>
            <w:tcBorders>
              <w:top w:val="single" w:sz="16"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89" w:type="dxa"/>
            <w:gridSpan w:val="3"/>
            <w:tcBorders>
              <w:top w:val="single" w:sz="16"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Expensify Neue;sans-serif" w:hAnsi="Expensify Neue;sans-serif"/>
                <w:b/>
                <w:color w:val="000000"/>
                <w:sz w:val="16"/>
              </w:rPr>
            </w:pPr>
            <w:r>
              <w:rPr>
                <w:rFonts w:ascii="Expensify Neue;sans-serif" w:hAnsi="Expensify Neue;sans-serif"/>
                <w:b/>
                <w:color w:val="000000"/>
                <w:sz w:val="16"/>
              </w:rPr>
              <w:t>As of March 31,</w:t>
            </w:r>
          </w:p>
        </w:tc>
        <w:tc>
          <w:tcPr>
            <w:tcW w:w="327" w:type="dxa"/>
            <w:gridSpan w:val="3"/>
            <w:tcBorders>
              <w:top w:val="single" w:sz="16"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79" w:type="dxa"/>
            <w:gridSpan w:val="3"/>
            <w:tcBorders>
              <w:top w:val="single" w:sz="16"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Expensify Neue;sans-serif" w:hAnsi="Expensify Neue;sans-serif"/>
                <w:b/>
                <w:color w:val="000000"/>
                <w:sz w:val="16"/>
              </w:rPr>
            </w:pPr>
            <w:r>
              <w:rPr>
                <w:rFonts w:ascii="Expensify Neue;sans-serif" w:hAnsi="Expensify Neue;sans-serif"/>
                <w:b/>
                <w:color w:val="000000"/>
                <w:sz w:val="16"/>
              </w:rPr>
              <w:t>As of December 31,</w:t>
            </w:r>
          </w:p>
        </w:tc>
      </w:tr>
      <w:tr>
        <w:trPr/>
        <w:tc>
          <w:tcPr>
            <w:tcW w:w="610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89"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Expensify Neue;sans-serif" w:hAnsi="Expensify Neue;sans-serif"/>
                <w:b/>
                <w:color w:val="000000"/>
                <w:sz w:val="16"/>
              </w:rPr>
            </w:pPr>
            <w:r>
              <w:rPr>
                <w:rFonts w:ascii="Expensify Neue;sans-serif" w:hAnsi="Expensify Neue;sans-serif"/>
                <w:b/>
                <w:color w:val="000000"/>
                <w:sz w:val="16"/>
              </w:rPr>
              <w:t>2025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79"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Expensify Neue;sans-serif" w:hAnsi="Expensify Neue;sans-serif"/>
                <w:b/>
                <w:color w:val="000000"/>
                <w:sz w:val="16"/>
              </w:rPr>
            </w:pPr>
            <w:r>
              <w:rPr>
                <w:rFonts w:ascii="Expensify Neue;sans-serif" w:hAnsi="Expensify Neue;sans-serif"/>
                <w:b/>
                <w:color w:val="000000"/>
                <w:sz w:val="16"/>
              </w:rPr>
              <w:t>2024</w:t>
            </w:r>
          </w:p>
        </w:tc>
      </w:tr>
      <w:tr>
        <w:trPr/>
        <w:tc>
          <w:tcPr>
            <w:tcW w:w="610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Expensify Neue;sans-serif" w:hAnsi="Expensify Neue;sans-serif"/>
                <w:b w:val="false"/>
                <w:color w:val="000000"/>
                <w:sz w:val="20"/>
              </w:rPr>
            </w:pPr>
            <w:r>
              <w:rPr>
                <w:rFonts w:ascii="Expensify Neue;sans-serif" w:hAnsi="Expensify Neue;sans-serif"/>
                <w:b w:val="false"/>
                <w:color w:val="000000"/>
                <w:sz w:val="20"/>
              </w:rPr>
              <w:t>Expensify Card posted collateral for funds held for customers</w:t>
            </w:r>
          </w:p>
        </w:tc>
        <w:tc>
          <w:tcPr>
            <w:tcW w:w="30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Expensify Neue;sans-serif" w:hAnsi="Expensify Neue;sans-serif"/>
                <w:b w:val="false"/>
                <w:color w:val="000000"/>
                <w:sz w:val="20"/>
              </w:rPr>
            </w:pPr>
            <w:r>
              <w:rPr>
                <w:rFonts w:ascii="Expensify Neue;sans-serif" w:hAnsi="Expensify Neue;sans-serif"/>
                <w:b w:val="false"/>
                <w:color w:val="000000"/>
                <w:sz w:val="20"/>
              </w:rPr>
              <w:t>$</w:t>
            </w:r>
          </w:p>
        </w:tc>
        <w:tc>
          <w:tcPr>
            <w:tcW w:w="113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Expensify Neue;sans-serif" w:hAnsi="Expensify Neue;sans-serif"/>
                <w:b w:val="false"/>
                <w:color w:val="000000"/>
                <w:sz w:val="20"/>
              </w:rPr>
            </w:pPr>
            <w:r>
              <w:rPr>
                <w:rFonts w:ascii="Expensify Neue;sans-serif" w:hAnsi="Expensify Neue;sans-serif"/>
                <w:b w:val="false"/>
                <w:color w:val="000000"/>
                <w:sz w:val="20"/>
              </w:rPr>
              <w:t>11,328 </w:t>
            </w:r>
          </w:p>
        </w:tc>
        <w:tc>
          <w:tcPr>
            <w:tcW w:w="14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Expensify Neue;sans-serif" w:hAnsi="Expensify Neue;sans-serif"/>
                <w:b w:val="false"/>
                <w:color w:val="000000"/>
                <w:sz w:val="20"/>
              </w:rPr>
            </w:pPr>
            <w:r>
              <w:rPr>
                <w:rFonts w:ascii="Expensify Neue;sans-serif" w:hAnsi="Expensify Neue;sans-serif"/>
                <w:b w:val="false"/>
                <w:color w:val="000000"/>
                <w:sz w:val="20"/>
              </w:rPr>
              <w:t>$</w:t>
            </w:r>
          </w:p>
        </w:tc>
        <w:tc>
          <w:tcPr>
            <w:tcW w:w="135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Expensify Neue;sans-serif" w:hAnsi="Expensify Neue;sans-serif"/>
                <w:b w:val="false"/>
                <w:color w:val="000000"/>
                <w:sz w:val="20"/>
              </w:rPr>
            </w:pPr>
            <w:r>
              <w:rPr>
                <w:rFonts w:ascii="Expensify Neue;sans-serif" w:hAnsi="Expensify Neue;sans-serif"/>
                <w:b w:val="false"/>
                <w:color w:val="000000"/>
                <w:sz w:val="20"/>
              </w:rPr>
              <w:t>12,415 </w:t>
            </w:r>
          </w:p>
        </w:tc>
        <w:tc>
          <w:tcPr>
            <w:tcW w:w="25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0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Expensify Neue;sans-serif" w:hAnsi="Expensify Neue;sans-serif"/>
                <w:b w:val="false"/>
                <w:color w:val="000000"/>
                <w:sz w:val="20"/>
              </w:rPr>
            </w:pPr>
            <w:r>
              <w:rPr>
                <w:rFonts w:ascii="Expensify Neue;sans-serif" w:hAnsi="Expensify Neue;sans-serif"/>
                <w:b w:val="false"/>
                <w:color w:val="000000"/>
                <w:sz w:val="20"/>
              </w:rPr>
              <w:t>Expensify.org restricted cash</w:t>
            </w:r>
          </w:p>
        </w:tc>
        <w:tc>
          <w:tcPr>
            <w:tcW w:w="144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Expensify Neue;sans-serif" w:hAnsi="Expensify Neue;sans-serif"/>
                <w:b w:val="false"/>
                <w:color w:val="000000"/>
                <w:sz w:val="20"/>
              </w:rPr>
            </w:pPr>
            <w:r>
              <w:rPr>
                <w:rFonts w:ascii="Expensify Neue;sans-serif" w:hAnsi="Expensify Neue;sans-serif"/>
                <w:b w:val="false"/>
                <w:color w:val="000000"/>
                <w:sz w:val="20"/>
              </w:rPr>
              <w:t>5,987 </w:t>
            </w:r>
          </w:p>
        </w:tc>
        <w:tc>
          <w:tcPr>
            <w:tcW w:w="14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Expensify Neue;sans-serif" w:hAnsi="Expensify Neue;sans-serif"/>
                <w:b w:val="false"/>
                <w:color w:val="000000"/>
                <w:sz w:val="20"/>
              </w:rPr>
            </w:pPr>
            <w:r>
              <w:rPr>
                <w:rFonts w:ascii="Expensify Neue;sans-serif" w:hAnsi="Expensify Neue;sans-serif"/>
                <w:b w:val="false"/>
                <w:color w:val="000000"/>
                <w:sz w:val="20"/>
              </w:rPr>
              <w:t>5,972 </w:t>
            </w:r>
          </w:p>
        </w:tc>
        <w:tc>
          <w:tcPr>
            <w:tcW w:w="25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0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Expensify Neue;sans-serif" w:hAnsi="Expensify Neue;sans-serif"/>
                <w:b w:val="false"/>
                <w:color w:val="000000"/>
                <w:sz w:val="20"/>
              </w:rPr>
            </w:pPr>
            <w:r>
              <w:rPr>
                <w:rFonts w:ascii="Expensify Neue;sans-serif" w:hAnsi="Expensify Neue;sans-serif"/>
                <w:b w:val="false"/>
                <w:color w:val="000000"/>
                <w:sz w:val="20"/>
              </w:rPr>
              <w:t>Earned interchange restricted cash</w:t>
            </w:r>
          </w:p>
        </w:tc>
        <w:tc>
          <w:tcPr>
            <w:tcW w:w="144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Expensify Neue;sans-serif" w:hAnsi="Expensify Neue;sans-serif"/>
                <w:b w:val="false"/>
                <w:color w:val="000000"/>
                <w:sz w:val="20"/>
              </w:rPr>
            </w:pPr>
            <w:r>
              <w:rPr>
                <w:rFonts w:ascii="Expensify Neue;sans-serif" w:hAnsi="Expensify Neue;sans-serif"/>
                <w:b w:val="false"/>
                <w:color w:val="000000"/>
                <w:sz w:val="20"/>
              </w:rPr>
              <w:t>1,750 </w:t>
            </w:r>
          </w:p>
        </w:tc>
        <w:tc>
          <w:tcPr>
            <w:tcW w:w="14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Expensify Neue;sans-serif" w:hAnsi="Expensify Neue;sans-serif"/>
                <w:b w:val="false"/>
                <w:color w:val="000000"/>
                <w:sz w:val="20"/>
              </w:rPr>
            </w:pPr>
            <w:r>
              <w:rPr>
                <w:rFonts w:ascii="Expensify Neue;sans-serif" w:hAnsi="Expensify Neue;sans-serif"/>
                <w:b w:val="false"/>
                <w:color w:val="000000"/>
                <w:sz w:val="20"/>
              </w:rPr>
              <w:t>1,442 </w:t>
            </w:r>
          </w:p>
        </w:tc>
        <w:tc>
          <w:tcPr>
            <w:tcW w:w="25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0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Expensify Neue;sans-serif" w:hAnsi="Expensify Neue;sans-serif"/>
                <w:b w:val="false"/>
                <w:color w:val="000000"/>
                <w:sz w:val="20"/>
              </w:rPr>
            </w:pPr>
            <w:r>
              <w:rPr>
                <w:rFonts w:ascii="Expensify Neue;sans-serif" w:hAnsi="Expensify Neue;sans-serif"/>
                <w:b w:val="false"/>
                <w:color w:val="000000"/>
                <w:sz w:val="20"/>
              </w:rPr>
              <w:t>Deferred contract acquisition costs</w:t>
            </w:r>
          </w:p>
        </w:tc>
        <w:tc>
          <w:tcPr>
            <w:tcW w:w="144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Expensify Neue;sans-serif" w:hAnsi="Expensify Neue;sans-serif"/>
                <w:b w:val="false"/>
                <w:color w:val="000000"/>
                <w:sz w:val="20"/>
              </w:rPr>
            </w:pPr>
            <w:r>
              <w:rPr>
                <w:rFonts w:ascii="Expensify Neue;sans-serif" w:hAnsi="Expensify Neue;sans-serif"/>
                <w:b w:val="false"/>
                <w:color w:val="000000"/>
                <w:sz w:val="20"/>
              </w:rPr>
              <w:t>400 </w:t>
            </w:r>
          </w:p>
        </w:tc>
        <w:tc>
          <w:tcPr>
            <w:tcW w:w="14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Expensify Neue;sans-serif" w:hAnsi="Expensify Neue;sans-serif"/>
                <w:b w:val="false"/>
                <w:color w:val="000000"/>
                <w:sz w:val="20"/>
              </w:rPr>
            </w:pPr>
            <w:r>
              <w:rPr>
                <w:rFonts w:ascii="Expensify Neue;sans-serif" w:hAnsi="Expensify Neue;sans-serif"/>
                <w:b w:val="false"/>
                <w:color w:val="000000"/>
                <w:sz w:val="20"/>
              </w:rPr>
              <w:t>339 </w:t>
            </w:r>
          </w:p>
        </w:tc>
        <w:tc>
          <w:tcPr>
            <w:tcW w:w="25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0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Expensify Neue;sans-serif" w:hAnsi="Expensify Neue;sans-serif"/>
                <w:b w:val="false"/>
                <w:color w:val="000000"/>
                <w:sz w:val="20"/>
              </w:rPr>
            </w:pPr>
            <w:r>
              <w:rPr>
                <w:rFonts w:ascii="Expensify Neue;sans-serif" w:hAnsi="Expensify Neue;sans-serif"/>
                <w:b w:val="false"/>
                <w:color w:val="000000"/>
                <w:sz w:val="20"/>
              </w:rPr>
              <w:t>Income tax receivable</w:t>
            </w:r>
          </w:p>
        </w:tc>
        <w:tc>
          <w:tcPr>
            <w:tcW w:w="144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Expensify Neue;sans-serif" w:hAnsi="Expensify Neue;sans-serif"/>
                <w:b w:val="false"/>
                <w:color w:val="000000"/>
                <w:sz w:val="20"/>
              </w:rPr>
            </w:pPr>
            <w:r>
              <w:rPr>
                <w:rFonts w:ascii="Expensify Neue;sans-serif" w:hAnsi="Expensify Neue;sans-serif"/>
                <w:b w:val="false"/>
                <w:color w:val="000000"/>
                <w:sz w:val="20"/>
              </w:rPr>
              <w:t>274 </w:t>
            </w:r>
          </w:p>
        </w:tc>
        <w:tc>
          <w:tcPr>
            <w:tcW w:w="14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Expensify Neue;sans-serif" w:hAnsi="Expensify Neue;sans-serif"/>
                <w:b w:val="false"/>
                <w:color w:val="000000"/>
                <w:sz w:val="20"/>
              </w:rPr>
            </w:pPr>
            <w:r>
              <w:rPr>
                <w:rFonts w:ascii="Expensify Neue;sans-serif" w:hAnsi="Expensify Neue;sans-serif"/>
                <w:b w:val="false"/>
                <w:color w:val="000000"/>
                <w:sz w:val="20"/>
              </w:rPr>
              <w:t>429 </w:t>
            </w:r>
          </w:p>
        </w:tc>
        <w:tc>
          <w:tcPr>
            <w:tcW w:w="25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0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Expensify Neue;sans-serif" w:hAnsi="Expensify Neue;sans-serif"/>
                <w:b w:val="false"/>
                <w:color w:val="000000"/>
                <w:sz w:val="20"/>
              </w:rPr>
            </w:pPr>
            <w:r>
              <w:rPr>
                <w:rFonts w:ascii="Expensify Neue;sans-serif" w:hAnsi="Expensify Neue;sans-serif"/>
                <w:b w:val="false"/>
                <w:color w:val="000000"/>
                <w:sz w:val="20"/>
              </w:rPr>
              <w:t>Other restricted cash</w:t>
            </w:r>
          </w:p>
        </w:tc>
        <w:tc>
          <w:tcPr>
            <w:tcW w:w="144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Expensify Neue;sans-serif" w:hAnsi="Expensify Neue;sans-serif"/>
                <w:b w:val="false"/>
                <w:color w:val="000000"/>
                <w:sz w:val="20"/>
              </w:rPr>
            </w:pPr>
            <w:r>
              <w:rPr>
                <w:rFonts w:ascii="Expensify Neue;sans-serif" w:hAnsi="Expensify Neue;sans-serif"/>
                <w:b w:val="false"/>
                <w:color w:val="000000"/>
                <w:sz w:val="20"/>
              </w:rPr>
              <w:t>160 </w:t>
            </w:r>
          </w:p>
        </w:tc>
        <w:tc>
          <w:tcPr>
            <w:tcW w:w="14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Expensify Neue;sans-serif" w:hAnsi="Expensify Neue;sans-serif"/>
                <w:b w:val="false"/>
                <w:color w:val="000000"/>
                <w:sz w:val="20"/>
              </w:rPr>
            </w:pPr>
            <w:r>
              <w:rPr>
                <w:rFonts w:ascii="Expensify Neue;sans-serif" w:hAnsi="Expensify Neue;sans-serif"/>
                <w:b w:val="false"/>
                <w:color w:val="000000"/>
                <w:sz w:val="20"/>
              </w:rPr>
              <w:t>151 </w:t>
            </w:r>
          </w:p>
        </w:tc>
        <w:tc>
          <w:tcPr>
            <w:tcW w:w="25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0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Expensify Neue;sans-serif" w:hAnsi="Expensify Neue;sans-serif"/>
                <w:b w:val="false"/>
                <w:color w:val="000000"/>
                <w:sz w:val="20"/>
              </w:rPr>
            </w:pPr>
            <w:r>
              <w:rPr>
                <w:rFonts w:ascii="Expensify Neue;sans-serif" w:hAnsi="Expensify Neue;sans-serif"/>
                <w:b w:val="false"/>
                <w:color w:val="000000"/>
                <w:sz w:val="20"/>
              </w:rPr>
              <w:t>Other</w:t>
            </w:r>
          </w:p>
        </w:tc>
        <w:tc>
          <w:tcPr>
            <w:tcW w:w="144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Expensify Neue;sans-serif" w:hAnsi="Expensify Neue;sans-serif"/>
                <w:b w:val="false"/>
                <w:color w:val="000000"/>
                <w:sz w:val="20"/>
              </w:rPr>
            </w:pPr>
            <w:r>
              <w:rPr>
                <w:rFonts w:ascii="Expensify Neue;sans-serif" w:hAnsi="Expensify Neue;sans-serif"/>
                <w:b w:val="false"/>
                <w:color w:val="000000"/>
                <w:sz w:val="20"/>
              </w:rPr>
              <w:t>93 </w:t>
            </w:r>
          </w:p>
        </w:tc>
        <w:tc>
          <w:tcPr>
            <w:tcW w:w="14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Expensify Neue;sans-serif" w:hAnsi="Expensify Neue;sans-serif"/>
                <w:b w:val="false"/>
                <w:color w:val="000000"/>
                <w:sz w:val="20"/>
              </w:rPr>
            </w:pPr>
            <w:r>
              <w:rPr>
                <w:rFonts w:ascii="Expensify Neue;sans-serif" w:hAnsi="Expensify Neue;sans-serif"/>
                <w:b w:val="false"/>
                <w:color w:val="000000"/>
                <w:sz w:val="20"/>
              </w:rPr>
              <w:t>160 </w:t>
            </w:r>
          </w:p>
        </w:tc>
        <w:tc>
          <w:tcPr>
            <w:tcW w:w="25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0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Expensify Neue;sans-serif" w:hAnsi="Expensify Neue;sans-serif"/>
                <w:b w:val="false"/>
                <w:color w:val="000000"/>
                <w:sz w:val="20"/>
              </w:rPr>
            </w:pPr>
            <w:r>
              <w:rPr>
                <w:rFonts w:ascii="Expensify Neue;sans-serif" w:hAnsi="Expensify Neue;sans-serif"/>
                <w:b w:val="false"/>
                <w:color w:val="000000"/>
                <w:sz w:val="20"/>
              </w:rPr>
              <w:t>Other current assets</w:t>
            </w:r>
          </w:p>
        </w:tc>
        <w:tc>
          <w:tcPr>
            <w:tcW w:w="309"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Expensify Neue;sans-serif" w:hAnsi="Expensify Neue;sans-serif"/>
                <w:b w:val="false"/>
                <w:color w:val="000000"/>
                <w:sz w:val="20"/>
              </w:rPr>
            </w:pPr>
            <w:r>
              <w:rPr>
                <w:rFonts w:ascii="Expensify Neue;sans-serif" w:hAnsi="Expensify Neue;sans-serif"/>
                <w:b w:val="false"/>
                <w:color w:val="000000"/>
                <w:sz w:val="20"/>
              </w:rPr>
              <w:t>$</w:t>
            </w:r>
          </w:p>
        </w:tc>
        <w:tc>
          <w:tcPr>
            <w:tcW w:w="113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Expensify Neue;sans-serif" w:hAnsi="Expensify Neue;sans-serif"/>
                <w:b w:val="false"/>
                <w:color w:val="000000"/>
                <w:sz w:val="20"/>
              </w:rPr>
            </w:pPr>
            <w:r>
              <w:rPr>
                <w:rFonts w:ascii="Expensify Neue;sans-serif" w:hAnsi="Expensify Neue;sans-serif"/>
                <w:b w:val="false"/>
                <w:color w:val="000000"/>
                <w:sz w:val="20"/>
              </w:rPr>
              <w:t>19,992 </w:t>
            </w:r>
          </w:p>
        </w:tc>
        <w:tc>
          <w:tcPr>
            <w:tcW w:w="14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Expensify Neue;sans-serif" w:hAnsi="Expensify Neue;sans-serif"/>
                <w:b w:val="false"/>
                <w:color w:val="000000"/>
                <w:sz w:val="20"/>
              </w:rPr>
            </w:pPr>
            <w:r>
              <w:rPr>
                <w:rFonts w:ascii="Expensify Neue;sans-serif" w:hAnsi="Expensify Neue;sans-serif"/>
                <w:b w:val="false"/>
                <w:color w:val="000000"/>
                <w:sz w:val="20"/>
              </w:rPr>
              <w:t>$</w:t>
            </w:r>
          </w:p>
        </w:tc>
        <w:tc>
          <w:tcPr>
            <w:tcW w:w="135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Expensify Neue;sans-serif" w:hAnsi="Expensify Neue;sans-serif"/>
                <w:b w:val="false"/>
                <w:color w:val="000000"/>
                <w:sz w:val="20"/>
              </w:rPr>
            </w:pPr>
            <w:r>
              <w:rPr>
                <w:rFonts w:ascii="Expensify Neue;sans-serif" w:hAnsi="Expensify Neue;sans-serif"/>
                <w:b w:val="false"/>
                <w:color w:val="000000"/>
                <w:sz w:val="20"/>
              </w:rPr>
              <w:t>20,908 </w:t>
            </w:r>
          </w:p>
        </w:tc>
        <w:tc>
          <w:tcPr>
            <w:tcW w:w="252"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05"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589" w:type="dxa"/>
            <w:gridSpan w:val="3"/>
            <w:tcBorders>
              <w:top w:val="double" w:sz="8"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979" w:type="dxa"/>
            <w:gridSpan w:val="3"/>
            <w:tcBorders>
              <w:top w:val="double" w:sz="8"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160"/>
        <w:jc w:val="left"/>
        <w:rPr>
          <w:rFonts w:ascii="Expensify Neue;sans-serif" w:hAnsi="Expensify Neue;sans-serif"/>
          <w:b/>
          <w:color w:val="000000"/>
          <w:sz w:val="20"/>
        </w:rPr>
      </w:pPr>
      <w:r>
        <w:rPr>
          <w:rFonts w:ascii="Expensify Neue;sans-serif" w:hAnsi="Expensify Neue;sans-serif"/>
          <w:b/>
          <w:color w:val="000000"/>
          <w:sz w:val="20"/>
        </w:rPr>
        <w:t xml:space="preserve">Capitalized Software, Net </w:t>
      </w:r>
    </w:p>
    <w:p>
      <w:pPr>
        <w:pStyle w:val="TextBody"/>
        <w:bidi w:val="0"/>
        <w:spacing w:lineRule="auto" w:line="288" w:before="0" w:after="160"/>
        <w:jc w:val="left"/>
        <w:rPr>
          <w:rFonts w:ascii="Expensify Neue;sans-serif" w:hAnsi="Expensify Neue;sans-serif"/>
          <w:b w:val="false"/>
          <w:color w:val="000000"/>
          <w:sz w:val="20"/>
        </w:rPr>
      </w:pPr>
      <w:r>
        <w:rPr>
          <w:rFonts w:ascii="Expensify Neue;sans-serif" w:hAnsi="Expensify Neue;sans-serif"/>
          <w:b w:val="false"/>
          <w:color w:val="000000"/>
          <w:sz w:val="20"/>
        </w:rPr>
        <w:t>Capitalized software, net consisted of the following (in thousands):</w:t>
      </w:r>
    </w:p>
    <w:tbl>
      <w:tblPr>
        <w:tblW w:w="7945" w:type="dxa"/>
        <w:jc w:val="left"/>
        <w:tblInd w:w="0" w:type="dxa"/>
        <w:tblLayout w:type="fixed"/>
        <w:tblCellMar>
          <w:top w:w="28" w:type="dxa"/>
          <w:left w:w="28" w:type="dxa"/>
          <w:bottom w:w="28" w:type="dxa"/>
          <w:right w:w="28" w:type="dxa"/>
        </w:tblCellMar>
      </w:tblPr>
      <w:tblGrid>
        <w:gridCol w:w="1467"/>
        <w:gridCol w:w="1289"/>
        <w:gridCol w:w="1294"/>
        <w:gridCol w:w="309"/>
        <w:gridCol w:w="1131"/>
        <w:gridCol w:w="149"/>
        <w:gridCol w:w="109"/>
        <w:gridCol w:w="109"/>
        <w:gridCol w:w="109"/>
        <w:gridCol w:w="371"/>
        <w:gridCol w:w="1356"/>
        <w:gridCol w:w="252"/>
      </w:tblGrid>
      <w:tr>
        <w:trPr/>
        <w:tc>
          <w:tcPr>
            <w:tcW w:w="1467" w:type="dxa"/>
            <w:tcBorders/>
            <w:vAlign w:val="center"/>
          </w:tcPr>
          <w:p>
            <w:pPr>
              <w:pStyle w:val="TableContents"/>
              <w:bidi w:val="0"/>
              <w:spacing w:before="0" w:after="283"/>
              <w:jc w:val="left"/>
              <w:rPr>
                <w:sz w:val="4"/>
                <w:szCs w:val="4"/>
              </w:rPr>
            </w:pPr>
            <w:r>
              <w:rPr>
                <w:sz w:val="4"/>
                <w:szCs w:val="4"/>
              </w:rPr>
            </w:r>
          </w:p>
        </w:tc>
        <w:tc>
          <w:tcPr>
            <w:tcW w:w="1289" w:type="dxa"/>
            <w:tcBorders/>
            <w:vAlign w:val="center"/>
          </w:tcPr>
          <w:p>
            <w:pPr>
              <w:pStyle w:val="TableContents"/>
              <w:bidi w:val="0"/>
              <w:spacing w:before="0" w:after="283"/>
              <w:jc w:val="left"/>
              <w:rPr>
                <w:sz w:val="4"/>
                <w:szCs w:val="4"/>
              </w:rPr>
            </w:pPr>
            <w:r>
              <w:rPr>
                <w:sz w:val="4"/>
                <w:szCs w:val="4"/>
              </w:rPr>
            </w:r>
          </w:p>
        </w:tc>
        <w:tc>
          <w:tcPr>
            <w:tcW w:w="1294" w:type="dxa"/>
            <w:tcBorders/>
            <w:vAlign w:val="center"/>
          </w:tcPr>
          <w:p>
            <w:pPr>
              <w:pStyle w:val="TableContents"/>
              <w:bidi w:val="0"/>
              <w:spacing w:before="0" w:after="283"/>
              <w:jc w:val="left"/>
              <w:rPr>
                <w:sz w:val="4"/>
                <w:szCs w:val="4"/>
              </w:rPr>
            </w:pPr>
            <w:r>
              <w:rPr>
                <w:sz w:val="4"/>
                <w:szCs w:val="4"/>
              </w:rPr>
            </w:r>
          </w:p>
        </w:tc>
        <w:tc>
          <w:tcPr>
            <w:tcW w:w="309" w:type="dxa"/>
            <w:tcBorders/>
            <w:vAlign w:val="center"/>
          </w:tcPr>
          <w:p>
            <w:pPr>
              <w:pStyle w:val="TableContents"/>
              <w:bidi w:val="0"/>
              <w:spacing w:before="0" w:after="283"/>
              <w:jc w:val="left"/>
              <w:rPr>
                <w:sz w:val="4"/>
                <w:szCs w:val="4"/>
              </w:rPr>
            </w:pPr>
            <w:r>
              <w:rPr>
                <w:sz w:val="4"/>
                <w:szCs w:val="4"/>
              </w:rPr>
            </w:r>
          </w:p>
        </w:tc>
        <w:tc>
          <w:tcPr>
            <w:tcW w:w="1131" w:type="dxa"/>
            <w:tcBorders/>
            <w:vAlign w:val="center"/>
          </w:tcPr>
          <w:p>
            <w:pPr>
              <w:pStyle w:val="TableContents"/>
              <w:bidi w:val="0"/>
              <w:spacing w:before="0" w:after="283"/>
              <w:jc w:val="left"/>
              <w:rPr>
                <w:sz w:val="4"/>
                <w:szCs w:val="4"/>
              </w:rPr>
            </w:pPr>
            <w:r>
              <w:rPr>
                <w:sz w:val="4"/>
                <w:szCs w:val="4"/>
              </w:rPr>
            </w:r>
          </w:p>
        </w:tc>
        <w:tc>
          <w:tcPr>
            <w:tcW w:w="14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71" w:type="dxa"/>
            <w:tcBorders/>
            <w:vAlign w:val="center"/>
          </w:tcPr>
          <w:p>
            <w:pPr>
              <w:pStyle w:val="TableContents"/>
              <w:bidi w:val="0"/>
              <w:spacing w:before="0" w:after="283"/>
              <w:jc w:val="left"/>
              <w:rPr>
                <w:sz w:val="4"/>
                <w:szCs w:val="4"/>
              </w:rPr>
            </w:pPr>
            <w:r>
              <w:rPr>
                <w:sz w:val="4"/>
                <w:szCs w:val="4"/>
              </w:rPr>
            </w:r>
          </w:p>
        </w:tc>
        <w:tc>
          <w:tcPr>
            <w:tcW w:w="1356" w:type="dxa"/>
            <w:tcBorders/>
            <w:vAlign w:val="center"/>
          </w:tcPr>
          <w:p>
            <w:pPr>
              <w:pStyle w:val="TableContents"/>
              <w:bidi w:val="0"/>
              <w:spacing w:before="0" w:after="283"/>
              <w:jc w:val="left"/>
              <w:rPr>
                <w:sz w:val="4"/>
                <w:szCs w:val="4"/>
              </w:rPr>
            </w:pPr>
            <w:r>
              <w:rPr>
                <w:sz w:val="4"/>
                <w:szCs w:val="4"/>
              </w:rPr>
            </w:r>
          </w:p>
        </w:tc>
        <w:tc>
          <w:tcPr>
            <w:tcW w:w="252" w:type="dxa"/>
            <w:tcBorders/>
            <w:vAlign w:val="center"/>
          </w:tcPr>
          <w:p>
            <w:pPr>
              <w:pStyle w:val="TableContents"/>
              <w:bidi w:val="0"/>
              <w:spacing w:before="0" w:after="283"/>
              <w:jc w:val="left"/>
              <w:rPr>
                <w:sz w:val="4"/>
                <w:szCs w:val="4"/>
              </w:rPr>
            </w:pPr>
            <w:r>
              <w:rPr>
                <w:sz w:val="4"/>
                <w:szCs w:val="4"/>
              </w:rPr>
            </w:r>
          </w:p>
        </w:tc>
      </w:tr>
      <w:tr>
        <w:trPr/>
        <w:tc>
          <w:tcPr>
            <w:tcW w:w="4050" w:type="dxa"/>
            <w:gridSpan w:val="3"/>
            <w:tcBorders>
              <w:top w:val="single" w:sz="1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89" w:type="dxa"/>
            <w:gridSpan w:val="3"/>
            <w:tcBorders>
              <w:top w:val="single" w:sz="16"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Expensify Neue;sans-serif" w:hAnsi="Expensify Neue;sans-serif"/>
                <w:b/>
                <w:color w:val="000000"/>
                <w:sz w:val="16"/>
              </w:rPr>
            </w:pPr>
            <w:r>
              <w:rPr>
                <w:rFonts w:ascii="Expensify Neue;sans-serif" w:hAnsi="Expensify Neue;sans-serif"/>
                <w:b/>
                <w:color w:val="000000"/>
                <w:sz w:val="16"/>
              </w:rPr>
              <w:t>As of March 31,</w:t>
            </w:r>
          </w:p>
        </w:tc>
        <w:tc>
          <w:tcPr>
            <w:tcW w:w="327" w:type="dxa"/>
            <w:gridSpan w:val="3"/>
            <w:tcBorders>
              <w:top w:val="single" w:sz="16"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79" w:type="dxa"/>
            <w:gridSpan w:val="3"/>
            <w:tcBorders>
              <w:top w:val="single" w:sz="16"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Expensify Neue;sans-serif" w:hAnsi="Expensify Neue;sans-serif"/>
                <w:b/>
                <w:color w:val="000000"/>
                <w:sz w:val="16"/>
              </w:rPr>
            </w:pPr>
            <w:r>
              <w:rPr>
                <w:rFonts w:ascii="Expensify Neue;sans-serif" w:hAnsi="Expensify Neue;sans-serif"/>
                <w:b/>
                <w:color w:val="000000"/>
                <w:sz w:val="16"/>
              </w:rPr>
              <w:t>As of December 31,</w:t>
            </w:r>
          </w:p>
        </w:tc>
      </w:tr>
      <w:tr>
        <w:trPr/>
        <w:tc>
          <w:tcPr>
            <w:tcW w:w="405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89"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Expensify Neue;sans-serif" w:hAnsi="Expensify Neue;sans-serif"/>
                <w:b/>
                <w:color w:val="000000"/>
                <w:sz w:val="16"/>
              </w:rPr>
            </w:pPr>
            <w:r>
              <w:rPr>
                <w:rFonts w:ascii="Expensify Neue;sans-serif" w:hAnsi="Expensify Neue;sans-serif"/>
                <w:b/>
                <w:color w:val="000000"/>
                <w:sz w:val="16"/>
              </w:rPr>
              <w:t>2025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79"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Expensify Neue;sans-serif" w:hAnsi="Expensify Neue;sans-serif"/>
                <w:b/>
                <w:color w:val="000000"/>
                <w:sz w:val="16"/>
              </w:rPr>
            </w:pPr>
            <w:r>
              <w:rPr>
                <w:rFonts w:ascii="Expensify Neue;sans-serif" w:hAnsi="Expensify Neue;sans-serif"/>
                <w:b/>
                <w:color w:val="000000"/>
                <w:sz w:val="16"/>
              </w:rPr>
              <w:t>2024</w:t>
            </w:r>
          </w:p>
        </w:tc>
      </w:tr>
      <w:tr>
        <w:trPr/>
        <w:tc>
          <w:tcPr>
            <w:tcW w:w="405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Expensify Neue;sans-serif" w:hAnsi="Expensify Neue;sans-serif"/>
                <w:b w:val="false"/>
                <w:color w:val="000000"/>
                <w:sz w:val="20"/>
              </w:rPr>
            </w:pPr>
            <w:r>
              <w:rPr>
                <w:rFonts w:ascii="Expensify Neue;sans-serif" w:hAnsi="Expensify Neue;sans-serif"/>
                <w:b w:val="false"/>
                <w:color w:val="000000"/>
                <w:sz w:val="20"/>
              </w:rPr>
              <w:t>Capitalized software development costs</w:t>
            </w:r>
          </w:p>
        </w:tc>
        <w:tc>
          <w:tcPr>
            <w:tcW w:w="30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Expensify Neue;sans-serif" w:hAnsi="Expensify Neue;sans-serif"/>
                <w:b w:val="false"/>
                <w:color w:val="000000"/>
                <w:sz w:val="20"/>
              </w:rPr>
            </w:pPr>
            <w:r>
              <w:rPr>
                <w:rFonts w:ascii="Expensify Neue;sans-serif" w:hAnsi="Expensify Neue;sans-serif"/>
                <w:b w:val="false"/>
                <w:color w:val="000000"/>
                <w:sz w:val="20"/>
              </w:rPr>
              <w:t>$</w:t>
            </w:r>
          </w:p>
        </w:tc>
        <w:tc>
          <w:tcPr>
            <w:tcW w:w="113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Expensify Neue;sans-serif" w:hAnsi="Expensify Neue;sans-serif"/>
                <w:b w:val="false"/>
                <w:color w:val="000000"/>
                <w:sz w:val="20"/>
              </w:rPr>
            </w:pPr>
            <w:r>
              <w:rPr>
                <w:rFonts w:ascii="Expensify Neue;sans-serif" w:hAnsi="Expensify Neue;sans-serif"/>
                <w:b w:val="false"/>
                <w:color w:val="000000"/>
                <w:sz w:val="20"/>
              </w:rPr>
              <w:t>33,142 </w:t>
            </w:r>
          </w:p>
        </w:tc>
        <w:tc>
          <w:tcPr>
            <w:tcW w:w="14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Expensify Neue;sans-serif" w:hAnsi="Expensify Neue;sans-serif"/>
                <w:b w:val="false"/>
                <w:color w:val="000000"/>
                <w:sz w:val="20"/>
              </w:rPr>
            </w:pPr>
            <w:r>
              <w:rPr>
                <w:rFonts w:ascii="Expensify Neue;sans-serif" w:hAnsi="Expensify Neue;sans-serif"/>
                <w:b w:val="false"/>
                <w:color w:val="000000"/>
                <w:sz w:val="20"/>
              </w:rPr>
              <w:t>$</w:t>
            </w:r>
          </w:p>
        </w:tc>
        <w:tc>
          <w:tcPr>
            <w:tcW w:w="135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Expensify Neue;sans-serif" w:hAnsi="Expensify Neue;sans-serif"/>
                <w:b w:val="false"/>
                <w:color w:val="000000"/>
                <w:sz w:val="20"/>
              </w:rPr>
            </w:pPr>
            <w:r>
              <w:rPr>
                <w:rFonts w:ascii="Expensify Neue;sans-serif" w:hAnsi="Expensify Neue;sans-serif"/>
                <w:b w:val="false"/>
                <w:color w:val="000000"/>
                <w:sz w:val="20"/>
              </w:rPr>
              <w:t>32,332 </w:t>
            </w:r>
          </w:p>
        </w:tc>
        <w:tc>
          <w:tcPr>
            <w:tcW w:w="25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5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Expensify Neue;sans-serif" w:hAnsi="Expensify Neue;sans-serif"/>
                <w:b w:val="false"/>
                <w:color w:val="000000"/>
                <w:sz w:val="20"/>
              </w:rPr>
            </w:pPr>
            <w:r>
              <w:rPr>
                <w:rFonts w:ascii="Expensify Neue;sans-serif" w:hAnsi="Expensify Neue;sans-serif"/>
                <w:b w:val="false"/>
                <w:color w:val="000000"/>
                <w:sz w:val="20"/>
              </w:rPr>
              <w:t xml:space="preserve">Less: accumulated amortization </w:t>
            </w:r>
          </w:p>
        </w:tc>
        <w:tc>
          <w:tcPr>
            <w:tcW w:w="144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Expensify Neue;sans-serif" w:hAnsi="Expensify Neue;sans-serif"/>
                <w:b w:val="false"/>
                <w:color w:val="000000"/>
                <w:sz w:val="20"/>
              </w:rPr>
            </w:pPr>
            <w:r>
              <w:rPr>
                <w:rFonts w:ascii="Expensify Neue;sans-serif" w:hAnsi="Expensify Neue;sans-serif"/>
                <w:b w:val="false"/>
                <w:color w:val="000000"/>
                <w:sz w:val="20"/>
              </w:rPr>
              <w:t>(17,910)</w:t>
            </w:r>
          </w:p>
        </w:tc>
        <w:tc>
          <w:tcPr>
            <w:tcW w:w="14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Expensify Neue;sans-serif" w:hAnsi="Expensify Neue;sans-serif"/>
                <w:b w:val="false"/>
                <w:color w:val="000000"/>
                <w:sz w:val="20"/>
              </w:rPr>
            </w:pPr>
            <w:r>
              <w:rPr>
                <w:rFonts w:ascii="Expensify Neue;sans-serif" w:hAnsi="Expensify Neue;sans-serif"/>
                <w:b w:val="false"/>
                <w:color w:val="000000"/>
                <w:sz w:val="20"/>
              </w:rPr>
              <w:t>(16,100)</w:t>
            </w:r>
          </w:p>
        </w:tc>
        <w:tc>
          <w:tcPr>
            <w:tcW w:w="25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5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Expensify Neue;sans-serif" w:hAnsi="Expensify Neue;sans-serif"/>
                <w:b w:val="false"/>
                <w:color w:val="000000"/>
                <w:sz w:val="20"/>
              </w:rPr>
            </w:pPr>
            <w:r>
              <w:rPr>
                <w:rFonts w:ascii="Expensify Neue;sans-serif" w:hAnsi="Expensify Neue;sans-serif"/>
                <w:b w:val="false"/>
                <w:color w:val="000000"/>
                <w:sz w:val="20"/>
              </w:rPr>
              <w:t>Capitalized software, net</w:t>
            </w:r>
          </w:p>
        </w:tc>
        <w:tc>
          <w:tcPr>
            <w:tcW w:w="30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Expensify Neue;sans-serif" w:hAnsi="Expensify Neue;sans-serif"/>
                <w:b w:val="false"/>
                <w:color w:val="000000"/>
                <w:sz w:val="20"/>
              </w:rPr>
            </w:pPr>
            <w:r>
              <w:rPr>
                <w:rFonts w:ascii="Expensify Neue;sans-serif" w:hAnsi="Expensify Neue;sans-serif"/>
                <w:b w:val="false"/>
                <w:color w:val="000000"/>
                <w:sz w:val="20"/>
              </w:rPr>
              <w:t>$</w:t>
            </w:r>
          </w:p>
        </w:tc>
        <w:tc>
          <w:tcPr>
            <w:tcW w:w="113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Expensify Neue;sans-serif" w:hAnsi="Expensify Neue;sans-serif"/>
                <w:b w:val="false"/>
                <w:color w:val="000000"/>
                <w:sz w:val="20"/>
              </w:rPr>
            </w:pPr>
            <w:r>
              <w:rPr>
                <w:rFonts w:ascii="Expensify Neue;sans-serif" w:hAnsi="Expensify Neue;sans-serif"/>
                <w:b w:val="false"/>
                <w:color w:val="000000"/>
                <w:sz w:val="20"/>
              </w:rPr>
              <w:t>15,232 </w:t>
            </w:r>
          </w:p>
        </w:tc>
        <w:tc>
          <w:tcPr>
            <w:tcW w:w="14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Expensify Neue;sans-serif" w:hAnsi="Expensify Neue;sans-serif"/>
                <w:b w:val="false"/>
                <w:color w:val="000000"/>
                <w:sz w:val="20"/>
              </w:rPr>
            </w:pPr>
            <w:r>
              <w:rPr>
                <w:rFonts w:ascii="Expensify Neue;sans-serif" w:hAnsi="Expensify Neue;sans-serif"/>
                <w:b w:val="false"/>
                <w:color w:val="000000"/>
                <w:sz w:val="20"/>
              </w:rPr>
              <w:t>$</w:t>
            </w:r>
          </w:p>
        </w:tc>
        <w:tc>
          <w:tcPr>
            <w:tcW w:w="135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Expensify Neue;sans-serif" w:hAnsi="Expensify Neue;sans-serif"/>
                <w:b w:val="false"/>
                <w:color w:val="000000"/>
                <w:sz w:val="20"/>
              </w:rPr>
            </w:pPr>
            <w:r>
              <w:rPr>
                <w:rFonts w:ascii="Expensify Neue;sans-serif" w:hAnsi="Expensify Neue;sans-serif"/>
                <w:b w:val="false"/>
                <w:color w:val="000000"/>
                <w:sz w:val="20"/>
              </w:rPr>
              <w:t>16,232 </w:t>
            </w:r>
          </w:p>
        </w:tc>
        <w:tc>
          <w:tcPr>
            <w:tcW w:w="25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50" w:type="dxa"/>
            <w:gridSpan w:val="3"/>
            <w:tcBorders>
              <w:bottom w:val="single" w:sz="8" w:space="0" w:color="000000"/>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589" w:type="dxa"/>
            <w:gridSpan w:val="3"/>
            <w:tcBorders>
              <w:top w:val="double" w:sz="8" w:space="0" w:color="000000"/>
              <w:bottom w:val="single" w:sz="8" w:space="0" w:color="000000"/>
            </w:tcBorders>
            <w:shd w:fill="FFFFFF" w:val="clear"/>
            <w:tcMar>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8" w:space="0" w:color="000000"/>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979" w:type="dxa"/>
            <w:gridSpan w:val="3"/>
            <w:tcBorders>
              <w:top w:val="double" w:sz="8" w:space="0" w:color="000000"/>
              <w:bottom w:val="single" w:sz="8" w:space="0" w:color="000000"/>
            </w:tcBorders>
            <w:shd w:fill="FFFFFF" w:val="clear"/>
            <w:tcMar>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160"/>
        <w:jc w:val="left"/>
        <w:rPr>
          <w:rFonts w:ascii="Expensify Neue;sans-serif" w:hAnsi="Expensify Neue;sans-serif"/>
          <w:b w:val="false"/>
          <w:color w:val="000000"/>
          <w:sz w:val="20"/>
        </w:rPr>
      </w:pPr>
      <w:r>
        <w:rPr>
          <w:rFonts w:ascii="Expensify Neue;sans-serif" w:hAnsi="Expensify Neue;sans-serif"/>
          <w:b w:val="false"/>
          <w:color w:val="000000"/>
          <w:sz w:val="20"/>
        </w:rPr>
        <w:t xml:space="preserve">Amortization expense related to capitalized software development costs is recorded in Cost of revenue, net on the Condensed Consolidated Statements of Operations. Amortization expense was $1.8 million and $1.2 million for the three months ended March 31, 2025 and 2024, respectively.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7">
                <wp:simplePos x="0" y="0"/>
                <wp:positionH relativeFrom="character">
                  <wp:align>left</wp:align>
                </wp:positionH>
                <wp:positionV relativeFrom="line">
                  <wp:posOffset>635</wp:posOffset>
                </wp:positionV>
                <wp:extent cx="6480175" cy="730250"/>
                <wp:effectExtent l="0" t="0" r="0" b="0"/>
                <wp:wrapNone/>
                <wp:docPr id="16" name="Frame15"/>
                <a:graphic xmlns:a="http://schemas.openxmlformats.org/drawingml/2006/main">
                  <a:graphicData uri="http://schemas.microsoft.com/office/word/2010/wordprocessingShape">
                    <wps:wsp>
                      <wps:cNvSpPr txBox="1"/>
                      <wps:spPr>
                        <a:xfrm>
                          <a:off x="0" y="0"/>
                          <a:ext cx="6480175" cy="730250"/>
                        </a:xfrm>
                        <a:prstGeom prst="rect"/>
                        <a:solidFill>
                          <a:srgbClr val="FFFFFF"/>
                        </a:solidFill>
                      </wps:spPr>
                      <wps:txbx>
                        <w:txbxContent>
                          <w:tbl>
                            <w:tblPr>
                              <w:tblW w:w="406" w:type="dxa"/>
                              <w:jc w:val="left"/>
                              <w:tblInd w:w="0" w:type="dxa"/>
                              <w:tblLayout w:type="fixed"/>
                              <w:tblCellMar>
                                <w:top w:w="28" w:type="dxa"/>
                                <w:left w:w="28" w:type="dxa"/>
                                <w:bottom w:w="28" w:type="dxa"/>
                                <w:right w:w="28" w:type="dxa"/>
                              </w:tblCellMar>
                            </w:tblPr>
                            <w:tblGrid>
                              <w:gridCol w:w="130"/>
                              <w:gridCol w:w="114"/>
                              <w:gridCol w:w="162"/>
                            </w:tblGrid>
                            <w:tr>
                              <w:trPr/>
                              <w:tc>
                                <w:tcPr>
                                  <w:tcW w:w="130"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rPr/>
                              <w:tc>
                                <w:tcPr>
                                  <w:tcW w:w="406"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88" w:before="0" w:after="160"/>
                                    <w:jc w:val="center"/>
                                    <w:rPr>
                                      <w:rFonts w:ascii="Expensify Neue;sans-serif" w:hAnsi="Expensify Neue;sans-serif"/>
                                      <w:b w:val="false"/>
                                      <w:color w:val="000000"/>
                                      <w:sz w:val="20"/>
                                    </w:rPr>
                                  </w:pPr>
                                  <w:r>
                                    <w:rPr>
                                      <w:rFonts w:ascii="Expensify Neue;sans-serif" w:hAnsi="Expensify Neue;sans-serif"/>
                                      <w:b w:val="false"/>
                                      <w:color w:val="000000"/>
                                      <w:sz w:val="20"/>
                                    </w:rPr>
                                    <w:t>10</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57.5pt;mso-wrap-distance-left:0pt;mso-wrap-distance-right:0pt;mso-wrap-distance-top:0pt;mso-wrap-distance-bottom:0pt;margin-top:0pt;mso-position-vertical:top;mso-position-vertical-relative:text;margin-left:0pt;mso-position-horizontal:left;mso-position-horizontal-relative:text">
                <v:textbox>
                  <w:txbxContent>
                    <w:tbl>
                      <w:tblPr>
                        <w:tblW w:w="406" w:type="dxa"/>
                        <w:jc w:val="left"/>
                        <w:tblInd w:w="0" w:type="dxa"/>
                        <w:tblLayout w:type="fixed"/>
                        <w:tblCellMar>
                          <w:top w:w="28" w:type="dxa"/>
                          <w:left w:w="28" w:type="dxa"/>
                          <w:bottom w:w="28" w:type="dxa"/>
                          <w:right w:w="28" w:type="dxa"/>
                        </w:tblCellMar>
                      </w:tblPr>
                      <w:tblGrid>
                        <w:gridCol w:w="130"/>
                        <w:gridCol w:w="114"/>
                        <w:gridCol w:w="162"/>
                      </w:tblGrid>
                      <w:tr>
                        <w:trPr/>
                        <w:tc>
                          <w:tcPr>
                            <w:tcW w:w="130"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rPr/>
                        <w:tc>
                          <w:tcPr>
                            <w:tcW w:w="406"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88" w:before="0" w:after="160"/>
                              <w:jc w:val="center"/>
                              <w:rPr>
                                <w:rFonts w:ascii="Expensify Neue;sans-serif" w:hAnsi="Expensify Neue;sans-serif"/>
                                <w:b w:val="false"/>
                                <w:color w:val="000000"/>
                                <w:sz w:val="20"/>
                              </w:rPr>
                            </w:pPr>
                            <w:r>
                              <w:rPr>
                                <w:rFonts w:ascii="Expensify Neue;sans-serif" w:hAnsi="Expensify Neue;sans-serif"/>
                                <w:b w:val="false"/>
                                <w:color w:val="000000"/>
                                <w:sz w:val="20"/>
                              </w:rPr>
                              <w:t>10</w:t>
                            </w:r>
                          </w:p>
                        </w:tc>
                      </w:tr>
                    </w:tbl>
                    <w:p>
                      <w:pPr>
                        <w:pStyle w:val="TextBody"/>
                        <w:bidi w:val="0"/>
                        <w:spacing w:before="0" w:after="283"/>
                        <w:jc w:val="left"/>
                        <w:rPr/>
                      </w:pPr>
                      <w:r>
                        <w:rPr/>
                      </w:r>
                    </w:p>
                  </w:txbxContent>
                </v:textbox>
                <w10:wrap type="none"/>
              </v:rect>
            </w:pict>
          </mc:Fallback>
        </mc:AlternateContent>
      </w:r>
    </w:p>
    <w:p>
      <w:pPr>
        <w:pStyle w:val="TextBody"/>
        <w:bidi w:val="0"/>
        <w:spacing w:lineRule="auto" w:line="288" w:before="0" w:after="160"/>
        <w:jc w:val="left"/>
        <w:rPr/>
      </w:pPr>
      <w:hyperlink w:anchor="i52a648c4f0e449f7bc3c2044827c8f0d_7">
        <w:r>
          <w:rPr>
            <w:rStyle w:val="InternetLink"/>
            <w:rFonts w:ascii="Expensify Neue;sans-serif" w:hAnsi="Expensify Neue;sans-serif"/>
            <w:b/>
            <w:color w:val="0000FF"/>
            <w:sz w:val="20"/>
            <w:u w:val="single"/>
          </w:rPr>
          <w:t>Table of Contents</w:t>
        </w:r>
      </w:hyperlink>
    </w:p>
    <w:p>
      <w:pPr>
        <w:pStyle w:val="TextBody"/>
        <w:bidi w:val="0"/>
        <w:spacing w:lineRule="auto" w:line="288" w:before="0" w:after="0"/>
        <w:jc w:val="center"/>
        <w:rPr>
          <w:rFonts w:ascii="Expensify Neue;sans-serif" w:hAnsi="Expensify Neue;sans-serif"/>
          <w:b/>
          <w:color w:val="000000"/>
          <w:sz w:val="24"/>
        </w:rPr>
      </w:pPr>
      <w:r>
        <w:rPr>
          <w:rFonts w:ascii="Expensify Neue;sans-serif" w:hAnsi="Expensify Neue;sans-serif"/>
          <w:b/>
          <w:color w:val="000000"/>
          <w:sz w:val="24"/>
        </w:rPr>
        <w:t>Expensify, Inc.</w:t>
      </w:r>
    </w:p>
    <w:p>
      <w:pPr>
        <w:pStyle w:val="TextBody"/>
        <w:bidi w:val="0"/>
        <w:spacing w:lineRule="auto" w:line="288" w:before="0" w:after="0"/>
        <w:jc w:val="center"/>
        <w:rPr>
          <w:rFonts w:ascii="Expensify Neue;sans-serif" w:hAnsi="Expensify Neue;sans-serif"/>
          <w:b/>
          <w:color w:val="000000"/>
          <w:sz w:val="24"/>
        </w:rPr>
      </w:pPr>
      <w:r>
        <w:rPr>
          <w:rFonts w:ascii="Expensify Neue;sans-serif" w:hAnsi="Expensify Neue;sans-serif"/>
          <w:b/>
          <w:color w:val="000000"/>
          <w:sz w:val="24"/>
        </w:rPr>
        <w:t>Notes to the Condensed Consolidated Financial Statements</w:t>
      </w:r>
    </w:p>
    <w:p>
      <w:pPr>
        <w:pStyle w:val="TextBody"/>
        <w:bidi w:val="0"/>
        <w:spacing w:lineRule="auto" w:line="288" w:before="0" w:after="0"/>
        <w:jc w:val="center"/>
        <w:rPr>
          <w:rFonts w:ascii="Expensify Neue;sans-serif" w:hAnsi="Expensify Neue;sans-serif"/>
          <w:b/>
          <w:color w:val="000000"/>
          <w:sz w:val="20"/>
        </w:rPr>
      </w:pPr>
      <w:r>
        <w:rPr>
          <w:rFonts w:ascii="Expensify Neue;sans-serif" w:hAnsi="Expensify Neue;sans-serif"/>
          <w:b/>
          <w:color w:val="000000"/>
          <w:sz w:val="20"/>
        </w:rPr>
        <w:t>(unaudited)</w:t>
      </w:r>
    </w:p>
    <w:p>
      <w:pPr>
        <w:pStyle w:val="TextBody"/>
        <w:bidi w:val="0"/>
        <w:spacing w:lineRule="auto" w:line="288" w:before="0" w:after="160"/>
        <w:jc w:val="left"/>
        <w:rPr>
          <w:rFonts w:ascii="Expensify Neue;sans-serif" w:hAnsi="Expensify Neue;sans-serif"/>
          <w:b/>
          <w:color w:val="000000"/>
          <w:sz w:val="20"/>
        </w:rPr>
      </w:pPr>
      <w:r>
        <w:rPr>
          <w:rFonts w:ascii="Expensify Neue;sans-serif" w:hAnsi="Expensify Neue;sans-serif"/>
          <w:b/>
          <w:color w:val="000000"/>
          <w:sz w:val="20"/>
        </w:rPr>
        <w:t xml:space="preserve">Property and Equipment, Net </w:t>
      </w:r>
    </w:p>
    <w:p>
      <w:pPr>
        <w:pStyle w:val="TextBody"/>
        <w:bidi w:val="0"/>
        <w:spacing w:lineRule="auto" w:line="288" w:before="0" w:after="160"/>
        <w:jc w:val="left"/>
        <w:rPr>
          <w:rFonts w:ascii="Expensify Neue;sans-serif" w:hAnsi="Expensify Neue;sans-serif"/>
          <w:b w:val="false"/>
          <w:color w:val="000000"/>
          <w:sz w:val="20"/>
        </w:rPr>
      </w:pPr>
      <w:r>
        <w:rPr>
          <w:rFonts w:ascii="Expensify Neue;sans-serif" w:hAnsi="Expensify Neue;sans-serif"/>
          <w:b w:val="false"/>
          <w:color w:val="000000"/>
          <w:sz w:val="20"/>
        </w:rPr>
        <w:t>Property and equipment, net consisted of the following (in thousands):</w:t>
      </w:r>
    </w:p>
    <w:tbl>
      <w:tblPr>
        <w:tblW w:w="7104" w:type="dxa"/>
        <w:jc w:val="left"/>
        <w:tblInd w:w="0" w:type="dxa"/>
        <w:tblLayout w:type="fixed"/>
        <w:tblCellMar>
          <w:top w:w="28" w:type="dxa"/>
          <w:left w:w="28" w:type="dxa"/>
          <w:bottom w:w="28" w:type="dxa"/>
          <w:right w:w="28" w:type="dxa"/>
        </w:tblCellMar>
      </w:tblPr>
      <w:tblGrid>
        <w:gridCol w:w="1163"/>
        <w:gridCol w:w="1020"/>
        <w:gridCol w:w="1026"/>
        <w:gridCol w:w="309"/>
        <w:gridCol w:w="1131"/>
        <w:gridCol w:w="149"/>
        <w:gridCol w:w="109"/>
        <w:gridCol w:w="109"/>
        <w:gridCol w:w="109"/>
        <w:gridCol w:w="371"/>
        <w:gridCol w:w="1356"/>
        <w:gridCol w:w="252"/>
      </w:tblGrid>
      <w:tr>
        <w:trPr/>
        <w:tc>
          <w:tcPr>
            <w:tcW w:w="1163" w:type="dxa"/>
            <w:tcBorders/>
            <w:vAlign w:val="center"/>
          </w:tcPr>
          <w:p>
            <w:pPr>
              <w:pStyle w:val="TableContents"/>
              <w:bidi w:val="0"/>
              <w:spacing w:before="0" w:after="283"/>
              <w:jc w:val="left"/>
              <w:rPr>
                <w:sz w:val="4"/>
                <w:szCs w:val="4"/>
              </w:rPr>
            </w:pPr>
            <w:r>
              <w:rPr>
                <w:sz w:val="4"/>
                <w:szCs w:val="4"/>
              </w:rPr>
            </w:r>
          </w:p>
        </w:tc>
        <w:tc>
          <w:tcPr>
            <w:tcW w:w="1020" w:type="dxa"/>
            <w:tcBorders/>
            <w:vAlign w:val="center"/>
          </w:tcPr>
          <w:p>
            <w:pPr>
              <w:pStyle w:val="TableContents"/>
              <w:bidi w:val="0"/>
              <w:spacing w:before="0" w:after="283"/>
              <w:jc w:val="left"/>
              <w:rPr>
                <w:sz w:val="4"/>
                <w:szCs w:val="4"/>
              </w:rPr>
            </w:pPr>
            <w:r>
              <w:rPr>
                <w:sz w:val="4"/>
                <w:szCs w:val="4"/>
              </w:rPr>
            </w:r>
          </w:p>
        </w:tc>
        <w:tc>
          <w:tcPr>
            <w:tcW w:w="1026" w:type="dxa"/>
            <w:tcBorders/>
            <w:vAlign w:val="center"/>
          </w:tcPr>
          <w:p>
            <w:pPr>
              <w:pStyle w:val="TableContents"/>
              <w:bidi w:val="0"/>
              <w:spacing w:before="0" w:after="283"/>
              <w:jc w:val="left"/>
              <w:rPr>
                <w:sz w:val="4"/>
                <w:szCs w:val="4"/>
              </w:rPr>
            </w:pPr>
            <w:r>
              <w:rPr>
                <w:sz w:val="4"/>
                <w:szCs w:val="4"/>
              </w:rPr>
            </w:r>
          </w:p>
        </w:tc>
        <w:tc>
          <w:tcPr>
            <w:tcW w:w="309" w:type="dxa"/>
            <w:tcBorders/>
            <w:vAlign w:val="center"/>
          </w:tcPr>
          <w:p>
            <w:pPr>
              <w:pStyle w:val="TableContents"/>
              <w:bidi w:val="0"/>
              <w:spacing w:before="0" w:after="283"/>
              <w:jc w:val="left"/>
              <w:rPr>
                <w:sz w:val="4"/>
                <w:szCs w:val="4"/>
              </w:rPr>
            </w:pPr>
            <w:r>
              <w:rPr>
                <w:sz w:val="4"/>
                <w:szCs w:val="4"/>
              </w:rPr>
            </w:r>
          </w:p>
        </w:tc>
        <w:tc>
          <w:tcPr>
            <w:tcW w:w="1131" w:type="dxa"/>
            <w:tcBorders/>
            <w:vAlign w:val="center"/>
          </w:tcPr>
          <w:p>
            <w:pPr>
              <w:pStyle w:val="TableContents"/>
              <w:bidi w:val="0"/>
              <w:spacing w:before="0" w:after="283"/>
              <w:jc w:val="left"/>
              <w:rPr>
                <w:sz w:val="4"/>
                <w:szCs w:val="4"/>
              </w:rPr>
            </w:pPr>
            <w:r>
              <w:rPr>
                <w:sz w:val="4"/>
                <w:szCs w:val="4"/>
              </w:rPr>
            </w:r>
          </w:p>
        </w:tc>
        <w:tc>
          <w:tcPr>
            <w:tcW w:w="14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71" w:type="dxa"/>
            <w:tcBorders/>
            <w:vAlign w:val="center"/>
          </w:tcPr>
          <w:p>
            <w:pPr>
              <w:pStyle w:val="TableContents"/>
              <w:bidi w:val="0"/>
              <w:spacing w:before="0" w:after="283"/>
              <w:jc w:val="left"/>
              <w:rPr>
                <w:sz w:val="4"/>
                <w:szCs w:val="4"/>
              </w:rPr>
            </w:pPr>
            <w:r>
              <w:rPr>
                <w:sz w:val="4"/>
                <w:szCs w:val="4"/>
              </w:rPr>
            </w:r>
          </w:p>
        </w:tc>
        <w:tc>
          <w:tcPr>
            <w:tcW w:w="1356" w:type="dxa"/>
            <w:tcBorders/>
            <w:vAlign w:val="center"/>
          </w:tcPr>
          <w:p>
            <w:pPr>
              <w:pStyle w:val="TableContents"/>
              <w:bidi w:val="0"/>
              <w:spacing w:before="0" w:after="283"/>
              <w:jc w:val="left"/>
              <w:rPr>
                <w:sz w:val="4"/>
                <w:szCs w:val="4"/>
              </w:rPr>
            </w:pPr>
            <w:r>
              <w:rPr>
                <w:sz w:val="4"/>
                <w:szCs w:val="4"/>
              </w:rPr>
            </w:r>
          </w:p>
        </w:tc>
        <w:tc>
          <w:tcPr>
            <w:tcW w:w="252" w:type="dxa"/>
            <w:tcBorders/>
            <w:vAlign w:val="center"/>
          </w:tcPr>
          <w:p>
            <w:pPr>
              <w:pStyle w:val="TableContents"/>
              <w:bidi w:val="0"/>
              <w:spacing w:before="0" w:after="283"/>
              <w:jc w:val="left"/>
              <w:rPr>
                <w:sz w:val="4"/>
                <w:szCs w:val="4"/>
              </w:rPr>
            </w:pPr>
            <w:r>
              <w:rPr>
                <w:sz w:val="4"/>
                <w:szCs w:val="4"/>
              </w:rPr>
            </w:r>
          </w:p>
        </w:tc>
      </w:tr>
      <w:tr>
        <w:trPr/>
        <w:tc>
          <w:tcPr>
            <w:tcW w:w="3209" w:type="dxa"/>
            <w:gridSpan w:val="3"/>
            <w:tcBorders>
              <w:top w:val="single" w:sz="1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89" w:type="dxa"/>
            <w:gridSpan w:val="3"/>
            <w:tcBorders>
              <w:top w:val="single" w:sz="16"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Expensify Neue;sans-serif" w:hAnsi="Expensify Neue;sans-serif"/>
                <w:b/>
                <w:color w:val="000000"/>
                <w:sz w:val="16"/>
              </w:rPr>
            </w:pPr>
            <w:r>
              <w:rPr>
                <w:rFonts w:ascii="Expensify Neue;sans-serif" w:hAnsi="Expensify Neue;sans-serif"/>
                <w:b/>
                <w:color w:val="000000"/>
                <w:sz w:val="16"/>
              </w:rPr>
              <w:t>As of March 31,</w:t>
            </w:r>
          </w:p>
        </w:tc>
        <w:tc>
          <w:tcPr>
            <w:tcW w:w="327" w:type="dxa"/>
            <w:gridSpan w:val="3"/>
            <w:tcBorders>
              <w:top w:val="single" w:sz="16"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79" w:type="dxa"/>
            <w:gridSpan w:val="3"/>
            <w:tcBorders>
              <w:top w:val="single" w:sz="16"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Expensify Neue;sans-serif" w:hAnsi="Expensify Neue;sans-serif"/>
                <w:b/>
                <w:color w:val="000000"/>
                <w:sz w:val="16"/>
              </w:rPr>
            </w:pPr>
            <w:r>
              <w:rPr>
                <w:rFonts w:ascii="Expensify Neue;sans-serif" w:hAnsi="Expensify Neue;sans-serif"/>
                <w:b/>
                <w:color w:val="000000"/>
                <w:sz w:val="16"/>
              </w:rPr>
              <w:t>As of December 31,</w:t>
            </w:r>
          </w:p>
        </w:tc>
      </w:tr>
      <w:tr>
        <w:trPr/>
        <w:tc>
          <w:tcPr>
            <w:tcW w:w="32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89"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Expensify Neue;sans-serif" w:hAnsi="Expensify Neue;sans-serif"/>
                <w:b/>
                <w:color w:val="000000"/>
                <w:sz w:val="16"/>
              </w:rPr>
            </w:pPr>
            <w:r>
              <w:rPr>
                <w:rFonts w:ascii="Expensify Neue;sans-serif" w:hAnsi="Expensify Neue;sans-serif"/>
                <w:b/>
                <w:color w:val="000000"/>
                <w:sz w:val="16"/>
              </w:rPr>
              <w:t>2025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79"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Expensify Neue;sans-serif" w:hAnsi="Expensify Neue;sans-serif"/>
                <w:b/>
                <w:color w:val="000000"/>
                <w:sz w:val="16"/>
              </w:rPr>
            </w:pPr>
            <w:r>
              <w:rPr>
                <w:rFonts w:ascii="Expensify Neue;sans-serif" w:hAnsi="Expensify Neue;sans-serif"/>
                <w:b/>
                <w:color w:val="000000"/>
                <w:sz w:val="16"/>
              </w:rPr>
              <w:t>2024</w:t>
            </w:r>
          </w:p>
        </w:tc>
      </w:tr>
      <w:tr>
        <w:trPr/>
        <w:tc>
          <w:tcPr>
            <w:tcW w:w="320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Expensify Neue;sans-serif" w:hAnsi="Expensify Neue;sans-serif"/>
                <w:b w:val="false"/>
                <w:color w:val="000000"/>
                <w:sz w:val="20"/>
              </w:rPr>
            </w:pPr>
            <w:r>
              <w:rPr>
                <w:rFonts w:ascii="Expensify Neue;sans-serif" w:hAnsi="Expensify Neue;sans-serif"/>
                <w:b w:val="false"/>
                <w:color w:val="000000"/>
                <w:sz w:val="20"/>
              </w:rPr>
              <w:t>Computers and equipment</w:t>
            </w:r>
          </w:p>
        </w:tc>
        <w:tc>
          <w:tcPr>
            <w:tcW w:w="30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Expensify Neue;sans-serif" w:hAnsi="Expensify Neue;sans-serif"/>
                <w:b w:val="false"/>
                <w:color w:val="000000"/>
                <w:sz w:val="20"/>
              </w:rPr>
            </w:pPr>
            <w:r>
              <w:rPr>
                <w:rFonts w:ascii="Expensify Neue;sans-serif" w:hAnsi="Expensify Neue;sans-serif"/>
                <w:b w:val="false"/>
                <w:color w:val="000000"/>
                <w:sz w:val="20"/>
              </w:rPr>
              <w:t>$</w:t>
            </w:r>
          </w:p>
        </w:tc>
        <w:tc>
          <w:tcPr>
            <w:tcW w:w="113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Expensify Neue;sans-serif" w:hAnsi="Expensify Neue;sans-serif"/>
                <w:b w:val="false"/>
                <w:color w:val="000000"/>
                <w:sz w:val="20"/>
              </w:rPr>
            </w:pPr>
            <w:r>
              <w:rPr>
                <w:rFonts w:ascii="Expensify Neue;sans-serif" w:hAnsi="Expensify Neue;sans-serif"/>
                <w:b w:val="false"/>
                <w:color w:val="000000"/>
                <w:sz w:val="20"/>
              </w:rPr>
              <w:t>170 </w:t>
            </w:r>
          </w:p>
        </w:tc>
        <w:tc>
          <w:tcPr>
            <w:tcW w:w="14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Expensify Neue;sans-serif" w:hAnsi="Expensify Neue;sans-serif"/>
                <w:b w:val="false"/>
                <w:color w:val="000000"/>
                <w:sz w:val="20"/>
              </w:rPr>
            </w:pPr>
            <w:r>
              <w:rPr>
                <w:rFonts w:ascii="Expensify Neue;sans-serif" w:hAnsi="Expensify Neue;sans-serif"/>
                <w:b w:val="false"/>
                <w:color w:val="000000"/>
                <w:sz w:val="20"/>
              </w:rPr>
              <w:t>$</w:t>
            </w:r>
          </w:p>
        </w:tc>
        <w:tc>
          <w:tcPr>
            <w:tcW w:w="135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Expensify Neue;sans-serif" w:hAnsi="Expensify Neue;sans-serif"/>
                <w:b w:val="false"/>
                <w:color w:val="000000"/>
                <w:sz w:val="20"/>
              </w:rPr>
            </w:pPr>
            <w:r>
              <w:rPr>
                <w:rFonts w:ascii="Expensify Neue;sans-serif" w:hAnsi="Expensify Neue;sans-serif"/>
                <w:b w:val="false"/>
                <w:color w:val="000000"/>
                <w:sz w:val="20"/>
              </w:rPr>
              <w:t>170 </w:t>
            </w:r>
          </w:p>
        </w:tc>
        <w:tc>
          <w:tcPr>
            <w:tcW w:w="25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0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Expensify Neue;sans-serif" w:hAnsi="Expensify Neue;sans-serif"/>
                <w:b w:val="false"/>
                <w:color w:val="000000"/>
                <w:sz w:val="20"/>
              </w:rPr>
            </w:pPr>
            <w:r>
              <w:rPr>
                <w:rFonts w:ascii="Expensify Neue;sans-serif" w:hAnsi="Expensify Neue;sans-serif"/>
                <w:b w:val="false"/>
                <w:color w:val="000000"/>
                <w:sz w:val="20"/>
              </w:rPr>
              <w:t>Furniture and fixtures</w:t>
            </w:r>
          </w:p>
        </w:tc>
        <w:tc>
          <w:tcPr>
            <w:tcW w:w="144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Expensify Neue;sans-serif" w:hAnsi="Expensify Neue;sans-serif"/>
                <w:b w:val="false"/>
                <w:color w:val="000000"/>
                <w:sz w:val="20"/>
              </w:rPr>
            </w:pPr>
            <w:r>
              <w:rPr>
                <w:rFonts w:ascii="Expensify Neue;sans-serif" w:hAnsi="Expensify Neue;sans-serif"/>
                <w:b w:val="false"/>
                <w:color w:val="000000"/>
                <w:sz w:val="20"/>
              </w:rPr>
              <w:t>1,930 </w:t>
            </w:r>
          </w:p>
        </w:tc>
        <w:tc>
          <w:tcPr>
            <w:tcW w:w="14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Expensify Neue;sans-serif" w:hAnsi="Expensify Neue;sans-serif"/>
                <w:b w:val="false"/>
                <w:color w:val="000000"/>
                <w:sz w:val="20"/>
              </w:rPr>
            </w:pPr>
            <w:r>
              <w:rPr>
                <w:rFonts w:ascii="Expensify Neue;sans-serif" w:hAnsi="Expensify Neue;sans-serif"/>
                <w:b w:val="false"/>
                <w:color w:val="000000"/>
                <w:sz w:val="20"/>
              </w:rPr>
              <w:t>1,930 </w:t>
            </w:r>
          </w:p>
        </w:tc>
        <w:tc>
          <w:tcPr>
            <w:tcW w:w="25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0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Expensify Neue;sans-serif" w:hAnsi="Expensify Neue;sans-serif"/>
                <w:b w:val="false"/>
                <w:color w:val="000000"/>
                <w:sz w:val="20"/>
              </w:rPr>
            </w:pPr>
            <w:r>
              <w:rPr>
                <w:rFonts w:ascii="Expensify Neue;sans-serif" w:hAnsi="Expensify Neue;sans-serif"/>
                <w:b w:val="false"/>
                <w:color w:val="000000"/>
                <w:sz w:val="20"/>
              </w:rPr>
              <w:t>Leasehold improvements</w:t>
            </w:r>
          </w:p>
        </w:tc>
        <w:tc>
          <w:tcPr>
            <w:tcW w:w="144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Expensify Neue;sans-serif" w:hAnsi="Expensify Neue;sans-serif"/>
                <w:b w:val="false"/>
                <w:color w:val="000000"/>
                <w:sz w:val="20"/>
              </w:rPr>
            </w:pPr>
            <w:r>
              <w:rPr>
                <w:rFonts w:ascii="Expensify Neue;sans-serif" w:hAnsi="Expensify Neue;sans-serif"/>
                <w:b w:val="false"/>
                <w:color w:val="000000"/>
                <w:sz w:val="20"/>
              </w:rPr>
              <w:t>7,937 </w:t>
            </w:r>
          </w:p>
        </w:tc>
        <w:tc>
          <w:tcPr>
            <w:tcW w:w="14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Expensify Neue;sans-serif" w:hAnsi="Expensify Neue;sans-serif"/>
                <w:b w:val="false"/>
                <w:color w:val="000000"/>
                <w:sz w:val="20"/>
              </w:rPr>
            </w:pPr>
            <w:r>
              <w:rPr>
                <w:rFonts w:ascii="Expensify Neue;sans-serif" w:hAnsi="Expensify Neue;sans-serif"/>
                <w:b w:val="false"/>
                <w:color w:val="000000"/>
                <w:sz w:val="20"/>
              </w:rPr>
              <w:t>7,937 </w:t>
            </w:r>
          </w:p>
        </w:tc>
        <w:tc>
          <w:tcPr>
            <w:tcW w:w="25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0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Expensify Neue;sans-serif" w:hAnsi="Expensify Neue;sans-serif"/>
                <w:b w:val="false"/>
                <w:color w:val="000000"/>
                <w:sz w:val="20"/>
              </w:rPr>
            </w:pPr>
            <w:r>
              <w:rPr>
                <w:rFonts w:ascii="Expensify Neue;sans-serif" w:hAnsi="Expensify Neue;sans-serif"/>
                <w:b w:val="false"/>
                <w:color w:val="000000"/>
                <w:sz w:val="20"/>
              </w:rPr>
              <w:t>Commercial building</w:t>
            </w:r>
          </w:p>
        </w:tc>
        <w:tc>
          <w:tcPr>
            <w:tcW w:w="144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Expensify Neue;sans-serif" w:hAnsi="Expensify Neue;sans-serif"/>
                <w:b w:val="false"/>
                <w:color w:val="000000"/>
                <w:sz w:val="20"/>
              </w:rPr>
            </w:pPr>
            <w:r>
              <w:rPr>
                <w:rFonts w:ascii="Expensify Neue;sans-serif" w:hAnsi="Expensify Neue;sans-serif"/>
                <w:b w:val="false"/>
                <w:color w:val="000000"/>
                <w:sz w:val="20"/>
              </w:rPr>
              <w:t>6,493 </w:t>
            </w:r>
          </w:p>
        </w:tc>
        <w:tc>
          <w:tcPr>
            <w:tcW w:w="14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Expensify Neue;sans-serif" w:hAnsi="Expensify Neue;sans-serif"/>
                <w:b w:val="false"/>
                <w:color w:val="000000"/>
                <w:sz w:val="20"/>
              </w:rPr>
            </w:pPr>
            <w:r>
              <w:rPr>
                <w:rFonts w:ascii="Expensify Neue;sans-serif" w:hAnsi="Expensify Neue;sans-serif"/>
                <w:b w:val="false"/>
                <w:color w:val="000000"/>
                <w:sz w:val="20"/>
              </w:rPr>
              <w:t>6,493 </w:t>
            </w:r>
          </w:p>
        </w:tc>
        <w:tc>
          <w:tcPr>
            <w:tcW w:w="25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0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Expensify Neue;sans-serif" w:hAnsi="Expensify Neue;sans-serif"/>
                <w:b w:val="false"/>
                <w:color w:val="000000"/>
                <w:sz w:val="20"/>
              </w:rPr>
            </w:pPr>
            <w:r>
              <w:rPr>
                <w:rFonts w:ascii="Expensify Neue;sans-serif" w:hAnsi="Expensify Neue;sans-serif"/>
                <w:b w:val="false"/>
                <w:color w:val="000000"/>
                <w:sz w:val="20"/>
              </w:rPr>
              <w:t>Land</w:t>
            </w:r>
          </w:p>
        </w:tc>
        <w:tc>
          <w:tcPr>
            <w:tcW w:w="144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Expensify Neue;sans-serif" w:hAnsi="Expensify Neue;sans-serif"/>
                <w:b w:val="false"/>
                <w:color w:val="000000"/>
                <w:sz w:val="20"/>
              </w:rPr>
            </w:pPr>
            <w:r>
              <w:rPr>
                <w:rFonts w:ascii="Expensify Neue;sans-serif" w:hAnsi="Expensify Neue;sans-serif"/>
                <w:b w:val="false"/>
                <w:color w:val="000000"/>
                <w:sz w:val="20"/>
              </w:rPr>
              <w:t>4,151 </w:t>
            </w:r>
          </w:p>
        </w:tc>
        <w:tc>
          <w:tcPr>
            <w:tcW w:w="14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Expensify Neue;sans-serif" w:hAnsi="Expensify Neue;sans-serif"/>
                <w:b w:val="false"/>
                <w:color w:val="000000"/>
                <w:sz w:val="20"/>
              </w:rPr>
            </w:pPr>
            <w:r>
              <w:rPr>
                <w:rFonts w:ascii="Expensify Neue;sans-serif" w:hAnsi="Expensify Neue;sans-serif"/>
                <w:b w:val="false"/>
                <w:color w:val="000000"/>
                <w:sz w:val="20"/>
              </w:rPr>
              <w:t>4,151 </w:t>
            </w:r>
          </w:p>
        </w:tc>
        <w:tc>
          <w:tcPr>
            <w:tcW w:w="25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0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Expensify Neue;sans-serif" w:hAnsi="Expensify Neue;sans-serif"/>
                <w:b w:val="false"/>
                <w:color w:val="000000"/>
                <w:sz w:val="20"/>
              </w:rPr>
            </w:pPr>
            <w:r>
              <w:rPr>
                <w:rFonts w:ascii="Expensify Neue;sans-serif" w:hAnsi="Expensify Neue;sans-serif"/>
                <w:b w:val="false"/>
                <w:color w:val="000000"/>
                <w:sz w:val="20"/>
              </w:rPr>
              <w:t>Construction in progress</w:t>
            </w:r>
          </w:p>
        </w:tc>
        <w:tc>
          <w:tcPr>
            <w:tcW w:w="144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Expensify Neue;sans-serif" w:hAnsi="Expensify Neue;sans-serif"/>
                <w:b w:val="false"/>
                <w:color w:val="000000"/>
                <w:sz w:val="20"/>
              </w:rPr>
            </w:pPr>
            <w:r>
              <w:rPr>
                <w:rFonts w:ascii="Expensify Neue;sans-serif" w:hAnsi="Expensify Neue;sans-serif"/>
                <w:b w:val="false"/>
                <w:color w:val="000000"/>
                <w:sz w:val="20"/>
              </w:rPr>
              <w:t>2,570 </w:t>
            </w:r>
          </w:p>
        </w:tc>
        <w:tc>
          <w:tcPr>
            <w:tcW w:w="14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Expensify Neue;sans-serif" w:hAnsi="Expensify Neue;sans-serif"/>
                <w:b w:val="false"/>
                <w:color w:val="000000"/>
                <w:sz w:val="20"/>
              </w:rPr>
            </w:pPr>
            <w:r>
              <w:rPr>
                <w:rFonts w:ascii="Expensify Neue;sans-serif" w:hAnsi="Expensify Neue;sans-serif"/>
                <w:b w:val="false"/>
                <w:color w:val="000000"/>
                <w:sz w:val="20"/>
              </w:rPr>
              <w:t>2,570 </w:t>
            </w:r>
          </w:p>
        </w:tc>
        <w:tc>
          <w:tcPr>
            <w:tcW w:w="25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0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Expensify Neue;sans-serif" w:hAnsi="Expensify Neue;sans-serif"/>
                <w:b w:val="false"/>
                <w:color w:val="000000"/>
                <w:sz w:val="20"/>
              </w:rPr>
            </w:pPr>
            <w:r>
              <w:rPr>
                <w:rFonts w:ascii="Expensify Neue;sans-serif" w:hAnsi="Expensify Neue;sans-serif"/>
                <w:b w:val="false"/>
                <w:color w:val="000000"/>
                <w:sz w:val="20"/>
              </w:rPr>
              <w:t>Total property and equipment</w:t>
            </w:r>
          </w:p>
        </w:tc>
        <w:tc>
          <w:tcPr>
            <w:tcW w:w="144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Expensify Neue;sans-serif" w:hAnsi="Expensify Neue;sans-serif"/>
                <w:b w:val="false"/>
                <w:color w:val="000000"/>
                <w:sz w:val="20"/>
              </w:rPr>
            </w:pPr>
            <w:r>
              <w:rPr>
                <w:rFonts w:ascii="Expensify Neue;sans-serif" w:hAnsi="Expensify Neue;sans-serif"/>
                <w:b w:val="false"/>
                <w:color w:val="000000"/>
                <w:sz w:val="20"/>
              </w:rPr>
              <w:t>23,251 </w:t>
            </w:r>
          </w:p>
        </w:tc>
        <w:tc>
          <w:tcPr>
            <w:tcW w:w="14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2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Expensify Neue;sans-serif" w:hAnsi="Expensify Neue;sans-serif"/>
                <w:b w:val="false"/>
                <w:color w:val="000000"/>
                <w:sz w:val="20"/>
              </w:rPr>
            </w:pPr>
            <w:r>
              <w:rPr>
                <w:rFonts w:ascii="Expensify Neue;sans-serif" w:hAnsi="Expensify Neue;sans-serif"/>
                <w:b w:val="false"/>
                <w:color w:val="000000"/>
                <w:sz w:val="20"/>
              </w:rPr>
              <w:t>23,251 </w:t>
            </w:r>
          </w:p>
        </w:tc>
        <w:tc>
          <w:tcPr>
            <w:tcW w:w="25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0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Expensify Neue;sans-serif" w:hAnsi="Expensify Neue;sans-serif"/>
                <w:b w:val="false"/>
                <w:color w:val="000000"/>
                <w:sz w:val="20"/>
              </w:rPr>
            </w:pPr>
            <w:r>
              <w:rPr>
                <w:rFonts w:ascii="Expensify Neue;sans-serif" w:hAnsi="Expensify Neue;sans-serif"/>
                <w:b w:val="false"/>
                <w:color w:val="000000"/>
                <w:sz w:val="20"/>
              </w:rPr>
              <w:t>Less: accumulated depreciation</w:t>
            </w:r>
          </w:p>
        </w:tc>
        <w:tc>
          <w:tcPr>
            <w:tcW w:w="144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Expensify Neue;sans-serif" w:hAnsi="Expensify Neue;sans-serif"/>
                <w:b w:val="false"/>
                <w:color w:val="000000"/>
                <w:sz w:val="20"/>
              </w:rPr>
            </w:pPr>
            <w:r>
              <w:rPr>
                <w:rFonts w:ascii="Expensify Neue;sans-serif" w:hAnsi="Expensify Neue;sans-serif"/>
                <w:b w:val="false"/>
                <w:color w:val="000000"/>
                <w:sz w:val="20"/>
              </w:rPr>
              <w:t>(9,769)</w:t>
            </w:r>
          </w:p>
        </w:tc>
        <w:tc>
          <w:tcPr>
            <w:tcW w:w="14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Expensify Neue;sans-serif" w:hAnsi="Expensify Neue;sans-serif"/>
                <w:b w:val="false"/>
                <w:color w:val="000000"/>
                <w:sz w:val="20"/>
              </w:rPr>
            </w:pPr>
            <w:r>
              <w:rPr>
                <w:rFonts w:ascii="Expensify Neue;sans-serif" w:hAnsi="Expensify Neue;sans-serif"/>
                <w:b w:val="false"/>
                <w:color w:val="000000"/>
                <w:sz w:val="20"/>
              </w:rPr>
              <w:t>(9,630)</w:t>
            </w:r>
          </w:p>
        </w:tc>
        <w:tc>
          <w:tcPr>
            <w:tcW w:w="25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0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Expensify Neue;sans-serif" w:hAnsi="Expensify Neue;sans-serif"/>
                <w:b w:val="false"/>
                <w:color w:val="000000"/>
                <w:sz w:val="20"/>
              </w:rPr>
            </w:pPr>
            <w:r>
              <w:rPr>
                <w:rFonts w:ascii="Expensify Neue;sans-serif" w:hAnsi="Expensify Neue;sans-serif"/>
                <w:b w:val="false"/>
                <w:color w:val="000000"/>
                <w:sz w:val="20"/>
              </w:rPr>
              <w:t>Property and equipment, net</w:t>
            </w:r>
          </w:p>
        </w:tc>
        <w:tc>
          <w:tcPr>
            <w:tcW w:w="30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Expensify Neue;sans-serif" w:hAnsi="Expensify Neue;sans-serif"/>
                <w:b w:val="false"/>
                <w:color w:val="000000"/>
                <w:sz w:val="20"/>
              </w:rPr>
            </w:pPr>
            <w:r>
              <w:rPr>
                <w:rFonts w:ascii="Expensify Neue;sans-serif" w:hAnsi="Expensify Neue;sans-serif"/>
                <w:b w:val="false"/>
                <w:color w:val="000000"/>
                <w:sz w:val="20"/>
              </w:rPr>
              <w:t>$</w:t>
            </w:r>
          </w:p>
        </w:tc>
        <w:tc>
          <w:tcPr>
            <w:tcW w:w="113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Expensify Neue;sans-serif" w:hAnsi="Expensify Neue;sans-serif"/>
                <w:b w:val="false"/>
                <w:color w:val="000000"/>
                <w:sz w:val="20"/>
              </w:rPr>
            </w:pPr>
            <w:r>
              <w:rPr>
                <w:rFonts w:ascii="Expensify Neue;sans-serif" w:hAnsi="Expensify Neue;sans-serif"/>
                <w:b w:val="false"/>
                <w:color w:val="000000"/>
                <w:sz w:val="20"/>
              </w:rPr>
              <w:t>13,482 </w:t>
            </w:r>
          </w:p>
        </w:tc>
        <w:tc>
          <w:tcPr>
            <w:tcW w:w="14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Expensify Neue;sans-serif" w:hAnsi="Expensify Neue;sans-serif"/>
                <w:b w:val="false"/>
                <w:color w:val="000000"/>
                <w:sz w:val="20"/>
              </w:rPr>
            </w:pPr>
            <w:r>
              <w:rPr>
                <w:rFonts w:ascii="Expensify Neue;sans-serif" w:hAnsi="Expensify Neue;sans-serif"/>
                <w:b w:val="false"/>
                <w:color w:val="000000"/>
                <w:sz w:val="20"/>
              </w:rPr>
              <w:t>$</w:t>
            </w:r>
          </w:p>
        </w:tc>
        <w:tc>
          <w:tcPr>
            <w:tcW w:w="135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Expensify Neue;sans-serif" w:hAnsi="Expensify Neue;sans-serif"/>
                <w:b w:val="false"/>
                <w:color w:val="000000"/>
                <w:sz w:val="20"/>
              </w:rPr>
            </w:pPr>
            <w:r>
              <w:rPr>
                <w:rFonts w:ascii="Expensify Neue;sans-serif" w:hAnsi="Expensify Neue;sans-serif"/>
                <w:b w:val="false"/>
                <w:color w:val="000000"/>
                <w:sz w:val="20"/>
              </w:rPr>
              <w:t>13,621 </w:t>
            </w:r>
          </w:p>
        </w:tc>
        <w:tc>
          <w:tcPr>
            <w:tcW w:w="25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09" w:type="dxa"/>
            <w:gridSpan w:val="3"/>
            <w:tcBorders>
              <w:bottom w:val="single" w:sz="8" w:space="0" w:color="000000"/>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589" w:type="dxa"/>
            <w:gridSpan w:val="3"/>
            <w:tcBorders>
              <w:top w:val="double" w:sz="8" w:space="0" w:color="000000"/>
              <w:bottom w:val="single" w:sz="8" w:space="0" w:color="000000"/>
            </w:tcBorders>
            <w:shd w:fill="FFFFFF" w:val="clear"/>
            <w:tcMar>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8" w:space="0" w:color="000000"/>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979" w:type="dxa"/>
            <w:gridSpan w:val="3"/>
            <w:tcBorders>
              <w:top w:val="double" w:sz="8" w:space="0" w:color="000000"/>
              <w:bottom w:val="single" w:sz="8" w:space="0" w:color="000000"/>
            </w:tcBorders>
            <w:shd w:fill="FFFFFF" w:val="clear"/>
            <w:tcMar>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160"/>
        <w:jc w:val="left"/>
        <w:rPr>
          <w:rFonts w:ascii="Expensify Neue;sans-serif" w:hAnsi="Expensify Neue;sans-serif"/>
          <w:b w:val="false"/>
          <w:color w:val="000000"/>
          <w:sz w:val="20"/>
        </w:rPr>
      </w:pPr>
      <w:r>
        <w:rPr>
          <w:rFonts w:ascii="Expensify Neue;sans-serif" w:hAnsi="Expensify Neue;sans-serif"/>
          <w:b w:val="false"/>
          <w:color w:val="000000"/>
          <w:sz w:val="20"/>
        </w:rPr>
        <w:t xml:space="preserve">Depreciation expense related to property and equipment is recorded in General and administrative, Sales and marketing, and Other income (expenses), net on the Condensed Consolidated Statements of Operations. Depreciation expense related to property and equipment was $0.1 million and $0.2 million for the three months ended March 31, 2025 and 2024, respectively. </w:t>
      </w:r>
    </w:p>
    <w:p>
      <w:pPr>
        <w:pStyle w:val="TextBody"/>
        <w:bidi w:val="0"/>
        <w:spacing w:lineRule="auto" w:line="288" w:before="0" w:after="160"/>
        <w:jc w:val="left"/>
        <w:rPr/>
      </w:pPr>
      <w:r>
        <w:rPr>
          <w:rFonts w:ascii="Expensify Neue;sans-serif" w:hAnsi="Expensify Neue;sans-serif"/>
          <w:b/>
          <w:color w:val="000000"/>
          <w:sz w:val="20"/>
        </w:rPr>
        <w:t>Accrued Expenses and Other Liabilities</w:t>
      </w:r>
      <w:r>
        <w:rPr>
          <w:color w:val="000000"/>
        </w:rPr>
        <w:t xml:space="preserve"> </w:t>
      </w:r>
    </w:p>
    <w:p>
      <w:pPr>
        <w:pStyle w:val="TextBody"/>
        <w:bidi w:val="0"/>
        <w:spacing w:lineRule="auto" w:line="288" w:before="0" w:after="160"/>
        <w:jc w:val="left"/>
        <w:rPr>
          <w:rFonts w:ascii="Expensify Neue;sans-serif" w:hAnsi="Expensify Neue;sans-serif"/>
          <w:b w:val="false"/>
          <w:color w:val="000000"/>
          <w:sz w:val="20"/>
        </w:rPr>
      </w:pPr>
      <w:r>
        <w:rPr>
          <w:rFonts w:ascii="Expensify Neue;sans-serif" w:hAnsi="Expensify Neue;sans-serif"/>
          <w:b w:val="false"/>
          <w:color w:val="000000"/>
          <w:sz w:val="20"/>
        </w:rPr>
        <w:t>Accrued expenses and other liabilities consisted of the following (in thousands):</w:t>
      </w:r>
    </w:p>
    <w:tbl>
      <w:tblPr>
        <w:tblW w:w="7766" w:type="dxa"/>
        <w:jc w:val="left"/>
        <w:tblInd w:w="0" w:type="dxa"/>
        <w:tblLayout w:type="fixed"/>
        <w:tblCellMar>
          <w:top w:w="28" w:type="dxa"/>
          <w:left w:w="28" w:type="dxa"/>
          <w:bottom w:w="28" w:type="dxa"/>
          <w:right w:w="28" w:type="dxa"/>
        </w:tblCellMar>
      </w:tblPr>
      <w:tblGrid>
        <w:gridCol w:w="1400"/>
        <w:gridCol w:w="1233"/>
        <w:gridCol w:w="1237"/>
        <w:gridCol w:w="345"/>
        <w:gridCol w:w="1079"/>
        <w:gridCol w:w="166"/>
        <w:gridCol w:w="109"/>
        <w:gridCol w:w="109"/>
        <w:gridCol w:w="109"/>
        <w:gridCol w:w="412"/>
        <w:gridCol w:w="1287"/>
        <w:gridCol w:w="280"/>
      </w:tblGrid>
      <w:tr>
        <w:trPr/>
        <w:tc>
          <w:tcPr>
            <w:tcW w:w="1400" w:type="dxa"/>
            <w:tcBorders/>
            <w:vAlign w:val="center"/>
          </w:tcPr>
          <w:p>
            <w:pPr>
              <w:pStyle w:val="TableContents"/>
              <w:bidi w:val="0"/>
              <w:spacing w:before="0" w:after="283"/>
              <w:jc w:val="left"/>
              <w:rPr>
                <w:sz w:val="4"/>
                <w:szCs w:val="4"/>
              </w:rPr>
            </w:pPr>
            <w:r>
              <w:rPr>
                <w:sz w:val="4"/>
                <w:szCs w:val="4"/>
              </w:rPr>
            </w:r>
          </w:p>
        </w:tc>
        <w:tc>
          <w:tcPr>
            <w:tcW w:w="1233" w:type="dxa"/>
            <w:tcBorders/>
            <w:vAlign w:val="center"/>
          </w:tcPr>
          <w:p>
            <w:pPr>
              <w:pStyle w:val="TableContents"/>
              <w:bidi w:val="0"/>
              <w:spacing w:before="0" w:after="283"/>
              <w:jc w:val="left"/>
              <w:rPr>
                <w:sz w:val="4"/>
                <w:szCs w:val="4"/>
              </w:rPr>
            </w:pPr>
            <w:r>
              <w:rPr>
                <w:sz w:val="4"/>
                <w:szCs w:val="4"/>
              </w:rPr>
            </w:r>
          </w:p>
        </w:tc>
        <w:tc>
          <w:tcPr>
            <w:tcW w:w="1237" w:type="dxa"/>
            <w:tcBorders/>
            <w:vAlign w:val="center"/>
          </w:tcPr>
          <w:p>
            <w:pPr>
              <w:pStyle w:val="TableContents"/>
              <w:bidi w:val="0"/>
              <w:spacing w:before="0" w:after="283"/>
              <w:jc w:val="left"/>
              <w:rPr>
                <w:sz w:val="4"/>
                <w:szCs w:val="4"/>
              </w:rPr>
            </w:pPr>
            <w:r>
              <w:rPr>
                <w:sz w:val="4"/>
                <w:szCs w:val="4"/>
              </w:rPr>
            </w:r>
          </w:p>
        </w:tc>
        <w:tc>
          <w:tcPr>
            <w:tcW w:w="345" w:type="dxa"/>
            <w:tcBorders/>
            <w:vAlign w:val="center"/>
          </w:tcPr>
          <w:p>
            <w:pPr>
              <w:pStyle w:val="TableContents"/>
              <w:bidi w:val="0"/>
              <w:spacing w:before="0" w:after="283"/>
              <w:jc w:val="left"/>
              <w:rPr>
                <w:sz w:val="4"/>
                <w:szCs w:val="4"/>
              </w:rPr>
            </w:pPr>
            <w:r>
              <w:rPr>
                <w:sz w:val="4"/>
                <w:szCs w:val="4"/>
              </w:rPr>
            </w:r>
          </w:p>
        </w:tc>
        <w:tc>
          <w:tcPr>
            <w:tcW w:w="1079"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12" w:type="dxa"/>
            <w:tcBorders/>
            <w:vAlign w:val="center"/>
          </w:tcPr>
          <w:p>
            <w:pPr>
              <w:pStyle w:val="TableContents"/>
              <w:bidi w:val="0"/>
              <w:spacing w:before="0" w:after="283"/>
              <w:jc w:val="left"/>
              <w:rPr>
                <w:sz w:val="4"/>
                <w:szCs w:val="4"/>
              </w:rPr>
            </w:pPr>
            <w:r>
              <w:rPr>
                <w:sz w:val="4"/>
                <w:szCs w:val="4"/>
              </w:rPr>
            </w:r>
          </w:p>
        </w:tc>
        <w:tc>
          <w:tcPr>
            <w:tcW w:w="1287" w:type="dxa"/>
            <w:tcBorders/>
            <w:vAlign w:val="center"/>
          </w:tcPr>
          <w:p>
            <w:pPr>
              <w:pStyle w:val="TableContents"/>
              <w:bidi w:val="0"/>
              <w:spacing w:before="0" w:after="283"/>
              <w:jc w:val="left"/>
              <w:rPr>
                <w:sz w:val="4"/>
                <w:szCs w:val="4"/>
              </w:rPr>
            </w:pPr>
            <w:r>
              <w:rPr>
                <w:sz w:val="4"/>
                <w:szCs w:val="4"/>
              </w:rPr>
            </w:r>
          </w:p>
        </w:tc>
        <w:tc>
          <w:tcPr>
            <w:tcW w:w="280" w:type="dxa"/>
            <w:tcBorders/>
            <w:vAlign w:val="center"/>
          </w:tcPr>
          <w:p>
            <w:pPr>
              <w:pStyle w:val="TableContents"/>
              <w:bidi w:val="0"/>
              <w:spacing w:before="0" w:after="283"/>
              <w:jc w:val="left"/>
              <w:rPr>
                <w:sz w:val="4"/>
                <w:szCs w:val="4"/>
              </w:rPr>
            </w:pPr>
            <w:r>
              <w:rPr>
                <w:sz w:val="4"/>
                <w:szCs w:val="4"/>
              </w:rPr>
            </w:r>
          </w:p>
        </w:tc>
      </w:tr>
      <w:tr>
        <w:trPr/>
        <w:tc>
          <w:tcPr>
            <w:tcW w:w="3870" w:type="dxa"/>
            <w:gridSpan w:val="3"/>
            <w:tcBorders>
              <w:top w:val="single" w:sz="1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90" w:type="dxa"/>
            <w:gridSpan w:val="3"/>
            <w:tcBorders>
              <w:top w:val="single" w:sz="16"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Expensify Neue;sans-serif" w:hAnsi="Expensify Neue;sans-serif"/>
                <w:b/>
                <w:color w:val="000000"/>
                <w:sz w:val="16"/>
              </w:rPr>
            </w:pPr>
            <w:r>
              <w:rPr>
                <w:rFonts w:ascii="Expensify Neue;sans-serif" w:hAnsi="Expensify Neue;sans-serif"/>
                <w:b/>
                <w:color w:val="000000"/>
                <w:sz w:val="16"/>
              </w:rPr>
              <w:t>As of March 31,</w:t>
            </w:r>
          </w:p>
        </w:tc>
        <w:tc>
          <w:tcPr>
            <w:tcW w:w="327" w:type="dxa"/>
            <w:gridSpan w:val="3"/>
            <w:tcBorders>
              <w:top w:val="single" w:sz="16"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79" w:type="dxa"/>
            <w:gridSpan w:val="3"/>
            <w:tcBorders>
              <w:top w:val="single" w:sz="16"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Expensify Neue;sans-serif" w:hAnsi="Expensify Neue;sans-serif"/>
                <w:b/>
                <w:color w:val="000000"/>
                <w:sz w:val="16"/>
              </w:rPr>
            </w:pPr>
            <w:r>
              <w:rPr>
                <w:rFonts w:ascii="Expensify Neue;sans-serif" w:hAnsi="Expensify Neue;sans-serif"/>
                <w:b/>
                <w:color w:val="000000"/>
                <w:sz w:val="16"/>
              </w:rPr>
              <w:t>As of December 31,</w:t>
            </w:r>
          </w:p>
        </w:tc>
      </w:tr>
      <w:tr>
        <w:trPr/>
        <w:tc>
          <w:tcPr>
            <w:tcW w:w="387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90"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Expensify Neue;sans-serif" w:hAnsi="Expensify Neue;sans-serif"/>
                <w:b/>
                <w:color w:val="000000"/>
                <w:sz w:val="16"/>
              </w:rPr>
            </w:pPr>
            <w:r>
              <w:rPr>
                <w:rFonts w:ascii="Expensify Neue;sans-serif" w:hAnsi="Expensify Neue;sans-serif"/>
                <w:b/>
                <w:color w:val="000000"/>
                <w:sz w:val="16"/>
              </w:rPr>
              <w:t>2025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79"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Expensify Neue;sans-serif" w:hAnsi="Expensify Neue;sans-serif"/>
                <w:b/>
                <w:color w:val="000000"/>
                <w:sz w:val="16"/>
              </w:rPr>
            </w:pPr>
            <w:r>
              <w:rPr>
                <w:rFonts w:ascii="Expensify Neue;sans-serif" w:hAnsi="Expensify Neue;sans-serif"/>
                <w:b/>
                <w:color w:val="000000"/>
                <w:sz w:val="16"/>
              </w:rPr>
              <w:t>2024</w:t>
            </w:r>
          </w:p>
        </w:tc>
      </w:tr>
      <w:tr>
        <w:trPr/>
        <w:tc>
          <w:tcPr>
            <w:tcW w:w="387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Expensify Neue;sans-serif" w:hAnsi="Expensify Neue;sans-serif"/>
                <w:b w:val="false"/>
                <w:color w:val="000000"/>
                <w:sz w:val="20"/>
              </w:rPr>
            </w:pPr>
            <w:r>
              <w:rPr>
                <w:rFonts w:ascii="Expensify Neue;sans-serif" w:hAnsi="Expensify Neue;sans-serif"/>
                <w:b w:val="false"/>
                <w:color w:val="000000"/>
                <w:sz w:val="20"/>
              </w:rPr>
              <w:t>Sales, payroll and other taxes payable</w:t>
            </w:r>
          </w:p>
        </w:tc>
        <w:tc>
          <w:tcPr>
            <w:tcW w:w="34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Expensify Neue;sans-serif" w:hAnsi="Expensify Neue;sans-serif"/>
                <w:b w:val="false"/>
                <w:color w:val="000000"/>
                <w:sz w:val="20"/>
              </w:rPr>
            </w:pPr>
            <w:r>
              <w:rPr>
                <w:rFonts w:ascii="Expensify Neue;sans-serif" w:hAnsi="Expensify Neue;sans-serif"/>
                <w:b w:val="false"/>
                <w:color w:val="000000"/>
                <w:sz w:val="20"/>
              </w:rPr>
              <w:t>$</w:t>
            </w:r>
          </w:p>
        </w:tc>
        <w:tc>
          <w:tcPr>
            <w:tcW w:w="107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Expensify Neue;sans-serif" w:hAnsi="Expensify Neue;sans-serif"/>
                <w:b w:val="false"/>
                <w:color w:val="000000"/>
                <w:sz w:val="20"/>
              </w:rPr>
            </w:pPr>
            <w:r>
              <w:rPr>
                <w:rFonts w:ascii="Expensify Neue;sans-serif" w:hAnsi="Expensify Neue;sans-serif"/>
                <w:b w:val="false"/>
                <w:color w:val="000000"/>
                <w:sz w:val="20"/>
              </w:rPr>
              <w:t>2,395 </w:t>
            </w:r>
          </w:p>
        </w:tc>
        <w:tc>
          <w:tcPr>
            <w:tcW w:w="16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Expensify Neue;sans-serif" w:hAnsi="Expensify Neue;sans-serif"/>
                <w:b w:val="false"/>
                <w:color w:val="000000"/>
                <w:sz w:val="20"/>
              </w:rPr>
            </w:pPr>
            <w:r>
              <w:rPr>
                <w:rFonts w:ascii="Expensify Neue;sans-serif" w:hAnsi="Expensify Neue;sans-serif"/>
                <w:b w:val="false"/>
                <w:color w:val="000000"/>
                <w:sz w:val="20"/>
              </w:rPr>
              <w:t>$</w:t>
            </w:r>
          </w:p>
        </w:tc>
        <w:tc>
          <w:tcPr>
            <w:tcW w:w="128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Expensify Neue;sans-serif" w:hAnsi="Expensify Neue;sans-serif"/>
                <w:b w:val="false"/>
                <w:color w:val="000000"/>
                <w:sz w:val="20"/>
              </w:rPr>
            </w:pPr>
            <w:r>
              <w:rPr>
                <w:rFonts w:ascii="Expensify Neue;sans-serif" w:hAnsi="Expensify Neue;sans-serif"/>
                <w:b w:val="false"/>
                <w:color w:val="000000"/>
                <w:sz w:val="20"/>
              </w:rPr>
              <w:t>2,538 </w:t>
            </w:r>
          </w:p>
        </w:tc>
        <w:tc>
          <w:tcPr>
            <w:tcW w:w="28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7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Expensify Neue;sans-serif" w:hAnsi="Expensify Neue;sans-serif"/>
                <w:b w:val="false"/>
                <w:color w:val="000000"/>
                <w:sz w:val="20"/>
              </w:rPr>
            </w:pPr>
            <w:r>
              <w:rPr>
                <w:rFonts w:ascii="Expensify Neue;sans-serif" w:hAnsi="Expensify Neue;sans-serif"/>
                <w:b w:val="false"/>
                <w:color w:val="000000"/>
                <w:sz w:val="20"/>
              </w:rPr>
              <w:t>Income taxes payable</w:t>
            </w:r>
          </w:p>
        </w:tc>
        <w:tc>
          <w:tcPr>
            <w:tcW w:w="142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Expensify Neue;sans-serif" w:hAnsi="Expensify Neue;sans-serif"/>
                <w:b w:val="false"/>
                <w:color w:val="000000"/>
                <w:sz w:val="20"/>
              </w:rPr>
            </w:pPr>
            <w:r>
              <w:rPr>
                <w:rFonts w:ascii="Expensify Neue;sans-serif" w:hAnsi="Expensify Neue;sans-serif"/>
                <w:b w:val="false"/>
                <w:color w:val="000000"/>
                <w:sz w:val="20"/>
              </w:rPr>
              <w:t>2,136 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9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Expensify Neue;sans-serif" w:hAnsi="Expensify Neue;sans-serif"/>
                <w:b w:val="false"/>
                <w:color w:val="000000"/>
                <w:sz w:val="20"/>
              </w:rPr>
            </w:pPr>
            <w:r>
              <w:rPr>
                <w:rFonts w:ascii="Expensify Neue;sans-serif" w:hAnsi="Expensify Neue;sans-serif"/>
                <w:b w:val="false"/>
                <w:color w:val="000000"/>
                <w:sz w:val="20"/>
              </w:rPr>
              <w:t>934 </w:t>
            </w:r>
          </w:p>
        </w:tc>
        <w:tc>
          <w:tcPr>
            <w:tcW w:w="28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7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Expensify Neue;sans-serif" w:hAnsi="Expensify Neue;sans-serif"/>
                <w:b w:val="false"/>
                <w:color w:val="000000"/>
                <w:sz w:val="20"/>
              </w:rPr>
            </w:pPr>
            <w:r>
              <w:rPr>
                <w:rFonts w:ascii="Expensify Neue;sans-serif" w:hAnsi="Expensify Neue;sans-serif"/>
                <w:b w:val="false"/>
                <w:color w:val="000000"/>
                <w:sz w:val="20"/>
              </w:rPr>
              <w:t>Professional fees</w:t>
            </w:r>
          </w:p>
        </w:tc>
        <w:tc>
          <w:tcPr>
            <w:tcW w:w="142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Expensify Neue;sans-serif" w:hAnsi="Expensify Neue;sans-serif"/>
                <w:b w:val="false"/>
                <w:color w:val="000000"/>
                <w:sz w:val="20"/>
              </w:rPr>
            </w:pPr>
            <w:r>
              <w:rPr>
                <w:rFonts w:ascii="Expensify Neue;sans-serif" w:hAnsi="Expensify Neue;sans-serif"/>
                <w:b w:val="false"/>
                <w:color w:val="000000"/>
                <w:sz w:val="20"/>
              </w:rPr>
              <w:t>1,625 </w:t>
            </w:r>
          </w:p>
        </w:tc>
        <w:tc>
          <w:tcPr>
            <w:tcW w:w="16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9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Expensify Neue;sans-serif" w:hAnsi="Expensify Neue;sans-serif"/>
                <w:b w:val="false"/>
                <w:color w:val="000000"/>
                <w:sz w:val="20"/>
              </w:rPr>
            </w:pPr>
            <w:r>
              <w:rPr>
                <w:rFonts w:ascii="Expensify Neue;sans-serif" w:hAnsi="Expensify Neue;sans-serif"/>
                <w:b w:val="false"/>
                <w:color w:val="000000"/>
                <w:sz w:val="20"/>
              </w:rPr>
              <w:t>1,336 </w:t>
            </w:r>
          </w:p>
        </w:tc>
        <w:tc>
          <w:tcPr>
            <w:tcW w:w="28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7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Expensify Neue;sans-serif" w:hAnsi="Expensify Neue;sans-serif"/>
                <w:b w:val="false"/>
                <w:color w:val="000000"/>
                <w:sz w:val="20"/>
              </w:rPr>
            </w:pPr>
            <w:r>
              <w:rPr>
                <w:rFonts w:ascii="Expensify Neue;sans-serif" w:hAnsi="Expensify Neue;sans-serif"/>
                <w:b w:val="false"/>
                <w:color w:val="000000"/>
                <w:sz w:val="20"/>
              </w:rPr>
              <w:t>Partner payouts and advertising fees</w:t>
            </w:r>
          </w:p>
        </w:tc>
        <w:tc>
          <w:tcPr>
            <w:tcW w:w="142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Expensify Neue;sans-serif" w:hAnsi="Expensify Neue;sans-serif"/>
                <w:b w:val="false"/>
                <w:color w:val="000000"/>
                <w:sz w:val="20"/>
              </w:rPr>
            </w:pPr>
            <w:r>
              <w:rPr>
                <w:rFonts w:ascii="Expensify Neue;sans-serif" w:hAnsi="Expensify Neue;sans-serif"/>
                <w:b w:val="false"/>
                <w:color w:val="000000"/>
                <w:sz w:val="20"/>
              </w:rPr>
              <w:t>1,297 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9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Expensify Neue;sans-serif" w:hAnsi="Expensify Neue;sans-serif"/>
                <w:b w:val="false"/>
                <w:color w:val="000000"/>
                <w:sz w:val="20"/>
              </w:rPr>
            </w:pPr>
            <w:r>
              <w:rPr>
                <w:rFonts w:ascii="Expensify Neue;sans-serif" w:hAnsi="Expensify Neue;sans-serif"/>
                <w:b w:val="false"/>
                <w:color w:val="000000"/>
                <w:sz w:val="20"/>
              </w:rPr>
              <w:t>1,194 </w:t>
            </w:r>
          </w:p>
        </w:tc>
        <w:tc>
          <w:tcPr>
            <w:tcW w:w="28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7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Expensify Neue;sans-serif" w:hAnsi="Expensify Neue;sans-serif"/>
                <w:b w:val="false"/>
                <w:color w:val="000000"/>
                <w:sz w:val="20"/>
              </w:rPr>
            </w:pPr>
            <w:r>
              <w:rPr>
                <w:rFonts w:ascii="Expensify Neue;sans-serif" w:hAnsi="Expensify Neue;sans-serif"/>
                <w:b w:val="false"/>
                <w:color w:val="000000"/>
                <w:sz w:val="20"/>
              </w:rPr>
              <w:t>Cashback rewards</w:t>
            </w:r>
          </w:p>
        </w:tc>
        <w:tc>
          <w:tcPr>
            <w:tcW w:w="142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Expensify Neue;sans-serif" w:hAnsi="Expensify Neue;sans-serif"/>
                <w:b w:val="false"/>
                <w:color w:val="000000"/>
                <w:sz w:val="20"/>
              </w:rPr>
            </w:pPr>
            <w:r>
              <w:rPr>
                <w:rFonts w:ascii="Expensify Neue;sans-serif" w:hAnsi="Expensify Neue;sans-serif"/>
                <w:b w:val="false"/>
                <w:color w:val="000000"/>
                <w:sz w:val="20"/>
              </w:rPr>
              <w:t>503 </w:t>
            </w:r>
          </w:p>
        </w:tc>
        <w:tc>
          <w:tcPr>
            <w:tcW w:w="16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9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Expensify Neue;sans-serif" w:hAnsi="Expensify Neue;sans-serif"/>
                <w:b w:val="false"/>
                <w:color w:val="000000"/>
                <w:sz w:val="20"/>
              </w:rPr>
            </w:pPr>
            <w:r>
              <w:rPr>
                <w:rFonts w:ascii="Expensify Neue;sans-serif" w:hAnsi="Expensify Neue;sans-serif"/>
                <w:b w:val="false"/>
                <w:color w:val="000000"/>
                <w:sz w:val="20"/>
              </w:rPr>
              <w:t>489 </w:t>
            </w:r>
          </w:p>
        </w:tc>
        <w:tc>
          <w:tcPr>
            <w:tcW w:w="28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7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Expensify Neue;sans-serif" w:hAnsi="Expensify Neue;sans-serif"/>
                <w:b w:val="false"/>
                <w:color w:val="000000"/>
                <w:sz w:val="20"/>
              </w:rPr>
            </w:pPr>
            <w:r>
              <w:rPr>
                <w:rFonts w:ascii="Expensify Neue;sans-serif" w:hAnsi="Expensify Neue;sans-serif"/>
                <w:b w:val="false"/>
                <w:color w:val="000000"/>
                <w:sz w:val="20"/>
              </w:rPr>
              <w:t>Matching Plan payroll liability</w:t>
            </w:r>
          </w:p>
        </w:tc>
        <w:tc>
          <w:tcPr>
            <w:tcW w:w="142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Expensify Neue;sans-serif" w:hAnsi="Expensify Neue;sans-serif"/>
                <w:b w:val="false"/>
                <w:color w:val="000000"/>
                <w:sz w:val="20"/>
              </w:rPr>
            </w:pPr>
            <w:r>
              <w:rPr>
                <w:rFonts w:ascii="Expensify Neue;sans-serif" w:hAnsi="Expensify Neue;sans-serif"/>
                <w:b w:val="false"/>
                <w:color w:val="000000"/>
                <w:sz w:val="20"/>
              </w:rPr>
              <w:t>480 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9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Expensify Neue;sans-serif" w:hAnsi="Expensify Neue;sans-serif"/>
                <w:b w:val="false"/>
                <w:color w:val="000000"/>
                <w:sz w:val="20"/>
              </w:rPr>
            </w:pPr>
            <w:r>
              <w:rPr>
                <w:rFonts w:ascii="Expensify Neue;sans-serif" w:hAnsi="Expensify Neue;sans-serif"/>
                <w:b w:val="false"/>
                <w:color w:val="000000"/>
                <w:sz w:val="20"/>
              </w:rPr>
              <w:t>408 </w:t>
            </w:r>
          </w:p>
        </w:tc>
        <w:tc>
          <w:tcPr>
            <w:tcW w:w="28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7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Expensify Neue;sans-serif" w:hAnsi="Expensify Neue;sans-serif"/>
                <w:b w:val="false"/>
                <w:color w:val="000000"/>
                <w:sz w:val="20"/>
              </w:rPr>
            </w:pPr>
            <w:r>
              <w:rPr>
                <w:rFonts w:ascii="Expensify Neue;sans-serif" w:hAnsi="Expensify Neue;sans-serif"/>
                <w:b w:val="false"/>
                <w:color w:val="000000"/>
                <w:sz w:val="20"/>
              </w:rPr>
              <w:t>Credit card processing fees</w:t>
            </w:r>
          </w:p>
        </w:tc>
        <w:tc>
          <w:tcPr>
            <w:tcW w:w="142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Expensify Neue;sans-serif" w:hAnsi="Expensify Neue;sans-serif"/>
                <w:b w:val="false"/>
                <w:color w:val="000000"/>
                <w:sz w:val="20"/>
              </w:rPr>
            </w:pPr>
            <w:r>
              <w:rPr>
                <w:rFonts w:ascii="Expensify Neue;sans-serif" w:hAnsi="Expensify Neue;sans-serif"/>
                <w:b w:val="false"/>
                <w:color w:val="000000"/>
                <w:sz w:val="20"/>
              </w:rPr>
              <w:t>449 </w:t>
            </w:r>
          </w:p>
        </w:tc>
        <w:tc>
          <w:tcPr>
            <w:tcW w:w="16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9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Expensify Neue;sans-serif" w:hAnsi="Expensify Neue;sans-serif"/>
                <w:b w:val="false"/>
                <w:color w:val="000000"/>
                <w:sz w:val="20"/>
              </w:rPr>
            </w:pPr>
            <w:r>
              <w:rPr>
                <w:rFonts w:ascii="Expensify Neue;sans-serif" w:hAnsi="Expensify Neue;sans-serif"/>
                <w:b w:val="false"/>
                <w:color w:val="000000"/>
                <w:sz w:val="20"/>
              </w:rPr>
              <w:t>411 </w:t>
            </w:r>
          </w:p>
        </w:tc>
        <w:tc>
          <w:tcPr>
            <w:tcW w:w="28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7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Expensify Neue;sans-serif" w:hAnsi="Expensify Neue;sans-serif"/>
                <w:b w:val="false"/>
                <w:color w:val="000000"/>
                <w:sz w:val="20"/>
              </w:rPr>
            </w:pPr>
            <w:r>
              <w:rPr>
                <w:rFonts w:ascii="Expensify Neue;sans-serif" w:hAnsi="Expensify Neue;sans-serif"/>
                <w:b w:val="false"/>
                <w:color w:val="000000"/>
                <w:sz w:val="20"/>
              </w:rPr>
              <w:t>Other</w:t>
            </w:r>
          </w:p>
        </w:tc>
        <w:tc>
          <w:tcPr>
            <w:tcW w:w="142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Expensify Neue;sans-serif" w:hAnsi="Expensify Neue;sans-serif"/>
                <w:b w:val="false"/>
                <w:color w:val="000000"/>
                <w:sz w:val="20"/>
              </w:rPr>
            </w:pPr>
            <w:r>
              <w:rPr>
                <w:rFonts w:ascii="Expensify Neue;sans-serif" w:hAnsi="Expensify Neue;sans-serif"/>
                <w:b w:val="false"/>
                <w:color w:val="000000"/>
                <w:sz w:val="20"/>
              </w:rPr>
              <w:t>847 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9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Expensify Neue;sans-serif" w:hAnsi="Expensify Neue;sans-serif"/>
                <w:b w:val="false"/>
                <w:color w:val="000000"/>
                <w:sz w:val="20"/>
              </w:rPr>
            </w:pPr>
            <w:r>
              <w:rPr>
                <w:rFonts w:ascii="Expensify Neue;sans-serif" w:hAnsi="Expensify Neue;sans-serif"/>
                <w:b w:val="false"/>
                <w:color w:val="000000"/>
                <w:sz w:val="20"/>
              </w:rPr>
              <w:t>930 </w:t>
            </w:r>
          </w:p>
        </w:tc>
        <w:tc>
          <w:tcPr>
            <w:tcW w:w="28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7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Expensify Neue;sans-serif" w:hAnsi="Expensify Neue;sans-serif"/>
                <w:b w:val="false"/>
                <w:color w:val="000000"/>
                <w:sz w:val="20"/>
              </w:rPr>
            </w:pPr>
            <w:r>
              <w:rPr>
                <w:rFonts w:ascii="Expensify Neue;sans-serif" w:hAnsi="Expensify Neue;sans-serif"/>
                <w:b w:val="false"/>
                <w:color w:val="000000"/>
                <w:sz w:val="20"/>
              </w:rPr>
              <w:t>Accrued expenses and other liabilities</w:t>
            </w:r>
          </w:p>
        </w:tc>
        <w:tc>
          <w:tcPr>
            <w:tcW w:w="34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Expensify Neue;sans-serif" w:hAnsi="Expensify Neue;sans-serif"/>
                <w:b w:val="false"/>
                <w:color w:val="000000"/>
                <w:sz w:val="20"/>
              </w:rPr>
            </w:pPr>
            <w:r>
              <w:rPr>
                <w:rFonts w:ascii="Expensify Neue;sans-serif" w:hAnsi="Expensify Neue;sans-serif"/>
                <w:b w:val="false"/>
                <w:color w:val="000000"/>
                <w:sz w:val="20"/>
              </w:rPr>
              <w:t>$</w:t>
            </w:r>
          </w:p>
        </w:tc>
        <w:tc>
          <w:tcPr>
            <w:tcW w:w="107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Expensify Neue;sans-serif" w:hAnsi="Expensify Neue;sans-serif"/>
                <w:b w:val="false"/>
                <w:color w:val="000000"/>
                <w:sz w:val="20"/>
              </w:rPr>
            </w:pPr>
            <w:r>
              <w:rPr>
                <w:rFonts w:ascii="Expensify Neue;sans-serif" w:hAnsi="Expensify Neue;sans-serif"/>
                <w:b w:val="false"/>
                <w:color w:val="000000"/>
                <w:sz w:val="20"/>
              </w:rPr>
              <w:t>9,732 </w:t>
            </w:r>
          </w:p>
        </w:tc>
        <w:tc>
          <w:tcPr>
            <w:tcW w:w="16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Expensify Neue;sans-serif" w:hAnsi="Expensify Neue;sans-serif"/>
                <w:b w:val="false"/>
                <w:color w:val="000000"/>
                <w:sz w:val="20"/>
              </w:rPr>
            </w:pPr>
            <w:r>
              <w:rPr>
                <w:rFonts w:ascii="Expensify Neue;sans-serif" w:hAnsi="Expensify Neue;sans-serif"/>
                <w:b w:val="false"/>
                <w:color w:val="000000"/>
                <w:sz w:val="20"/>
              </w:rPr>
              <w:t>$</w:t>
            </w:r>
          </w:p>
        </w:tc>
        <w:tc>
          <w:tcPr>
            <w:tcW w:w="128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Expensify Neue;sans-serif" w:hAnsi="Expensify Neue;sans-serif"/>
                <w:b w:val="false"/>
                <w:color w:val="000000"/>
                <w:sz w:val="20"/>
              </w:rPr>
            </w:pPr>
            <w:r>
              <w:rPr>
                <w:rFonts w:ascii="Expensify Neue;sans-serif" w:hAnsi="Expensify Neue;sans-serif"/>
                <w:b w:val="false"/>
                <w:color w:val="000000"/>
                <w:sz w:val="20"/>
              </w:rPr>
              <w:t>8,240 </w:t>
            </w:r>
          </w:p>
        </w:tc>
        <w:tc>
          <w:tcPr>
            <w:tcW w:w="28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70"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590" w:type="dxa"/>
            <w:gridSpan w:val="3"/>
            <w:tcBorders>
              <w:top w:val="double" w:sz="8"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979" w:type="dxa"/>
            <w:gridSpan w:val="3"/>
            <w:tcBorders>
              <w:top w:val="double" w:sz="8"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8">
                <wp:simplePos x="0" y="0"/>
                <wp:positionH relativeFrom="character">
                  <wp:align>left</wp:align>
                </wp:positionH>
                <wp:positionV relativeFrom="line">
                  <wp:posOffset>635</wp:posOffset>
                </wp:positionV>
                <wp:extent cx="6480175" cy="730250"/>
                <wp:effectExtent l="0" t="0" r="0" b="0"/>
                <wp:wrapNone/>
                <wp:docPr id="17" name="Frame16"/>
                <a:graphic xmlns:a="http://schemas.openxmlformats.org/drawingml/2006/main">
                  <a:graphicData uri="http://schemas.microsoft.com/office/word/2010/wordprocessingShape">
                    <wps:wsp>
                      <wps:cNvSpPr txBox="1"/>
                      <wps:spPr>
                        <a:xfrm>
                          <a:off x="0" y="0"/>
                          <a:ext cx="6480175" cy="730250"/>
                        </a:xfrm>
                        <a:prstGeom prst="rect"/>
                        <a:solidFill>
                          <a:srgbClr val="FFFFFF"/>
                        </a:solidFill>
                      </wps:spPr>
                      <wps:txbx>
                        <w:txbxContent>
                          <w:tbl>
                            <w:tblPr>
                              <w:tblW w:w="406" w:type="dxa"/>
                              <w:jc w:val="left"/>
                              <w:tblInd w:w="0" w:type="dxa"/>
                              <w:tblLayout w:type="fixed"/>
                              <w:tblCellMar>
                                <w:top w:w="28" w:type="dxa"/>
                                <w:left w:w="28" w:type="dxa"/>
                                <w:bottom w:w="28" w:type="dxa"/>
                                <w:right w:w="28" w:type="dxa"/>
                              </w:tblCellMar>
                            </w:tblPr>
                            <w:tblGrid>
                              <w:gridCol w:w="130"/>
                              <w:gridCol w:w="114"/>
                              <w:gridCol w:w="162"/>
                            </w:tblGrid>
                            <w:tr>
                              <w:trPr/>
                              <w:tc>
                                <w:tcPr>
                                  <w:tcW w:w="130"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rPr/>
                              <w:tc>
                                <w:tcPr>
                                  <w:tcW w:w="406"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88" w:before="0" w:after="160"/>
                                    <w:jc w:val="center"/>
                                    <w:rPr>
                                      <w:rFonts w:ascii="Expensify Neue;sans-serif" w:hAnsi="Expensify Neue;sans-serif"/>
                                      <w:b w:val="false"/>
                                      <w:color w:val="000000"/>
                                      <w:sz w:val="20"/>
                                    </w:rPr>
                                  </w:pPr>
                                  <w:r>
                                    <w:rPr>
                                      <w:rFonts w:ascii="Expensify Neue;sans-serif" w:hAnsi="Expensify Neue;sans-serif"/>
                                      <w:b w:val="false"/>
                                      <w:color w:val="000000"/>
                                      <w:sz w:val="20"/>
                                    </w:rPr>
                                    <w:t>11</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57.5pt;mso-wrap-distance-left:0pt;mso-wrap-distance-right:0pt;mso-wrap-distance-top:0pt;mso-wrap-distance-bottom:0pt;margin-top:0pt;mso-position-vertical:top;mso-position-vertical-relative:text;margin-left:0pt;mso-position-horizontal:left;mso-position-horizontal-relative:text">
                <v:textbox>
                  <w:txbxContent>
                    <w:tbl>
                      <w:tblPr>
                        <w:tblW w:w="406" w:type="dxa"/>
                        <w:jc w:val="left"/>
                        <w:tblInd w:w="0" w:type="dxa"/>
                        <w:tblLayout w:type="fixed"/>
                        <w:tblCellMar>
                          <w:top w:w="28" w:type="dxa"/>
                          <w:left w:w="28" w:type="dxa"/>
                          <w:bottom w:w="28" w:type="dxa"/>
                          <w:right w:w="28" w:type="dxa"/>
                        </w:tblCellMar>
                      </w:tblPr>
                      <w:tblGrid>
                        <w:gridCol w:w="130"/>
                        <w:gridCol w:w="114"/>
                        <w:gridCol w:w="162"/>
                      </w:tblGrid>
                      <w:tr>
                        <w:trPr/>
                        <w:tc>
                          <w:tcPr>
                            <w:tcW w:w="130"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rPr/>
                        <w:tc>
                          <w:tcPr>
                            <w:tcW w:w="406"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88" w:before="0" w:after="160"/>
                              <w:jc w:val="center"/>
                              <w:rPr>
                                <w:rFonts w:ascii="Expensify Neue;sans-serif" w:hAnsi="Expensify Neue;sans-serif"/>
                                <w:b w:val="false"/>
                                <w:color w:val="000000"/>
                                <w:sz w:val="20"/>
                              </w:rPr>
                            </w:pPr>
                            <w:r>
                              <w:rPr>
                                <w:rFonts w:ascii="Expensify Neue;sans-serif" w:hAnsi="Expensify Neue;sans-serif"/>
                                <w:b w:val="false"/>
                                <w:color w:val="000000"/>
                                <w:sz w:val="20"/>
                              </w:rPr>
                              <w:t>11</w:t>
                            </w:r>
                          </w:p>
                        </w:tc>
                      </w:tr>
                    </w:tbl>
                    <w:p>
                      <w:pPr>
                        <w:pStyle w:val="TextBody"/>
                        <w:bidi w:val="0"/>
                        <w:spacing w:before="0" w:after="283"/>
                        <w:jc w:val="left"/>
                        <w:rPr/>
                      </w:pPr>
                      <w:r>
                        <w:rPr/>
                      </w:r>
                    </w:p>
                  </w:txbxContent>
                </v:textbox>
                <w10:wrap type="none"/>
              </v:rect>
            </w:pict>
          </mc:Fallback>
        </mc:AlternateContent>
      </w:r>
    </w:p>
    <w:p>
      <w:pPr>
        <w:pStyle w:val="TextBody"/>
        <w:bidi w:val="0"/>
        <w:spacing w:lineRule="auto" w:line="288" w:before="0" w:after="160"/>
        <w:jc w:val="left"/>
        <w:rPr/>
      </w:pPr>
      <w:hyperlink w:anchor="i52a648c4f0e449f7bc3c2044827c8f0d_7">
        <w:r>
          <w:rPr>
            <w:rStyle w:val="InternetLink"/>
            <w:rFonts w:ascii="Expensify Neue;sans-serif" w:hAnsi="Expensify Neue;sans-serif"/>
            <w:b/>
            <w:color w:val="0000FF"/>
            <w:sz w:val="20"/>
            <w:u w:val="single"/>
          </w:rPr>
          <w:t>Table of Contents</w:t>
        </w:r>
      </w:hyperlink>
    </w:p>
    <w:p>
      <w:pPr>
        <w:pStyle w:val="TextBody"/>
        <w:bidi w:val="0"/>
        <w:spacing w:lineRule="auto" w:line="288" w:before="0" w:after="0"/>
        <w:jc w:val="center"/>
        <w:rPr>
          <w:rFonts w:ascii="Expensify Neue;sans-serif" w:hAnsi="Expensify Neue;sans-serif"/>
          <w:b/>
          <w:color w:val="000000"/>
          <w:sz w:val="24"/>
        </w:rPr>
      </w:pPr>
      <w:r>
        <w:rPr>
          <w:rFonts w:ascii="Expensify Neue;sans-serif" w:hAnsi="Expensify Neue;sans-serif"/>
          <w:b/>
          <w:color w:val="000000"/>
          <w:sz w:val="24"/>
        </w:rPr>
        <w:t>Expensify, Inc.</w:t>
      </w:r>
    </w:p>
    <w:p>
      <w:pPr>
        <w:pStyle w:val="TextBody"/>
        <w:bidi w:val="0"/>
        <w:spacing w:lineRule="auto" w:line="288" w:before="0" w:after="0"/>
        <w:jc w:val="center"/>
        <w:rPr>
          <w:rFonts w:ascii="Expensify Neue;sans-serif" w:hAnsi="Expensify Neue;sans-serif"/>
          <w:b/>
          <w:color w:val="000000"/>
          <w:sz w:val="24"/>
        </w:rPr>
      </w:pPr>
      <w:r>
        <w:rPr>
          <w:rFonts w:ascii="Expensify Neue;sans-serif" w:hAnsi="Expensify Neue;sans-serif"/>
          <w:b/>
          <w:color w:val="000000"/>
          <w:sz w:val="24"/>
        </w:rPr>
        <w:t>Notes to the Condensed Consolidated Financial Statements</w:t>
      </w:r>
    </w:p>
    <w:p>
      <w:pPr>
        <w:pStyle w:val="TextBody"/>
        <w:bidi w:val="0"/>
        <w:spacing w:lineRule="auto" w:line="288" w:before="0" w:after="0"/>
        <w:jc w:val="center"/>
        <w:rPr>
          <w:rFonts w:ascii="Expensify Neue;sans-serif" w:hAnsi="Expensify Neue;sans-serif"/>
          <w:b/>
          <w:color w:val="000000"/>
          <w:sz w:val="20"/>
        </w:rPr>
      </w:pPr>
      <w:r>
        <w:rPr>
          <w:rFonts w:ascii="Expensify Neue;sans-serif" w:hAnsi="Expensify Neue;sans-serif"/>
          <w:b/>
          <w:color w:val="000000"/>
          <w:sz w:val="20"/>
        </w:rPr>
        <w:t>(unaudited)</w:t>
      </w:r>
    </w:p>
    <w:p>
      <w:pPr>
        <w:pStyle w:val="TextBody"/>
        <w:bidi w:val="0"/>
        <w:spacing w:lineRule="auto" w:line="288" w:before="0" w:after="160"/>
        <w:jc w:val="left"/>
        <w:rPr>
          <w:rFonts w:ascii="Expensify Neue;sans-serif" w:hAnsi="Expensify Neue;sans-serif"/>
          <w:b/>
          <w:color w:val="002E22"/>
          <w:sz w:val="32"/>
        </w:rPr>
      </w:pPr>
      <w:r>
        <w:rPr>
          <w:rFonts w:ascii="Expensify Neue;sans-serif" w:hAnsi="Expensify Neue;sans-serif"/>
          <w:b/>
          <w:color w:val="002E22"/>
          <w:sz w:val="32"/>
        </w:rPr>
        <w:t>NOTE 4 - COMMITMENTS AND CONTINGENCIES</w:t>
      </w:r>
    </w:p>
    <w:p>
      <w:pPr>
        <w:pStyle w:val="TextBody"/>
        <w:bidi w:val="0"/>
        <w:spacing w:lineRule="auto" w:line="288" w:before="0" w:after="160"/>
        <w:jc w:val="left"/>
        <w:rPr/>
      </w:pPr>
      <w:r>
        <w:rPr>
          <w:rFonts w:ascii="Expensify Neue;sans-serif" w:hAnsi="Expensify Neue;sans-serif"/>
          <w:b/>
          <w:color w:val="000000"/>
          <w:sz w:val="20"/>
        </w:rPr>
        <w:t>Amortizing Term Mortgage</w:t>
      </w:r>
      <w:r>
        <w:rPr>
          <w:color w:val="000000"/>
        </w:rPr>
        <w:t xml:space="preserve"> </w:t>
      </w:r>
    </w:p>
    <w:p>
      <w:pPr>
        <w:pStyle w:val="TextBody"/>
        <w:bidi w:val="0"/>
        <w:spacing w:lineRule="auto" w:line="288" w:before="0" w:after="160"/>
        <w:jc w:val="left"/>
        <w:rPr/>
      </w:pPr>
      <w:r>
        <w:rPr>
          <w:rFonts w:ascii="Expensify Neue;sans-serif" w:hAnsi="Expensify Neue;sans-serif"/>
          <w:b w:val="false"/>
          <w:color w:val="000000"/>
          <w:sz w:val="20"/>
        </w:rPr>
        <w:t>In August 2019, the Company entered into an $8.3 million amortizing term mortgage agreement with Canadian Imperial Bank of Commerce ("CIBC") for the Company's commercial building located in Portland, Oregon. The agreement required principal and interest payments to be made each month over a five-year period. Interest accrued at a fixed rate of 5.00% per year until August 2024, at which point the remaining outstanding principal balance on the amortizing term mortgage was due in full</w:t>
      </w:r>
      <w:r>
        <w:rPr>
          <w:rFonts w:ascii="Expensify Neue;sans-serif" w:hAnsi="Expensify Neue;sans-serif"/>
          <w:b w:val="false"/>
          <w:color w:val="000000"/>
          <w:sz w:val="20"/>
          <w:shd w:fill="FFFFFF" w:val="clear"/>
        </w:rPr>
        <w:t>. The borrowings were secured by the building.</w:t>
      </w:r>
      <w:r>
        <w:rPr>
          <w:color w:val="000000"/>
        </w:rPr>
        <w:t xml:space="preserve"> </w:t>
      </w:r>
      <w:r>
        <w:rPr>
          <w:rFonts w:ascii="Expensify Neue;sans-serif" w:hAnsi="Expensify Neue;sans-serif"/>
          <w:b w:val="false"/>
          <w:color w:val="000000"/>
          <w:sz w:val="20"/>
        </w:rPr>
        <w:t>On August 29, 2024, the Company repaid in full the then-outstanding balance o</w:t>
      </w:r>
      <w:r>
        <w:rPr>
          <w:rFonts w:ascii="Expensify Neue;sans-serif" w:hAnsi="Expensify Neue;sans-serif"/>
          <w:b w:val="false"/>
          <w:color w:val="000000"/>
          <w:sz w:val="20"/>
          <w:shd w:fill="FFFFFF" w:val="clear"/>
        </w:rPr>
        <w:t>f</w:t>
      </w:r>
      <w:r>
        <w:rPr>
          <w:color w:val="000000"/>
        </w:rPr>
        <w:t xml:space="preserve"> </w:t>
      </w:r>
      <w:r>
        <w:rPr>
          <w:rFonts w:ascii="Expensify Neue;sans-serif" w:hAnsi="Expensify Neue;sans-serif"/>
          <w:b w:val="false"/>
          <w:color w:val="000000"/>
          <w:sz w:val="20"/>
        </w:rPr>
        <w:t xml:space="preserve">$7.6 million and terminated the associated mortgage agreement with CIBC and secured promissory note. </w:t>
      </w:r>
    </w:p>
    <w:p>
      <w:pPr>
        <w:pStyle w:val="TextBody"/>
        <w:bidi w:val="0"/>
        <w:spacing w:lineRule="auto" w:line="288" w:before="0" w:after="160"/>
        <w:jc w:val="left"/>
        <w:rPr>
          <w:rFonts w:ascii="Expensify Neue;sans-serif" w:hAnsi="Expensify Neue;sans-serif"/>
          <w:b/>
          <w:color w:val="000000"/>
          <w:sz w:val="20"/>
        </w:rPr>
      </w:pPr>
      <w:r>
        <w:rPr>
          <w:rFonts w:ascii="Expensify Neue;sans-serif" w:hAnsi="Expensify Neue;sans-serif"/>
          <w:b/>
          <w:color w:val="000000"/>
          <w:sz w:val="20"/>
        </w:rPr>
        <w:t>Loan and Security Agreement</w:t>
      </w:r>
    </w:p>
    <w:p>
      <w:pPr>
        <w:pStyle w:val="TextBody"/>
        <w:bidi w:val="0"/>
        <w:spacing w:lineRule="auto" w:line="288" w:before="0" w:after="160"/>
        <w:jc w:val="left"/>
        <w:rPr>
          <w:rFonts w:ascii="Expensify Neue;sans-serif" w:hAnsi="Expensify Neue;sans-serif"/>
          <w:b w:val="false"/>
          <w:color w:val="000000"/>
          <w:sz w:val="20"/>
        </w:rPr>
      </w:pPr>
      <w:r>
        <w:rPr>
          <w:rFonts w:ascii="Expensify Neue;sans-serif" w:hAnsi="Expensify Neue;sans-serif"/>
          <w:b w:val="false"/>
          <w:color w:val="000000"/>
          <w:sz w:val="20"/>
        </w:rPr>
        <w:t>In February 2024, the Company entered into a Second Amended and Restated Loan and Security Agreement (as amended by the First Amendment described below, and as may be further amended from time to time, the "2024 Amended Loan and Security Agreement") with CIBC. The 2024 Amended Loan and Security Agreement provides for a $25.0 million revolving credit facility that expires in September 2025. Borrowings under the revolving line of credit accrue interest at CIBC’s reference rate plus 1.00% and are secured by substantially all of the Company's assets.</w:t>
      </w:r>
    </w:p>
    <w:p>
      <w:pPr>
        <w:pStyle w:val="TextBody"/>
        <w:bidi w:val="0"/>
        <w:spacing w:lineRule="auto" w:line="288" w:before="0" w:after="160"/>
        <w:jc w:val="left"/>
        <w:rPr>
          <w:rFonts w:ascii="Expensify Neue;sans-serif" w:hAnsi="Expensify Neue;sans-serif"/>
          <w:b w:val="false"/>
          <w:color w:val="000000"/>
          <w:sz w:val="20"/>
        </w:rPr>
      </w:pPr>
      <w:r>
        <w:rPr>
          <w:rFonts w:ascii="Expensify Neue;sans-serif" w:hAnsi="Expensify Neue;sans-serif"/>
          <w:b w:val="false"/>
          <w:color w:val="000000"/>
          <w:sz w:val="20"/>
        </w:rPr>
        <w:t xml:space="preserve">In April 2024, the Company entered into an irrevocable standby letter of credit (the "Letter of Credit") issued under the 2024 Amended Loan and Security Agreement to reduce cash collateral requirements in connection with the Updated Card Program. The Letter of Credit was issued in the amount of $1.0 million for the benefit of Bancorp and was set to expire on March 20, 2025. The Letter of Credit was renewed on February 28, 2025 and now expires on March 20, 2026. No amounts had been drawn on the Letter of Credit as of March 31, 2025. </w:t>
      </w:r>
    </w:p>
    <w:p>
      <w:pPr>
        <w:pStyle w:val="TextBody"/>
        <w:bidi w:val="0"/>
        <w:spacing w:lineRule="auto" w:line="288" w:before="0" w:after="160"/>
        <w:jc w:val="left"/>
        <w:rPr>
          <w:rFonts w:ascii="Expensify Neue;sans-serif" w:hAnsi="Expensify Neue;sans-serif"/>
          <w:b w:val="false"/>
          <w:color w:val="000000"/>
          <w:sz w:val="20"/>
        </w:rPr>
      </w:pPr>
      <w:r>
        <w:rPr>
          <w:rFonts w:ascii="Expensify Neue;sans-serif" w:hAnsi="Expensify Neue;sans-serif"/>
          <w:b w:val="false"/>
          <w:color w:val="000000"/>
          <w:sz w:val="20"/>
        </w:rPr>
        <w:t>In May 2024, the Company entered into a First Amendment to the 2024 Amended Loan and Security Agreement, which amended the covenant restricting the amount of repurchases of common stock to allow for certain additional repurchase activity and provided a waiver for the Company's non-compliance during prior periods with the previous version of such covenant.</w:t>
      </w:r>
    </w:p>
    <w:p>
      <w:pPr>
        <w:pStyle w:val="TextBody"/>
        <w:bidi w:val="0"/>
        <w:spacing w:lineRule="auto" w:line="288" w:before="0" w:after="160"/>
        <w:jc w:val="left"/>
        <w:rPr>
          <w:rFonts w:ascii="Expensify Neue;sans-serif" w:hAnsi="Expensify Neue;sans-serif"/>
          <w:b w:val="false"/>
          <w:color w:val="000000"/>
          <w:sz w:val="20"/>
        </w:rPr>
      </w:pPr>
      <w:r>
        <w:rPr>
          <w:rFonts w:ascii="Expensify Neue;sans-serif" w:hAnsi="Expensify Neue;sans-serif"/>
          <w:b w:val="false"/>
          <w:color w:val="000000"/>
          <w:sz w:val="20"/>
        </w:rPr>
        <w:t xml:space="preserve">The then-outstanding balance of $15.0 million and an immaterial amount of accrued interest on the revolving line of credit were repaid in full on July 10, 2024. </w:t>
      </w:r>
    </w:p>
    <w:p>
      <w:pPr>
        <w:pStyle w:val="TextBody"/>
        <w:bidi w:val="0"/>
        <w:spacing w:lineRule="auto" w:line="288" w:before="0" w:after="160"/>
        <w:jc w:val="left"/>
        <w:rPr>
          <w:rFonts w:ascii="Expensify Neue;sans-serif" w:hAnsi="Expensify Neue;sans-serif"/>
          <w:b w:val="false"/>
          <w:color w:val="000000"/>
          <w:sz w:val="20"/>
        </w:rPr>
      </w:pPr>
      <w:r>
        <w:rPr>
          <w:rFonts w:ascii="Expensify Neue;sans-serif" w:hAnsi="Expensify Neue;sans-serif"/>
          <w:b w:val="false"/>
          <w:color w:val="000000"/>
          <w:sz w:val="20"/>
        </w:rPr>
        <w:t>In August 2024, the Company entered into a Second Amendment to the 2024 Amended Loan and Security Agreement, which permits the Company's wholly-owned subsidiary, 401 SW 5th Ave LLC, to remain an excluded subsidiary provided that the subsidiary does not engage in any operations or activities except to maintain legal existence and ownership of the real property or any related activities thereto, does not hold assets other than real estate assets, and does not incur any indebtedness except for intercompany liabilities permitted under the agreement or grant any liens.</w:t>
      </w:r>
    </w:p>
    <w:p>
      <w:pPr>
        <w:pStyle w:val="TextBody"/>
        <w:bidi w:val="0"/>
        <w:spacing w:lineRule="auto" w:line="288" w:before="0" w:after="160"/>
        <w:jc w:val="left"/>
        <w:rPr>
          <w:rFonts w:ascii="Expensify Neue;sans-serif" w:hAnsi="Expensify Neue;sans-serif"/>
          <w:b w:val="false"/>
          <w:color w:val="000000"/>
          <w:sz w:val="20"/>
        </w:rPr>
      </w:pPr>
      <w:r>
        <w:rPr>
          <w:rFonts w:ascii="Expensify Neue;sans-serif" w:hAnsi="Expensify Neue;sans-serif"/>
          <w:b w:val="false"/>
          <w:color w:val="000000"/>
          <w:sz w:val="20"/>
        </w:rPr>
        <w:t>In February 2025, the Company entered into a Third Amendment to the 2024 Amended Loan and Security Agreement, which amended the covenant restricting the amount of repurchases of common stock, which includes net share settlements of stock-based awards, to allow for certain additional net share settlement activity.</w:t>
      </w:r>
    </w:p>
    <w:p>
      <w:pPr>
        <w:pStyle w:val="TextBody"/>
        <w:bidi w:val="0"/>
        <w:spacing w:lineRule="auto" w:line="288" w:before="0" w:after="160"/>
        <w:jc w:val="left"/>
        <w:rPr>
          <w:rFonts w:ascii="Expensify Neue;sans-serif" w:hAnsi="Expensify Neue;sans-serif"/>
          <w:b w:val="false"/>
          <w:color w:val="000000"/>
          <w:sz w:val="20"/>
        </w:rPr>
      </w:pPr>
      <w:r>
        <w:rPr>
          <w:rFonts w:ascii="Expensify Neue;sans-serif" w:hAnsi="Expensify Neue;sans-serif"/>
          <w:b w:val="false"/>
          <w:color w:val="000000"/>
          <w:sz w:val="20"/>
        </w:rPr>
        <w:t xml:space="preserve">As of March 31, 2025 and December 31, 2024, there were no borrowings under the revolving line of credit. As of March 31, 2025, there was $24.0 million of capacity available for additional borrowings.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9">
                <wp:simplePos x="0" y="0"/>
                <wp:positionH relativeFrom="character">
                  <wp:align>left</wp:align>
                </wp:positionH>
                <wp:positionV relativeFrom="line">
                  <wp:posOffset>635</wp:posOffset>
                </wp:positionV>
                <wp:extent cx="6480175" cy="599440"/>
                <wp:effectExtent l="0" t="0" r="0" b="0"/>
                <wp:wrapNone/>
                <wp:docPr id="18" name="Frame17"/>
                <a:graphic xmlns:a="http://schemas.openxmlformats.org/drawingml/2006/main">
                  <a:graphicData uri="http://schemas.microsoft.com/office/word/2010/wordprocessingShape">
                    <wps:wsp>
                      <wps:cNvSpPr txBox="1"/>
                      <wps:spPr>
                        <a:xfrm>
                          <a:off x="0" y="0"/>
                          <a:ext cx="6480175" cy="599440"/>
                        </a:xfrm>
                        <a:prstGeom prst="rect"/>
                        <a:solidFill>
                          <a:srgbClr val="FFFFFF"/>
                        </a:solidFill>
                      </wps:spPr>
                      <wps:txbx>
                        <w:txbxContent>
                          <w:tbl>
                            <w:tblPr>
                              <w:tblW w:w="406" w:type="dxa"/>
                              <w:jc w:val="left"/>
                              <w:tblInd w:w="0" w:type="dxa"/>
                              <w:tblLayout w:type="fixed"/>
                              <w:tblCellMar>
                                <w:top w:w="28" w:type="dxa"/>
                                <w:left w:w="28" w:type="dxa"/>
                                <w:bottom w:w="28" w:type="dxa"/>
                                <w:right w:w="28" w:type="dxa"/>
                              </w:tblCellMar>
                            </w:tblPr>
                            <w:tblGrid>
                              <w:gridCol w:w="130"/>
                              <w:gridCol w:w="114"/>
                              <w:gridCol w:w="162"/>
                            </w:tblGrid>
                            <w:tr>
                              <w:trPr/>
                              <w:tc>
                                <w:tcPr>
                                  <w:tcW w:w="130"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rPr/>
                              <w:tc>
                                <w:tcPr>
                                  <w:tcW w:w="406"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0"/>
                                    <w:jc w:val="center"/>
                                    <w:rPr>
                                      <w:rFonts w:ascii="Expensify Neue;sans-serif" w:hAnsi="Expensify Neue;sans-serif"/>
                                      <w:b w:val="false"/>
                                      <w:color w:val="000000"/>
                                      <w:sz w:val="20"/>
                                    </w:rPr>
                                  </w:pPr>
                                  <w:r>
                                    <w:rPr>
                                      <w:rFonts w:ascii="Expensify Neue;sans-serif" w:hAnsi="Expensify Neue;sans-serif"/>
                                      <w:b w:val="false"/>
                                      <w:color w:val="000000"/>
                                      <w:sz w:val="20"/>
                                    </w:rPr>
                                    <w:t>12</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7.2pt;mso-wrap-distance-left:0pt;mso-wrap-distance-right:0pt;mso-wrap-distance-top:0pt;mso-wrap-distance-bottom:0pt;margin-top:0pt;mso-position-vertical:top;mso-position-vertical-relative:text;margin-left:0pt;mso-position-horizontal:left;mso-position-horizontal-relative:text">
                <v:textbox>
                  <w:txbxContent>
                    <w:tbl>
                      <w:tblPr>
                        <w:tblW w:w="406" w:type="dxa"/>
                        <w:jc w:val="left"/>
                        <w:tblInd w:w="0" w:type="dxa"/>
                        <w:tblLayout w:type="fixed"/>
                        <w:tblCellMar>
                          <w:top w:w="28" w:type="dxa"/>
                          <w:left w:w="28" w:type="dxa"/>
                          <w:bottom w:w="28" w:type="dxa"/>
                          <w:right w:w="28" w:type="dxa"/>
                        </w:tblCellMar>
                      </w:tblPr>
                      <w:tblGrid>
                        <w:gridCol w:w="130"/>
                        <w:gridCol w:w="114"/>
                        <w:gridCol w:w="162"/>
                      </w:tblGrid>
                      <w:tr>
                        <w:trPr/>
                        <w:tc>
                          <w:tcPr>
                            <w:tcW w:w="130"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rPr/>
                        <w:tc>
                          <w:tcPr>
                            <w:tcW w:w="406"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0"/>
                              <w:jc w:val="center"/>
                              <w:rPr>
                                <w:rFonts w:ascii="Expensify Neue;sans-serif" w:hAnsi="Expensify Neue;sans-serif"/>
                                <w:b w:val="false"/>
                                <w:color w:val="000000"/>
                                <w:sz w:val="20"/>
                              </w:rPr>
                            </w:pPr>
                            <w:r>
                              <w:rPr>
                                <w:rFonts w:ascii="Expensify Neue;sans-serif" w:hAnsi="Expensify Neue;sans-serif"/>
                                <w:b w:val="false"/>
                                <w:color w:val="000000"/>
                                <w:sz w:val="20"/>
                              </w:rPr>
                              <w:t>12</w:t>
                            </w:r>
                          </w:p>
                        </w:tc>
                      </w:tr>
                    </w:tbl>
                    <w:p>
                      <w:pPr>
                        <w:pStyle w:val="TextBody"/>
                        <w:bidi w:val="0"/>
                        <w:spacing w:before="0" w:after="283"/>
                        <w:jc w:val="left"/>
                        <w:rPr/>
                      </w:pPr>
                      <w:r>
                        <w:rPr/>
                      </w:r>
                    </w:p>
                  </w:txbxContent>
                </v:textbox>
                <w10:wrap type="none"/>
              </v:rect>
            </w:pict>
          </mc:Fallback>
        </mc:AlternateContent>
      </w:r>
    </w:p>
    <w:p>
      <w:pPr>
        <w:pStyle w:val="TextBody"/>
        <w:bidi w:val="0"/>
        <w:spacing w:lineRule="auto" w:line="288" w:before="0" w:after="160"/>
        <w:jc w:val="left"/>
        <w:rPr/>
      </w:pPr>
      <w:hyperlink w:anchor="i52a648c4f0e449f7bc3c2044827c8f0d_7">
        <w:r>
          <w:rPr>
            <w:rStyle w:val="InternetLink"/>
            <w:rFonts w:ascii="Expensify Neue;sans-serif" w:hAnsi="Expensify Neue;sans-serif"/>
            <w:b/>
            <w:color w:val="0000FF"/>
            <w:sz w:val="20"/>
            <w:u w:val="single"/>
          </w:rPr>
          <w:t>Table of Contents</w:t>
        </w:r>
      </w:hyperlink>
    </w:p>
    <w:p>
      <w:pPr>
        <w:pStyle w:val="TextBody"/>
        <w:bidi w:val="0"/>
        <w:spacing w:lineRule="auto" w:line="288" w:before="0" w:after="0"/>
        <w:jc w:val="center"/>
        <w:rPr>
          <w:rFonts w:ascii="Expensify Neue;sans-serif" w:hAnsi="Expensify Neue;sans-serif"/>
          <w:b/>
          <w:color w:val="000000"/>
          <w:sz w:val="24"/>
        </w:rPr>
      </w:pPr>
      <w:r>
        <w:rPr>
          <w:rFonts w:ascii="Expensify Neue;sans-serif" w:hAnsi="Expensify Neue;sans-serif"/>
          <w:b/>
          <w:color w:val="000000"/>
          <w:sz w:val="24"/>
        </w:rPr>
        <w:t>Expensify, Inc.</w:t>
      </w:r>
    </w:p>
    <w:p>
      <w:pPr>
        <w:pStyle w:val="TextBody"/>
        <w:bidi w:val="0"/>
        <w:spacing w:lineRule="auto" w:line="288" w:before="0" w:after="0"/>
        <w:jc w:val="center"/>
        <w:rPr>
          <w:rFonts w:ascii="Expensify Neue;sans-serif" w:hAnsi="Expensify Neue;sans-serif"/>
          <w:b/>
          <w:color w:val="000000"/>
          <w:sz w:val="24"/>
        </w:rPr>
      </w:pPr>
      <w:r>
        <w:rPr>
          <w:rFonts w:ascii="Expensify Neue;sans-serif" w:hAnsi="Expensify Neue;sans-serif"/>
          <w:b/>
          <w:color w:val="000000"/>
          <w:sz w:val="24"/>
        </w:rPr>
        <w:t>Notes to the Condensed Consolidated Financial Statements</w:t>
      </w:r>
    </w:p>
    <w:p>
      <w:pPr>
        <w:pStyle w:val="TextBody"/>
        <w:bidi w:val="0"/>
        <w:spacing w:lineRule="auto" w:line="288" w:before="0" w:after="0"/>
        <w:jc w:val="center"/>
        <w:rPr>
          <w:rFonts w:ascii="Expensify Neue;sans-serif" w:hAnsi="Expensify Neue;sans-serif"/>
          <w:b/>
          <w:color w:val="000000"/>
          <w:sz w:val="20"/>
        </w:rPr>
      </w:pPr>
      <w:r>
        <w:rPr>
          <w:rFonts w:ascii="Expensify Neue;sans-serif" w:hAnsi="Expensify Neue;sans-serif"/>
          <w:b/>
          <w:color w:val="000000"/>
          <w:sz w:val="20"/>
        </w:rPr>
        <w:t>(unaudited)</w:t>
      </w:r>
    </w:p>
    <w:p>
      <w:pPr>
        <w:pStyle w:val="TextBody"/>
        <w:bidi w:val="0"/>
        <w:spacing w:lineRule="auto" w:line="288" w:before="0" w:after="160"/>
        <w:jc w:val="left"/>
        <w:rPr>
          <w:rFonts w:ascii="Expensify Neue;sans-serif" w:hAnsi="Expensify Neue;sans-serif"/>
          <w:b/>
          <w:color w:val="000000"/>
          <w:sz w:val="20"/>
          <w:shd w:fill="FFFFFF" w:val="clear"/>
        </w:rPr>
      </w:pPr>
      <w:r>
        <w:rPr>
          <w:rFonts w:ascii="Expensify Neue;sans-serif" w:hAnsi="Expensify Neue;sans-serif"/>
          <w:b/>
          <w:color w:val="000000"/>
          <w:sz w:val="20"/>
          <w:shd w:fill="FFFFFF" w:val="clear"/>
        </w:rPr>
        <w:t>Legal</w:t>
      </w:r>
    </w:p>
    <w:p>
      <w:pPr>
        <w:pStyle w:val="TextBody"/>
        <w:bidi w:val="0"/>
        <w:spacing w:lineRule="auto" w:line="288" w:before="0" w:after="160"/>
        <w:jc w:val="left"/>
        <w:rPr>
          <w:rFonts w:ascii="Expensify Neue;sans-serif" w:hAnsi="Expensify Neue;sans-serif"/>
          <w:b w:val="false"/>
          <w:color w:val="000000"/>
          <w:sz w:val="20"/>
        </w:rPr>
      </w:pPr>
      <w:r>
        <w:rPr>
          <w:rFonts w:ascii="Expensify Neue;sans-serif" w:hAnsi="Expensify Neue;sans-serif"/>
          <w:b w:val="false"/>
          <w:color w:val="000000"/>
          <w:sz w:val="20"/>
        </w:rPr>
        <w:t>From time to time in the normal course of business, the Company may be involved in claims, proceedings and litigation. In the case of any litigation, the Company records a provision for a liability when management believes that it is both probable that a liability has been incurred, and the amount of the loss can be reasonably estimated. The Company reviews such provisions at least quarterly and adjusts such provisions to reflect the impact of negotiations, settlements, rulings, advice of legal counsel and other information and events pertaining to a particular case.</w:t>
      </w:r>
    </w:p>
    <w:p>
      <w:pPr>
        <w:pStyle w:val="TextBody"/>
        <w:bidi w:val="0"/>
        <w:spacing w:lineRule="auto" w:line="288" w:before="0" w:after="160"/>
        <w:jc w:val="left"/>
        <w:rPr>
          <w:rFonts w:ascii="Expensify Neue;sans-serif" w:hAnsi="Expensify Neue;sans-serif"/>
          <w:b w:val="false"/>
          <w:color w:val="000000"/>
          <w:sz w:val="20"/>
        </w:rPr>
      </w:pPr>
      <w:r>
        <w:rPr>
          <w:rFonts w:ascii="Expensify Neue;sans-serif" w:hAnsi="Expensify Neue;sans-serif"/>
          <w:b w:val="false"/>
          <w:color w:val="000000"/>
          <w:sz w:val="20"/>
        </w:rPr>
        <w:t xml:space="preserve">As of March 31, 2025, there were no legal contingency matters, either individually or in aggregate, that would have a material adverse effect on the Company’s financial position, results of operations or cash flows.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60"/>
        <w:jc w:val="left"/>
        <w:rPr>
          <w:rFonts w:ascii="Expensify Neue;sans-serif" w:hAnsi="Expensify Neue;sans-serif"/>
          <w:b/>
          <w:color w:val="002E22"/>
          <w:sz w:val="32"/>
        </w:rPr>
      </w:pPr>
      <w:r>
        <w:rPr>
          <w:rFonts w:ascii="Expensify Neue;sans-serif" w:hAnsi="Expensify Neue;sans-serif"/>
          <w:b/>
          <w:color w:val="002E22"/>
          <w:sz w:val="32"/>
        </w:rPr>
        <w:t>NOTE 5 - STOCK INCENTIVE PLANS</w:t>
      </w:r>
    </w:p>
    <w:p>
      <w:pPr>
        <w:pStyle w:val="TextBody"/>
        <w:bidi w:val="0"/>
        <w:spacing w:lineRule="auto" w:line="288" w:before="0" w:after="160"/>
        <w:jc w:val="left"/>
        <w:rPr/>
      </w:pPr>
      <w:r>
        <w:rPr>
          <w:rFonts w:ascii="Expensify Neue;sans-serif" w:hAnsi="Expensify Neue;sans-serif"/>
          <w:b/>
          <w:color w:val="000000"/>
          <w:sz w:val="20"/>
        </w:rPr>
        <w:t>2009 and 2019 Stock Plans</w:t>
      </w:r>
      <w:r>
        <w:rPr>
          <w:color w:val="000000"/>
        </w:rPr>
        <w:t xml:space="preserve"> </w:t>
      </w:r>
    </w:p>
    <w:p>
      <w:pPr>
        <w:pStyle w:val="TextBody"/>
        <w:bidi w:val="0"/>
        <w:spacing w:lineRule="auto" w:line="288" w:before="0" w:after="160"/>
        <w:jc w:val="left"/>
        <w:rPr>
          <w:rFonts w:ascii="Expensify Neue;sans-serif" w:hAnsi="Expensify Neue;sans-serif"/>
          <w:b w:val="false"/>
          <w:color w:val="000000"/>
          <w:sz w:val="20"/>
        </w:rPr>
      </w:pPr>
      <w:r>
        <w:rPr>
          <w:rFonts w:ascii="Expensify Neue;sans-serif" w:hAnsi="Expensify Neue;sans-serif"/>
          <w:b w:val="false"/>
          <w:color w:val="000000"/>
          <w:sz w:val="20"/>
        </w:rPr>
        <w:t>In 2009, the Board of Directors approved the 2009 Stock Plan ("2009 Stock Plan"). As amended in 2015, the 2009 Stock Plan permitted the Company to grant up to 16,495,150 shares of common stock. In January 2018, the Company increased the number of shares of common stock reserved under the 2009 Stock Plan by 535,130 shares to 17,030,280 shares. In April 2019, the Board of Directors approved the adoption of the 2019 Stock Plan ("2019 Stock Plan", and together with the 2009 Stock Plan, "Stock Plans"). The 2019 Stock Plan permitted the Company to grant up to 8,173,970 additional shares, increasing the overall common stock reserved for grant under the Stock Plans to 25,204,250 shares. In September 2021, the Board of Directors approved the grant of 8,679,380 restricted stock units under the 2019 Stock Plan, which consisted of an aggregate of 4,339,690 shares of each of Class A and LT50 common stock effective immediately prior to the effectiveness of the Company's IPO Registration Statement on Form S-1 ("IPO Registration Statement") on November 9, 2021. On November 9, 2021, the Board of Directors amended and restated the 2019 Stock Plan to, among other things, increase the common stock reserved for issuance under the 2019 Stock Plan to an aggregate of 16,856,770 shares of Class A and LT50 common stock.</w:t>
      </w:r>
    </w:p>
    <w:p>
      <w:pPr>
        <w:pStyle w:val="TextBody"/>
        <w:bidi w:val="0"/>
        <w:spacing w:lineRule="auto" w:line="288" w:before="0" w:after="160"/>
        <w:jc w:val="left"/>
        <w:rPr>
          <w:rFonts w:ascii="Expensify Neue;sans-serif" w:hAnsi="Expensify Neue;sans-serif"/>
          <w:b w:val="false"/>
          <w:color w:val="000000"/>
          <w:sz w:val="20"/>
        </w:rPr>
      </w:pPr>
      <w:r>
        <w:rPr>
          <w:rFonts w:ascii="Expensify Neue;sans-serif" w:hAnsi="Expensify Neue;sans-serif"/>
          <w:b w:val="false"/>
          <w:color w:val="000000"/>
          <w:sz w:val="20"/>
        </w:rPr>
        <w:t>The Stock Plans will continue to govern the terms and conditions of the outstanding awards granted under them. Upon the expiration, forfeiture, cancellation, withholding of shares upon exercise or settlement of an award to satisfy the exercise price or tax withholding, or repurchase of any shares of Class A common stock underlying outstanding stock-based awards granted under the 2009 Stock Plan or of Class A or LT50 common stock underlying outstanding stock-based awards granted under the 2019 Stock Plan, an equal number of shares of Class A common stock will become available for grant under the 2021 Incentive Award Plan ("2021 Plan") and the Company's 2021 Stock Purchase and Matching Plan ("Matching Plan" and together with the 2021 Plan, "2021 Incentive Plans").</w:t>
      </w:r>
    </w:p>
    <w:p>
      <w:pPr>
        <w:pStyle w:val="TextBody"/>
        <w:bidi w:val="0"/>
        <w:spacing w:lineRule="auto" w:line="288" w:before="0" w:after="160"/>
        <w:jc w:val="left"/>
        <w:rPr>
          <w:rFonts w:ascii="Expensify Neue;sans-serif" w:hAnsi="Expensify Neue;sans-serif"/>
          <w:b/>
          <w:color w:val="000000"/>
          <w:sz w:val="20"/>
        </w:rPr>
      </w:pPr>
      <w:r>
        <w:rPr>
          <w:rFonts w:ascii="Expensify Neue;sans-serif" w:hAnsi="Expensify Neue;sans-serif"/>
          <w:b/>
          <w:color w:val="000000"/>
          <w:sz w:val="20"/>
        </w:rPr>
        <w:t xml:space="preserve">2021 Incentive Plans </w:t>
      </w:r>
    </w:p>
    <w:p>
      <w:pPr>
        <w:pStyle w:val="TextBody"/>
        <w:bidi w:val="0"/>
        <w:spacing w:lineRule="auto" w:line="288" w:before="0" w:after="160"/>
        <w:jc w:val="left"/>
        <w:rPr>
          <w:rFonts w:ascii="Expensify Neue;sans-serif" w:hAnsi="Expensify Neue;sans-serif"/>
          <w:b w:val="false"/>
          <w:color w:val="000000"/>
          <w:sz w:val="20"/>
        </w:rPr>
      </w:pPr>
      <w:r>
        <w:rPr>
          <w:rFonts w:ascii="Expensify Neue;sans-serif" w:hAnsi="Expensify Neue;sans-serif"/>
          <w:b w:val="false"/>
          <w:color w:val="000000"/>
          <w:sz w:val="20"/>
        </w:rPr>
        <w:t xml:space="preserve">In November 2021, the Board of Directors adopted, and the Company's stockholders approved, the 2021 Incentive Plans, which both became effective immediately before the effectiveness of the IPO Registration Statement and use a combined share reserve. Under the 2021 Incentive Plans, 11,676,932 shares of Class A common stock were initially reserved for issuance pursuant to a variety of stock-based awards, including incentive stock options, nonqualified stock options, stock appreciation rights, restricted stock awards, restricted stock units ("RSUs"), and other forms of equity and cash compensation under the 2021 Plan and purchase rights and matching awards under the Matching Plan. The number of shares initially reserved for issuance or transfer pursuant to awards under the 2021 Incentive Plans will be increased upon the expiration, forfeiture, cancellation, withholding of shares upon exercise or settlement of an award to satisfy the exercise price or tax withholding, or repurchase of any shares of Class A common stock underlying outstanding stock-based awards granted under the 2009 Stock Plan or of Class A or LT50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0">
                <wp:simplePos x="0" y="0"/>
                <wp:positionH relativeFrom="character">
                  <wp:align>left</wp:align>
                </wp:positionH>
                <wp:positionV relativeFrom="line">
                  <wp:posOffset>635</wp:posOffset>
                </wp:positionV>
                <wp:extent cx="6480175" cy="599440"/>
                <wp:effectExtent l="0" t="0" r="0" b="0"/>
                <wp:wrapNone/>
                <wp:docPr id="19" name="Frame18"/>
                <a:graphic xmlns:a="http://schemas.openxmlformats.org/drawingml/2006/main">
                  <a:graphicData uri="http://schemas.microsoft.com/office/word/2010/wordprocessingShape">
                    <wps:wsp>
                      <wps:cNvSpPr txBox="1"/>
                      <wps:spPr>
                        <a:xfrm>
                          <a:off x="0" y="0"/>
                          <a:ext cx="6480175" cy="599440"/>
                        </a:xfrm>
                        <a:prstGeom prst="rect"/>
                        <a:solidFill>
                          <a:srgbClr val="FFFFFF"/>
                        </a:solidFill>
                      </wps:spPr>
                      <wps:txbx>
                        <w:txbxContent>
                          <w:tbl>
                            <w:tblPr>
                              <w:tblW w:w="406" w:type="dxa"/>
                              <w:jc w:val="left"/>
                              <w:tblInd w:w="0" w:type="dxa"/>
                              <w:tblLayout w:type="fixed"/>
                              <w:tblCellMar>
                                <w:top w:w="28" w:type="dxa"/>
                                <w:left w:w="28" w:type="dxa"/>
                                <w:bottom w:w="28" w:type="dxa"/>
                                <w:right w:w="28" w:type="dxa"/>
                              </w:tblCellMar>
                            </w:tblPr>
                            <w:tblGrid>
                              <w:gridCol w:w="130"/>
                              <w:gridCol w:w="114"/>
                              <w:gridCol w:w="162"/>
                            </w:tblGrid>
                            <w:tr>
                              <w:trPr/>
                              <w:tc>
                                <w:tcPr>
                                  <w:tcW w:w="130"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rPr/>
                              <w:tc>
                                <w:tcPr>
                                  <w:tcW w:w="406"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0"/>
                                    <w:jc w:val="center"/>
                                    <w:rPr>
                                      <w:rFonts w:ascii="Expensify Neue;sans-serif" w:hAnsi="Expensify Neue;sans-serif"/>
                                      <w:b w:val="false"/>
                                      <w:color w:val="000000"/>
                                      <w:sz w:val="20"/>
                                    </w:rPr>
                                  </w:pPr>
                                  <w:r>
                                    <w:rPr>
                                      <w:rFonts w:ascii="Expensify Neue;sans-serif" w:hAnsi="Expensify Neue;sans-serif"/>
                                      <w:b w:val="false"/>
                                      <w:color w:val="000000"/>
                                      <w:sz w:val="20"/>
                                    </w:rPr>
                                    <w:t>13</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7.2pt;mso-wrap-distance-left:0pt;mso-wrap-distance-right:0pt;mso-wrap-distance-top:0pt;mso-wrap-distance-bottom:0pt;margin-top:0pt;mso-position-vertical:top;mso-position-vertical-relative:text;margin-left:0pt;mso-position-horizontal:left;mso-position-horizontal-relative:text">
                <v:textbox>
                  <w:txbxContent>
                    <w:tbl>
                      <w:tblPr>
                        <w:tblW w:w="406" w:type="dxa"/>
                        <w:jc w:val="left"/>
                        <w:tblInd w:w="0" w:type="dxa"/>
                        <w:tblLayout w:type="fixed"/>
                        <w:tblCellMar>
                          <w:top w:w="28" w:type="dxa"/>
                          <w:left w:w="28" w:type="dxa"/>
                          <w:bottom w:w="28" w:type="dxa"/>
                          <w:right w:w="28" w:type="dxa"/>
                        </w:tblCellMar>
                      </w:tblPr>
                      <w:tblGrid>
                        <w:gridCol w:w="130"/>
                        <w:gridCol w:w="114"/>
                        <w:gridCol w:w="162"/>
                      </w:tblGrid>
                      <w:tr>
                        <w:trPr/>
                        <w:tc>
                          <w:tcPr>
                            <w:tcW w:w="130"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rPr/>
                        <w:tc>
                          <w:tcPr>
                            <w:tcW w:w="406"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0"/>
                              <w:jc w:val="center"/>
                              <w:rPr>
                                <w:rFonts w:ascii="Expensify Neue;sans-serif" w:hAnsi="Expensify Neue;sans-serif"/>
                                <w:b w:val="false"/>
                                <w:color w:val="000000"/>
                                <w:sz w:val="20"/>
                              </w:rPr>
                            </w:pPr>
                            <w:r>
                              <w:rPr>
                                <w:rFonts w:ascii="Expensify Neue;sans-serif" w:hAnsi="Expensify Neue;sans-serif"/>
                                <w:b w:val="false"/>
                                <w:color w:val="000000"/>
                                <w:sz w:val="20"/>
                              </w:rPr>
                              <w:t>13</w:t>
                            </w:r>
                          </w:p>
                        </w:tc>
                      </w:tr>
                    </w:tbl>
                    <w:p>
                      <w:pPr>
                        <w:pStyle w:val="TextBody"/>
                        <w:bidi w:val="0"/>
                        <w:spacing w:before="0" w:after="283"/>
                        <w:jc w:val="left"/>
                        <w:rPr/>
                      </w:pPr>
                      <w:r>
                        <w:rPr/>
                      </w:r>
                    </w:p>
                  </w:txbxContent>
                </v:textbox>
                <w10:wrap type="none"/>
              </v:rect>
            </w:pict>
          </mc:Fallback>
        </mc:AlternateContent>
      </w:r>
    </w:p>
    <w:p>
      <w:pPr>
        <w:pStyle w:val="TextBody"/>
        <w:bidi w:val="0"/>
        <w:spacing w:lineRule="auto" w:line="288" w:before="0" w:after="160"/>
        <w:jc w:val="left"/>
        <w:rPr/>
      </w:pPr>
      <w:hyperlink w:anchor="i52a648c4f0e449f7bc3c2044827c8f0d_7">
        <w:r>
          <w:rPr>
            <w:rStyle w:val="InternetLink"/>
            <w:rFonts w:ascii="Expensify Neue;sans-serif" w:hAnsi="Expensify Neue;sans-serif"/>
            <w:b/>
            <w:color w:val="0000FF"/>
            <w:sz w:val="20"/>
            <w:u w:val="single"/>
          </w:rPr>
          <w:t>Table of Contents</w:t>
        </w:r>
      </w:hyperlink>
    </w:p>
    <w:p>
      <w:pPr>
        <w:pStyle w:val="TextBody"/>
        <w:bidi w:val="0"/>
        <w:spacing w:lineRule="auto" w:line="288" w:before="0" w:after="0"/>
        <w:jc w:val="center"/>
        <w:rPr>
          <w:rFonts w:ascii="Expensify Neue;sans-serif" w:hAnsi="Expensify Neue;sans-serif"/>
          <w:b/>
          <w:color w:val="000000"/>
          <w:sz w:val="24"/>
        </w:rPr>
      </w:pPr>
      <w:r>
        <w:rPr>
          <w:rFonts w:ascii="Expensify Neue;sans-serif" w:hAnsi="Expensify Neue;sans-serif"/>
          <w:b/>
          <w:color w:val="000000"/>
          <w:sz w:val="24"/>
        </w:rPr>
        <w:t>Expensify, Inc.</w:t>
      </w:r>
    </w:p>
    <w:p>
      <w:pPr>
        <w:pStyle w:val="TextBody"/>
        <w:bidi w:val="0"/>
        <w:spacing w:lineRule="auto" w:line="288" w:before="0" w:after="0"/>
        <w:jc w:val="center"/>
        <w:rPr>
          <w:rFonts w:ascii="Expensify Neue;sans-serif" w:hAnsi="Expensify Neue;sans-serif"/>
          <w:b/>
          <w:color w:val="000000"/>
          <w:sz w:val="24"/>
        </w:rPr>
      </w:pPr>
      <w:r>
        <w:rPr>
          <w:rFonts w:ascii="Expensify Neue;sans-serif" w:hAnsi="Expensify Neue;sans-serif"/>
          <w:b/>
          <w:color w:val="000000"/>
          <w:sz w:val="24"/>
        </w:rPr>
        <w:t>Notes to the Condensed Consolidated Financial Statements</w:t>
      </w:r>
    </w:p>
    <w:p>
      <w:pPr>
        <w:pStyle w:val="TextBody"/>
        <w:bidi w:val="0"/>
        <w:spacing w:lineRule="auto" w:line="288" w:before="0" w:after="0"/>
        <w:jc w:val="center"/>
        <w:rPr>
          <w:rFonts w:ascii="Expensify Neue;sans-serif" w:hAnsi="Expensify Neue;sans-serif"/>
          <w:b/>
          <w:color w:val="000000"/>
          <w:sz w:val="20"/>
        </w:rPr>
      </w:pPr>
      <w:r>
        <w:rPr>
          <w:rFonts w:ascii="Expensify Neue;sans-serif" w:hAnsi="Expensify Neue;sans-serif"/>
          <w:b/>
          <w:color w:val="000000"/>
          <w:sz w:val="20"/>
        </w:rPr>
        <w:t>(unaudited)</w:t>
      </w:r>
    </w:p>
    <w:p>
      <w:pPr>
        <w:pStyle w:val="TextBody"/>
        <w:bidi w:val="0"/>
        <w:spacing w:lineRule="auto" w:line="288" w:before="0" w:after="160"/>
        <w:jc w:val="left"/>
        <w:rPr/>
      </w:pPr>
      <w:r>
        <w:rPr>
          <w:rFonts w:ascii="Expensify Neue;sans-serif" w:hAnsi="Expensify Neue;sans-serif"/>
          <w:b w:val="false"/>
          <w:color w:val="000000"/>
          <w:sz w:val="20"/>
        </w:rPr>
        <w:t xml:space="preserve">common stock underlying outstanding stock-based awards granted under the 2019 Stock Plan. The number of shares of Class A common stock reserved and available for issuance under the 2021 Incentive Plans as of March 31, 2025 and </w:t>
      </w:r>
      <w:r>
        <w:rPr>
          <w:rFonts w:ascii="Expensify Neue;sans-serif" w:hAnsi="Expensify Neue;sans-serif"/>
          <w:b w:val="false"/>
          <w:color w:val="000000"/>
          <w:sz w:val="20"/>
          <w:shd w:fill="FFFFFF" w:val="clear"/>
        </w:rPr>
        <w:t>December 31, 2024</w:t>
      </w:r>
      <w:r>
        <w:rPr>
          <w:color w:val="000000"/>
        </w:rPr>
        <w:t xml:space="preserve"> </w:t>
      </w:r>
      <w:r>
        <w:rPr>
          <w:rFonts w:ascii="Expensify Neue;sans-serif" w:hAnsi="Expensify Neue;sans-serif"/>
          <w:b w:val="false"/>
          <w:color w:val="000000"/>
          <w:sz w:val="20"/>
        </w:rPr>
        <w:t xml:space="preserve">was 25,625,898 shares and 20,879,081 shares, respectively. The number of shares will automatically increase each subsequent January 1 through January 1, 2031, by the lesser of (A) 6% of the aggregate number of shares of all classes of common stock outstanding on the immediately preceding calendar year end, or (B) such lesser number of shares as determined by the Company’s Board of Directors or compensation committee; provided, however, that no more than 87,576,990 shares of Class A common stock may be issued upon the exercise of incentive stock options. </w:t>
      </w:r>
    </w:p>
    <w:p>
      <w:pPr>
        <w:pStyle w:val="TextBody"/>
        <w:bidi w:val="0"/>
        <w:spacing w:lineRule="auto" w:line="288" w:before="0" w:after="160"/>
        <w:jc w:val="left"/>
        <w:rPr>
          <w:rFonts w:ascii="Expensify Neue;sans-serif" w:hAnsi="Expensify Neue;sans-serif"/>
          <w:b/>
          <w:color w:val="000000"/>
          <w:sz w:val="20"/>
        </w:rPr>
      </w:pPr>
      <w:r>
        <w:rPr>
          <w:rFonts w:ascii="Expensify Neue;sans-serif" w:hAnsi="Expensify Neue;sans-serif"/>
          <w:b/>
          <w:color w:val="000000"/>
          <w:sz w:val="20"/>
        </w:rPr>
        <w:t xml:space="preserve">Stock Purchase and Matching Plan </w:t>
      </w:r>
    </w:p>
    <w:p>
      <w:pPr>
        <w:pStyle w:val="TextBody"/>
        <w:bidi w:val="0"/>
        <w:spacing w:lineRule="auto" w:line="288" w:before="0" w:after="160"/>
        <w:jc w:val="left"/>
        <w:rPr>
          <w:rFonts w:ascii="Expensify Neue;sans-serif" w:hAnsi="Expensify Neue;sans-serif"/>
          <w:b w:val="false"/>
          <w:color w:val="000000"/>
          <w:sz w:val="20"/>
        </w:rPr>
      </w:pPr>
      <w:r>
        <w:rPr>
          <w:rFonts w:ascii="Expensify Neue;sans-serif" w:hAnsi="Expensify Neue;sans-serif"/>
          <w:b w:val="false"/>
          <w:color w:val="000000"/>
          <w:sz w:val="20"/>
        </w:rPr>
        <w:t>The Matching Plan operates using consecutive three-month offering periods that commenced on March 15, 2022. Employees, consultants and directors (collectively, "Service Providers") of the Company can participate in the Matching Plan by electing to contribute compensation through deductions from payroll or fee payments, or by receiving discretionary awards under the plan. On the last day of the offering period, the contributions made during the offering period are used to purchase shares of Class A common stock.</w:t>
      </w:r>
    </w:p>
    <w:p>
      <w:pPr>
        <w:pStyle w:val="TextBody"/>
        <w:bidi w:val="0"/>
        <w:spacing w:lineRule="auto" w:line="288" w:before="0" w:after="160"/>
        <w:jc w:val="left"/>
        <w:rPr>
          <w:rFonts w:ascii="Expensify Neue;sans-serif" w:hAnsi="Expensify Neue;sans-serif"/>
          <w:b w:val="false"/>
          <w:color w:val="000000"/>
          <w:sz w:val="20"/>
        </w:rPr>
      </w:pPr>
      <w:r>
        <w:rPr>
          <w:rFonts w:ascii="Expensify Neue;sans-serif" w:hAnsi="Expensify Neue;sans-serif"/>
          <w:b w:val="false"/>
          <w:color w:val="000000"/>
          <w:sz w:val="20"/>
        </w:rPr>
        <w:t xml:space="preserve">The price at which Class A common stock is purchased under the Matching Plan equals the average of the high and low trading price of a share of Class A common stock as of the last trading day of the offering period. At the end of each offering period, the Company may provide a discretionary match up to 1/10 of a share of Class A common stock for each share of Class A common stock purchased by or issued to a Service Provider under the Matching Plan that is retained through the end of the applicable offering period. No fractional shares will be issued by the Company. The Company will round to the nearest full share for shares purchased or matched shares issued to a Service Provider under the Matching Plan. The match rate applicable to each offering period shall be limited to 1.50% of the shares of any class of capital stock outstanding as of the exercise date applicable to such offering period. The Company estimates the fair value of matched shares provided under the Matching Plan using the closing price of the Company's Class A common stock on the Nasdaq Stock Market LLC on the date of grant. The Company recognizes stock-based compensation expense related to the matched shares pursuant to its Matching Plan on a straight-line basis over the applicable three-month offering period. </w:t>
      </w:r>
    </w:p>
    <w:p>
      <w:pPr>
        <w:pStyle w:val="TextBody"/>
        <w:bidi w:val="0"/>
        <w:spacing w:lineRule="auto" w:line="288" w:before="0" w:after="160"/>
        <w:jc w:val="left"/>
        <w:rPr>
          <w:rFonts w:ascii="Expensify Neue;sans-serif" w:hAnsi="Expensify Neue;sans-serif"/>
          <w:b w:val="false"/>
          <w:color w:val="000000"/>
          <w:sz w:val="20"/>
        </w:rPr>
      </w:pPr>
      <w:r>
        <w:rPr>
          <w:rFonts w:ascii="Expensify Neue;sans-serif" w:hAnsi="Expensify Neue;sans-serif"/>
          <w:b w:val="false"/>
          <w:color w:val="000000"/>
          <w:sz w:val="20"/>
        </w:rPr>
        <w:t xml:space="preserve">Service Providers who participated in the Matching Plan for the offering period ended March 14, 2025 purchased a total of 332,783 Class A common shares, based on a purchase price of $3.46, resulting in gross cash proceeds to the Company of $1.2 million. </w:t>
      </w:r>
    </w:p>
    <w:p>
      <w:pPr>
        <w:pStyle w:val="TextBody"/>
        <w:bidi w:val="0"/>
        <w:spacing w:lineRule="auto" w:line="288" w:before="0" w:after="160"/>
        <w:jc w:val="left"/>
        <w:rPr>
          <w:rFonts w:ascii="Expensify Neue;sans-serif" w:hAnsi="Expensify Neue;sans-serif"/>
          <w:b w:val="false"/>
          <w:color w:val="000000"/>
          <w:sz w:val="20"/>
        </w:rPr>
      </w:pPr>
      <w:r>
        <w:rPr>
          <w:rFonts w:ascii="Expensify Neue;sans-serif" w:hAnsi="Expensify Neue;sans-serif"/>
          <w:b w:val="false"/>
          <w:color w:val="000000"/>
          <w:sz w:val="20"/>
        </w:rPr>
        <w:t xml:space="preserve">Service Providers who participated in the Matching Plan for the offering period ended March 14, 2024 purchased a total of 441,541 Class A common shares, based on a purchase price of $2.07, resulting in gross cash proceeds to the Company of $0.9 million. </w:t>
      </w:r>
    </w:p>
    <w:p>
      <w:pPr>
        <w:pStyle w:val="TextBody"/>
        <w:bidi w:val="0"/>
        <w:spacing w:lineRule="auto" w:line="288" w:before="0" w:after="160"/>
        <w:jc w:val="left"/>
        <w:rPr>
          <w:rFonts w:ascii="Expensify Neue;sans-serif" w:hAnsi="Expensify Neue;sans-serif"/>
          <w:b w:val="false"/>
          <w:color w:val="000000"/>
          <w:sz w:val="20"/>
        </w:rPr>
      </w:pPr>
      <w:r>
        <w:rPr>
          <w:rFonts w:ascii="Expensify Neue;sans-serif" w:hAnsi="Expensify Neue;sans-serif"/>
          <w:b w:val="false"/>
          <w:color w:val="000000"/>
          <w:sz w:val="20"/>
        </w:rPr>
        <w:t xml:space="preserve">For the offering period ended March 14, 2025, the Company elected to match each share of Class A common stock purchased or issued under the Matching Plan with 1/20 of a share of Class A common stock. During the three months ended March 31, 2025, the Company granted a total of 218,504 shares of Class A common stock as a matching contribution under the Matching Plan with no shares withheld for taxes. </w:t>
      </w:r>
    </w:p>
    <w:p>
      <w:pPr>
        <w:pStyle w:val="TextBody"/>
        <w:bidi w:val="0"/>
        <w:spacing w:lineRule="auto" w:line="288" w:before="0" w:after="160"/>
        <w:jc w:val="left"/>
        <w:rPr>
          <w:rFonts w:ascii="Expensify Neue;sans-serif" w:hAnsi="Expensify Neue;sans-serif"/>
          <w:b w:val="false"/>
          <w:color w:val="000000"/>
          <w:sz w:val="20"/>
        </w:rPr>
      </w:pPr>
      <w:r>
        <w:rPr>
          <w:rFonts w:ascii="Expensify Neue;sans-serif" w:hAnsi="Expensify Neue;sans-serif"/>
          <w:b w:val="false"/>
          <w:color w:val="000000"/>
          <w:sz w:val="20"/>
        </w:rPr>
        <w:t>For the offering period ended March 14, 2024, the Company elected to match each share of Class A common stock purchased or issued under the Matching Plan with 1/20 of a share of Class A common stock. During the three months ended March 31, 2024, the Company granted a total of 110,084 shares of Class A common stock as a matching contribution under the Matching Plan with no shares withheld for taxes.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1">
                <wp:simplePos x="0" y="0"/>
                <wp:positionH relativeFrom="character">
                  <wp:align>left</wp:align>
                </wp:positionH>
                <wp:positionV relativeFrom="line">
                  <wp:posOffset>635</wp:posOffset>
                </wp:positionV>
                <wp:extent cx="6480175" cy="599440"/>
                <wp:effectExtent l="0" t="0" r="0" b="0"/>
                <wp:wrapNone/>
                <wp:docPr id="20" name="Frame19"/>
                <a:graphic xmlns:a="http://schemas.openxmlformats.org/drawingml/2006/main">
                  <a:graphicData uri="http://schemas.microsoft.com/office/word/2010/wordprocessingShape">
                    <wps:wsp>
                      <wps:cNvSpPr txBox="1"/>
                      <wps:spPr>
                        <a:xfrm>
                          <a:off x="0" y="0"/>
                          <a:ext cx="6480175" cy="599440"/>
                        </a:xfrm>
                        <a:prstGeom prst="rect"/>
                        <a:solidFill>
                          <a:srgbClr val="FFFFFF"/>
                        </a:solidFill>
                      </wps:spPr>
                      <wps:txbx>
                        <w:txbxContent>
                          <w:tbl>
                            <w:tblPr>
                              <w:tblW w:w="406" w:type="dxa"/>
                              <w:jc w:val="left"/>
                              <w:tblInd w:w="0" w:type="dxa"/>
                              <w:tblLayout w:type="fixed"/>
                              <w:tblCellMar>
                                <w:top w:w="28" w:type="dxa"/>
                                <w:left w:w="28" w:type="dxa"/>
                                <w:bottom w:w="28" w:type="dxa"/>
                                <w:right w:w="28" w:type="dxa"/>
                              </w:tblCellMar>
                            </w:tblPr>
                            <w:tblGrid>
                              <w:gridCol w:w="130"/>
                              <w:gridCol w:w="114"/>
                              <w:gridCol w:w="162"/>
                            </w:tblGrid>
                            <w:tr>
                              <w:trPr/>
                              <w:tc>
                                <w:tcPr>
                                  <w:tcW w:w="130"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rPr/>
                              <w:tc>
                                <w:tcPr>
                                  <w:tcW w:w="406"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0"/>
                                    <w:jc w:val="center"/>
                                    <w:rPr>
                                      <w:rFonts w:ascii="Expensify Neue;sans-serif" w:hAnsi="Expensify Neue;sans-serif"/>
                                      <w:b w:val="false"/>
                                      <w:color w:val="000000"/>
                                      <w:sz w:val="20"/>
                                    </w:rPr>
                                  </w:pPr>
                                  <w:r>
                                    <w:rPr>
                                      <w:rFonts w:ascii="Expensify Neue;sans-serif" w:hAnsi="Expensify Neue;sans-serif"/>
                                      <w:b w:val="false"/>
                                      <w:color w:val="000000"/>
                                      <w:sz w:val="20"/>
                                    </w:rPr>
                                    <w:t>14</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7.2pt;mso-wrap-distance-left:0pt;mso-wrap-distance-right:0pt;mso-wrap-distance-top:0pt;mso-wrap-distance-bottom:0pt;margin-top:0pt;mso-position-vertical:top;mso-position-vertical-relative:text;margin-left:0pt;mso-position-horizontal:left;mso-position-horizontal-relative:text">
                <v:textbox>
                  <w:txbxContent>
                    <w:tbl>
                      <w:tblPr>
                        <w:tblW w:w="406" w:type="dxa"/>
                        <w:jc w:val="left"/>
                        <w:tblInd w:w="0" w:type="dxa"/>
                        <w:tblLayout w:type="fixed"/>
                        <w:tblCellMar>
                          <w:top w:w="28" w:type="dxa"/>
                          <w:left w:w="28" w:type="dxa"/>
                          <w:bottom w:w="28" w:type="dxa"/>
                          <w:right w:w="28" w:type="dxa"/>
                        </w:tblCellMar>
                      </w:tblPr>
                      <w:tblGrid>
                        <w:gridCol w:w="130"/>
                        <w:gridCol w:w="114"/>
                        <w:gridCol w:w="162"/>
                      </w:tblGrid>
                      <w:tr>
                        <w:trPr/>
                        <w:tc>
                          <w:tcPr>
                            <w:tcW w:w="130"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rPr/>
                        <w:tc>
                          <w:tcPr>
                            <w:tcW w:w="406"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0"/>
                              <w:jc w:val="center"/>
                              <w:rPr>
                                <w:rFonts w:ascii="Expensify Neue;sans-serif" w:hAnsi="Expensify Neue;sans-serif"/>
                                <w:b w:val="false"/>
                                <w:color w:val="000000"/>
                                <w:sz w:val="20"/>
                              </w:rPr>
                            </w:pPr>
                            <w:r>
                              <w:rPr>
                                <w:rFonts w:ascii="Expensify Neue;sans-serif" w:hAnsi="Expensify Neue;sans-serif"/>
                                <w:b w:val="false"/>
                                <w:color w:val="000000"/>
                                <w:sz w:val="20"/>
                              </w:rPr>
                              <w:t>14</w:t>
                            </w:r>
                          </w:p>
                        </w:tc>
                      </w:tr>
                    </w:tbl>
                    <w:p>
                      <w:pPr>
                        <w:pStyle w:val="TextBody"/>
                        <w:bidi w:val="0"/>
                        <w:spacing w:before="0" w:after="283"/>
                        <w:jc w:val="left"/>
                        <w:rPr/>
                      </w:pPr>
                      <w:r>
                        <w:rPr/>
                      </w:r>
                    </w:p>
                  </w:txbxContent>
                </v:textbox>
                <w10:wrap type="none"/>
              </v:rect>
            </w:pict>
          </mc:Fallback>
        </mc:AlternateContent>
      </w:r>
    </w:p>
    <w:p>
      <w:pPr>
        <w:pStyle w:val="TextBody"/>
        <w:bidi w:val="0"/>
        <w:spacing w:lineRule="auto" w:line="288" w:before="0" w:after="160"/>
        <w:jc w:val="left"/>
        <w:rPr/>
      </w:pPr>
      <w:hyperlink w:anchor="i52a648c4f0e449f7bc3c2044827c8f0d_7">
        <w:r>
          <w:rPr>
            <w:rStyle w:val="InternetLink"/>
            <w:rFonts w:ascii="Expensify Neue;sans-serif" w:hAnsi="Expensify Neue;sans-serif"/>
            <w:b/>
            <w:color w:val="0000FF"/>
            <w:sz w:val="20"/>
            <w:u w:val="single"/>
          </w:rPr>
          <w:t>Table of Contents</w:t>
        </w:r>
      </w:hyperlink>
    </w:p>
    <w:p>
      <w:pPr>
        <w:pStyle w:val="TextBody"/>
        <w:bidi w:val="0"/>
        <w:spacing w:lineRule="auto" w:line="288" w:before="0" w:after="0"/>
        <w:jc w:val="center"/>
        <w:rPr>
          <w:rFonts w:ascii="Expensify Neue;sans-serif" w:hAnsi="Expensify Neue;sans-serif"/>
          <w:b/>
          <w:color w:val="000000"/>
          <w:sz w:val="24"/>
        </w:rPr>
      </w:pPr>
      <w:r>
        <w:rPr>
          <w:rFonts w:ascii="Expensify Neue;sans-serif" w:hAnsi="Expensify Neue;sans-serif"/>
          <w:b/>
          <w:color w:val="000000"/>
          <w:sz w:val="24"/>
        </w:rPr>
        <w:t>Expensify, Inc.</w:t>
      </w:r>
    </w:p>
    <w:p>
      <w:pPr>
        <w:pStyle w:val="TextBody"/>
        <w:bidi w:val="0"/>
        <w:spacing w:lineRule="auto" w:line="288" w:before="0" w:after="0"/>
        <w:jc w:val="center"/>
        <w:rPr>
          <w:rFonts w:ascii="Expensify Neue;sans-serif" w:hAnsi="Expensify Neue;sans-serif"/>
          <w:b/>
          <w:color w:val="000000"/>
          <w:sz w:val="24"/>
        </w:rPr>
      </w:pPr>
      <w:r>
        <w:rPr>
          <w:rFonts w:ascii="Expensify Neue;sans-serif" w:hAnsi="Expensify Neue;sans-serif"/>
          <w:b/>
          <w:color w:val="000000"/>
          <w:sz w:val="24"/>
        </w:rPr>
        <w:t>Notes to the Condensed Consolidated Financial Statements</w:t>
      </w:r>
    </w:p>
    <w:p>
      <w:pPr>
        <w:pStyle w:val="TextBody"/>
        <w:bidi w:val="0"/>
        <w:spacing w:lineRule="auto" w:line="288" w:before="0" w:after="0"/>
        <w:jc w:val="center"/>
        <w:rPr>
          <w:rFonts w:ascii="Expensify Neue;sans-serif" w:hAnsi="Expensify Neue;sans-serif"/>
          <w:b/>
          <w:color w:val="000000"/>
          <w:sz w:val="20"/>
        </w:rPr>
      </w:pPr>
      <w:r>
        <w:rPr>
          <w:rFonts w:ascii="Expensify Neue;sans-serif" w:hAnsi="Expensify Neue;sans-serif"/>
          <w:b/>
          <w:color w:val="000000"/>
          <w:sz w:val="20"/>
        </w:rPr>
        <w:t>(unaudited)</w:t>
      </w:r>
    </w:p>
    <w:p>
      <w:pPr>
        <w:pStyle w:val="TextBody"/>
        <w:bidi w:val="0"/>
        <w:spacing w:lineRule="auto" w:line="288" w:before="0" w:after="160"/>
        <w:jc w:val="left"/>
        <w:rPr>
          <w:rFonts w:ascii="Expensify Neue;sans-serif" w:hAnsi="Expensify Neue;sans-serif"/>
          <w:b w:val="false"/>
          <w:color w:val="000000"/>
          <w:sz w:val="20"/>
        </w:rPr>
      </w:pPr>
      <w:r>
        <w:rPr>
          <w:rFonts w:ascii="Expensify Neue;sans-serif" w:hAnsi="Expensify Neue;sans-serif"/>
          <w:b w:val="false"/>
          <w:color w:val="000000"/>
          <w:sz w:val="20"/>
        </w:rPr>
        <w:t>The Company has made discretionary contributions under the Matching Plan to eligible Service Providers. During the three months ended March 31, 2025, the Company granted a total of 178,199 shares of Class A common stock as discretionary contributions under the Matching Plan with no shares withheld for taxes. During the three months ended March 31, 2024, the Company granted a total of 478,519 shares of Class A common stock as discretionary contributions under the Matching Plan with no shares withheld for taxes.</w:t>
      </w:r>
    </w:p>
    <w:p>
      <w:pPr>
        <w:pStyle w:val="TextBody"/>
        <w:bidi w:val="0"/>
        <w:spacing w:lineRule="auto" w:line="288" w:before="0" w:after="160"/>
        <w:jc w:val="left"/>
        <w:rPr>
          <w:rFonts w:ascii="Expensify Neue;sans-serif" w:hAnsi="Expensify Neue;sans-serif"/>
          <w:b/>
          <w:color w:val="000000"/>
          <w:sz w:val="20"/>
        </w:rPr>
      </w:pPr>
      <w:r>
        <w:rPr>
          <w:rFonts w:ascii="Expensify Neue;sans-serif" w:hAnsi="Expensify Neue;sans-serif"/>
          <w:b/>
          <w:color w:val="000000"/>
          <w:sz w:val="20"/>
        </w:rPr>
        <w:t xml:space="preserve">Restricted Stock Units </w:t>
      </w:r>
    </w:p>
    <w:p>
      <w:pPr>
        <w:pStyle w:val="TextBody"/>
        <w:bidi w:val="0"/>
        <w:spacing w:lineRule="auto" w:line="288" w:before="0" w:after="160"/>
        <w:jc w:val="left"/>
        <w:rPr>
          <w:rFonts w:ascii="Expensify Neue;sans-serif" w:hAnsi="Expensify Neue;sans-serif"/>
          <w:b w:val="false"/>
          <w:color w:val="000000"/>
          <w:sz w:val="20"/>
        </w:rPr>
      </w:pPr>
      <w:r>
        <w:rPr>
          <w:rFonts w:ascii="Expensify Neue;sans-serif" w:hAnsi="Expensify Neue;sans-serif"/>
          <w:b w:val="false"/>
          <w:color w:val="000000"/>
          <w:sz w:val="20"/>
        </w:rPr>
        <w:t>During the three months ended March 31, 2025, RSU activity for Service Providers and non-employee directors was as follows:</w:t>
      </w:r>
    </w:p>
    <w:tbl>
      <w:tblPr>
        <w:tblW w:w="10205" w:type="dxa"/>
        <w:jc w:val="left"/>
        <w:tblInd w:w="0" w:type="dxa"/>
        <w:tblLayout w:type="fixed"/>
        <w:tblCellMar>
          <w:top w:w="28" w:type="dxa"/>
          <w:left w:w="28" w:type="dxa"/>
          <w:bottom w:w="28" w:type="dxa"/>
          <w:right w:w="28" w:type="dxa"/>
        </w:tblCellMar>
      </w:tblPr>
      <w:tblGrid>
        <w:gridCol w:w="968"/>
        <w:gridCol w:w="851"/>
        <w:gridCol w:w="855"/>
        <w:gridCol w:w="749"/>
        <w:gridCol w:w="593"/>
        <w:gridCol w:w="565"/>
        <w:gridCol w:w="109"/>
        <w:gridCol w:w="109"/>
        <w:gridCol w:w="109"/>
        <w:gridCol w:w="674"/>
        <w:gridCol w:w="581"/>
        <w:gridCol w:w="521"/>
        <w:gridCol w:w="109"/>
        <w:gridCol w:w="109"/>
        <w:gridCol w:w="109"/>
        <w:gridCol w:w="663"/>
        <w:gridCol w:w="2074"/>
        <w:gridCol w:w="457"/>
      </w:tblGrid>
      <w:tr>
        <w:trPr/>
        <w:tc>
          <w:tcPr>
            <w:tcW w:w="968" w:type="dxa"/>
            <w:tcBorders/>
            <w:vAlign w:val="center"/>
          </w:tcPr>
          <w:p>
            <w:pPr>
              <w:pStyle w:val="TableContents"/>
              <w:bidi w:val="0"/>
              <w:spacing w:before="0" w:after="283"/>
              <w:jc w:val="left"/>
              <w:rPr>
                <w:sz w:val="4"/>
                <w:szCs w:val="4"/>
              </w:rPr>
            </w:pPr>
            <w:r>
              <w:rPr>
                <w:sz w:val="4"/>
                <w:szCs w:val="4"/>
              </w:rPr>
            </w:r>
          </w:p>
        </w:tc>
        <w:tc>
          <w:tcPr>
            <w:tcW w:w="851" w:type="dxa"/>
            <w:tcBorders/>
            <w:vAlign w:val="center"/>
          </w:tcPr>
          <w:p>
            <w:pPr>
              <w:pStyle w:val="TableContents"/>
              <w:bidi w:val="0"/>
              <w:spacing w:before="0" w:after="283"/>
              <w:jc w:val="left"/>
              <w:rPr>
                <w:sz w:val="4"/>
                <w:szCs w:val="4"/>
              </w:rPr>
            </w:pPr>
            <w:r>
              <w:rPr>
                <w:sz w:val="4"/>
                <w:szCs w:val="4"/>
              </w:rPr>
            </w:r>
          </w:p>
        </w:tc>
        <w:tc>
          <w:tcPr>
            <w:tcW w:w="855" w:type="dxa"/>
            <w:tcBorders/>
            <w:vAlign w:val="center"/>
          </w:tcPr>
          <w:p>
            <w:pPr>
              <w:pStyle w:val="TableContents"/>
              <w:bidi w:val="0"/>
              <w:spacing w:before="0" w:after="283"/>
              <w:jc w:val="left"/>
              <w:rPr>
                <w:sz w:val="4"/>
                <w:szCs w:val="4"/>
              </w:rPr>
            </w:pPr>
            <w:r>
              <w:rPr>
                <w:sz w:val="4"/>
                <w:szCs w:val="4"/>
              </w:rPr>
            </w:r>
          </w:p>
        </w:tc>
        <w:tc>
          <w:tcPr>
            <w:tcW w:w="749" w:type="dxa"/>
            <w:tcBorders/>
            <w:vAlign w:val="center"/>
          </w:tcPr>
          <w:p>
            <w:pPr>
              <w:pStyle w:val="TableContents"/>
              <w:bidi w:val="0"/>
              <w:spacing w:before="0" w:after="283"/>
              <w:jc w:val="left"/>
              <w:rPr>
                <w:sz w:val="4"/>
                <w:szCs w:val="4"/>
              </w:rPr>
            </w:pPr>
            <w:r>
              <w:rPr>
                <w:sz w:val="4"/>
                <w:szCs w:val="4"/>
              </w:rPr>
            </w:r>
          </w:p>
        </w:tc>
        <w:tc>
          <w:tcPr>
            <w:tcW w:w="593" w:type="dxa"/>
            <w:tcBorders/>
            <w:vAlign w:val="center"/>
          </w:tcPr>
          <w:p>
            <w:pPr>
              <w:pStyle w:val="TableContents"/>
              <w:bidi w:val="0"/>
              <w:spacing w:before="0" w:after="283"/>
              <w:jc w:val="left"/>
              <w:rPr>
                <w:sz w:val="4"/>
                <w:szCs w:val="4"/>
              </w:rPr>
            </w:pPr>
            <w:r>
              <w:rPr>
                <w:sz w:val="4"/>
                <w:szCs w:val="4"/>
              </w:rPr>
            </w:r>
          </w:p>
        </w:tc>
        <w:tc>
          <w:tcPr>
            <w:tcW w:w="56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74" w:type="dxa"/>
            <w:tcBorders/>
            <w:vAlign w:val="center"/>
          </w:tcPr>
          <w:p>
            <w:pPr>
              <w:pStyle w:val="TableContents"/>
              <w:bidi w:val="0"/>
              <w:spacing w:before="0" w:after="283"/>
              <w:jc w:val="left"/>
              <w:rPr>
                <w:sz w:val="4"/>
                <w:szCs w:val="4"/>
              </w:rPr>
            </w:pPr>
            <w:r>
              <w:rPr>
                <w:sz w:val="4"/>
                <w:szCs w:val="4"/>
              </w:rPr>
            </w:r>
          </w:p>
        </w:tc>
        <w:tc>
          <w:tcPr>
            <w:tcW w:w="581" w:type="dxa"/>
            <w:tcBorders/>
            <w:vAlign w:val="center"/>
          </w:tcPr>
          <w:p>
            <w:pPr>
              <w:pStyle w:val="TableContents"/>
              <w:bidi w:val="0"/>
              <w:spacing w:before="0" w:after="283"/>
              <w:jc w:val="left"/>
              <w:rPr>
                <w:sz w:val="4"/>
                <w:szCs w:val="4"/>
              </w:rPr>
            </w:pPr>
            <w:r>
              <w:rPr>
                <w:sz w:val="4"/>
                <w:szCs w:val="4"/>
              </w:rPr>
            </w:r>
          </w:p>
        </w:tc>
        <w:tc>
          <w:tcPr>
            <w:tcW w:w="5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63" w:type="dxa"/>
            <w:tcBorders/>
            <w:vAlign w:val="center"/>
          </w:tcPr>
          <w:p>
            <w:pPr>
              <w:pStyle w:val="TableContents"/>
              <w:bidi w:val="0"/>
              <w:spacing w:before="0" w:after="283"/>
              <w:jc w:val="left"/>
              <w:rPr>
                <w:sz w:val="4"/>
                <w:szCs w:val="4"/>
              </w:rPr>
            </w:pPr>
            <w:r>
              <w:rPr>
                <w:sz w:val="4"/>
                <w:szCs w:val="4"/>
              </w:rPr>
            </w:r>
          </w:p>
        </w:tc>
        <w:tc>
          <w:tcPr>
            <w:tcW w:w="2074" w:type="dxa"/>
            <w:tcBorders/>
            <w:vAlign w:val="center"/>
          </w:tcPr>
          <w:p>
            <w:pPr>
              <w:pStyle w:val="TableContents"/>
              <w:bidi w:val="0"/>
              <w:spacing w:before="0" w:after="283"/>
              <w:jc w:val="left"/>
              <w:rPr>
                <w:sz w:val="4"/>
                <w:szCs w:val="4"/>
              </w:rPr>
            </w:pPr>
            <w:r>
              <w:rPr>
                <w:sz w:val="4"/>
                <w:szCs w:val="4"/>
              </w:rPr>
            </w:r>
          </w:p>
        </w:tc>
        <w:tc>
          <w:tcPr>
            <w:tcW w:w="457" w:type="dxa"/>
            <w:tcBorders/>
            <w:vAlign w:val="center"/>
          </w:tcPr>
          <w:p>
            <w:pPr>
              <w:pStyle w:val="TableContents"/>
              <w:bidi w:val="0"/>
              <w:spacing w:before="0" w:after="283"/>
              <w:jc w:val="left"/>
              <w:rPr>
                <w:sz w:val="4"/>
                <w:szCs w:val="4"/>
              </w:rPr>
            </w:pPr>
            <w:r>
              <w:rPr>
                <w:sz w:val="4"/>
                <w:szCs w:val="4"/>
              </w:rPr>
            </w:r>
          </w:p>
        </w:tc>
      </w:tr>
      <w:tr>
        <w:trPr/>
        <w:tc>
          <w:tcPr>
            <w:tcW w:w="2674" w:type="dxa"/>
            <w:gridSpan w:val="3"/>
            <w:tcBorders>
              <w:top w:val="single" w:sz="1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07" w:type="dxa"/>
            <w:gridSpan w:val="3"/>
            <w:tcBorders>
              <w:top w:val="single" w:sz="16"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Expensify Neue;sans-serif" w:hAnsi="Expensify Neue;sans-serif"/>
                <w:b/>
                <w:color w:val="000000"/>
                <w:sz w:val="16"/>
              </w:rPr>
            </w:pPr>
            <w:r>
              <w:rPr>
                <w:rFonts w:ascii="Expensify Neue;sans-serif" w:hAnsi="Expensify Neue;sans-serif"/>
                <w:b/>
                <w:color w:val="000000"/>
                <w:sz w:val="16"/>
              </w:rPr>
              <w:t>Class A Common Stock</w:t>
            </w:r>
          </w:p>
        </w:tc>
        <w:tc>
          <w:tcPr>
            <w:tcW w:w="327" w:type="dxa"/>
            <w:gridSpan w:val="3"/>
            <w:tcBorders>
              <w:top w:val="single" w:sz="1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76" w:type="dxa"/>
            <w:gridSpan w:val="3"/>
            <w:tcBorders>
              <w:top w:val="single" w:sz="16"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Expensify Neue;sans-serif" w:hAnsi="Expensify Neue;sans-serif"/>
                <w:b/>
                <w:color w:val="000000"/>
                <w:sz w:val="16"/>
              </w:rPr>
            </w:pPr>
            <w:r>
              <w:rPr>
                <w:rFonts w:ascii="Expensify Neue;sans-serif" w:hAnsi="Expensify Neue;sans-serif"/>
                <w:b/>
                <w:color w:val="000000"/>
                <w:sz w:val="16"/>
              </w:rPr>
              <w:t>LT50 Common Stock</w:t>
            </w:r>
          </w:p>
        </w:tc>
        <w:tc>
          <w:tcPr>
            <w:tcW w:w="327" w:type="dxa"/>
            <w:gridSpan w:val="3"/>
            <w:tcBorders>
              <w:top w:val="single" w:sz="1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94" w:type="dxa"/>
            <w:gridSpan w:val="3"/>
            <w:tcBorders>
              <w:top w:val="single" w:sz="16"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Expensify Neue;sans-serif" w:hAnsi="Expensify Neue;sans-serif"/>
                <w:b/>
                <w:color w:val="000000"/>
                <w:sz w:val="16"/>
              </w:rPr>
            </w:pPr>
            <w:r>
              <w:rPr>
                <w:rFonts w:ascii="Expensify Neue;sans-serif" w:hAnsi="Expensify Neue;sans-serif"/>
                <w:b/>
                <w:color w:val="000000"/>
                <w:sz w:val="16"/>
              </w:rPr>
              <w:t>Weighted average grant date fair value per share</w:t>
            </w:r>
          </w:p>
        </w:tc>
      </w:tr>
      <w:tr>
        <w:trPr/>
        <w:tc>
          <w:tcPr>
            <w:tcW w:w="267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Expensify Neue;sans-serif" w:hAnsi="Expensify Neue;sans-serif"/>
                <w:b w:val="false"/>
                <w:color w:val="000000"/>
                <w:sz w:val="20"/>
              </w:rPr>
            </w:pPr>
            <w:r>
              <w:rPr>
                <w:rFonts w:ascii="Expensify Neue;sans-serif" w:hAnsi="Expensify Neue;sans-serif"/>
                <w:b w:val="false"/>
                <w:color w:val="000000"/>
                <w:sz w:val="20"/>
              </w:rPr>
              <w:t>Outstanding at December 31, 2024</w:t>
            </w:r>
          </w:p>
        </w:tc>
        <w:tc>
          <w:tcPr>
            <w:tcW w:w="134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Expensify Neue;sans-serif" w:hAnsi="Expensify Neue;sans-serif"/>
                <w:b w:val="false"/>
                <w:color w:val="000000"/>
                <w:sz w:val="20"/>
              </w:rPr>
            </w:pPr>
            <w:r>
              <w:rPr>
                <w:rFonts w:ascii="Expensify Neue;sans-serif" w:hAnsi="Expensify Neue;sans-serif"/>
                <w:b w:val="false"/>
                <w:color w:val="000000"/>
                <w:sz w:val="20"/>
              </w:rPr>
              <w:t>2,150,101 </w:t>
            </w:r>
          </w:p>
        </w:tc>
        <w:tc>
          <w:tcPr>
            <w:tcW w:w="56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5"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Expensify Neue;sans-serif" w:hAnsi="Expensify Neue;sans-serif"/>
                <w:b w:val="false"/>
                <w:color w:val="000000"/>
                <w:sz w:val="20"/>
              </w:rPr>
            </w:pPr>
            <w:r>
              <w:rPr>
                <w:rFonts w:ascii="Expensify Neue;sans-serif" w:hAnsi="Expensify Neue;sans-serif"/>
                <w:b w:val="false"/>
                <w:color w:val="000000"/>
                <w:sz w:val="20"/>
              </w:rPr>
              <w:t>1,894,470 </w:t>
            </w:r>
          </w:p>
        </w:tc>
        <w:tc>
          <w:tcPr>
            <w:tcW w:w="52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Expensify Neue;sans-serif" w:hAnsi="Expensify Neue;sans-serif"/>
                <w:b w:val="false"/>
                <w:color w:val="000000"/>
                <w:sz w:val="20"/>
              </w:rPr>
            </w:pPr>
            <w:r>
              <w:rPr>
                <w:rFonts w:ascii="Expensify Neue;sans-serif" w:hAnsi="Expensify Neue;sans-serif"/>
                <w:b w:val="false"/>
                <w:color w:val="000000"/>
                <w:sz w:val="20"/>
              </w:rPr>
              <w:t>$</w:t>
            </w:r>
          </w:p>
        </w:tc>
        <w:tc>
          <w:tcPr>
            <w:tcW w:w="207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Expensify Neue;sans-serif" w:hAnsi="Expensify Neue;sans-serif"/>
                <w:b w:val="false"/>
                <w:color w:val="000000"/>
                <w:sz w:val="20"/>
              </w:rPr>
            </w:pPr>
            <w:r>
              <w:rPr>
                <w:rFonts w:ascii="Expensify Neue;sans-serif" w:hAnsi="Expensify Neue;sans-serif"/>
                <w:b w:val="false"/>
                <w:color w:val="000000"/>
                <w:sz w:val="20"/>
              </w:rPr>
              <w:t>30.21 </w:t>
            </w:r>
          </w:p>
        </w:tc>
        <w:tc>
          <w:tcPr>
            <w:tcW w:w="45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7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Expensify Neue;sans-serif" w:hAnsi="Expensify Neue;sans-serif"/>
                <w:b w:val="false"/>
                <w:color w:val="000000"/>
                <w:sz w:val="20"/>
              </w:rPr>
            </w:pPr>
            <w:r>
              <w:rPr>
                <w:rFonts w:ascii="Expensify Neue;sans-serif" w:hAnsi="Expensify Neue;sans-serif"/>
                <w:b w:val="false"/>
                <w:color w:val="000000"/>
                <w:sz w:val="20"/>
              </w:rPr>
              <w:t>RSUs vested</w:t>
            </w:r>
          </w:p>
        </w:tc>
        <w:tc>
          <w:tcPr>
            <w:tcW w:w="13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Expensify Neue;sans-serif" w:hAnsi="Expensify Neue;sans-serif"/>
                <w:b w:val="false"/>
                <w:color w:val="000000"/>
                <w:sz w:val="20"/>
              </w:rPr>
            </w:pPr>
            <w:r>
              <w:rPr>
                <w:rFonts w:ascii="Expensify Neue;sans-serif" w:hAnsi="Expensify Neue;sans-serif"/>
                <w:b w:val="false"/>
                <w:color w:val="000000"/>
                <w:sz w:val="20"/>
              </w:rPr>
              <w:t>(99,258)</w:t>
            </w:r>
          </w:p>
        </w:tc>
        <w:tc>
          <w:tcPr>
            <w:tcW w:w="56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Expensify Neue;sans-serif" w:hAnsi="Expensify Neue;sans-serif"/>
                <w:b w:val="false"/>
                <w:color w:val="000000"/>
                <w:sz w:val="20"/>
              </w:rPr>
            </w:pPr>
            <w:r>
              <w:rPr>
                <w:rFonts w:ascii="Expensify Neue;sans-serif" w:hAnsi="Expensify Neue;sans-serif"/>
                <w:b w:val="false"/>
                <w:color w:val="000000"/>
                <w:sz w:val="20"/>
              </w:rPr>
              <w:t>(97,912)</w:t>
            </w:r>
          </w:p>
        </w:tc>
        <w:tc>
          <w:tcPr>
            <w:tcW w:w="5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3"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Expensify Neue;sans-serif" w:hAnsi="Expensify Neue;sans-serif"/>
                <w:b w:val="false"/>
                <w:color w:val="000000"/>
                <w:sz w:val="20"/>
              </w:rPr>
            </w:pPr>
            <w:r>
              <w:rPr>
                <w:rFonts w:ascii="Expensify Neue;sans-serif" w:hAnsi="Expensify Neue;sans-serif"/>
                <w:b w:val="false"/>
                <w:color w:val="000000"/>
                <w:sz w:val="20"/>
              </w:rPr>
              <w:t>$</w:t>
            </w:r>
          </w:p>
        </w:tc>
        <w:tc>
          <w:tcPr>
            <w:tcW w:w="207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Expensify Neue;sans-serif" w:hAnsi="Expensify Neue;sans-serif"/>
                <w:b w:val="false"/>
                <w:color w:val="000000"/>
                <w:sz w:val="20"/>
              </w:rPr>
            </w:pPr>
            <w:r>
              <w:rPr>
                <w:rFonts w:ascii="Expensify Neue;sans-serif" w:hAnsi="Expensify Neue;sans-serif"/>
                <w:b w:val="false"/>
                <w:color w:val="000000"/>
                <w:sz w:val="20"/>
              </w:rPr>
              <w:t>31.84 </w:t>
            </w:r>
          </w:p>
        </w:tc>
        <w:tc>
          <w:tcPr>
            <w:tcW w:w="4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7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Expensify Neue;sans-serif" w:hAnsi="Expensify Neue;sans-serif"/>
                <w:b w:val="false"/>
                <w:color w:val="000000"/>
                <w:sz w:val="20"/>
              </w:rPr>
            </w:pPr>
            <w:r>
              <w:rPr>
                <w:rFonts w:ascii="Expensify Neue;sans-serif" w:hAnsi="Expensify Neue;sans-serif"/>
                <w:b w:val="false"/>
                <w:color w:val="000000"/>
                <w:sz w:val="20"/>
              </w:rPr>
              <w:t>RSUs cancelled/forfeited/expired</w:t>
            </w:r>
          </w:p>
        </w:tc>
        <w:tc>
          <w:tcPr>
            <w:tcW w:w="13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Expensify Neue;sans-serif" w:hAnsi="Expensify Neue;sans-serif"/>
                <w:b w:val="false"/>
                <w:color w:val="000000"/>
                <w:sz w:val="20"/>
              </w:rPr>
            </w:pPr>
            <w:r>
              <w:rPr>
                <w:rFonts w:ascii="Expensify Neue;sans-serif" w:hAnsi="Expensify Neue;sans-serif"/>
                <w:b w:val="false"/>
                <w:color w:val="000000"/>
                <w:sz w:val="20"/>
              </w:rPr>
              <w:t>(22,401)</w:t>
            </w:r>
          </w:p>
        </w:tc>
        <w:tc>
          <w:tcPr>
            <w:tcW w:w="56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Expensify Neue;sans-serif" w:hAnsi="Expensify Neue;sans-serif"/>
                <w:b w:val="false"/>
                <w:color w:val="000000"/>
                <w:sz w:val="20"/>
              </w:rPr>
            </w:pPr>
            <w:r>
              <w:rPr>
                <w:rFonts w:ascii="Expensify Neue;sans-serif" w:hAnsi="Expensify Neue;sans-serif"/>
                <w:b w:val="false"/>
                <w:color w:val="000000"/>
                <w:sz w:val="20"/>
              </w:rPr>
              <w:t>(22,401)</w:t>
            </w:r>
          </w:p>
        </w:tc>
        <w:tc>
          <w:tcPr>
            <w:tcW w:w="5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3"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Expensify Neue;sans-serif" w:hAnsi="Expensify Neue;sans-serif"/>
                <w:b w:val="false"/>
                <w:color w:val="000000"/>
                <w:sz w:val="20"/>
              </w:rPr>
            </w:pPr>
            <w:r>
              <w:rPr>
                <w:rFonts w:ascii="Expensify Neue;sans-serif" w:hAnsi="Expensify Neue;sans-serif"/>
                <w:b w:val="false"/>
                <w:color w:val="000000"/>
                <w:sz w:val="20"/>
              </w:rPr>
              <w:t>$</w:t>
            </w:r>
          </w:p>
        </w:tc>
        <w:tc>
          <w:tcPr>
            <w:tcW w:w="2074"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Expensify Neue;sans-serif" w:hAnsi="Expensify Neue;sans-serif"/>
                <w:b w:val="false"/>
                <w:color w:val="000000"/>
                <w:sz w:val="20"/>
              </w:rPr>
            </w:pPr>
            <w:r>
              <w:rPr>
                <w:rFonts w:ascii="Expensify Neue;sans-serif" w:hAnsi="Expensify Neue;sans-serif"/>
                <w:b w:val="false"/>
                <w:color w:val="000000"/>
                <w:sz w:val="20"/>
              </w:rPr>
              <w:t>40.97 </w:t>
            </w:r>
          </w:p>
        </w:tc>
        <w:tc>
          <w:tcPr>
            <w:tcW w:w="4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74"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90"/>
              <w:jc w:val="left"/>
              <w:rPr>
                <w:rFonts w:ascii="Expensify Neue;sans-serif" w:hAnsi="Expensify Neue;sans-serif"/>
                <w:b w:val="false"/>
                <w:color w:val="000000"/>
                <w:sz w:val="20"/>
              </w:rPr>
            </w:pPr>
            <w:r>
              <w:rPr>
                <w:rFonts w:ascii="Expensify Neue;sans-serif" w:hAnsi="Expensify Neue;sans-serif"/>
                <w:b w:val="false"/>
                <w:color w:val="000000"/>
                <w:sz w:val="20"/>
              </w:rPr>
              <w:t>Outstanding at March 31, 2025</w:t>
            </w:r>
          </w:p>
        </w:tc>
        <w:tc>
          <w:tcPr>
            <w:tcW w:w="134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Expensify Neue;sans-serif" w:hAnsi="Expensify Neue;sans-serif"/>
                <w:b w:val="false"/>
                <w:color w:val="000000"/>
                <w:sz w:val="20"/>
              </w:rPr>
            </w:pPr>
            <w:r>
              <w:rPr>
                <w:rFonts w:ascii="Expensify Neue;sans-serif" w:hAnsi="Expensify Neue;sans-serif"/>
                <w:b w:val="false"/>
                <w:color w:val="000000"/>
                <w:sz w:val="20"/>
              </w:rPr>
              <w:t>2,028,442 </w:t>
            </w:r>
          </w:p>
        </w:tc>
        <w:tc>
          <w:tcPr>
            <w:tcW w:w="56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5"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Expensify Neue;sans-serif" w:hAnsi="Expensify Neue;sans-serif"/>
                <w:b w:val="false"/>
                <w:color w:val="000000"/>
                <w:sz w:val="20"/>
              </w:rPr>
            </w:pPr>
            <w:r>
              <w:rPr>
                <w:rFonts w:ascii="Expensify Neue;sans-serif" w:hAnsi="Expensify Neue;sans-serif"/>
                <w:b w:val="false"/>
                <w:color w:val="000000"/>
                <w:sz w:val="20"/>
              </w:rPr>
              <w:t>1,774,157 </w:t>
            </w:r>
          </w:p>
        </w:tc>
        <w:tc>
          <w:tcPr>
            <w:tcW w:w="52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3"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Expensify Neue;sans-serif" w:hAnsi="Expensify Neue;sans-serif"/>
                <w:b w:val="false"/>
                <w:color w:val="000000"/>
                <w:sz w:val="20"/>
              </w:rPr>
            </w:pPr>
            <w:r>
              <w:rPr>
                <w:rFonts w:ascii="Expensify Neue;sans-serif" w:hAnsi="Expensify Neue;sans-serif"/>
                <w:b w:val="false"/>
                <w:color w:val="000000"/>
                <w:sz w:val="20"/>
              </w:rPr>
              <w:t>$</w:t>
            </w:r>
          </w:p>
        </w:tc>
        <w:tc>
          <w:tcPr>
            <w:tcW w:w="207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Expensify Neue;sans-serif" w:hAnsi="Expensify Neue;sans-serif"/>
                <w:b w:val="false"/>
                <w:color w:val="000000"/>
                <w:sz w:val="20"/>
              </w:rPr>
            </w:pPr>
            <w:r>
              <w:rPr>
                <w:rFonts w:ascii="Expensify Neue;sans-serif" w:hAnsi="Expensify Neue;sans-serif"/>
                <w:b w:val="false"/>
                <w:color w:val="000000"/>
                <w:sz w:val="20"/>
              </w:rPr>
              <w:t>30.00 </w:t>
            </w:r>
          </w:p>
        </w:tc>
        <w:tc>
          <w:tcPr>
            <w:tcW w:w="4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74"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907" w:type="dxa"/>
            <w:gridSpan w:val="3"/>
            <w:tcBorders>
              <w:top w:val="double" w:sz="8"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776" w:type="dxa"/>
            <w:gridSpan w:val="3"/>
            <w:tcBorders>
              <w:top w:val="double" w:sz="8"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194"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r>
        <w:trPr/>
        <w:tc>
          <w:tcPr>
            <w:tcW w:w="2674" w:type="dxa"/>
            <w:gridSpan w:val="3"/>
            <w:tcBorders/>
            <w:vAlign w:val="center"/>
          </w:tcPr>
          <w:p>
            <w:pPr>
              <w:pStyle w:val="TableContents"/>
              <w:bidi w:val="0"/>
              <w:spacing w:before="0" w:after="283"/>
              <w:jc w:val="left"/>
              <w:rPr>
                <w:sz w:val="4"/>
                <w:szCs w:val="4"/>
              </w:rPr>
            </w:pPr>
            <w:r>
              <w:rPr>
                <w:sz w:val="4"/>
                <w:szCs w:val="4"/>
              </w:rPr>
            </w:r>
          </w:p>
        </w:tc>
        <w:tc>
          <w:tcPr>
            <w:tcW w:w="190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7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194" w:type="dxa"/>
            <w:gridSpan w:val="3"/>
            <w:tcBorders/>
            <w:vAlign w:val="center"/>
          </w:tcPr>
          <w:p>
            <w:pPr>
              <w:pStyle w:val="TableContents"/>
              <w:bidi w:val="0"/>
              <w:spacing w:before="0" w:after="283"/>
              <w:jc w:val="left"/>
              <w:rPr>
                <w:sz w:val="4"/>
                <w:szCs w:val="4"/>
              </w:rPr>
            </w:pPr>
            <w:r>
              <w:rPr>
                <w:sz w:val="4"/>
                <w:szCs w:val="4"/>
              </w:rPr>
            </w:r>
          </w:p>
        </w:tc>
      </w:tr>
      <w:tr>
        <w:trPr/>
        <w:tc>
          <w:tcPr>
            <w:tcW w:w="2674" w:type="dxa"/>
            <w:gridSpan w:val="3"/>
            <w:tcBorders/>
            <w:vAlign w:val="center"/>
          </w:tcPr>
          <w:p>
            <w:pPr>
              <w:pStyle w:val="TableContents"/>
              <w:bidi w:val="0"/>
              <w:spacing w:before="0" w:after="283"/>
              <w:jc w:val="left"/>
              <w:rPr>
                <w:sz w:val="4"/>
                <w:szCs w:val="4"/>
              </w:rPr>
            </w:pPr>
            <w:r>
              <w:rPr>
                <w:sz w:val="4"/>
                <w:szCs w:val="4"/>
              </w:rPr>
            </w:r>
          </w:p>
        </w:tc>
        <w:tc>
          <w:tcPr>
            <w:tcW w:w="190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7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194" w:type="dxa"/>
            <w:gridSpan w:val="3"/>
            <w:tcBorders/>
            <w:vAlign w:val="center"/>
          </w:tcPr>
          <w:p>
            <w:pPr>
              <w:pStyle w:val="TableContents"/>
              <w:bidi w:val="0"/>
              <w:spacing w:before="0" w:after="283"/>
              <w:jc w:val="left"/>
              <w:rPr>
                <w:sz w:val="4"/>
                <w:szCs w:val="4"/>
              </w:rPr>
            </w:pPr>
            <w:r>
              <w:rPr>
                <w:sz w:val="4"/>
                <w:szCs w:val="4"/>
              </w:rPr>
            </w:r>
          </w:p>
        </w:tc>
      </w:tr>
      <w:tr>
        <w:trPr/>
        <w:tc>
          <w:tcPr>
            <w:tcW w:w="2674" w:type="dxa"/>
            <w:gridSpan w:val="3"/>
            <w:tcBorders/>
            <w:vAlign w:val="center"/>
          </w:tcPr>
          <w:p>
            <w:pPr>
              <w:pStyle w:val="TableContents"/>
              <w:bidi w:val="0"/>
              <w:spacing w:before="0" w:after="283"/>
              <w:jc w:val="left"/>
              <w:rPr>
                <w:sz w:val="4"/>
                <w:szCs w:val="4"/>
              </w:rPr>
            </w:pPr>
            <w:r>
              <w:rPr>
                <w:sz w:val="4"/>
                <w:szCs w:val="4"/>
              </w:rPr>
            </w:r>
          </w:p>
        </w:tc>
        <w:tc>
          <w:tcPr>
            <w:tcW w:w="190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7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194" w:type="dxa"/>
            <w:gridSpan w:val="3"/>
            <w:tcBorders/>
            <w:vAlign w:val="center"/>
          </w:tcPr>
          <w:p>
            <w:pPr>
              <w:pStyle w:val="TableContents"/>
              <w:bidi w:val="0"/>
              <w:spacing w:before="0" w:after="283"/>
              <w:jc w:val="left"/>
              <w:rPr>
                <w:sz w:val="4"/>
                <w:szCs w:val="4"/>
              </w:rPr>
            </w:pPr>
            <w:r>
              <w:rPr>
                <w:sz w:val="4"/>
                <w:szCs w:val="4"/>
              </w:rPr>
            </w:r>
          </w:p>
        </w:tc>
      </w:tr>
      <w:tr>
        <w:trPr/>
        <w:tc>
          <w:tcPr>
            <w:tcW w:w="2674" w:type="dxa"/>
            <w:gridSpan w:val="3"/>
            <w:tcBorders/>
            <w:vAlign w:val="center"/>
          </w:tcPr>
          <w:p>
            <w:pPr>
              <w:pStyle w:val="TableContents"/>
              <w:bidi w:val="0"/>
              <w:spacing w:before="0" w:after="283"/>
              <w:jc w:val="left"/>
              <w:rPr>
                <w:sz w:val="4"/>
                <w:szCs w:val="4"/>
              </w:rPr>
            </w:pPr>
            <w:r>
              <w:rPr>
                <w:sz w:val="4"/>
                <w:szCs w:val="4"/>
              </w:rPr>
            </w:r>
          </w:p>
        </w:tc>
        <w:tc>
          <w:tcPr>
            <w:tcW w:w="190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7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194" w:type="dxa"/>
            <w:gridSpan w:val="3"/>
            <w:tcBorders/>
            <w:vAlign w:val="center"/>
          </w:tcPr>
          <w:p>
            <w:pPr>
              <w:pStyle w:val="TableContents"/>
              <w:bidi w:val="0"/>
              <w:spacing w:before="0" w:after="283"/>
              <w:jc w:val="left"/>
              <w:rPr>
                <w:sz w:val="4"/>
                <w:szCs w:val="4"/>
              </w:rPr>
            </w:pPr>
            <w:r>
              <w:rPr>
                <w:sz w:val="4"/>
                <w:szCs w:val="4"/>
              </w:rPr>
            </w:r>
          </w:p>
        </w:tc>
      </w:tr>
      <w:tr>
        <w:trPr/>
        <w:tc>
          <w:tcPr>
            <w:tcW w:w="2674" w:type="dxa"/>
            <w:gridSpan w:val="3"/>
            <w:tcBorders/>
            <w:vAlign w:val="center"/>
          </w:tcPr>
          <w:p>
            <w:pPr>
              <w:pStyle w:val="TableContents"/>
              <w:bidi w:val="0"/>
              <w:spacing w:before="0" w:after="283"/>
              <w:jc w:val="left"/>
              <w:rPr>
                <w:sz w:val="4"/>
                <w:szCs w:val="4"/>
              </w:rPr>
            </w:pPr>
            <w:r>
              <w:rPr>
                <w:sz w:val="4"/>
                <w:szCs w:val="4"/>
              </w:rPr>
            </w:r>
          </w:p>
        </w:tc>
        <w:tc>
          <w:tcPr>
            <w:tcW w:w="190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7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194" w:type="dxa"/>
            <w:gridSpan w:val="3"/>
            <w:tcBorders/>
            <w:vAlign w:val="center"/>
          </w:tcPr>
          <w:p>
            <w:pPr>
              <w:pStyle w:val="TableContents"/>
              <w:bidi w:val="0"/>
              <w:spacing w:before="0" w:after="283"/>
              <w:jc w:val="left"/>
              <w:rPr>
                <w:sz w:val="4"/>
                <w:szCs w:val="4"/>
              </w:rPr>
            </w:pPr>
            <w:r>
              <w:rPr>
                <w:sz w:val="4"/>
                <w:szCs w:val="4"/>
              </w:rPr>
            </w:r>
          </w:p>
        </w:tc>
      </w:tr>
      <w:tr>
        <w:trPr/>
        <w:tc>
          <w:tcPr>
            <w:tcW w:w="2674" w:type="dxa"/>
            <w:gridSpan w:val="3"/>
            <w:tcBorders/>
            <w:vAlign w:val="center"/>
          </w:tcPr>
          <w:p>
            <w:pPr>
              <w:pStyle w:val="TableContents"/>
              <w:bidi w:val="0"/>
              <w:spacing w:before="0" w:after="283"/>
              <w:jc w:val="left"/>
              <w:rPr>
                <w:sz w:val="4"/>
                <w:szCs w:val="4"/>
              </w:rPr>
            </w:pPr>
            <w:r>
              <w:rPr>
                <w:sz w:val="4"/>
                <w:szCs w:val="4"/>
              </w:rPr>
            </w:r>
          </w:p>
        </w:tc>
        <w:tc>
          <w:tcPr>
            <w:tcW w:w="190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7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194" w:type="dxa"/>
            <w:gridSpan w:val="3"/>
            <w:tcBorders/>
            <w:vAlign w:val="center"/>
          </w:tcPr>
          <w:p>
            <w:pPr>
              <w:pStyle w:val="TableContents"/>
              <w:bidi w:val="0"/>
              <w:spacing w:before="0" w:after="283"/>
              <w:jc w:val="left"/>
              <w:rPr>
                <w:sz w:val="4"/>
                <w:szCs w:val="4"/>
              </w:rPr>
            </w:pPr>
            <w:r>
              <w:rPr>
                <w:sz w:val="4"/>
                <w:szCs w:val="4"/>
              </w:rPr>
            </w:r>
          </w:p>
        </w:tc>
      </w:tr>
      <w:tr>
        <w:trPr/>
        <w:tc>
          <w:tcPr>
            <w:tcW w:w="2674" w:type="dxa"/>
            <w:gridSpan w:val="3"/>
            <w:tcBorders/>
            <w:vAlign w:val="center"/>
          </w:tcPr>
          <w:p>
            <w:pPr>
              <w:pStyle w:val="TableContents"/>
              <w:bidi w:val="0"/>
              <w:spacing w:before="0" w:after="283"/>
              <w:jc w:val="left"/>
              <w:rPr>
                <w:sz w:val="4"/>
                <w:szCs w:val="4"/>
              </w:rPr>
            </w:pPr>
            <w:r>
              <w:rPr>
                <w:sz w:val="4"/>
                <w:szCs w:val="4"/>
              </w:rPr>
            </w:r>
          </w:p>
        </w:tc>
        <w:tc>
          <w:tcPr>
            <w:tcW w:w="190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7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194" w:type="dxa"/>
            <w:gridSpan w:val="3"/>
            <w:tcBorders/>
            <w:vAlign w:val="center"/>
          </w:tcPr>
          <w:p>
            <w:pPr>
              <w:pStyle w:val="TableContents"/>
              <w:bidi w:val="0"/>
              <w:spacing w:before="0" w:after="283"/>
              <w:jc w:val="left"/>
              <w:rPr>
                <w:sz w:val="4"/>
                <w:szCs w:val="4"/>
              </w:rPr>
            </w:pPr>
            <w:r>
              <w:rPr>
                <w:sz w:val="4"/>
                <w:szCs w:val="4"/>
              </w:rPr>
            </w:r>
          </w:p>
        </w:tc>
      </w:tr>
      <w:tr>
        <w:trPr/>
        <w:tc>
          <w:tcPr>
            <w:tcW w:w="2674" w:type="dxa"/>
            <w:gridSpan w:val="3"/>
            <w:tcBorders/>
            <w:vAlign w:val="center"/>
          </w:tcPr>
          <w:p>
            <w:pPr>
              <w:pStyle w:val="TableContents"/>
              <w:bidi w:val="0"/>
              <w:spacing w:before="0" w:after="283"/>
              <w:jc w:val="left"/>
              <w:rPr>
                <w:sz w:val="4"/>
                <w:szCs w:val="4"/>
              </w:rPr>
            </w:pPr>
            <w:r>
              <w:rPr>
                <w:sz w:val="4"/>
                <w:szCs w:val="4"/>
              </w:rPr>
            </w:r>
          </w:p>
        </w:tc>
        <w:tc>
          <w:tcPr>
            <w:tcW w:w="190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7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194" w:type="dxa"/>
            <w:gridSpan w:val="3"/>
            <w:tcBorders/>
            <w:vAlign w:val="center"/>
          </w:tcPr>
          <w:p>
            <w:pPr>
              <w:pStyle w:val="TableContents"/>
              <w:bidi w:val="0"/>
              <w:spacing w:before="0" w:after="283"/>
              <w:jc w:val="left"/>
              <w:rPr>
                <w:sz w:val="4"/>
                <w:szCs w:val="4"/>
              </w:rPr>
            </w:pPr>
            <w:r>
              <w:rPr>
                <w:sz w:val="4"/>
                <w:szCs w:val="4"/>
              </w:rPr>
            </w:r>
          </w:p>
        </w:tc>
      </w:tr>
      <w:tr>
        <w:trPr/>
        <w:tc>
          <w:tcPr>
            <w:tcW w:w="2674" w:type="dxa"/>
            <w:gridSpan w:val="3"/>
            <w:tcBorders/>
            <w:vAlign w:val="center"/>
          </w:tcPr>
          <w:p>
            <w:pPr>
              <w:pStyle w:val="TableContents"/>
              <w:bidi w:val="0"/>
              <w:spacing w:before="0" w:after="283"/>
              <w:jc w:val="left"/>
              <w:rPr>
                <w:sz w:val="4"/>
                <w:szCs w:val="4"/>
              </w:rPr>
            </w:pPr>
            <w:r>
              <w:rPr>
                <w:sz w:val="4"/>
                <w:szCs w:val="4"/>
              </w:rPr>
            </w:r>
          </w:p>
        </w:tc>
        <w:tc>
          <w:tcPr>
            <w:tcW w:w="190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7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194" w:type="dxa"/>
            <w:gridSpan w:val="3"/>
            <w:tcBorders/>
            <w:vAlign w:val="center"/>
          </w:tcPr>
          <w:p>
            <w:pPr>
              <w:pStyle w:val="TableContents"/>
              <w:bidi w:val="0"/>
              <w:spacing w:before="0" w:after="283"/>
              <w:jc w:val="left"/>
              <w:rPr>
                <w:sz w:val="4"/>
                <w:szCs w:val="4"/>
              </w:rPr>
            </w:pPr>
            <w:r>
              <w:rPr>
                <w:sz w:val="4"/>
                <w:szCs w:val="4"/>
              </w:rPr>
            </w:r>
          </w:p>
        </w:tc>
      </w:tr>
      <w:tr>
        <w:trPr/>
        <w:tc>
          <w:tcPr>
            <w:tcW w:w="2674" w:type="dxa"/>
            <w:gridSpan w:val="3"/>
            <w:tcBorders/>
            <w:vAlign w:val="center"/>
          </w:tcPr>
          <w:p>
            <w:pPr>
              <w:pStyle w:val="TableContents"/>
              <w:bidi w:val="0"/>
              <w:spacing w:before="0" w:after="283"/>
              <w:jc w:val="left"/>
              <w:rPr>
                <w:sz w:val="4"/>
                <w:szCs w:val="4"/>
              </w:rPr>
            </w:pPr>
            <w:r>
              <w:rPr>
                <w:sz w:val="4"/>
                <w:szCs w:val="4"/>
              </w:rPr>
            </w:r>
          </w:p>
        </w:tc>
        <w:tc>
          <w:tcPr>
            <w:tcW w:w="190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7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194" w:type="dxa"/>
            <w:gridSpan w:val="3"/>
            <w:tcBorders/>
            <w:vAlign w:val="center"/>
          </w:tcPr>
          <w:p>
            <w:pPr>
              <w:pStyle w:val="TableContents"/>
              <w:bidi w:val="0"/>
              <w:spacing w:before="0" w:after="283"/>
              <w:jc w:val="left"/>
              <w:rPr>
                <w:sz w:val="4"/>
                <w:szCs w:val="4"/>
              </w:rPr>
            </w:pPr>
            <w:r>
              <w:rPr>
                <w:sz w:val="4"/>
                <w:szCs w:val="4"/>
              </w:rPr>
            </w:r>
          </w:p>
        </w:tc>
      </w:tr>
      <w:tr>
        <w:trPr/>
        <w:tc>
          <w:tcPr>
            <w:tcW w:w="2674" w:type="dxa"/>
            <w:gridSpan w:val="3"/>
            <w:tcBorders/>
            <w:vAlign w:val="center"/>
          </w:tcPr>
          <w:p>
            <w:pPr>
              <w:pStyle w:val="TableContents"/>
              <w:bidi w:val="0"/>
              <w:spacing w:before="0" w:after="283"/>
              <w:jc w:val="left"/>
              <w:rPr>
                <w:sz w:val="4"/>
                <w:szCs w:val="4"/>
              </w:rPr>
            </w:pPr>
            <w:r>
              <w:rPr>
                <w:sz w:val="4"/>
                <w:szCs w:val="4"/>
              </w:rPr>
            </w:r>
          </w:p>
        </w:tc>
        <w:tc>
          <w:tcPr>
            <w:tcW w:w="190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7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194" w:type="dxa"/>
            <w:gridSpan w:val="3"/>
            <w:tcBorders/>
            <w:vAlign w:val="center"/>
          </w:tcPr>
          <w:p>
            <w:pPr>
              <w:pStyle w:val="TableContents"/>
              <w:bidi w:val="0"/>
              <w:spacing w:before="0" w:after="283"/>
              <w:jc w:val="left"/>
              <w:rPr>
                <w:sz w:val="4"/>
                <w:szCs w:val="4"/>
              </w:rPr>
            </w:pPr>
            <w:r>
              <w:rPr>
                <w:sz w:val="4"/>
                <w:szCs w:val="4"/>
              </w:rPr>
            </w:r>
          </w:p>
        </w:tc>
      </w:tr>
      <w:tr>
        <w:trPr/>
        <w:tc>
          <w:tcPr>
            <w:tcW w:w="2674" w:type="dxa"/>
            <w:gridSpan w:val="3"/>
            <w:tcBorders/>
            <w:vAlign w:val="center"/>
          </w:tcPr>
          <w:p>
            <w:pPr>
              <w:pStyle w:val="TableContents"/>
              <w:bidi w:val="0"/>
              <w:spacing w:before="0" w:after="283"/>
              <w:jc w:val="left"/>
              <w:rPr>
                <w:sz w:val="4"/>
                <w:szCs w:val="4"/>
              </w:rPr>
            </w:pPr>
            <w:r>
              <w:rPr>
                <w:sz w:val="4"/>
                <w:szCs w:val="4"/>
              </w:rPr>
            </w:r>
          </w:p>
        </w:tc>
        <w:tc>
          <w:tcPr>
            <w:tcW w:w="190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7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194" w:type="dxa"/>
            <w:gridSpan w:val="3"/>
            <w:tcBorders/>
            <w:vAlign w:val="center"/>
          </w:tcPr>
          <w:p>
            <w:pPr>
              <w:pStyle w:val="TableContents"/>
              <w:bidi w:val="0"/>
              <w:spacing w:before="0" w:after="283"/>
              <w:jc w:val="left"/>
              <w:rPr>
                <w:sz w:val="4"/>
                <w:szCs w:val="4"/>
              </w:rPr>
            </w:pPr>
            <w:r>
              <w:rPr>
                <w:sz w:val="4"/>
                <w:szCs w:val="4"/>
              </w:rPr>
            </w:r>
          </w:p>
        </w:tc>
      </w:tr>
      <w:tr>
        <w:trPr/>
        <w:tc>
          <w:tcPr>
            <w:tcW w:w="2674" w:type="dxa"/>
            <w:gridSpan w:val="3"/>
            <w:tcBorders/>
            <w:vAlign w:val="center"/>
          </w:tcPr>
          <w:p>
            <w:pPr>
              <w:pStyle w:val="TableContents"/>
              <w:bidi w:val="0"/>
              <w:spacing w:before="0" w:after="283"/>
              <w:jc w:val="left"/>
              <w:rPr>
                <w:sz w:val="4"/>
                <w:szCs w:val="4"/>
              </w:rPr>
            </w:pPr>
            <w:r>
              <w:rPr>
                <w:sz w:val="4"/>
                <w:szCs w:val="4"/>
              </w:rPr>
            </w:r>
          </w:p>
        </w:tc>
        <w:tc>
          <w:tcPr>
            <w:tcW w:w="190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7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194" w:type="dxa"/>
            <w:gridSpan w:val="3"/>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160"/>
        <w:jc w:val="left"/>
        <w:rPr/>
      </w:pPr>
      <w:r>
        <w:rPr>
          <w:rFonts w:ascii="Expensify Neue;sans-serif" w:hAnsi="Expensify Neue;sans-serif"/>
          <w:b w:val="false"/>
          <w:color w:val="000000"/>
          <w:sz w:val="20"/>
        </w:rPr>
        <w:t>As of March 31, 2025</w:t>
      </w:r>
      <w:r>
        <w:rPr>
          <w:rFonts w:ascii="Expensify Neue;sans-serif" w:hAnsi="Expensify Neue;sans-serif"/>
          <w:b w:val="false"/>
          <w:color w:val="000000"/>
          <w:sz w:val="20"/>
          <w:shd w:fill="FFFFFF" w:val="clear"/>
        </w:rPr>
        <w:t xml:space="preserve">, there was $92.7 million of unamortized stock-based compensation cost related to unvested RSUs, which is expected to be recognized over the remaining weighted average life of 4.25 years. </w:t>
      </w:r>
    </w:p>
    <w:p>
      <w:pPr>
        <w:pStyle w:val="TextBody"/>
        <w:bidi w:val="0"/>
        <w:spacing w:lineRule="auto" w:line="288" w:before="0" w:after="160"/>
        <w:jc w:val="left"/>
        <w:rPr>
          <w:rFonts w:ascii="Expensify Neue;sans-serif" w:hAnsi="Expensify Neue;sans-serif"/>
          <w:b/>
          <w:color w:val="000000"/>
          <w:sz w:val="20"/>
        </w:rPr>
      </w:pPr>
      <w:r>
        <w:rPr>
          <w:rFonts w:ascii="Expensify Neue;sans-serif" w:hAnsi="Expensify Neue;sans-serif"/>
          <w:b/>
          <w:color w:val="000000"/>
          <w:sz w:val="20"/>
        </w:rPr>
        <w:t xml:space="preserve">Stock Options </w:t>
      </w:r>
    </w:p>
    <w:p>
      <w:pPr>
        <w:pStyle w:val="TextBody"/>
        <w:bidi w:val="0"/>
        <w:spacing w:lineRule="auto" w:line="288" w:before="0" w:after="160"/>
        <w:jc w:val="left"/>
        <w:rPr>
          <w:rFonts w:ascii="Expensify Neue;sans-serif" w:hAnsi="Expensify Neue;sans-serif"/>
          <w:b w:val="false"/>
          <w:color w:val="000000"/>
          <w:sz w:val="20"/>
        </w:rPr>
      </w:pPr>
      <w:r>
        <w:rPr>
          <w:rFonts w:ascii="Expensify Neue;sans-serif" w:hAnsi="Expensify Neue;sans-serif"/>
          <w:b w:val="false"/>
          <w:color w:val="000000"/>
          <w:sz w:val="20"/>
        </w:rPr>
        <w:t xml:space="preserve">The Stock Plans and the 2021 Plan provide for the grant of incentive and nonstatutory stock options to Service Providers. Under the Stock Plans and the 2021 Plan, the exercise price of incentive stock options must be equal to at least 110% of the fair market value of the common stock on the grant date for a “ten-percent holder” or 100% of the fair market value of the common stock on the grant date for any other participant. The exercise price of nonstatutory options granted must be equal to at least 100% of the fair market value of the Company’s common stock on the date of grant. </w:t>
      </w:r>
    </w:p>
    <w:p>
      <w:pPr>
        <w:pStyle w:val="TextBody"/>
        <w:bidi w:val="0"/>
        <w:spacing w:lineRule="auto" w:line="288" w:before="0" w:after="160"/>
        <w:jc w:val="left"/>
        <w:rPr/>
      </w:pPr>
      <w:r>
        <w:rPr>
          <w:rFonts w:ascii="Expensify Neue;sans-serif" w:hAnsi="Expensify Neue;sans-serif"/>
          <w:b w:val="false"/>
          <w:color w:val="000000"/>
          <w:sz w:val="20"/>
        </w:rPr>
        <w:t>The Company has only granted options under the Stock Plans. Options typically vest over four years and are exercisable at any time after the grant date, provided that Service Providers exercising unvested options receive restricted common stock that is subject to repurchase at the original exercise price upon termination of service. The repurchase right lapses in accordance with the vesting schedule of the exercised option</w:t>
      </w:r>
      <w:r>
        <w:rPr>
          <w:rFonts w:ascii="Expensify Neue;sans-serif" w:hAnsi="Expensify Neue;sans-serif"/>
          <w:b w:val="false"/>
          <w:color w:val="000000"/>
          <w:sz w:val="20"/>
          <w:shd w:fill="FFFFFF" w:val="clear"/>
        </w:rPr>
        <w:t xml:space="preserve">. Early exercises of options prior to vesting are not deemed to be substantive exercises for accounting purposes and accordingly, amounts received for early exercises of unvested options are recorded as a liability. These repurchase terms are considered to be a forfeiture provision and do not result in variable accounting. </w:t>
      </w:r>
      <w:r>
        <w:rPr>
          <w:rFonts w:ascii="Expensify Neue;sans-serif" w:hAnsi="Expensify Neue;sans-serif"/>
          <w:b w:val="false"/>
          <w:color w:val="000000"/>
          <w:sz w:val="20"/>
        </w:rPr>
        <w:t xml:space="preserve">There were no repurchases of exercised restricted common stock during the three months ended March 31, 2025 and an immaterial amount during the three months ended March 31, 2024.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2">
                <wp:simplePos x="0" y="0"/>
                <wp:positionH relativeFrom="character">
                  <wp:align>left</wp:align>
                </wp:positionH>
                <wp:positionV relativeFrom="line">
                  <wp:posOffset>635</wp:posOffset>
                </wp:positionV>
                <wp:extent cx="6480175" cy="599440"/>
                <wp:effectExtent l="0" t="0" r="0" b="0"/>
                <wp:wrapNone/>
                <wp:docPr id="21" name="Frame20"/>
                <a:graphic xmlns:a="http://schemas.openxmlformats.org/drawingml/2006/main">
                  <a:graphicData uri="http://schemas.microsoft.com/office/word/2010/wordprocessingShape">
                    <wps:wsp>
                      <wps:cNvSpPr txBox="1"/>
                      <wps:spPr>
                        <a:xfrm>
                          <a:off x="0" y="0"/>
                          <a:ext cx="6480175" cy="599440"/>
                        </a:xfrm>
                        <a:prstGeom prst="rect"/>
                        <a:solidFill>
                          <a:srgbClr val="FFFFFF"/>
                        </a:solidFill>
                      </wps:spPr>
                      <wps:txbx>
                        <w:txbxContent>
                          <w:tbl>
                            <w:tblPr>
                              <w:tblW w:w="406" w:type="dxa"/>
                              <w:jc w:val="left"/>
                              <w:tblInd w:w="0" w:type="dxa"/>
                              <w:tblLayout w:type="fixed"/>
                              <w:tblCellMar>
                                <w:top w:w="28" w:type="dxa"/>
                                <w:left w:w="28" w:type="dxa"/>
                                <w:bottom w:w="28" w:type="dxa"/>
                                <w:right w:w="28" w:type="dxa"/>
                              </w:tblCellMar>
                            </w:tblPr>
                            <w:tblGrid>
                              <w:gridCol w:w="130"/>
                              <w:gridCol w:w="114"/>
                              <w:gridCol w:w="162"/>
                            </w:tblGrid>
                            <w:tr>
                              <w:trPr/>
                              <w:tc>
                                <w:tcPr>
                                  <w:tcW w:w="130"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rPr/>
                              <w:tc>
                                <w:tcPr>
                                  <w:tcW w:w="406"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0"/>
                                    <w:jc w:val="center"/>
                                    <w:rPr>
                                      <w:rFonts w:ascii="Expensify Neue;sans-serif" w:hAnsi="Expensify Neue;sans-serif"/>
                                      <w:b w:val="false"/>
                                      <w:color w:val="000000"/>
                                      <w:sz w:val="20"/>
                                    </w:rPr>
                                  </w:pPr>
                                  <w:r>
                                    <w:rPr>
                                      <w:rFonts w:ascii="Expensify Neue;sans-serif" w:hAnsi="Expensify Neue;sans-serif"/>
                                      <w:b w:val="false"/>
                                      <w:color w:val="000000"/>
                                      <w:sz w:val="20"/>
                                    </w:rPr>
                                    <w:t>15</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7.2pt;mso-wrap-distance-left:0pt;mso-wrap-distance-right:0pt;mso-wrap-distance-top:0pt;mso-wrap-distance-bottom:0pt;margin-top:0pt;mso-position-vertical:top;mso-position-vertical-relative:text;margin-left:0pt;mso-position-horizontal:left;mso-position-horizontal-relative:text">
                <v:textbox>
                  <w:txbxContent>
                    <w:tbl>
                      <w:tblPr>
                        <w:tblW w:w="406" w:type="dxa"/>
                        <w:jc w:val="left"/>
                        <w:tblInd w:w="0" w:type="dxa"/>
                        <w:tblLayout w:type="fixed"/>
                        <w:tblCellMar>
                          <w:top w:w="28" w:type="dxa"/>
                          <w:left w:w="28" w:type="dxa"/>
                          <w:bottom w:w="28" w:type="dxa"/>
                          <w:right w:w="28" w:type="dxa"/>
                        </w:tblCellMar>
                      </w:tblPr>
                      <w:tblGrid>
                        <w:gridCol w:w="130"/>
                        <w:gridCol w:w="114"/>
                        <w:gridCol w:w="162"/>
                      </w:tblGrid>
                      <w:tr>
                        <w:trPr/>
                        <w:tc>
                          <w:tcPr>
                            <w:tcW w:w="130"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rPr/>
                        <w:tc>
                          <w:tcPr>
                            <w:tcW w:w="406"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0"/>
                              <w:jc w:val="center"/>
                              <w:rPr>
                                <w:rFonts w:ascii="Expensify Neue;sans-serif" w:hAnsi="Expensify Neue;sans-serif"/>
                                <w:b w:val="false"/>
                                <w:color w:val="000000"/>
                                <w:sz w:val="20"/>
                              </w:rPr>
                            </w:pPr>
                            <w:r>
                              <w:rPr>
                                <w:rFonts w:ascii="Expensify Neue;sans-serif" w:hAnsi="Expensify Neue;sans-serif"/>
                                <w:b w:val="false"/>
                                <w:color w:val="000000"/>
                                <w:sz w:val="20"/>
                              </w:rPr>
                              <w:t>15</w:t>
                            </w:r>
                          </w:p>
                        </w:tc>
                      </w:tr>
                    </w:tbl>
                    <w:p>
                      <w:pPr>
                        <w:pStyle w:val="TextBody"/>
                        <w:bidi w:val="0"/>
                        <w:spacing w:before="0" w:after="283"/>
                        <w:jc w:val="left"/>
                        <w:rPr/>
                      </w:pPr>
                      <w:r>
                        <w:rPr/>
                      </w:r>
                    </w:p>
                  </w:txbxContent>
                </v:textbox>
                <w10:wrap type="none"/>
              </v:rect>
            </w:pict>
          </mc:Fallback>
        </mc:AlternateContent>
      </w:r>
    </w:p>
    <w:p>
      <w:pPr>
        <w:pStyle w:val="TextBody"/>
        <w:bidi w:val="0"/>
        <w:spacing w:lineRule="auto" w:line="288" w:before="0" w:after="160"/>
        <w:jc w:val="left"/>
        <w:rPr/>
      </w:pPr>
      <w:hyperlink w:anchor="i52a648c4f0e449f7bc3c2044827c8f0d_7">
        <w:r>
          <w:rPr>
            <w:rStyle w:val="InternetLink"/>
            <w:rFonts w:ascii="Expensify Neue;sans-serif" w:hAnsi="Expensify Neue;sans-serif"/>
            <w:b/>
            <w:color w:val="0000FF"/>
            <w:sz w:val="20"/>
            <w:u w:val="single"/>
          </w:rPr>
          <w:t>Table of Contents</w:t>
        </w:r>
      </w:hyperlink>
    </w:p>
    <w:p>
      <w:pPr>
        <w:pStyle w:val="TextBody"/>
        <w:bidi w:val="0"/>
        <w:spacing w:lineRule="auto" w:line="288" w:before="0" w:after="0"/>
        <w:jc w:val="center"/>
        <w:rPr>
          <w:rFonts w:ascii="Expensify Neue;sans-serif" w:hAnsi="Expensify Neue;sans-serif"/>
          <w:b/>
          <w:color w:val="000000"/>
          <w:sz w:val="24"/>
        </w:rPr>
      </w:pPr>
      <w:r>
        <w:rPr>
          <w:rFonts w:ascii="Expensify Neue;sans-serif" w:hAnsi="Expensify Neue;sans-serif"/>
          <w:b/>
          <w:color w:val="000000"/>
          <w:sz w:val="24"/>
        </w:rPr>
        <w:t>Expensify, Inc.</w:t>
      </w:r>
    </w:p>
    <w:p>
      <w:pPr>
        <w:pStyle w:val="TextBody"/>
        <w:bidi w:val="0"/>
        <w:spacing w:lineRule="auto" w:line="288" w:before="0" w:after="0"/>
        <w:jc w:val="center"/>
        <w:rPr>
          <w:rFonts w:ascii="Expensify Neue;sans-serif" w:hAnsi="Expensify Neue;sans-serif"/>
          <w:b/>
          <w:color w:val="000000"/>
          <w:sz w:val="24"/>
        </w:rPr>
      </w:pPr>
      <w:r>
        <w:rPr>
          <w:rFonts w:ascii="Expensify Neue;sans-serif" w:hAnsi="Expensify Neue;sans-serif"/>
          <w:b/>
          <w:color w:val="000000"/>
          <w:sz w:val="24"/>
        </w:rPr>
        <w:t>Notes to the Condensed Consolidated Financial Statements</w:t>
      </w:r>
    </w:p>
    <w:p>
      <w:pPr>
        <w:pStyle w:val="TextBody"/>
        <w:bidi w:val="0"/>
        <w:spacing w:lineRule="auto" w:line="288" w:before="0" w:after="0"/>
        <w:jc w:val="center"/>
        <w:rPr>
          <w:rFonts w:ascii="Expensify Neue;sans-serif" w:hAnsi="Expensify Neue;sans-serif"/>
          <w:b/>
          <w:color w:val="000000"/>
          <w:sz w:val="20"/>
        </w:rPr>
      </w:pPr>
      <w:r>
        <w:rPr>
          <w:rFonts w:ascii="Expensify Neue;sans-serif" w:hAnsi="Expensify Neue;sans-serif"/>
          <w:b/>
          <w:color w:val="000000"/>
          <w:sz w:val="20"/>
        </w:rPr>
        <w:t>(unaudited)</w:t>
      </w:r>
    </w:p>
    <w:p>
      <w:pPr>
        <w:pStyle w:val="TextBody"/>
        <w:bidi w:val="0"/>
        <w:spacing w:lineRule="auto" w:line="288" w:before="0" w:after="160"/>
        <w:jc w:val="left"/>
        <w:rPr>
          <w:rFonts w:ascii="Expensify Neue;sans-serif" w:hAnsi="Expensify Neue;sans-serif"/>
          <w:b w:val="false"/>
          <w:color w:val="000000"/>
          <w:sz w:val="20"/>
        </w:rPr>
      </w:pPr>
      <w:r>
        <w:rPr>
          <w:rFonts w:ascii="Expensify Neue;sans-serif" w:hAnsi="Expensify Neue;sans-serif"/>
          <w:b w:val="false"/>
          <w:color w:val="000000"/>
          <w:sz w:val="20"/>
        </w:rPr>
        <w:t>A summary of the Company's stock option activity was as follows:</w:t>
      </w:r>
    </w:p>
    <w:tbl>
      <w:tblPr>
        <w:tblW w:w="10205" w:type="dxa"/>
        <w:jc w:val="left"/>
        <w:tblInd w:w="0" w:type="dxa"/>
        <w:tblLayout w:type="fixed"/>
        <w:tblCellMar>
          <w:top w:w="28" w:type="dxa"/>
          <w:left w:w="28" w:type="dxa"/>
          <w:bottom w:w="28" w:type="dxa"/>
          <w:right w:w="28" w:type="dxa"/>
        </w:tblCellMar>
      </w:tblPr>
      <w:tblGrid>
        <w:gridCol w:w="1046"/>
        <w:gridCol w:w="917"/>
        <w:gridCol w:w="921"/>
        <w:gridCol w:w="563"/>
        <w:gridCol w:w="563"/>
        <w:gridCol w:w="246"/>
        <w:gridCol w:w="109"/>
        <w:gridCol w:w="109"/>
        <w:gridCol w:w="109"/>
        <w:gridCol w:w="761"/>
        <w:gridCol w:w="1973"/>
        <w:gridCol w:w="369"/>
        <w:gridCol w:w="109"/>
        <w:gridCol w:w="109"/>
        <w:gridCol w:w="109"/>
        <w:gridCol w:w="640"/>
        <w:gridCol w:w="640"/>
        <w:gridCol w:w="912"/>
      </w:tblGrid>
      <w:tr>
        <w:trPr/>
        <w:tc>
          <w:tcPr>
            <w:tcW w:w="1046" w:type="dxa"/>
            <w:tcBorders/>
            <w:vAlign w:val="center"/>
          </w:tcPr>
          <w:p>
            <w:pPr>
              <w:pStyle w:val="TableContents"/>
              <w:bidi w:val="0"/>
              <w:spacing w:before="0" w:after="283"/>
              <w:jc w:val="left"/>
              <w:rPr>
                <w:sz w:val="4"/>
                <w:szCs w:val="4"/>
              </w:rPr>
            </w:pPr>
            <w:r>
              <w:rPr>
                <w:sz w:val="4"/>
                <w:szCs w:val="4"/>
              </w:rPr>
            </w:r>
          </w:p>
        </w:tc>
        <w:tc>
          <w:tcPr>
            <w:tcW w:w="917" w:type="dxa"/>
            <w:tcBorders/>
            <w:vAlign w:val="center"/>
          </w:tcPr>
          <w:p>
            <w:pPr>
              <w:pStyle w:val="TableContents"/>
              <w:bidi w:val="0"/>
              <w:spacing w:before="0" w:after="283"/>
              <w:jc w:val="left"/>
              <w:rPr>
                <w:sz w:val="4"/>
                <w:szCs w:val="4"/>
              </w:rPr>
            </w:pPr>
            <w:r>
              <w:rPr>
                <w:sz w:val="4"/>
                <w:szCs w:val="4"/>
              </w:rPr>
            </w:r>
          </w:p>
        </w:tc>
        <w:tc>
          <w:tcPr>
            <w:tcW w:w="921" w:type="dxa"/>
            <w:tcBorders/>
            <w:vAlign w:val="center"/>
          </w:tcPr>
          <w:p>
            <w:pPr>
              <w:pStyle w:val="TableContents"/>
              <w:bidi w:val="0"/>
              <w:spacing w:before="0" w:after="283"/>
              <w:jc w:val="left"/>
              <w:rPr>
                <w:sz w:val="4"/>
                <w:szCs w:val="4"/>
              </w:rPr>
            </w:pPr>
            <w:r>
              <w:rPr>
                <w:sz w:val="4"/>
                <w:szCs w:val="4"/>
              </w:rPr>
            </w:r>
          </w:p>
        </w:tc>
        <w:tc>
          <w:tcPr>
            <w:tcW w:w="563" w:type="dxa"/>
            <w:tcBorders/>
            <w:vAlign w:val="center"/>
          </w:tcPr>
          <w:p>
            <w:pPr>
              <w:pStyle w:val="TableContents"/>
              <w:bidi w:val="0"/>
              <w:spacing w:before="0" w:after="283"/>
              <w:jc w:val="left"/>
              <w:rPr>
                <w:sz w:val="4"/>
                <w:szCs w:val="4"/>
              </w:rPr>
            </w:pPr>
            <w:r>
              <w:rPr>
                <w:sz w:val="4"/>
                <w:szCs w:val="4"/>
              </w:rPr>
            </w:r>
          </w:p>
        </w:tc>
        <w:tc>
          <w:tcPr>
            <w:tcW w:w="563" w:type="dxa"/>
            <w:tcBorders/>
            <w:vAlign w:val="center"/>
          </w:tcPr>
          <w:p>
            <w:pPr>
              <w:pStyle w:val="TableContents"/>
              <w:bidi w:val="0"/>
              <w:spacing w:before="0" w:after="283"/>
              <w:jc w:val="left"/>
              <w:rPr>
                <w:sz w:val="4"/>
                <w:szCs w:val="4"/>
              </w:rPr>
            </w:pPr>
            <w:r>
              <w:rPr>
                <w:sz w:val="4"/>
                <w:szCs w:val="4"/>
              </w:rPr>
            </w:r>
          </w:p>
        </w:tc>
        <w:tc>
          <w:tcPr>
            <w:tcW w:w="2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61" w:type="dxa"/>
            <w:tcBorders/>
            <w:vAlign w:val="center"/>
          </w:tcPr>
          <w:p>
            <w:pPr>
              <w:pStyle w:val="TableContents"/>
              <w:bidi w:val="0"/>
              <w:spacing w:before="0" w:after="283"/>
              <w:jc w:val="left"/>
              <w:rPr>
                <w:sz w:val="4"/>
                <w:szCs w:val="4"/>
              </w:rPr>
            </w:pPr>
            <w:r>
              <w:rPr>
                <w:sz w:val="4"/>
                <w:szCs w:val="4"/>
              </w:rPr>
            </w:r>
          </w:p>
        </w:tc>
        <w:tc>
          <w:tcPr>
            <w:tcW w:w="1973" w:type="dxa"/>
            <w:tcBorders/>
            <w:vAlign w:val="center"/>
          </w:tcPr>
          <w:p>
            <w:pPr>
              <w:pStyle w:val="TableContents"/>
              <w:bidi w:val="0"/>
              <w:spacing w:before="0" w:after="283"/>
              <w:jc w:val="left"/>
              <w:rPr>
                <w:sz w:val="4"/>
                <w:szCs w:val="4"/>
              </w:rPr>
            </w:pPr>
            <w:r>
              <w:rPr>
                <w:sz w:val="4"/>
                <w:szCs w:val="4"/>
              </w:rPr>
            </w:r>
          </w:p>
        </w:tc>
        <w:tc>
          <w:tcPr>
            <w:tcW w:w="36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40" w:type="dxa"/>
            <w:tcBorders/>
            <w:vAlign w:val="center"/>
          </w:tcPr>
          <w:p>
            <w:pPr>
              <w:pStyle w:val="TableContents"/>
              <w:bidi w:val="0"/>
              <w:spacing w:before="0" w:after="283"/>
              <w:jc w:val="left"/>
              <w:rPr>
                <w:sz w:val="4"/>
                <w:szCs w:val="4"/>
              </w:rPr>
            </w:pPr>
            <w:r>
              <w:rPr>
                <w:sz w:val="4"/>
                <w:szCs w:val="4"/>
              </w:rPr>
            </w:r>
          </w:p>
        </w:tc>
        <w:tc>
          <w:tcPr>
            <w:tcW w:w="640" w:type="dxa"/>
            <w:tcBorders/>
            <w:vAlign w:val="center"/>
          </w:tcPr>
          <w:p>
            <w:pPr>
              <w:pStyle w:val="TableContents"/>
              <w:bidi w:val="0"/>
              <w:spacing w:before="0" w:after="283"/>
              <w:jc w:val="left"/>
              <w:rPr>
                <w:sz w:val="4"/>
                <w:szCs w:val="4"/>
              </w:rPr>
            </w:pPr>
            <w:r>
              <w:rPr>
                <w:sz w:val="4"/>
                <w:szCs w:val="4"/>
              </w:rPr>
            </w:r>
          </w:p>
        </w:tc>
        <w:tc>
          <w:tcPr>
            <w:tcW w:w="912" w:type="dxa"/>
            <w:tcBorders/>
            <w:vAlign w:val="center"/>
          </w:tcPr>
          <w:p>
            <w:pPr>
              <w:pStyle w:val="TableContents"/>
              <w:bidi w:val="0"/>
              <w:spacing w:before="0" w:after="283"/>
              <w:jc w:val="left"/>
              <w:rPr>
                <w:sz w:val="4"/>
                <w:szCs w:val="4"/>
              </w:rPr>
            </w:pPr>
            <w:r>
              <w:rPr>
                <w:sz w:val="4"/>
                <w:szCs w:val="4"/>
              </w:rPr>
            </w:r>
          </w:p>
        </w:tc>
      </w:tr>
      <w:tr>
        <w:trPr/>
        <w:tc>
          <w:tcPr>
            <w:tcW w:w="2884" w:type="dxa"/>
            <w:gridSpan w:val="3"/>
            <w:tcBorders>
              <w:top w:val="single" w:sz="1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2" w:type="dxa"/>
            <w:gridSpan w:val="3"/>
            <w:tcBorders>
              <w:top w:val="single" w:sz="16"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Expensify Neue;sans-serif" w:hAnsi="Expensify Neue;sans-serif"/>
                <w:b/>
                <w:color w:val="000000"/>
                <w:sz w:val="16"/>
              </w:rPr>
            </w:pPr>
            <w:r>
              <w:rPr>
                <w:rFonts w:ascii="Expensify Neue;sans-serif" w:hAnsi="Expensify Neue;sans-serif"/>
                <w:b/>
                <w:color w:val="000000"/>
                <w:sz w:val="16"/>
              </w:rPr>
              <w:t>Shares</w:t>
            </w:r>
          </w:p>
        </w:tc>
        <w:tc>
          <w:tcPr>
            <w:tcW w:w="327" w:type="dxa"/>
            <w:gridSpan w:val="3"/>
            <w:tcBorders>
              <w:top w:val="single" w:sz="1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03" w:type="dxa"/>
            <w:gridSpan w:val="3"/>
            <w:tcBorders>
              <w:top w:val="single" w:sz="16"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Expensify Neue;sans-serif" w:hAnsi="Expensify Neue;sans-serif"/>
                <w:b/>
                <w:color w:val="000000"/>
                <w:sz w:val="16"/>
              </w:rPr>
            </w:pPr>
            <w:r>
              <w:rPr>
                <w:rFonts w:ascii="Expensify Neue;sans-serif" w:hAnsi="Expensify Neue;sans-serif"/>
                <w:b/>
                <w:color w:val="000000"/>
                <w:sz w:val="16"/>
              </w:rPr>
              <w:t>Weighted average exercise price per share</w:t>
            </w:r>
          </w:p>
        </w:tc>
        <w:tc>
          <w:tcPr>
            <w:tcW w:w="327" w:type="dxa"/>
            <w:gridSpan w:val="3"/>
            <w:tcBorders>
              <w:top w:val="single" w:sz="1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92" w:type="dxa"/>
            <w:gridSpan w:val="3"/>
            <w:tcBorders>
              <w:top w:val="single" w:sz="16"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Expensify Neue;sans-serif" w:hAnsi="Expensify Neue;sans-serif"/>
                <w:b/>
                <w:color w:val="000000"/>
                <w:sz w:val="16"/>
              </w:rPr>
            </w:pPr>
            <w:r>
              <w:rPr>
                <w:rFonts w:ascii="Expensify Neue;sans-serif" w:hAnsi="Expensify Neue;sans-serif"/>
                <w:b/>
                <w:color w:val="000000"/>
                <w:sz w:val="16"/>
              </w:rPr>
              <w:t xml:space="preserve">Weighted average </w:t>
              <w:br/>
              <w:t xml:space="preserve">remaining contractual life </w:t>
              <w:br/>
              <w:t>(in years)</w:t>
            </w:r>
          </w:p>
        </w:tc>
      </w:tr>
      <w:tr>
        <w:trPr/>
        <w:tc>
          <w:tcPr>
            <w:tcW w:w="2884"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90"/>
              <w:jc w:val="left"/>
              <w:rPr>
                <w:rFonts w:ascii="GT America Exp;sans-serif" w:hAnsi="GT America Exp;sans-serif"/>
                <w:b w:val="false"/>
                <w:color w:val="000000"/>
                <w:sz w:val="20"/>
              </w:rPr>
            </w:pPr>
            <w:r>
              <w:rPr>
                <w:rFonts w:ascii="GT America Exp;sans-serif" w:hAnsi="GT America Exp;sans-serif"/>
                <w:b w:val="false"/>
                <w:color w:val="000000"/>
                <w:sz w:val="20"/>
              </w:rPr>
              <w:t>Outstanding at December 31, 2024</w:t>
            </w:r>
          </w:p>
        </w:tc>
        <w:tc>
          <w:tcPr>
            <w:tcW w:w="112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Expensify Neue;sans-serif" w:hAnsi="Expensify Neue;sans-serif"/>
                <w:b w:val="false"/>
                <w:color w:val="000000"/>
                <w:sz w:val="20"/>
              </w:rPr>
            </w:pPr>
            <w:r>
              <w:rPr>
                <w:rFonts w:ascii="Expensify Neue;sans-serif" w:hAnsi="Expensify Neue;sans-serif"/>
                <w:b w:val="false"/>
                <w:color w:val="000000"/>
                <w:sz w:val="20"/>
              </w:rPr>
              <w:t>3,759,580 </w:t>
            </w:r>
          </w:p>
        </w:tc>
        <w:tc>
          <w:tcPr>
            <w:tcW w:w="24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Expensify Neue;sans-serif" w:hAnsi="Expensify Neue;sans-serif"/>
                <w:b w:val="false"/>
                <w:color w:val="000000"/>
                <w:sz w:val="20"/>
              </w:rPr>
            </w:pPr>
            <w:r>
              <w:rPr>
                <w:rFonts w:ascii="Expensify Neue;sans-serif" w:hAnsi="Expensify Neue;sans-serif"/>
                <w:b w:val="false"/>
                <w:color w:val="000000"/>
                <w:sz w:val="20"/>
              </w:rPr>
              <w:t>$</w:t>
            </w:r>
          </w:p>
        </w:tc>
        <w:tc>
          <w:tcPr>
            <w:tcW w:w="197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Expensify Neue;sans-serif" w:hAnsi="Expensify Neue;sans-serif"/>
                <w:b w:val="false"/>
                <w:color w:val="000000"/>
                <w:sz w:val="20"/>
              </w:rPr>
            </w:pPr>
            <w:r>
              <w:rPr>
                <w:rFonts w:ascii="Expensify Neue;sans-serif" w:hAnsi="Expensify Neue;sans-serif"/>
                <w:b w:val="false"/>
                <w:color w:val="000000"/>
                <w:sz w:val="20"/>
              </w:rPr>
              <w:t>2.29 </w:t>
            </w:r>
          </w:p>
        </w:tc>
        <w:tc>
          <w:tcPr>
            <w:tcW w:w="36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92"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Expensify Neue;sans-serif" w:hAnsi="Expensify Neue;sans-serif"/>
                <w:b w:val="false"/>
                <w:color w:val="000000"/>
                <w:sz w:val="20"/>
              </w:rPr>
            </w:pPr>
            <w:r>
              <w:rPr>
                <w:rFonts w:ascii="Expensify Neue;sans-serif" w:hAnsi="Expensify Neue;sans-serif"/>
                <w:b w:val="false"/>
                <w:color w:val="000000"/>
                <w:sz w:val="20"/>
              </w:rPr>
              <w:t>4.11</w:t>
            </w:r>
          </w:p>
        </w:tc>
      </w:tr>
      <w:tr>
        <w:trPr/>
        <w:tc>
          <w:tcPr>
            <w:tcW w:w="288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GT America Exp;sans-serif" w:hAnsi="GT America Exp;sans-serif"/>
                <w:b w:val="false"/>
                <w:color w:val="000000"/>
                <w:sz w:val="20"/>
              </w:rPr>
            </w:pPr>
            <w:r>
              <w:rPr>
                <w:rFonts w:ascii="GT America Exp;sans-serif" w:hAnsi="GT America Exp;sans-serif"/>
                <w:b w:val="false"/>
                <w:color w:val="000000"/>
                <w:sz w:val="20"/>
              </w:rPr>
              <w:t xml:space="preserve">Options exercised </w:t>
            </w:r>
          </w:p>
        </w:tc>
        <w:tc>
          <w:tcPr>
            <w:tcW w:w="112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Expensify Neue;sans-serif" w:hAnsi="Expensify Neue;sans-serif"/>
                <w:b w:val="false"/>
                <w:color w:val="000000"/>
                <w:sz w:val="20"/>
              </w:rPr>
            </w:pPr>
            <w:r>
              <w:rPr>
                <w:rFonts w:ascii="Expensify Neue;sans-serif" w:hAnsi="Expensify Neue;sans-serif"/>
                <w:b w:val="false"/>
                <w:color w:val="000000"/>
                <w:sz w:val="20"/>
              </w:rPr>
              <w:t>(75,289)</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Expensify Neue;sans-serif" w:hAnsi="Expensify Neue;sans-serif"/>
                <w:b w:val="false"/>
                <w:color w:val="000000"/>
                <w:sz w:val="20"/>
              </w:rPr>
            </w:pPr>
            <w:r>
              <w:rPr>
                <w:rFonts w:ascii="Expensify Neue;sans-serif" w:hAnsi="Expensify Neue;sans-serif"/>
                <w:b w:val="false"/>
                <w:color w:val="000000"/>
                <w:sz w:val="20"/>
              </w:rPr>
              <w:t>$</w:t>
            </w:r>
          </w:p>
        </w:tc>
        <w:tc>
          <w:tcPr>
            <w:tcW w:w="197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Expensify Neue;sans-serif" w:hAnsi="Expensify Neue;sans-serif"/>
                <w:b w:val="false"/>
                <w:color w:val="000000"/>
                <w:sz w:val="20"/>
              </w:rPr>
            </w:pPr>
            <w:r>
              <w:rPr>
                <w:rFonts w:ascii="Expensify Neue;sans-serif" w:hAnsi="Expensify Neue;sans-serif"/>
                <w:b w:val="false"/>
                <w:color w:val="000000"/>
                <w:sz w:val="20"/>
              </w:rPr>
              <w:t>1.22 </w:t>
            </w:r>
          </w:p>
        </w:tc>
        <w:tc>
          <w:tcPr>
            <w:tcW w:w="36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9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8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GT America Exp;sans-serif" w:hAnsi="GT America Exp;sans-serif"/>
                <w:b w:val="false"/>
                <w:color w:val="000000"/>
                <w:sz w:val="20"/>
              </w:rPr>
            </w:pPr>
            <w:r>
              <w:rPr>
                <w:rFonts w:ascii="GT America Exp;sans-serif" w:hAnsi="GT America Exp;sans-serif"/>
                <w:b w:val="false"/>
                <w:color w:val="000000"/>
                <w:sz w:val="20"/>
              </w:rPr>
              <w:t>Options cancelled/forfeited/expired</w:t>
            </w:r>
          </w:p>
        </w:tc>
        <w:tc>
          <w:tcPr>
            <w:tcW w:w="112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Expensify Neue;sans-serif" w:hAnsi="Expensify Neue;sans-serif"/>
                <w:b w:val="false"/>
                <w:color w:val="000000"/>
                <w:sz w:val="20"/>
              </w:rPr>
            </w:pPr>
            <w:r>
              <w:rPr>
                <w:rFonts w:ascii="Expensify Neue;sans-serif" w:hAnsi="Expensify Neue;sans-serif"/>
                <w:b w:val="false"/>
                <w:color w:val="000000"/>
                <w:sz w:val="20"/>
              </w:rPr>
              <w:t>(3,812)</w:t>
            </w:r>
          </w:p>
        </w:tc>
        <w:tc>
          <w:tcPr>
            <w:tcW w:w="24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Expensify Neue;sans-serif" w:hAnsi="Expensify Neue;sans-serif"/>
                <w:b w:val="false"/>
                <w:color w:val="000000"/>
                <w:sz w:val="20"/>
              </w:rPr>
            </w:pPr>
            <w:r>
              <w:rPr>
                <w:rFonts w:ascii="Expensify Neue;sans-serif" w:hAnsi="Expensify Neue;sans-serif"/>
                <w:b w:val="false"/>
                <w:color w:val="000000"/>
                <w:sz w:val="20"/>
              </w:rPr>
              <w:t>$</w:t>
            </w:r>
          </w:p>
        </w:tc>
        <w:tc>
          <w:tcPr>
            <w:tcW w:w="197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Expensify Neue;sans-serif" w:hAnsi="Expensify Neue;sans-serif"/>
                <w:b w:val="false"/>
                <w:color w:val="000000"/>
                <w:sz w:val="20"/>
              </w:rPr>
            </w:pPr>
            <w:r>
              <w:rPr>
                <w:rFonts w:ascii="Expensify Neue;sans-serif" w:hAnsi="Expensify Neue;sans-serif"/>
                <w:b w:val="false"/>
                <w:color w:val="000000"/>
                <w:sz w:val="20"/>
              </w:rPr>
              <w:t>5.94 </w:t>
            </w:r>
          </w:p>
        </w:tc>
        <w:tc>
          <w:tcPr>
            <w:tcW w:w="36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9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84"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90"/>
              <w:jc w:val="left"/>
              <w:rPr>
                <w:rFonts w:ascii="GT America Exp;sans-serif" w:hAnsi="GT America Exp;sans-serif"/>
                <w:b w:val="false"/>
                <w:color w:val="000000"/>
                <w:sz w:val="20"/>
              </w:rPr>
            </w:pPr>
            <w:r>
              <w:rPr>
                <w:rFonts w:ascii="GT America Exp;sans-serif" w:hAnsi="GT America Exp;sans-serif"/>
                <w:b w:val="false"/>
                <w:color w:val="000000"/>
                <w:sz w:val="20"/>
              </w:rPr>
              <w:t>Outstanding at March 31, 2025</w:t>
            </w:r>
          </w:p>
        </w:tc>
        <w:tc>
          <w:tcPr>
            <w:tcW w:w="112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Expensify Neue;sans-serif" w:hAnsi="Expensify Neue;sans-serif"/>
                <w:b w:val="false"/>
                <w:color w:val="000000"/>
                <w:sz w:val="20"/>
              </w:rPr>
            </w:pPr>
            <w:r>
              <w:rPr>
                <w:rFonts w:ascii="Expensify Neue;sans-serif" w:hAnsi="Expensify Neue;sans-serif"/>
                <w:b w:val="false"/>
                <w:color w:val="000000"/>
                <w:sz w:val="20"/>
              </w:rPr>
              <w:t>3,680,479 </w:t>
            </w:r>
          </w:p>
        </w:tc>
        <w:tc>
          <w:tcPr>
            <w:tcW w:w="24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Expensify Neue;sans-serif" w:hAnsi="Expensify Neue;sans-serif"/>
                <w:b w:val="false"/>
                <w:color w:val="000000"/>
                <w:sz w:val="20"/>
              </w:rPr>
            </w:pPr>
            <w:r>
              <w:rPr>
                <w:rFonts w:ascii="Expensify Neue;sans-serif" w:hAnsi="Expensify Neue;sans-serif"/>
                <w:b w:val="false"/>
                <w:color w:val="000000"/>
                <w:sz w:val="20"/>
              </w:rPr>
              <w:t>$</w:t>
            </w:r>
          </w:p>
        </w:tc>
        <w:tc>
          <w:tcPr>
            <w:tcW w:w="197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Expensify Neue;sans-serif" w:hAnsi="Expensify Neue;sans-serif"/>
                <w:b w:val="false"/>
                <w:color w:val="000000"/>
                <w:sz w:val="20"/>
              </w:rPr>
            </w:pPr>
            <w:r>
              <w:rPr>
                <w:rFonts w:ascii="Expensify Neue;sans-serif" w:hAnsi="Expensify Neue;sans-serif"/>
                <w:b w:val="false"/>
                <w:color w:val="000000"/>
                <w:sz w:val="20"/>
              </w:rPr>
              <w:t>2.31 </w:t>
            </w:r>
          </w:p>
        </w:tc>
        <w:tc>
          <w:tcPr>
            <w:tcW w:w="36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9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Expensify Neue;sans-serif" w:hAnsi="Expensify Neue;sans-serif"/>
                <w:b w:val="false"/>
                <w:color w:val="000000"/>
                <w:sz w:val="20"/>
              </w:rPr>
            </w:pPr>
            <w:r>
              <w:rPr>
                <w:rFonts w:ascii="Expensify Neue;sans-serif" w:hAnsi="Expensify Neue;sans-serif"/>
                <w:b w:val="false"/>
                <w:color w:val="000000"/>
                <w:sz w:val="20"/>
              </w:rPr>
              <w:t>3.88</w:t>
            </w:r>
          </w:p>
        </w:tc>
      </w:tr>
      <w:tr>
        <w:trPr/>
        <w:tc>
          <w:tcPr>
            <w:tcW w:w="2884"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90"/>
              <w:jc w:val="left"/>
              <w:rPr>
                <w:rFonts w:ascii="GT America Exp;sans-serif" w:hAnsi="GT America Exp;sans-serif"/>
                <w:b w:val="false"/>
                <w:color w:val="000000"/>
                <w:sz w:val="20"/>
              </w:rPr>
            </w:pPr>
            <w:r>
              <w:rPr>
                <w:rFonts w:ascii="GT America Exp;sans-serif" w:hAnsi="GT America Exp;sans-serif"/>
                <w:b w:val="false"/>
                <w:color w:val="000000"/>
                <w:sz w:val="20"/>
              </w:rPr>
              <w:t>Exercisable at March 31, 2025</w:t>
            </w:r>
          </w:p>
        </w:tc>
        <w:tc>
          <w:tcPr>
            <w:tcW w:w="1126" w:type="dxa"/>
            <w:gridSpan w:val="2"/>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Expensify Neue;sans-serif" w:hAnsi="Expensify Neue;sans-serif"/>
                <w:b w:val="false"/>
                <w:color w:val="000000"/>
                <w:sz w:val="20"/>
              </w:rPr>
            </w:pPr>
            <w:r>
              <w:rPr>
                <w:rFonts w:ascii="Expensify Neue;sans-serif" w:hAnsi="Expensify Neue;sans-serif"/>
                <w:b w:val="false"/>
                <w:color w:val="000000"/>
                <w:sz w:val="20"/>
              </w:rPr>
              <w:t>3,675,549 </w:t>
            </w:r>
          </w:p>
        </w:tc>
        <w:tc>
          <w:tcPr>
            <w:tcW w:w="246" w:type="dxa"/>
            <w:tcBorders>
              <w:top w:val="doub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Expensify Neue;sans-serif" w:hAnsi="Expensify Neue;sans-serif"/>
                <w:b w:val="false"/>
                <w:color w:val="000000"/>
                <w:sz w:val="20"/>
              </w:rPr>
            </w:pPr>
            <w:r>
              <w:rPr>
                <w:rFonts w:ascii="Expensify Neue;sans-serif" w:hAnsi="Expensify Neue;sans-serif"/>
                <w:b w:val="false"/>
                <w:color w:val="000000"/>
                <w:sz w:val="20"/>
              </w:rPr>
              <w:t>$</w:t>
            </w:r>
          </w:p>
        </w:tc>
        <w:tc>
          <w:tcPr>
            <w:tcW w:w="197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Expensify Neue;sans-serif" w:hAnsi="Expensify Neue;sans-serif"/>
                <w:b w:val="false"/>
                <w:color w:val="000000"/>
                <w:sz w:val="20"/>
              </w:rPr>
            </w:pPr>
            <w:r>
              <w:rPr>
                <w:rFonts w:ascii="Expensify Neue;sans-serif" w:hAnsi="Expensify Neue;sans-serif"/>
                <w:b w:val="false"/>
                <w:color w:val="000000"/>
                <w:sz w:val="20"/>
              </w:rPr>
              <w:t>2.30 </w:t>
            </w:r>
          </w:p>
        </w:tc>
        <w:tc>
          <w:tcPr>
            <w:tcW w:w="36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9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Expensify Neue;sans-serif" w:hAnsi="Expensify Neue;sans-serif"/>
                <w:b w:val="false"/>
                <w:color w:val="000000"/>
                <w:sz w:val="20"/>
              </w:rPr>
            </w:pPr>
            <w:r>
              <w:rPr>
                <w:rFonts w:ascii="Expensify Neue;sans-serif" w:hAnsi="Expensify Neue;sans-serif"/>
                <w:b w:val="false"/>
                <w:color w:val="000000"/>
                <w:sz w:val="20"/>
              </w:rPr>
              <w:t>3.88</w:t>
            </w:r>
          </w:p>
        </w:tc>
      </w:tr>
      <w:tr>
        <w:trPr/>
        <w:tc>
          <w:tcPr>
            <w:tcW w:w="2884"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372"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103"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2192"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160"/>
        <w:jc w:val="left"/>
        <w:rPr>
          <w:rFonts w:ascii="Expensify Neue;sans-serif" w:hAnsi="Expensify Neue;sans-serif"/>
          <w:b w:val="false"/>
          <w:color w:val="000000"/>
          <w:sz w:val="20"/>
        </w:rPr>
      </w:pPr>
      <w:r>
        <w:rPr>
          <w:rFonts w:ascii="Expensify Neue;sans-serif" w:hAnsi="Expensify Neue;sans-serif"/>
          <w:b w:val="false"/>
          <w:color w:val="000000"/>
          <w:sz w:val="20"/>
        </w:rPr>
        <w:t>The total pretax intrinsic value of options outstanding and exercisable at March 31, 2025 and December 31, 2024 was $6.3 million and $7.4 million, respectively. The intrinsic value is the difference between the estimated fair market value of the Company’s common stock at the date of exercise and the exercise price for in-the-money options.</w:t>
      </w:r>
    </w:p>
    <w:p>
      <w:pPr>
        <w:pStyle w:val="TextBody"/>
        <w:bidi w:val="0"/>
        <w:spacing w:lineRule="auto" w:line="288" w:before="0" w:after="160"/>
        <w:jc w:val="left"/>
        <w:rPr/>
      </w:pPr>
      <w:r>
        <w:rPr>
          <w:rFonts w:ascii="Expensify Neue;sans-serif" w:hAnsi="Expensify Neue;sans-serif"/>
          <w:b w:val="false"/>
          <w:color w:val="000000"/>
          <w:sz w:val="20"/>
          <w:shd w:fill="FFFFFF" w:val="clear"/>
        </w:rPr>
        <w:t xml:space="preserve">As of </w:t>
      </w:r>
      <w:r>
        <w:rPr>
          <w:rFonts w:ascii="Expensify Neue;sans-serif" w:hAnsi="Expensify Neue;sans-serif"/>
          <w:b w:val="false"/>
          <w:color w:val="000000"/>
          <w:sz w:val="20"/>
        </w:rPr>
        <w:t>March 31, 2025</w:t>
      </w:r>
      <w:r>
        <w:rPr>
          <w:rFonts w:ascii="Expensify Neue;sans-serif" w:hAnsi="Expensify Neue;sans-serif"/>
          <w:b w:val="false"/>
          <w:color w:val="000000"/>
          <w:sz w:val="20"/>
          <w:shd w:fill="FFFFFF" w:val="clear"/>
        </w:rPr>
        <w:t xml:space="preserve">, there was $0.4 million of unrecognized stock-based compensation cost related to unvested stock options, which is expected to be recognized over a weighted average period of 0.27 years. </w:t>
      </w:r>
    </w:p>
    <w:p>
      <w:pPr>
        <w:pStyle w:val="TextBody"/>
        <w:bidi w:val="0"/>
        <w:spacing w:lineRule="auto" w:line="288" w:before="0" w:after="160"/>
        <w:jc w:val="left"/>
        <w:rPr/>
      </w:pPr>
      <w:r>
        <w:rPr>
          <w:rFonts w:ascii="Expensify Neue;sans-serif" w:hAnsi="Expensify Neue;sans-serif"/>
          <w:b w:val="false"/>
          <w:color w:val="000000"/>
          <w:sz w:val="20"/>
          <w:shd w:fill="FFFFFF" w:val="clear"/>
        </w:rPr>
        <w:t xml:space="preserve">Cash received from option exercises and purchases of shares under the Stock Plans was $0.1 million during the </w:t>
      </w:r>
      <w:r>
        <w:rPr>
          <w:rFonts w:ascii="Expensify Neue;sans-serif" w:hAnsi="Expensify Neue;sans-serif"/>
          <w:b w:val="false"/>
          <w:color w:val="000000"/>
          <w:sz w:val="20"/>
        </w:rPr>
        <w:t>three months ended March 31, 2025</w:t>
      </w:r>
      <w:r>
        <w:rPr>
          <w:color w:val="000000"/>
          <w:shd w:fill="FFFFFF" w:val="clear"/>
        </w:rPr>
        <w:t xml:space="preserve"> </w:t>
      </w:r>
      <w:r>
        <w:rPr>
          <w:rFonts w:ascii="Expensify Neue;sans-serif" w:hAnsi="Expensify Neue;sans-serif"/>
          <w:b w:val="false"/>
          <w:color w:val="000000"/>
          <w:sz w:val="20"/>
          <w:shd w:fill="FFFFFF" w:val="clear"/>
        </w:rPr>
        <w:t xml:space="preserve">and immaterial during the </w:t>
      </w:r>
      <w:r>
        <w:rPr>
          <w:rFonts w:ascii="Expensify Neue;sans-serif" w:hAnsi="Expensify Neue;sans-serif"/>
          <w:b w:val="false"/>
          <w:color w:val="000000"/>
          <w:sz w:val="20"/>
        </w:rPr>
        <w:t>three months ended March 31, 2024</w:t>
      </w:r>
      <w:r>
        <w:rPr>
          <w:rFonts w:ascii="Expensify Neue;sans-serif" w:hAnsi="Expensify Neue;sans-serif"/>
          <w:b w:val="false"/>
          <w:color w:val="000000"/>
          <w:sz w:val="20"/>
          <w:shd w:fill="FFFFFF" w:val="clear"/>
        </w:rPr>
        <w:t>.</w:t>
      </w:r>
    </w:p>
    <w:p>
      <w:pPr>
        <w:pStyle w:val="TextBody"/>
        <w:bidi w:val="0"/>
        <w:spacing w:lineRule="auto" w:line="288" w:before="0" w:after="160"/>
        <w:jc w:val="left"/>
        <w:rPr>
          <w:rFonts w:ascii="Expensify Neue;sans-serif" w:hAnsi="Expensify Neue;sans-serif"/>
          <w:b/>
          <w:color w:val="000000"/>
          <w:sz w:val="20"/>
        </w:rPr>
      </w:pPr>
      <w:r>
        <w:rPr>
          <w:rFonts w:ascii="Expensify Neue;sans-serif" w:hAnsi="Expensify Neue;sans-serif"/>
          <w:b/>
          <w:color w:val="000000"/>
          <w:sz w:val="20"/>
        </w:rPr>
        <w:t>Stock-Based Compensation</w:t>
      </w:r>
    </w:p>
    <w:p>
      <w:pPr>
        <w:pStyle w:val="TextBody"/>
        <w:bidi w:val="0"/>
        <w:spacing w:lineRule="auto" w:line="288" w:before="0" w:after="160"/>
        <w:jc w:val="left"/>
        <w:rPr>
          <w:rFonts w:ascii="Expensify Neue;sans-serif" w:hAnsi="Expensify Neue;sans-serif"/>
          <w:b w:val="false"/>
          <w:color w:val="000000"/>
          <w:sz w:val="20"/>
        </w:rPr>
      </w:pPr>
      <w:r>
        <w:rPr>
          <w:rFonts w:ascii="Expensify Neue;sans-serif" w:hAnsi="Expensify Neue;sans-serif"/>
          <w:b w:val="false"/>
          <w:color w:val="000000"/>
          <w:sz w:val="20"/>
        </w:rPr>
        <w:t>The following table summarizes the stock-based compensation recognized for options granted under the 2009 Stock Plan, options and RSUs granted under the 2019 Stock Plan, RSUs granted under the 2021 Plan and matching and discretionary shares issued under the Matching Plan (in thousands):</w:t>
      </w:r>
    </w:p>
    <w:tbl>
      <w:tblPr>
        <w:tblW w:w="10205" w:type="dxa"/>
        <w:jc w:val="left"/>
        <w:tblInd w:w="0" w:type="dxa"/>
        <w:tblLayout w:type="fixed"/>
        <w:tblCellMar>
          <w:top w:w="28" w:type="dxa"/>
          <w:left w:w="28" w:type="dxa"/>
          <w:bottom w:w="28" w:type="dxa"/>
          <w:right w:w="28" w:type="dxa"/>
        </w:tblCellMar>
      </w:tblPr>
      <w:tblGrid>
        <w:gridCol w:w="2580"/>
        <w:gridCol w:w="2237"/>
        <w:gridCol w:w="2252"/>
        <w:gridCol w:w="279"/>
        <w:gridCol w:w="873"/>
        <w:gridCol w:w="134"/>
        <w:gridCol w:w="134"/>
        <w:gridCol w:w="134"/>
        <w:gridCol w:w="134"/>
        <w:gridCol w:w="279"/>
        <w:gridCol w:w="873"/>
        <w:gridCol w:w="134"/>
        <w:gridCol w:w="162"/>
      </w:tblGrid>
      <w:tr>
        <w:trPr/>
        <w:tc>
          <w:tcPr>
            <w:tcW w:w="2580" w:type="dxa"/>
            <w:tcBorders/>
            <w:vAlign w:val="center"/>
          </w:tcPr>
          <w:p>
            <w:pPr>
              <w:pStyle w:val="TableContents"/>
              <w:bidi w:val="0"/>
              <w:spacing w:before="0" w:after="283"/>
              <w:jc w:val="left"/>
              <w:rPr>
                <w:sz w:val="4"/>
                <w:szCs w:val="4"/>
              </w:rPr>
            </w:pPr>
            <w:r>
              <w:rPr>
                <w:sz w:val="4"/>
                <w:szCs w:val="4"/>
              </w:rPr>
            </w:r>
          </w:p>
        </w:tc>
        <w:tc>
          <w:tcPr>
            <w:tcW w:w="2237" w:type="dxa"/>
            <w:tcBorders/>
            <w:vAlign w:val="center"/>
          </w:tcPr>
          <w:p>
            <w:pPr>
              <w:pStyle w:val="TableContents"/>
              <w:bidi w:val="0"/>
              <w:spacing w:before="0" w:after="283"/>
              <w:jc w:val="left"/>
              <w:rPr>
                <w:sz w:val="4"/>
                <w:szCs w:val="4"/>
              </w:rPr>
            </w:pPr>
            <w:r>
              <w:rPr>
                <w:sz w:val="4"/>
                <w:szCs w:val="4"/>
              </w:rPr>
            </w:r>
          </w:p>
        </w:tc>
        <w:tc>
          <w:tcPr>
            <w:tcW w:w="2252" w:type="dxa"/>
            <w:tcBorders/>
            <w:vAlign w:val="center"/>
          </w:tcPr>
          <w:p>
            <w:pPr>
              <w:pStyle w:val="TableContents"/>
              <w:bidi w:val="0"/>
              <w:spacing w:before="0" w:after="283"/>
              <w:jc w:val="left"/>
              <w:rPr>
                <w:sz w:val="4"/>
                <w:szCs w:val="4"/>
              </w:rPr>
            </w:pPr>
            <w:r>
              <w:rPr>
                <w:sz w:val="4"/>
                <w:szCs w:val="4"/>
              </w:rPr>
            </w:r>
          </w:p>
        </w:tc>
        <w:tc>
          <w:tcPr>
            <w:tcW w:w="279" w:type="dxa"/>
            <w:tcBorders/>
            <w:vAlign w:val="center"/>
          </w:tcPr>
          <w:p>
            <w:pPr>
              <w:pStyle w:val="TableContents"/>
              <w:bidi w:val="0"/>
              <w:spacing w:before="0" w:after="283"/>
              <w:jc w:val="left"/>
              <w:rPr>
                <w:sz w:val="4"/>
                <w:szCs w:val="4"/>
              </w:rPr>
            </w:pPr>
            <w:r>
              <w:rPr>
                <w:sz w:val="4"/>
                <w:szCs w:val="4"/>
              </w:rPr>
            </w:r>
          </w:p>
        </w:tc>
        <w:tc>
          <w:tcPr>
            <w:tcW w:w="873"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279" w:type="dxa"/>
            <w:tcBorders/>
            <w:vAlign w:val="center"/>
          </w:tcPr>
          <w:p>
            <w:pPr>
              <w:pStyle w:val="TableContents"/>
              <w:bidi w:val="0"/>
              <w:spacing w:before="0" w:after="283"/>
              <w:jc w:val="left"/>
              <w:rPr>
                <w:sz w:val="4"/>
                <w:szCs w:val="4"/>
              </w:rPr>
            </w:pPr>
            <w:r>
              <w:rPr>
                <w:sz w:val="4"/>
                <w:szCs w:val="4"/>
              </w:rPr>
            </w:r>
          </w:p>
        </w:tc>
        <w:tc>
          <w:tcPr>
            <w:tcW w:w="873"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rPr/>
        <w:tc>
          <w:tcPr>
            <w:tcW w:w="7069" w:type="dxa"/>
            <w:gridSpan w:val="3"/>
            <w:tcBorders>
              <w:top w:val="single" w:sz="1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74" w:type="dxa"/>
            <w:gridSpan w:val="9"/>
            <w:tcBorders>
              <w:top w:val="single" w:sz="16"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Expensify Neue;sans-serif" w:hAnsi="Expensify Neue;sans-serif"/>
                <w:b/>
                <w:color w:val="000000"/>
                <w:sz w:val="16"/>
              </w:rPr>
            </w:pPr>
            <w:r>
              <w:rPr>
                <w:rFonts w:ascii="Expensify Neue;sans-serif" w:hAnsi="Expensify Neue;sans-serif"/>
                <w:b/>
                <w:color w:val="000000"/>
                <w:sz w:val="16"/>
              </w:rPr>
              <w:t>Three Months Ended March 31,</w:t>
            </w:r>
          </w:p>
        </w:tc>
        <w:tc>
          <w:tcPr>
            <w:tcW w:w="162" w:type="dxa"/>
            <w:tcBorders/>
            <w:vAlign w:val="center"/>
          </w:tcPr>
          <w:p>
            <w:pPr>
              <w:pStyle w:val="TableContents"/>
              <w:bidi w:val="0"/>
              <w:spacing w:before="0" w:after="283"/>
              <w:jc w:val="left"/>
              <w:rPr>
                <w:sz w:val="4"/>
                <w:szCs w:val="4"/>
              </w:rPr>
            </w:pPr>
            <w:r>
              <w:rPr>
                <w:sz w:val="4"/>
                <w:szCs w:val="4"/>
              </w:rPr>
            </w:r>
          </w:p>
        </w:tc>
      </w:tr>
      <w:tr>
        <w:trPr/>
        <w:tc>
          <w:tcPr>
            <w:tcW w:w="706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Expensify Neue;sans-serif" w:hAnsi="Expensify Neue;sans-serif"/>
                <w:b/>
                <w:color w:val="000000"/>
                <w:sz w:val="16"/>
              </w:rPr>
            </w:pPr>
            <w:r>
              <w:rPr>
                <w:rFonts w:ascii="Expensify Neue;sans-serif" w:hAnsi="Expensify Neue;sans-serif"/>
                <w:b/>
                <w:color w:val="000000"/>
                <w:sz w:val="16"/>
              </w:rPr>
              <w:t>2025</w:t>
            </w:r>
          </w:p>
        </w:tc>
        <w:tc>
          <w:tcPr>
            <w:tcW w:w="402"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Expensify Neue;sans-serif" w:hAnsi="Expensify Neue;sans-serif"/>
                <w:b/>
                <w:color w:val="000000"/>
                <w:sz w:val="16"/>
              </w:rPr>
            </w:pPr>
            <w:r>
              <w:rPr>
                <w:rFonts w:ascii="Expensify Neue;sans-serif" w:hAnsi="Expensify Neue;sans-serif"/>
                <w:b/>
                <w:color w:val="000000"/>
                <w:sz w:val="16"/>
              </w:rPr>
              <w:t>2024</w:t>
            </w:r>
          </w:p>
        </w:tc>
        <w:tc>
          <w:tcPr>
            <w:tcW w:w="162" w:type="dxa"/>
            <w:tcBorders/>
            <w:vAlign w:val="center"/>
          </w:tcPr>
          <w:p>
            <w:pPr>
              <w:pStyle w:val="TableContents"/>
              <w:bidi w:val="0"/>
              <w:spacing w:before="0" w:after="283"/>
              <w:jc w:val="left"/>
              <w:rPr>
                <w:sz w:val="4"/>
                <w:szCs w:val="4"/>
              </w:rPr>
            </w:pPr>
            <w:r>
              <w:rPr>
                <w:sz w:val="4"/>
                <w:szCs w:val="4"/>
              </w:rPr>
            </w:r>
          </w:p>
        </w:tc>
      </w:tr>
      <w:tr>
        <w:trPr/>
        <w:tc>
          <w:tcPr>
            <w:tcW w:w="706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Expensify Neue;sans-serif" w:hAnsi="Expensify Neue;sans-serif"/>
                <w:b w:val="false"/>
                <w:color w:val="000000"/>
                <w:sz w:val="20"/>
              </w:rPr>
            </w:pPr>
            <w:r>
              <w:rPr>
                <w:rFonts w:ascii="Expensify Neue;sans-serif" w:hAnsi="Expensify Neue;sans-serif"/>
                <w:b w:val="false"/>
                <w:color w:val="000000"/>
                <w:sz w:val="20"/>
              </w:rPr>
              <w:t>Matching Plan shares</w:t>
            </w:r>
          </w:p>
        </w:tc>
        <w:tc>
          <w:tcPr>
            <w:tcW w:w="27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Expensify Neue;sans-serif" w:hAnsi="Expensify Neue;sans-serif"/>
                <w:b w:val="false"/>
                <w:color w:val="000000"/>
                <w:sz w:val="20"/>
              </w:rPr>
            </w:pPr>
            <w:r>
              <w:rPr>
                <w:rFonts w:ascii="Expensify Neue;sans-serif" w:hAnsi="Expensify Neue;sans-serif"/>
                <w:b w:val="false"/>
                <w:color w:val="000000"/>
                <w:sz w:val="20"/>
              </w:rPr>
              <w:t>$</w:t>
            </w:r>
          </w:p>
        </w:tc>
        <w:tc>
          <w:tcPr>
            <w:tcW w:w="87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Expensify Neue;sans-serif" w:hAnsi="Expensify Neue;sans-serif"/>
                <w:b w:val="false"/>
                <w:color w:val="000000"/>
                <w:sz w:val="20"/>
              </w:rPr>
            </w:pPr>
            <w:r>
              <w:rPr>
                <w:rFonts w:ascii="Expensify Neue;sans-serif" w:hAnsi="Expensify Neue;sans-serif"/>
                <w:b w:val="false"/>
                <w:color w:val="000000"/>
                <w:sz w:val="20"/>
              </w:rPr>
              <w:t>1,527 </w:t>
            </w:r>
          </w:p>
        </w:tc>
        <w:tc>
          <w:tcPr>
            <w:tcW w:w="13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Expensify Neue;sans-serif" w:hAnsi="Expensify Neue;sans-serif"/>
                <w:b w:val="false"/>
                <w:color w:val="000000"/>
                <w:sz w:val="20"/>
              </w:rPr>
            </w:pPr>
            <w:r>
              <w:rPr>
                <w:rFonts w:ascii="Expensify Neue;sans-serif" w:hAnsi="Expensify Neue;sans-serif"/>
                <w:b w:val="false"/>
                <w:color w:val="000000"/>
                <w:sz w:val="20"/>
              </w:rPr>
              <w:t>$</w:t>
            </w:r>
          </w:p>
        </w:tc>
        <w:tc>
          <w:tcPr>
            <w:tcW w:w="87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Expensify Neue;sans-serif" w:hAnsi="Expensify Neue;sans-serif"/>
                <w:b w:val="false"/>
                <w:color w:val="000000"/>
                <w:sz w:val="20"/>
              </w:rPr>
            </w:pPr>
            <w:r>
              <w:rPr>
                <w:rFonts w:ascii="Expensify Neue;sans-serif" w:hAnsi="Expensify Neue;sans-serif"/>
                <w:b w:val="false"/>
                <w:color w:val="000000"/>
                <w:sz w:val="20"/>
              </w:rPr>
              <w:t>1,430 </w:t>
            </w:r>
          </w:p>
        </w:tc>
        <w:tc>
          <w:tcPr>
            <w:tcW w:w="13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rPr/>
        <w:tc>
          <w:tcPr>
            <w:tcW w:w="706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Expensify Neue;sans-serif" w:hAnsi="Expensify Neue;sans-serif"/>
                <w:b w:val="false"/>
                <w:color w:val="000000"/>
                <w:sz w:val="20"/>
              </w:rPr>
            </w:pPr>
            <w:r>
              <w:rPr>
                <w:rFonts w:ascii="Expensify Neue;sans-serif" w:hAnsi="Expensify Neue;sans-serif"/>
                <w:b w:val="false"/>
                <w:color w:val="000000"/>
                <w:sz w:val="20"/>
              </w:rPr>
              <w:t>Restricted stock units</w:t>
            </w:r>
          </w:p>
        </w:tc>
        <w:tc>
          <w:tcPr>
            <w:tcW w:w="11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Expensify Neue;sans-serif" w:hAnsi="Expensify Neue;sans-serif"/>
                <w:b w:val="false"/>
                <w:color w:val="000000"/>
                <w:sz w:val="20"/>
              </w:rPr>
            </w:pPr>
            <w:r>
              <w:rPr>
                <w:rFonts w:ascii="Expensify Neue;sans-serif" w:hAnsi="Expensify Neue;sans-serif"/>
                <w:b w:val="false"/>
                <w:color w:val="000000"/>
                <w:sz w:val="20"/>
              </w:rPr>
              <w:t>6,077 </w:t>
            </w:r>
          </w:p>
        </w:tc>
        <w:tc>
          <w:tcPr>
            <w:tcW w:w="13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Expensify Neue;sans-serif" w:hAnsi="Expensify Neue;sans-serif"/>
                <w:b w:val="false"/>
                <w:color w:val="000000"/>
                <w:sz w:val="20"/>
              </w:rPr>
            </w:pPr>
            <w:r>
              <w:rPr>
                <w:rFonts w:ascii="Expensify Neue;sans-serif" w:hAnsi="Expensify Neue;sans-serif"/>
                <w:b w:val="false"/>
                <w:color w:val="000000"/>
                <w:sz w:val="20"/>
              </w:rPr>
              <w:t>6,260 </w:t>
            </w:r>
          </w:p>
        </w:tc>
        <w:tc>
          <w:tcPr>
            <w:tcW w:w="13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rPr/>
        <w:tc>
          <w:tcPr>
            <w:tcW w:w="706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Expensify Neue;sans-serif" w:hAnsi="Expensify Neue;sans-serif"/>
                <w:b w:val="false"/>
                <w:color w:val="000000"/>
                <w:sz w:val="20"/>
              </w:rPr>
            </w:pPr>
            <w:r>
              <w:rPr>
                <w:rFonts w:ascii="Expensify Neue;sans-serif" w:hAnsi="Expensify Neue;sans-serif"/>
                <w:b w:val="false"/>
                <w:color w:val="000000"/>
                <w:sz w:val="20"/>
              </w:rPr>
              <w:t>Stock options</w:t>
            </w:r>
          </w:p>
        </w:tc>
        <w:tc>
          <w:tcPr>
            <w:tcW w:w="11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Expensify Neue;sans-serif" w:hAnsi="Expensify Neue;sans-serif"/>
                <w:b w:val="false"/>
                <w:color w:val="000000"/>
                <w:sz w:val="20"/>
              </w:rPr>
            </w:pPr>
            <w:r>
              <w:rPr>
                <w:rFonts w:ascii="Expensify Neue;sans-serif" w:hAnsi="Expensify Neue;sans-serif"/>
                <w:b w:val="false"/>
                <w:color w:val="000000"/>
                <w:sz w:val="20"/>
              </w:rPr>
              <w:t>625 </w:t>
            </w:r>
          </w:p>
        </w:tc>
        <w:tc>
          <w:tcPr>
            <w:tcW w:w="13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Expensify Neue;sans-serif" w:hAnsi="Expensify Neue;sans-serif"/>
                <w:b w:val="false"/>
                <w:color w:val="000000"/>
                <w:sz w:val="20"/>
              </w:rPr>
            </w:pPr>
            <w:r>
              <w:rPr>
                <w:rFonts w:ascii="Expensify Neue;sans-serif" w:hAnsi="Expensify Neue;sans-serif"/>
                <w:b w:val="false"/>
                <w:color w:val="000000"/>
                <w:sz w:val="20"/>
              </w:rPr>
              <w:t>749 </w:t>
            </w:r>
          </w:p>
        </w:tc>
        <w:tc>
          <w:tcPr>
            <w:tcW w:w="13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rPr/>
        <w:tc>
          <w:tcPr>
            <w:tcW w:w="706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Expensify Neue;sans-serif" w:hAnsi="Expensify Neue;sans-serif"/>
                <w:b w:val="false"/>
                <w:color w:val="000000"/>
                <w:sz w:val="20"/>
              </w:rPr>
            </w:pPr>
            <w:r>
              <w:rPr>
                <w:rFonts w:ascii="Expensify Neue;sans-serif" w:hAnsi="Expensify Neue;sans-serif"/>
                <w:b w:val="false"/>
                <w:color w:val="000000"/>
                <w:sz w:val="20"/>
              </w:rPr>
              <w:t>Total stock-based compensation</w:t>
            </w:r>
          </w:p>
        </w:tc>
        <w:tc>
          <w:tcPr>
            <w:tcW w:w="115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GT America Exp;sans-serif" w:hAnsi="GT America Exp;sans-serif"/>
                <w:b w:val="false"/>
                <w:color w:val="000000"/>
                <w:sz w:val="20"/>
              </w:rPr>
            </w:pPr>
            <w:r>
              <w:rPr>
                <w:rFonts w:ascii="GT America Exp;sans-serif" w:hAnsi="GT America Exp;sans-serif"/>
                <w:b w:val="false"/>
                <w:color w:val="000000"/>
                <w:sz w:val="20"/>
              </w:rPr>
              <w:t>8,229 </w:t>
            </w:r>
          </w:p>
        </w:tc>
        <w:tc>
          <w:tcPr>
            <w:tcW w:w="13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GT America Exp;sans-serif" w:hAnsi="GT America Exp;sans-serif"/>
                <w:b w:val="false"/>
                <w:color w:val="000000"/>
                <w:sz w:val="20"/>
              </w:rPr>
            </w:pPr>
            <w:r>
              <w:rPr>
                <w:rFonts w:ascii="GT America Exp;sans-serif" w:hAnsi="GT America Exp;sans-serif"/>
                <w:b w:val="false"/>
                <w:color w:val="000000"/>
                <w:sz w:val="20"/>
              </w:rPr>
              <w:t>8,439 </w:t>
            </w:r>
          </w:p>
        </w:tc>
        <w:tc>
          <w:tcPr>
            <w:tcW w:w="13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rPr/>
        <w:tc>
          <w:tcPr>
            <w:tcW w:w="706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Expensify Neue;sans-serif" w:hAnsi="Expensify Neue;sans-serif"/>
                <w:b w:val="false"/>
                <w:color w:val="000000"/>
                <w:sz w:val="20"/>
              </w:rPr>
            </w:pPr>
            <w:r>
              <w:rPr>
                <w:rFonts w:ascii="Expensify Neue;sans-serif" w:hAnsi="Expensify Neue;sans-serif"/>
                <w:b w:val="false"/>
                <w:color w:val="000000"/>
                <w:sz w:val="20"/>
              </w:rPr>
              <w:t>Less: stock-based compensation capitalized as software development costs</w:t>
            </w:r>
          </w:p>
        </w:tc>
        <w:tc>
          <w:tcPr>
            <w:tcW w:w="11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GT America Exp;sans-serif" w:hAnsi="GT America Exp;sans-serif"/>
                <w:b w:val="false"/>
                <w:color w:val="000000"/>
                <w:sz w:val="20"/>
              </w:rPr>
            </w:pPr>
            <w:r>
              <w:rPr>
                <w:rFonts w:ascii="GT America Exp;sans-serif" w:hAnsi="GT America Exp;sans-serif"/>
                <w:b w:val="false"/>
                <w:color w:val="000000"/>
                <w:sz w:val="20"/>
              </w:rPr>
              <w:t>(239)</w:t>
            </w:r>
          </w:p>
        </w:tc>
        <w:tc>
          <w:tcPr>
            <w:tcW w:w="13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GT America Exp;sans-serif" w:hAnsi="GT America Exp;sans-serif"/>
                <w:b w:val="false"/>
                <w:color w:val="000000"/>
                <w:sz w:val="20"/>
              </w:rPr>
            </w:pPr>
            <w:r>
              <w:rPr>
                <w:rFonts w:ascii="GT America Exp;sans-serif" w:hAnsi="GT America Exp;sans-serif"/>
                <w:b w:val="false"/>
                <w:color w:val="000000"/>
                <w:sz w:val="20"/>
              </w:rPr>
              <w:t>(915)</w:t>
            </w:r>
          </w:p>
        </w:tc>
        <w:tc>
          <w:tcPr>
            <w:tcW w:w="13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rPr/>
        <w:tc>
          <w:tcPr>
            <w:tcW w:w="706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Expensify Neue;sans-serif" w:hAnsi="Expensify Neue;sans-serif"/>
                <w:b w:val="false"/>
                <w:color w:val="000000"/>
                <w:sz w:val="20"/>
              </w:rPr>
            </w:pPr>
            <w:r>
              <w:rPr>
                <w:rFonts w:ascii="Expensify Neue;sans-serif" w:hAnsi="Expensify Neue;sans-serif"/>
                <w:b w:val="false"/>
                <w:color w:val="000000"/>
                <w:sz w:val="20"/>
              </w:rPr>
              <w:t>Total stock-based compensation expense</w:t>
            </w:r>
          </w:p>
        </w:tc>
        <w:tc>
          <w:tcPr>
            <w:tcW w:w="279"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GT America Exp;sans-serif" w:hAnsi="GT America Exp;sans-serif"/>
                <w:b w:val="false"/>
                <w:color w:val="000000"/>
                <w:sz w:val="20"/>
              </w:rPr>
            </w:pPr>
            <w:r>
              <w:rPr>
                <w:rFonts w:ascii="GT America Exp;sans-serif" w:hAnsi="GT America Exp;sans-serif"/>
                <w:b w:val="false"/>
                <w:color w:val="000000"/>
                <w:sz w:val="20"/>
              </w:rPr>
              <w:t>$</w:t>
            </w:r>
          </w:p>
        </w:tc>
        <w:tc>
          <w:tcPr>
            <w:tcW w:w="873"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GT America Exp;sans-serif" w:hAnsi="GT America Exp;sans-serif"/>
                <w:b w:val="false"/>
                <w:color w:val="000000"/>
                <w:sz w:val="20"/>
              </w:rPr>
            </w:pPr>
            <w:r>
              <w:rPr>
                <w:rFonts w:ascii="GT America Exp;sans-serif" w:hAnsi="GT America Exp;sans-serif"/>
                <w:b w:val="false"/>
                <w:color w:val="000000"/>
                <w:sz w:val="20"/>
              </w:rPr>
              <w:t>7,990 </w:t>
            </w:r>
          </w:p>
        </w:tc>
        <w:tc>
          <w:tcPr>
            <w:tcW w:w="13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9"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GT America Exp;sans-serif" w:hAnsi="GT America Exp;sans-serif"/>
                <w:b w:val="false"/>
                <w:color w:val="000000"/>
                <w:sz w:val="20"/>
              </w:rPr>
            </w:pPr>
            <w:r>
              <w:rPr>
                <w:rFonts w:ascii="GT America Exp;sans-serif" w:hAnsi="GT America Exp;sans-serif"/>
                <w:b w:val="false"/>
                <w:color w:val="000000"/>
                <w:sz w:val="20"/>
              </w:rPr>
              <w:t>$</w:t>
            </w:r>
          </w:p>
        </w:tc>
        <w:tc>
          <w:tcPr>
            <w:tcW w:w="873"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GT America Exp;sans-serif" w:hAnsi="GT America Exp;sans-serif"/>
                <w:b w:val="false"/>
                <w:color w:val="000000"/>
                <w:sz w:val="20"/>
              </w:rPr>
            </w:pPr>
            <w:r>
              <w:rPr>
                <w:rFonts w:ascii="GT America Exp;sans-serif" w:hAnsi="GT America Exp;sans-serif"/>
                <w:b w:val="false"/>
                <w:color w:val="000000"/>
                <w:sz w:val="20"/>
              </w:rPr>
              <w:t>7,524 </w:t>
            </w:r>
          </w:p>
        </w:tc>
        <w:tc>
          <w:tcPr>
            <w:tcW w:w="13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rPr/>
        <w:tc>
          <w:tcPr>
            <w:tcW w:w="7069"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286" w:type="dxa"/>
            <w:gridSpan w:val="3"/>
            <w:tcBorders>
              <w:top w:val="double" w:sz="8"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402"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286" w:type="dxa"/>
            <w:gridSpan w:val="3"/>
            <w:tcBorders>
              <w:top w:val="double" w:sz="8"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3">
                <wp:simplePos x="0" y="0"/>
                <wp:positionH relativeFrom="character">
                  <wp:align>left</wp:align>
                </wp:positionH>
                <wp:positionV relativeFrom="line">
                  <wp:posOffset>635</wp:posOffset>
                </wp:positionV>
                <wp:extent cx="6480175" cy="599440"/>
                <wp:effectExtent l="0" t="0" r="0" b="0"/>
                <wp:wrapNone/>
                <wp:docPr id="22" name="Frame21"/>
                <a:graphic xmlns:a="http://schemas.openxmlformats.org/drawingml/2006/main">
                  <a:graphicData uri="http://schemas.microsoft.com/office/word/2010/wordprocessingShape">
                    <wps:wsp>
                      <wps:cNvSpPr txBox="1"/>
                      <wps:spPr>
                        <a:xfrm>
                          <a:off x="0" y="0"/>
                          <a:ext cx="6480175" cy="599440"/>
                        </a:xfrm>
                        <a:prstGeom prst="rect"/>
                        <a:solidFill>
                          <a:srgbClr val="FFFFFF"/>
                        </a:solidFill>
                      </wps:spPr>
                      <wps:txbx>
                        <w:txbxContent>
                          <w:tbl>
                            <w:tblPr>
                              <w:tblW w:w="406" w:type="dxa"/>
                              <w:jc w:val="left"/>
                              <w:tblInd w:w="0" w:type="dxa"/>
                              <w:tblLayout w:type="fixed"/>
                              <w:tblCellMar>
                                <w:top w:w="28" w:type="dxa"/>
                                <w:left w:w="28" w:type="dxa"/>
                                <w:bottom w:w="28" w:type="dxa"/>
                                <w:right w:w="28" w:type="dxa"/>
                              </w:tblCellMar>
                            </w:tblPr>
                            <w:tblGrid>
                              <w:gridCol w:w="130"/>
                              <w:gridCol w:w="114"/>
                              <w:gridCol w:w="162"/>
                            </w:tblGrid>
                            <w:tr>
                              <w:trPr/>
                              <w:tc>
                                <w:tcPr>
                                  <w:tcW w:w="130"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rPr/>
                              <w:tc>
                                <w:tcPr>
                                  <w:tcW w:w="406"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0"/>
                                    <w:jc w:val="center"/>
                                    <w:rPr>
                                      <w:rFonts w:ascii="Expensify Neue;sans-serif" w:hAnsi="Expensify Neue;sans-serif"/>
                                      <w:b w:val="false"/>
                                      <w:color w:val="000000"/>
                                      <w:sz w:val="20"/>
                                    </w:rPr>
                                  </w:pPr>
                                  <w:r>
                                    <w:rPr>
                                      <w:rFonts w:ascii="Expensify Neue;sans-serif" w:hAnsi="Expensify Neue;sans-serif"/>
                                      <w:b w:val="false"/>
                                      <w:color w:val="000000"/>
                                      <w:sz w:val="20"/>
                                    </w:rPr>
                                    <w:t>16</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7.2pt;mso-wrap-distance-left:0pt;mso-wrap-distance-right:0pt;mso-wrap-distance-top:0pt;mso-wrap-distance-bottom:0pt;margin-top:0pt;mso-position-vertical:top;mso-position-vertical-relative:text;margin-left:0pt;mso-position-horizontal:left;mso-position-horizontal-relative:text">
                <v:textbox>
                  <w:txbxContent>
                    <w:tbl>
                      <w:tblPr>
                        <w:tblW w:w="406" w:type="dxa"/>
                        <w:jc w:val="left"/>
                        <w:tblInd w:w="0" w:type="dxa"/>
                        <w:tblLayout w:type="fixed"/>
                        <w:tblCellMar>
                          <w:top w:w="28" w:type="dxa"/>
                          <w:left w:w="28" w:type="dxa"/>
                          <w:bottom w:w="28" w:type="dxa"/>
                          <w:right w:w="28" w:type="dxa"/>
                        </w:tblCellMar>
                      </w:tblPr>
                      <w:tblGrid>
                        <w:gridCol w:w="130"/>
                        <w:gridCol w:w="114"/>
                        <w:gridCol w:w="162"/>
                      </w:tblGrid>
                      <w:tr>
                        <w:trPr/>
                        <w:tc>
                          <w:tcPr>
                            <w:tcW w:w="130"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rPr/>
                        <w:tc>
                          <w:tcPr>
                            <w:tcW w:w="406"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0"/>
                              <w:jc w:val="center"/>
                              <w:rPr>
                                <w:rFonts w:ascii="Expensify Neue;sans-serif" w:hAnsi="Expensify Neue;sans-serif"/>
                                <w:b w:val="false"/>
                                <w:color w:val="000000"/>
                                <w:sz w:val="20"/>
                              </w:rPr>
                            </w:pPr>
                            <w:r>
                              <w:rPr>
                                <w:rFonts w:ascii="Expensify Neue;sans-serif" w:hAnsi="Expensify Neue;sans-serif"/>
                                <w:b w:val="false"/>
                                <w:color w:val="000000"/>
                                <w:sz w:val="20"/>
                              </w:rPr>
                              <w:t>16</w:t>
                            </w:r>
                          </w:p>
                        </w:tc>
                      </w:tr>
                    </w:tbl>
                    <w:p>
                      <w:pPr>
                        <w:pStyle w:val="TextBody"/>
                        <w:bidi w:val="0"/>
                        <w:spacing w:before="0" w:after="283"/>
                        <w:jc w:val="left"/>
                        <w:rPr/>
                      </w:pPr>
                      <w:r>
                        <w:rPr/>
                      </w:r>
                    </w:p>
                  </w:txbxContent>
                </v:textbox>
                <w10:wrap type="none"/>
              </v:rect>
            </w:pict>
          </mc:Fallback>
        </mc:AlternateContent>
      </w:r>
    </w:p>
    <w:p>
      <w:pPr>
        <w:pStyle w:val="TextBody"/>
        <w:bidi w:val="0"/>
        <w:spacing w:lineRule="auto" w:line="288" w:before="0" w:after="160"/>
        <w:jc w:val="left"/>
        <w:rPr/>
      </w:pPr>
      <w:hyperlink w:anchor="i52a648c4f0e449f7bc3c2044827c8f0d_7">
        <w:r>
          <w:rPr>
            <w:rStyle w:val="InternetLink"/>
            <w:rFonts w:ascii="Expensify Neue;sans-serif" w:hAnsi="Expensify Neue;sans-serif"/>
            <w:b/>
            <w:color w:val="0000FF"/>
            <w:sz w:val="20"/>
            <w:u w:val="single"/>
          </w:rPr>
          <w:t>Table of Contents</w:t>
        </w:r>
      </w:hyperlink>
    </w:p>
    <w:p>
      <w:pPr>
        <w:pStyle w:val="TextBody"/>
        <w:bidi w:val="0"/>
        <w:spacing w:lineRule="auto" w:line="288" w:before="0" w:after="0"/>
        <w:jc w:val="center"/>
        <w:rPr>
          <w:rFonts w:ascii="Expensify Neue;sans-serif" w:hAnsi="Expensify Neue;sans-serif"/>
          <w:b/>
          <w:color w:val="000000"/>
          <w:sz w:val="24"/>
        </w:rPr>
      </w:pPr>
      <w:r>
        <w:rPr>
          <w:rFonts w:ascii="Expensify Neue;sans-serif" w:hAnsi="Expensify Neue;sans-serif"/>
          <w:b/>
          <w:color w:val="000000"/>
          <w:sz w:val="24"/>
        </w:rPr>
        <w:t>Expensify, Inc.</w:t>
      </w:r>
    </w:p>
    <w:p>
      <w:pPr>
        <w:pStyle w:val="TextBody"/>
        <w:bidi w:val="0"/>
        <w:spacing w:lineRule="auto" w:line="288" w:before="0" w:after="0"/>
        <w:jc w:val="center"/>
        <w:rPr>
          <w:rFonts w:ascii="Expensify Neue;sans-serif" w:hAnsi="Expensify Neue;sans-serif"/>
          <w:b/>
          <w:color w:val="000000"/>
          <w:sz w:val="24"/>
        </w:rPr>
      </w:pPr>
      <w:r>
        <w:rPr>
          <w:rFonts w:ascii="Expensify Neue;sans-serif" w:hAnsi="Expensify Neue;sans-serif"/>
          <w:b/>
          <w:color w:val="000000"/>
          <w:sz w:val="24"/>
        </w:rPr>
        <w:t>Notes to the Condensed Consolidated Financial Statements</w:t>
      </w:r>
    </w:p>
    <w:p>
      <w:pPr>
        <w:pStyle w:val="TextBody"/>
        <w:bidi w:val="0"/>
        <w:spacing w:lineRule="auto" w:line="288" w:before="0" w:after="0"/>
        <w:jc w:val="center"/>
        <w:rPr>
          <w:rFonts w:ascii="Expensify Neue;sans-serif" w:hAnsi="Expensify Neue;sans-serif"/>
          <w:b/>
          <w:color w:val="000000"/>
          <w:sz w:val="20"/>
        </w:rPr>
      </w:pPr>
      <w:r>
        <w:rPr>
          <w:rFonts w:ascii="Expensify Neue;sans-serif" w:hAnsi="Expensify Neue;sans-serif"/>
          <w:b/>
          <w:color w:val="000000"/>
          <w:sz w:val="20"/>
        </w:rPr>
        <w:t>(unaudited)</w:t>
      </w:r>
    </w:p>
    <w:p>
      <w:pPr>
        <w:pStyle w:val="TextBody"/>
        <w:bidi w:val="0"/>
        <w:spacing w:lineRule="auto" w:line="288" w:before="0" w:after="160"/>
        <w:jc w:val="left"/>
        <w:rPr>
          <w:rFonts w:ascii="Expensify Neue;sans-serif" w:hAnsi="Expensify Neue;sans-serif"/>
          <w:b w:val="false"/>
          <w:color w:val="000000"/>
          <w:sz w:val="20"/>
        </w:rPr>
      </w:pPr>
      <w:r>
        <w:rPr>
          <w:rFonts w:ascii="Expensify Neue;sans-serif" w:hAnsi="Expensify Neue;sans-serif"/>
          <w:b w:val="false"/>
          <w:color w:val="000000"/>
          <w:sz w:val="20"/>
        </w:rPr>
        <w:t>Stock-based compensation expense is allocated based on the cost center to which the award holder spent time during the reported periods. Stock-based compensation expense is included in the following components of expenses on the accompanying Condensed Consolidated Statements of Operations (in thousands):</w:t>
      </w:r>
    </w:p>
    <w:tbl>
      <w:tblPr>
        <w:tblW w:w="7255" w:type="dxa"/>
        <w:jc w:val="left"/>
        <w:tblInd w:w="0" w:type="dxa"/>
        <w:tblLayout w:type="fixed"/>
        <w:tblCellMar>
          <w:top w:w="28" w:type="dxa"/>
          <w:left w:w="28" w:type="dxa"/>
          <w:bottom w:w="28" w:type="dxa"/>
          <w:right w:w="28" w:type="dxa"/>
        </w:tblCellMar>
      </w:tblPr>
      <w:tblGrid>
        <w:gridCol w:w="1513"/>
        <w:gridCol w:w="1333"/>
        <w:gridCol w:w="1338"/>
        <w:gridCol w:w="283"/>
        <w:gridCol w:w="884"/>
        <w:gridCol w:w="136"/>
        <w:gridCol w:w="136"/>
        <w:gridCol w:w="136"/>
        <w:gridCol w:w="136"/>
        <w:gridCol w:w="283"/>
        <w:gridCol w:w="884"/>
        <w:gridCol w:w="193"/>
      </w:tblGrid>
      <w:tr>
        <w:trPr/>
        <w:tc>
          <w:tcPr>
            <w:tcW w:w="1513" w:type="dxa"/>
            <w:tcBorders/>
            <w:vAlign w:val="center"/>
          </w:tcPr>
          <w:p>
            <w:pPr>
              <w:pStyle w:val="TableContents"/>
              <w:bidi w:val="0"/>
              <w:spacing w:before="0" w:after="283"/>
              <w:jc w:val="left"/>
              <w:rPr>
                <w:sz w:val="4"/>
                <w:szCs w:val="4"/>
              </w:rPr>
            </w:pPr>
            <w:r>
              <w:rPr>
                <w:sz w:val="4"/>
                <w:szCs w:val="4"/>
              </w:rPr>
            </w:r>
          </w:p>
        </w:tc>
        <w:tc>
          <w:tcPr>
            <w:tcW w:w="1333" w:type="dxa"/>
            <w:tcBorders/>
            <w:vAlign w:val="center"/>
          </w:tcPr>
          <w:p>
            <w:pPr>
              <w:pStyle w:val="TableContents"/>
              <w:bidi w:val="0"/>
              <w:spacing w:before="0" w:after="283"/>
              <w:jc w:val="left"/>
              <w:rPr>
                <w:sz w:val="4"/>
                <w:szCs w:val="4"/>
              </w:rPr>
            </w:pPr>
            <w:r>
              <w:rPr>
                <w:sz w:val="4"/>
                <w:szCs w:val="4"/>
              </w:rPr>
            </w:r>
          </w:p>
        </w:tc>
        <w:tc>
          <w:tcPr>
            <w:tcW w:w="1338" w:type="dxa"/>
            <w:tcBorders/>
            <w:vAlign w:val="center"/>
          </w:tcPr>
          <w:p>
            <w:pPr>
              <w:pStyle w:val="TableContents"/>
              <w:bidi w:val="0"/>
              <w:spacing w:before="0" w:after="283"/>
              <w:jc w:val="left"/>
              <w:rPr>
                <w:sz w:val="4"/>
                <w:szCs w:val="4"/>
              </w:rPr>
            </w:pPr>
            <w:r>
              <w:rPr>
                <w:sz w:val="4"/>
                <w:szCs w:val="4"/>
              </w:rPr>
            </w:r>
          </w:p>
        </w:tc>
        <w:tc>
          <w:tcPr>
            <w:tcW w:w="283" w:type="dxa"/>
            <w:tcBorders/>
            <w:vAlign w:val="center"/>
          </w:tcPr>
          <w:p>
            <w:pPr>
              <w:pStyle w:val="TableContents"/>
              <w:bidi w:val="0"/>
              <w:spacing w:before="0" w:after="283"/>
              <w:jc w:val="left"/>
              <w:rPr>
                <w:sz w:val="4"/>
                <w:szCs w:val="4"/>
              </w:rPr>
            </w:pPr>
            <w:r>
              <w:rPr>
                <w:sz w:val="4"/>
                <w:szCs w:val="4"/>
              </w:rPr>
            </w:r>
          </w:p>
        </w:tc>
        <w:tc>
          <w:tcPr>
            <w:tcW w:w="884" w:type="dxa"/>
            <w:tcBorders/>
            <w:vAlign w:val="center"/>
          </w:tcPr>
          <w:p>
            <w:pPr>
              <w:pStyle w:val="TableContents"/>
              <w:bidi w:val="0"/>
              <w:spacing w:before="0" w:after="283"/>
              <w:jc w:val="left"/>
              <w:rPr>
                <w:sz w:val="4"/>
                <w:szCs w:val="4"/>
              </w:rPr>
            </w:pPr>
            <w:r>
              <w:rPr>
                <w:sz w:val="4"/>
                <w:szCs w:val="4"/>
              </w:rPr>
            </w:r>
          </w:p>
        </w:tc>
        <w:tc>
          <w:tcPr>
            <w:tcW w:w="136" w:type="dxa"/>
            <w:tcBorders/>
            <w:vAlign w:val="center"/>
          </w:tcPr>
          <w:p>
            <w:pPr>
              <w:pStyle w:val="TableContents"/>
              <w:bidi w:val="0"/>
              <w:spacing w:before="0" w:after="283"/>
              <w:jc w:val="left"/>
              <w:rPr>
                <w:sz w:val="4"/>
                <w:szCs w:val="4"/>
              </w:rPr>
            </w:pPr>
            <w:r>
              <w:rPr>
                <w:sz w:val="4"/>
                <w:szCs w:val="4"/>
              </w:rPr>
            </w:r>
          </w:p>
        </w:tc>
        <w:tc>
          <w:tcPr>
            <w:tcW w:w="136" w:type="dxa"/>
            <w:tcBorders/>
            <w:vAlign w:val="center"/>
          </w:tcPr>
          <w:p>
            <w:pPr>
              <w:pStyle w:val="TableContents"/>
              <w:bidi w:val="0"/>
              <w:spacing w:before="0" w:after="283"/>
              <w:jc w:val="left"/>
              <w:rPr>
                <w:sz w:val="4"/>
                <w:szCs w:val="4"/>
              </w:rPr>
            </w:pPr>
            <w:r>
              <w:rPr>
                <w:sz w:val="4"/>
                <w:szCs w:val="4"/>
              </w:rPr>
            </w:r>
          </w:p>
        </w:tc>
        <w:tc>
          <w:tcPr>
            <w:tcW w:w="136" w:type="dxa"/>
            <w:tcBorders/>
            <w:vAlign w:val="center"/>
          </w:tcPr>
          <w:p>
            <w:pPr>
              <w:pStyle w:val="TableContents"/>
              <w:bidi w:val="0"/>
              <w:spacing w:before="0" w:after="283"/>
              <w:jc w:val="left"/>
              <w:rPr>
                <w:sz w:val="4"/>
                <w:szCs w:val="4"/>
              </w:rPr>
            </w:pPr>
            <w:r>
              <w:rPr>
                <w:sz w:val="4"/>
                <w:szCs w:val="4"/>
              </w:rPr>
            </w:r>
          </w:p>
        </w:tc>
        <w:tc>
          <w:tcPr>
            <w:tcW w:w="136" w:type="dxa"/>
            <w:tcBorders/>
            <w:vAlign w:val="center"/>
          </w:tcPr>
          <w:p>
            <w:pPr>
              <w:pStyle w:val="TableContents"/>
              <w:bidi w:val="0"/>
              <w:spacing w:before="0" w:after="283"/>
              <w:jc w:val="left"/>
              <w:rPr>
                <w:sz w:val="4"/>
                <w:szCs w:val="4"/>
              </w:rPr>
            </w:pPr>
            <w:r>
              <w:rPr>
                <w:sz w:val="4"/>
                <w:szCs w:val="4"/>
              </w:rPr>
            </w:r>
          </w:p>
        </w:tc>
        <w:tc>
          <w:tcPr>
            <w:tcW w:w="283" w:type="dxa"/>
            <w:tcBorders/>
            <w:vAlign w:val="center"/>
          </w:tcPr>
          <w:p>
            <w:pPr>
              <w:pStyle w:val="TableContents"/>
              <w:bidi w:val="0"/>
              <w:spacing w:before="0" w:after="283"/>
              <w:jc w:val="left"/>
              <w:rPr>
                <w:sz w:val="4"/>
                <w:szCs w:val="4"/>
              </w:rPr>
            </w:pPr>
            <w:r>
              <w:rPr>
                <w:sz w:val="4"/>
                <w:szCs w:val="4"/>
              </w:rPr>
            </w:r>
          </w:p>
        </w:tc>
        <w:tc>
          <w:tcPr>
            <w:tcW w:w="884" w:type="dxa"/>
            <w:tcBorders/>
            <w:vAlign w:val="center"/>
          </w:tcPr>
          <w:p>
            <w:pPr>
              <w:pStyle w:val="TableContents"/>
              <w:bidi w:val="0"/>
              <w:spacing w:before="0" w:after="283"/>
              <w:jc w:val="left"/>
              <w:rPr>
                <w:sz w:val="4"/>
                <w:szCs w:val="4"/>
              </w:rPr>
            </w:pPr>
            <w:r>
              <w:rPr>
                <w:sz w:val="4"/>
                <w:szCs w:val="4"/>
              </w:rPr>
            </w:r>
          </w:p>
        </w:tc>
        <w:tc>
          <w:tcPr>
            <w:tcW w:w="193" w:type="dxa"/>
            <w:tcBorders/>
            <w:vAlign w:val="center"/>
          </w:tcPr>
          <w:p>
            <w:pPr>
              <w:pStyle w:val="TableContents"/>
              <w:bidi w:val="0"/>
              <w:spacing w:before="0" w:after="283"/>
              <w:jc w:val="left"/>
              <w:rPr>
                <w:sz w:val="4"/>
                <w:szCs w:val="4"/>
              </w:rPr>
            </w:pPr>
            <w:r>
              <w:rPr>
                <w:sz w:val="4"/>
                <w:szCs w:val="4"/>
              </w:rPr>
            </w:r>
          </w:p>
        </w:tc>
      </w:tr>
      <w:tr>
        <w:trPr/>
        <w:tc>
          <w:tcPr>
            <w:tcW w:w="4184" w:type="dxa"/>
            <w:gridSpan w:val="3"/>
            <w:tcBorders>
              <w:top w:val="single" w:sz="1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71" w:type="dxa"/>
            <w:gridSpan w:val="9"/>
            <w:tcBorders>
              <w:top w:val="single" w:sz="16"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Expensify Neue;sans-serif" w:hAnsi="Expensify Neue;sans-serif"/>
                <w:b/>
                <w:color w:val="000000"/>
                <w:sz w:val="16"/>
              </w:rPr>
            </w:pPr>
            <w:r>
              <w:rPr>
                <w:rFonts w:ascii="Expensify Neue;sans-serif" w:hAnsi="Expensify Neue;sans-serif"/>
                <w:b/>
                <w:color w:val="000000"/>
                <w:sz w:val="16"/>
              </w:rPr>
              <w:t>Three Months Ended March 31,</w:t>
            </w:r>
          </w:p>
        </w:tc>
      </w:tr>
      <w:tr>
        <w:trPr/>
        <w:tc>
          <w:tcPr>
            <w:tcW w:w="41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Expensify Neue;sans-serif" w:hAnsi="Expensify Neue;sans-serif"/>
                <w:b/>
                <w:color w:val="000000"/>
                <w:sz w:val="16"/>
              </w:rPr>
            </w:pPr>
            <w:r>
              <w:rPr>
                <w:rFonts w:ascii="Expensify Neue;sans-serif" w:hAnsi="Expensify Neue;sans-serif"/>
                <w:b/>
                <w:color w:val="000000"/>
                <w:sz w:val="16"/>
              </w:rPr>
              <w:t>2025</w:t>
            </w:r>
          </w:p>
        </w:tc>
        <w:tc>
          <w:tcPr>
            <w:tcW w:w="408"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Expensify Neue;sans-serif" w:hAnsi="Expensify Neue;sans-serif"/>
                <w:b/>
                <w:color w:val="000000"/>
                <w:sz w:val="16"/>
              </w:rPr>
            </w:pPr>
            <w:r>
              <w:rPr>
                <w:rFonts w:ascii="Expensify Neue;sans-serif" w:hAnsi="Expensify Neue;sans-serif"/>
                <w:b/>
                <w:color w:val="000000"/>
                <w:sz w:val="16"/>
              </w:rPr>
              <w:t>2024</w:t>
            </w:r>
          </w:p>
        </w:tc>
      </w:tr>
      <w:tr>
        <w:trPr/>
        <w:tc>
          <w:tcPr>
            <w:tcW w:w="418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Expensify Neue;sans-serif" w:hAnsi="Expensify Neue;sans-serif"/>
                <w:b w:val="false"/>
                <w:color w:val="000000"/>
                <w:sz w:val="20"/>
              </w:rPr>
            </w:pPr>
            <w:r>
              <w:rPr>
                <w:rFonts w:ascii="Expensify Neue;sans-serif" w:hAnsi="Expensify Neue;sans-serif"/>
                <w:b w:val="false"/>
                <w:color w:val="000000"/>
                <w:sz w:val="20"/>
              </w:rPr>
              <w:t>Cost of revenue, net</w:t>
            </w:r>
          </w:p>
        </w:tc>
        <w:tc>
          <w:tcPr>
            <w:tcW w:w="28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Expensify Neue;sans-serif" w:hAnsi="Expensify Neue;sans-serif"/>
                <w:b w:val="false"/>
                <w:color w:val="000000"/>
                <w:sz w:val="20"/>
              </w:rPr>
            </w:pPr>
            <w:r>
              <w:rPr>
                <w:rFonts w:ascii="Expensify Neue;sans-serif" w:hAnsi="Expensify Neue;sans-serif"/>
                <w:b w:val="false"/>
                <w:color w:val="000000"/>
                <w:sz w:val="20"/>
              </w:rPr>
              <w:t>$</w:t>
            </w:r>
          </w:p>
        </w:tc>
        <w:tc>
          <w:tcPr>
            <w:tcW w:w="88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Expensify Neue;sans-serif" w:hAnsi="Expensify Neue;sans-serif"/>
                <w:b w:val="false"/>
                <w:color w:val="000000"/>
                <w:sz w:val="20"/>
              </w:rPr>
            </w:pPr>
            <w:r>
              <w:rPr>
                <w:rFonts w:ascii="Expensify Neue;sans-serif" w:hAnsi="Expensify Neue;sans-serif"/>
                <w:b w:val="false"/>
                <w:color w:val="000000"/>
                <w:sz w:val="20"/>
              </w:rPr>
              <w:t>3,039 </w:t>
            </w:r>
          </w:p>
        </w:tc>
        <w:tc>
          <w:tcPr>
            <w:tcW w:w="13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Expensify Neue;sans-serif" w:hAnsi="Expensify Neue;sans-serif"/>
                <w:b w:val="false"/>
                <w:color w:val="000000"/>
                <w:sz w:val="20"/>
              </w:rPr>
            </w:pPr>
            <w:r>
              <w:rPr>
                <w:rFonts w:ascii="Expensify Neue;sans-serif" w:hAnsi="Expensify Neue;sans-serif"/>
                <w:b w:val="false"/>
                <w:color w:val="000000"/>
                <w:sz w:val="20"/>
              </w:rPr>
              <w:t>$</w:t>
            </w:r>
          </w:p>
        </w:tc>
        <w:tc>
          <w:tcPr>
            <w:tcW w:w="88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Expensify Neue;sans-serif" w:hAnsi="Expensify Neue;sans-serif"/>
                <w:b w:val="false"/>
                <w:color w:val="000000"/>
                <w:sz w:val="20"/>
              </w:rPr>
            </w:pPr>
            <w:r>
              <w:rPr>
                <w:rFonts w:ascii="Expensify Neue;sans-serif" w:hAnsi="Expensify Neue;sans-serif"/>
                <w:b w:val="false"/>
                <w:color w:val="000000"/>
                <w:sz w:val="20"/>
              </w:rPr>
              <w:t>2,932 </w:t>
            </w:r>
          </w:p>
        </w:tc>
        <w:tc>
          <w:tcPr>
            <w:tcW w:w="19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8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Expensify Neue;sans-serif" w:hAnsi="Expensify Neue;sans-serif"/>
                <w:b w:val="false"/>
                <w:color w:val="000000"/>
                <w:sz w:val="20"/>
              </w:rPr>
            </w:pPr>
            <w:r>
              <w:rPr>
                <w:rFonts w:ascii="Expensify Neue;sans-serif" w:hAnsi="Expensify Neue;sans-serif"/>
                <w:b w:val="false"/>
                <w:color w:val="000000"/>
                <w:sz w:val="20"/>
              </w:rPr>
              <w:t>Research and development</w:t>
            </w:r>
          </w:p>
        </w:tc>
        <w:tc>
          <w:tcPr>
            <w:tcW w:w="11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Expensify Neue;sans-serif" w:hAnsi="Expensify Neue;sans-serif"/>
                <w:b w:val="false"/>
                <w:color w:val="000000"/>
                <w:sz w:val="20"/>
              </w:rPr>
            </w:pPr>
            <w:r>
              <w:rPr>
                <w:rFonts w:ascii="Expensify Neue;sans-serif" w:hAnsi="Expensify Neue;sans-serif"/>
                <w:b w:val="false"/>
                <w:color w:val="000000"/>
                <w:sz w:val="20"/>
              </w:rPr>
              <w:t>2,402 </w:t>
            </w:r>
          </w:p>
        </w:tc>
        <w:tc>
          <w:tcPr>
            <w:tcW w:w="13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Expensify Neue;sans-serif" w:hAnsi="Expensify Neue;sans-serif"/>
                <w:b w:val="false"/>
                <w:color w:val="000000"/>
                <w:sz w:val="20"/>
              </w:rPr>
            </w:pPr>
            <w:r>
              <w:rPr>
                <w:rFonts w:ascii="Expensify Neue;sans-serif" w:hAnsi="Expensify Neue;sans-serif"/>
                <w:b w:val="false"/>
                <w:color w:val="000000"/>
                <w:sz w:val="20"/>
              </w:rPr>
              <w:t>2,749 </w:t>
            </w:r>
          </w:p>
        </w:tc>
        <w:tc>
          <w:tcPr>
            <w:tcW w:w="19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8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Expensify Neue;sans-serif" w:hAnsi="Expensify Neue;sans-serif"/>
                <w:b w:val="false"/>
                <w:color w:val="000000"/>
                <w:sz w:val="20"/>
              </w:rPr>
            </w:pPr>
            <w:r>
              <w:rPr>
                <w:rFonts w:ascii="Expensify Neue;sans-serif" w:hAnsi="Expensify Neue;sans-serif"/>
                <w:b w:val="false"/>
                <w:color w:val="000000"/>
                <w:sz w:val="20"/>
              </w:rPr>
              <w:t>General and administrative</w:t>
            </w:r>
          </w:p>
        </w:tc>
        <w:tc>
          <w:tcPr>
            <w:tcW w:w="11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Expensify Neue;sans-serif" w:hAnsi="Expensify Neue;sans-serif"/>
                <w:b w:val="false"/>
                <w:color w:val="000000"/>
                <w:sz w:val="20"/>
              </w:rPr>
            </w:pPr>
            <w:r>
              <w:rPr>
                <w:rFonts w:ascii="Expensify Neue;sans-serif" w:hAnsi="Expensify Neue;sans-serif"/>
                <w:b w:val="false"/>
                <w:color w:val="000000"/>
                <w:sz w:val="20"/>
              </w:rPr>
              <w:t>1,572 </w:t>
            </w:r>
          </w:p>
        </w:tc>
        <w:tc>
          <w:tcPr>
            <w:tcW w:w="13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Expensify Neue;sans-serif" w:hAnsi="Expensify Neue;sans-serif"/>
                <w:b w:val="false"/>
                <w:color w:val="000000"/>
                <w:sz w:val="20"/>
              </w:rPr>
            </w:pPr>
            <w:r>
              <w:rPr>
                <w:rFonts w:ascii="Expensify Neue;sans-serif" w:hAnsi="Expensify Neue;sans-serif"/>
                <w:b w:val="false"/>
                <w:color w:val="000000"/>
                <w:sz w:val="20"/>
              </w:rPr>
              <w:t>1,703 </w:t>
            </w:r>
          </w:p>
        </w:tc>
        <w:tc>
          <w:tcPr>
            <w:tcW w:w="19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8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Expensify Neue;sans-serif" w:hAnsi="Expensify Neue;sans-serif"/>
                <w:b w:val="false"/>
                <w:color w:val="000000"/>
                <w:sz w:val="20"/>
              </w:rPr>
            </w:pPr>
            <w:r>
              <w:rPr>
                <w:rFonts w:ascii="Expensify Neue;sans-serif" w:hAnsi="Expensify Neue;sans-serif"/>
                <w:b w:val="false"/>
                <w:color w:val="000000"/>
                <w:sz w:val="20"/>
              </w:rPr>
              <w:t>Sales and marketing</w:t>
            </w:r>
          </w:p>
        </w:tc>
        <w:tc>
          <w:tcPr>
            <w:tcW w:w="11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Expensify Neue;sans-serif" w:hAnsi="Expensify Neue;sans-serif"/>
                <w:b w:val="false"/>
                <w:color w:val="000000"/>
                <w:sz w:val="20"/>
              </w:rPr>
            </w:pPr>
            <w:r>
              <w:rPr>
                <w:rFonts w:ascii="Expensify Neue;sans-serif" w:hAnsi="Expensify Neue;sans-serif"/>
                <w:b w:val="false"/>
                <w:color w:val="000000"/>
                <w:sz w:val="20"/>
              </w:rPr>
              <w:t>977 </w:t>
            </w:r>
          </w:p>
        </w:tc>
        <w:tc>
          <w:tcPr>
            <w:tcW w:w="13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Expensify Neue;sans-serif" w:hAnsi="Expensify Neue;sans-serif"/>
                <w:b w:val="false"/>
                <w:color w:val="000000"/>
                <w:sz w:val="20"/>
              </w:rPr>
            </w:pPr>
            <w:r>
              <w:rPr>
                <w:rFonts w:ascii="Expensify Neue;sans-serif" w:hAnsi="Expensify Neue;sans-serif"/>
                <w:b w:val="false"/>
                <w:color w:val="000000"/>
                <w:sz w:val="20"/>
              </w:rPr>
              <w:t>140 </w:t>
            </w:r>
          </w:p>
        </w:tc>
        <w:tc>
          <w:tcPr>
            <w:tcW w:w="19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8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Expensify Neue;sans-serif" w:hAnsi="Expensify Neue;sans-serif"/>
                <w:b w:val="false"/>
                <w:color w:val="000000"/>
                <w:sz w:val="20"/>
              </w:rPr>
            </w:pPr>
            <w:r>
              <w:rPr>
                <w:rFonts w:ascii="Expensify Neue;sans-serif" w:hAnsi="Expensify Neue;sans-serif"/>
                <w:b w:val="false"/>
                <w:color w:val="000000"/>
                <w:sz w:val="20"/>
              </w:rPr>
              <w:t>Total stock-based compensation expense</w:t>
            </w:r>
          </w:p>
        </w:tc>
        <w:tc>
          <w:tcPr>
            <w:tcW w:w="28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Expensify Neue;sans-serif" w:hAnsi="Expensify Neue;sans-serif"/>
                <w:b w:val="false"/>
                <w:color w:val="000000"/>
                <w:sz w:val="20"/>
              </w:rPr>
            </w:pPr>
            <w:r>
              <w:rPr>
                <w:rFonts w:ascii="Expensify Neue;sans-serif" w:hAnsi="Expensify Neue;sans-serif"/>
                <w:b w:val="false"/>
                <w:color w:val="000000"/>
                <w:sz w:val="20"/>
              </w:rPr>
              <w:t>$</w:t>
            </w:r>
          </w:p>
        </w:tc>
        <w:tc>
          <w:tcPr>
            <w:tcW w:w="88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Expensify Neue;sans-serif" w:hAnsi="Expensify Neue;sans-serif"/>
                <w:b w:val="false"/>
                <w:color w:val="000000"/>
                <w:sz w:val="20"/>
              </w:rPr>
            </w:pPr>
            <w:r>
              <w:rPr>
                <w:rFonts w:ascii="Expensify Neue;sans-serif" w:hAnsi="Expensify Neue;sans-serif"/>
                <w:b w:val="false"/>
                <w:color w:val="000000"/>
                <w:sz w:val="20"/>
              </w:rPr>
              <w:t>7,990 </w:t>
            </w:r>
          </w:p>
        </w:tc>
        <w:tc>
          <w:tcPr>
            <w:tcW w:w="13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Expensify Neue;sans-serif" w:hAnsi="Expensify Neue;sans-serif"/>
                <w:b w:val="false"/>
                <w:color w:val="000000"/>
                <w:sz w:val="20"/>
              </w:rPr>
            </w:pPr>
            <w:r>
              <w:rPr>
                <w:rFonts w:ascii="Expensify Neue;sans-serif" w:hAnsi="Expensify Neue;sans-serif"/>
                <w:b w:val="false"/>
                <w:color w:val="000000"/>
                <w:sz w:val="20"/>
              </w:rPr>
              <w:t>$</w:t>
            </w:r>
          </w:p>
        </w:tc>
        <w:tc>
          <w:tcPr>
            <w:tcW w:w="88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Expensify Neue;sans-serif" w:hAnsi="Expensify Neue;sans-serif"/>
                <w:b w:val="false"/>
                <w:color w:val="000000"/>
                <w:sz w:val="20"/>
              </w:rPr>
            </w:pPr>
            <w:r>
              <w:rPr>
                <w:rFonts w:ascii="Expensify Neue;sans-serif" w:hAnsi="Expensify Neue;sans-serif"/>
                <w:b w:val="false"/>
                <w:color w:val="000000"/>
                <w:sz w:val="20"/>
              </w:rPr>
              <w:t>7,524 </w:t>
            </w:r>
          </w:p>
        </w:tc>
        <w:tc>
          <w:tcPr>
            <w:tcW w:w="19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84"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303" w:type="dxa"/>
            <w:gridSpan w:val="3"/>
            <w:tcBorders>
              <w:top w:val="double" w:sz="8"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408"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360" w:type="dxa"/>
            <w:gridSpan w:val="3"/>
            <w:tcBorders>
              <w:top w:val="double" w:sz="8"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60"/>
        <w:jc w:val="left"/>
        <w:rPr>
          <w:rFonts w:ascii="Expensify Neue;sans-serif" w:hAnsi="Expensify Neue;sans-serif"/>
          <w:b/>
          <w:color w:val="002E22"/>
          <w:sz w:val="32"/>
        </w:rPr>
      </w:pPr>
      <w:r>
        <w:rPr>
          <w:rFonts w:ascii="Expensify Neue;sans-serif" w:hAnsi="Expensify Neue;sans-serif"/>
          <w:b/>
          <w:color w:val="002E22"/>
          <w:sz w:val="32"/>
        </w:rPr>
        <w:t>NOTE 6 - INCOME TAXES</w:t>
      </w:r>
    </w:p>
    <w:p>
      <w:pPr>
        <w:pStyle w:val="TextBody"/>
        <w:bidi w:val="0"/>
        <w:spacing w:lineRule="auto" w:line="288" w:before="0" w:after="160"/>
        <w:jc w:val="left"/>
        <w:rPr>
          <w:rFonts w:ascii="Expensify Neue;sans-serif" w:hAnsi="Expensify Neue;sans-serif"/>
          <w:b w:val="false"/>
          <w:color w:val="000000"/>
          <w:sz w:val="20"/>
        </w:rPr>
      </w:pPr>
      <w:r>
        <w:rPr>
          <w:rFonts w:ascii="Expensify Neue;sans-serif" w:hAnsi="Expensify Neue;sans-serif"/>
          <w:b w:val="false"/>
          <w:color w:val="000000"/>
          <w:sz w:val="20"/>
        </w:rPr>
        <w:t xml:space="preserve">For the three months ended March 31, 2025, the Company prepared its interim tax provision by applying a year-to-date effective tax rate, which the Company believes results in the best estimate of the annual effective tax rate. </w:t>
      </w:r>
    </w:p>
    <w:p>
      <w:pPr>
        <w:pStyle w:val="TextBody"/>
        <w:bidi w:val="0"/>
        <w:spacing w:lineRule="auto" w:line="288" w:before="0" w:after="160"/>
        <w:jc w:val="left"/>
        <w:rPr>
          <w:rFonts w:ascii="Expensify Neue;sans-serif" w:hAnsi="Expensify Neue;sans-serif"/>
          <w:b w:val="false"/>
          <w:color w:val="000000"/>
          <w:sz w:val="20"/>
        </w:rPr>
      </w:pPr>
      <w:r>
        <w:rPr>
          <w:rFonts w:ascii="Expensify Neue;sans-serif" w:hAnsi="Expensify Neue;sans-serif"/>
          <w:b w:val="false"/>
          <w:color w:val="000000"/>
          <w:sz w:val="20"/>
        </w:rPr>
        <w:t>The Company recorded a provision for income taxes of $2.0 million and $1.0 million for the three months ended March 31, 2025 and 2024, respectively, which resulted in effective tax rates of (172.5)% and (37.6)%, respectively.</w:t>
      </w:r>
    </w:p>
    <w:p>
      <w:pPr>
        <w:pStyle w:val="TextBody"/>
        <w:bidi w:val="0"/>
        <w:spacing w:lineRule="auto" w:line="288" w:before="0" w:after="160"/>
        <w:jc w:val="left"/>
        <w:rPr>
          <w:rFonts w:ascii="Expensify Neue;sans-serif" w:hAnsi="Expensify Neue;sans-serif"/>
          <w:b w:val="false"/>
          <w:color w:val="000000"/>
          <w:sz w:val="20"/>
        </w:rPr>
      </w:pPr>
      <w:r>
        <w:rPr>
          <w:rFonts w:ascii="Expensify Neue;sans-serif" w:hAnsi="Expensify Neue;sans-serif"/>
          <w:b w:val="false"/>
          <w:color w:val="000000"/>
          <w:sz w:val="20"/>
        </w:rPr>
        <w:t>The differences between the statutory rate and the effective rate for 2025 and 2024 were primarily due to the change in the valuation allowance and non-deductible stock-based compensation, partially offset by Section 162(m) of the Internal Revenue Code compensation limitations.</w:t>
      </w:r>
    </w:p>
    <w:p>
      <w:pPr>
        <w:pStyle w:val="TextBody"/>
        <w:bidi w:val="0"/>
        <w:spacing w:lineRule="auto" w:line="288" w:before="0" w:after="160"/>
        <w:jc w:val="left"/>
        <w:rPr/>
      </w:pPr>
      <w:r>
        <w:rPr>
          <w:rFonts w:ascii="Expensify Neue;sans-serif" w:hAnsi="Expensify Neue;sans-serif"/>
          <w:b w:val="false"/>
          <w:color w:val="000000"/>
          <w:sz w:val="20"/>
        </w:rPr>
        <w:t xml:space="preserve">The Company follows the provisions of ASC 740-10, </w:t>
      </w:r>
      <w:r>
        <w:rPr>
          <w:rFonts w:ascii="Expensify Neue;sans-serif" w:hAnsi="Expensify Neue;sans-serif"/>
          <w:b w:val="false"/>
          <w:i/>
          <w:color w:val="000000"/>
          <w:sz w:val="20"/>
        </w:rPr>
        <w:t>Accounting for Uncertainty in Income Taxes</w:t>
      </w:r>
      <w:r>
        <w:rPr>
          <w:rFonts w:ascii="Expensify Neue;sans-serif" w:hAnsi="Expensify Neue;sans-serif"/>
          <w:b w:val="false"/>
          <w:color w:val="000000"/>
          <w:sz w:val="20"/>
        </w:rPr>
        <w:t>. ASC 740-10 prescribes a comprehensive model for the recognition, measurement, presentation and disclosure in financial statements of uncertain tax positions that have been taken or expected to be taken on a tax return. As of March 31, 2025 and December 31, 2024, the Company recorded an uncertain tax position liability of $1.6 million and $1.5 million, respectively, within Other liabilities on the Condensed Consolidated Balance Sheets. This liability includes $0.2 million and an immaterial amount of interest and penalties as of March 31, 2025 and December 31, 2024, respectively.</w:t>
      </w:r>
    </w:p>
    <w:p>
      <w:pPr>
        <w:pStyle w:val="TextBody"/>
        <w:bidi w:val="0"/>
        <w:spacing w:lineRule="auto" w:line="288" w:before="0" w:after="160"/>
        <w:jc w:val="left"/>
        <w:rPr>
          <w:rFonts w:ascii="Expensify Neue;sans-serif" w:hAnsi="Expensify Neue;sans-serif"/>
          <w:b w:val="false"/>
          <w:color w:val="000000"/>
          <w:sz w:val="20"/>
        </w:rPr>
      </w:pPr>
      <w:r>
        <w:rPr>
          <w:rFonts w:ascii="Expensify Neue;sans-serif" w:hAnsi="Expensify Neue;sans-serif"/>
          <w:b w:val="false"/>
          <w:color w:val="000000"/>
          <w:sz w:val="20"/>
        </w:rPr>
        <w:t>An examination of the Company's 2021 federal tax return by the Internal Revenue Service commenced in the fourth quarter of 2024.</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4">
                <wp:simplePos x="0" y="0"/>
                <wp:positionH relativeFrom="character">
                  <wp:align>left</wp:align>
                </wp:positionH>
                <wp:positionV relativeFrom="line">
                  <wp:posOffset>635</wp:posOffset>
                </wp:positionV>
                <wp:extent cx="6480175" cy="599440"/>
                <wp:effectExtent l="0" t="0" r="0" b="0"/>
                <wp:wrapNone/>
                <wp:docPr id="23" name="Frame22"/>
                <a:graphic xmlns:a="http://schemas.openxmlformats.org/drawingml/2006/main">
                  <a:graphicData uri="http://schemas.microsoft.com/office/word/2010/wordprocessingShape">
                    <wps:wsp>
                      <wps:cNvSpPr txBox="1"/>
                      <wps:spPr>
                        <a:xfrm>
                          <a:off x="0" y="0"/>
                          <a:ext cx="6480175" cy="599440"/>
                        </a:xfrm>
                        <a:prstGeom prst="rect"/>
                        <a:solidFill>
                          <a:srgbClr val="FFFFFF"/>
                        </a:solidFill>
                      </wps:spPr>
                      <wps:txbx>
                        <w:txbxContent>
                          <w:tbl>
                            <w:tblPr>
                              <w:tblW w:w="406" w:type="dxa"/>
                              <w:jc w:val="left"/>
                              <w:tblInd w:w="0" w:type="dxa"/>
                              <w:tblLayout w:type="fixed"/>
                              <w:tblCellMar>
                                <w:top w:w="28" w:type="dxa"/>
                                <w:left w:w="28" w:type="dxa"/>
                                <w:bottom w:w="28" w:type="dxa"/>
                                <w:right w:w="28" w:type="dxa"/>
                              </w:tblCellMar>
                            </w:tblPr>
                            <w:tblGrid>
                              <w:gridCol w:w="130"/>
                              <w:gridCol w:w="114"/>
                              <w:gridCol w:w="162"/>
                            </w:tblGrid>
                            <w:tr>
                              <w:trPr/>
                              <w:tc>
                                <w:tcPr>
                                  <w:tcW w:w="130"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rPr/>
                              <w:tc>
                                <w:tcPr>
                                  <w:tcW w:w="406"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0"/>
                                    <w:jc w:val="center"/>
                                    <w:rPr>
                                      <w:rFonts w:ascii="Expensify Neue;sans-serif" w:hAnsi="Expensify Neue;sans-serif"/>
                                      <w:b w:val="false"/>
                                      <w:color w:val="000000"/>
                                      <w:sz w:val="20"/>
                                    </w:rPr>
                                  </w:pPr>
                                  <w:r>
                                    <w:rPr>
                                      <w:rFonts w:ascii="Expensify Neue;sans-serif" w:hAnsi="Expensify Neue;sans-serif"/>
                                      <w:b w:val="false"/>
                                      <w:color w:val="000000"/>
                                      <w:sz w:val="20"/>
                                    </w:rPr>
                                    <w:t>17</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7.2pt;mso-wrap-distance-left:0pt;mso-wrap-distance-right:0pt;mso-wrap-distance-top:0pt;mso-wrap-distance-bottom:0pt;margin-top:0pt;mso-position-vertical:top;mso-position-vertical-relative:text;margin-left:0pt;mso-position-horizontal:left;mso-position-horizontal-relative:text">
                <v:textbox>
                  <w:txbxContent>
                    <w:tbl>
                      <w:tblPr>
                        <w:tblW w:w="406" w:type="dxa"/>
                        <w:jc w:val="left"/>
                        <w:tblInd w:w="0" w:type="dxa"/>
                        <w:tblLayout w:type="fixed"/>
                        <w:tblCellMar>
                          <w:top w:w="28" w:type="dxa"/>
                          <w:left w:w="28" w:type="dxa"/>
                          <w:bottom w:w="28" w:type="dxa"/>
                          <w:right w:w="28" w:type="dxa"/>
                        </w:tblCellMar>
                      </w:tblPr>
                      <w:tblGrid>
                        <w:gridCol w:w="130"/>
                        <w:gridCol w:w="114"/>
                        <w:gridCol w:w="162"/>
                      </w:tblGrid>
                      <w:tr>
                        <w:trPr/>
                        <w:tc>
                          <w:tcPr>
                            <w:tcW w:w="130"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rPr/>
                        <w:tc>
                          <w:tcPr>
                            <w:tcW w:w="406"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0"/>
                              <w:jc w:val="center"/>
                              <w:rPr>
                                <w:rFonts w:ascii="Expensify Neue;sans-serif" w:hAnsi="Expensify Neue;sans-serif"/>
                                <w:b w:val="false"/>
                                <w:color w:val="000000"/>
                                <w:sz w:val="20"/>
                              </w:rPr>
                            </w:pPr>
                            <w:r>
                              <w:rPr>
                                <w:rFonts w:ascii="Expensify Neue;sans-serif" w:hAnsi="Expensify Neue;sans-serif"/>
                                <w:b w:val="false"/>
                                <w:color w:val="000000"/>
                                <w:sz w:val="20"/>
                              </w:rPr>
                              <w:t>17</w:t>
                            </w:r>
                          </w:p>
                        </w:tc>
                      </w:tr>
                    </w:tbl>
                    <w:p>
                      <w:pPr>
                        <w:pStyle w:val="TextBody"/>
                        <w:bidi w:val="0"/>
                        <w:spacing w:before="0" w:after="283"/>
                        <w:jc w:val="left"/>
                        <w:rPr/>
                      </w:pPr>
                      <w:r>
                        <w:rPr/>
                      </w:r>
                    </w:p>
                  </w:txbxContent>
                </v:textbox>
                <w10:wrap type="none"/>
              </v:rect>
            </w:pict>
          </mc:Fallback>
        </mc:AlternateContent>
      </w:r>
    </w:p>
    <w:p>
      <w:pPr>
        <w:pStyle w:val="TextBody"/>
        <w:bidi w:val="0"/>
        <w:spacing w:lineRule="auto" w:line="288" w:before="0" w:after="160"/>
        <w:jc w:val="left"/>
        <w:rPr/>
      </w:pPr>
      <w:hyperlink w:anchor="i52a648c4f0e449f7bc3c2044827c8f0d_7">
        <w:r>
          <w:rPr>
            <w:rStyle w:val="InternetLink"/>
            <w:rFonts w:ascii="Expensify Neue;sans-serif" w:hAnsi="Expensify Neue;sans-serif"/>
            <w:b/>
            <w:color w:val="0000FF"/>
            <w:sz w:val="20"/>
            <w:u w:val="single"/>
          </w:rPr>
          <w:t>Table of Contents</w:t>
        </w:r>
      </w:hyperlink>
    </w:p>
    <w:p>
      <w:pPr>
        <w:pStyle w:val="TextBody"/>
        <w:bidi w:val="0"/>
        <w:spacing w:lineRule="auto" w:line="288" w:before="0" w:after="0"/>
        <w:jc w:val="center"/>
        <w:rPr>
          <w:rFonts w:ascii="Expensify Neue;sans-serif" w:hAnsi="Expensify Neue;sans-serif"/>
          <w:b/>
          <w:color w:val="000000"/>
          <w:sz w:val="24"/>
        </w:rPr>
      </w:pPr>
      <w:r>
        <w:rPr>
          <w:rFonts w:ascii="Expensify Neue;sans-serif" w:hAnsi="Expensify Neue;sans-serif"/>
          <w:b/>
          <w:color w:val="000000"/>
          <w:sz w:val="24"/>
        </w:rPr>
        <w:t>Expensify, Inc.</w:t>
      </w:r>
    </w:p>
    <w:p>
      <w:pPr>
        <w:pStyle w:val="TextBody"/>
        <w:bidi w:val="0"/>
        <w:spacing w:lineRule="auto" w:line="288" w:before="0" w:after="0"/>
        <w:jc w:val="center"/>
        <w:rPr>
          <w:rFonts w:ascii="Expensify Neue;sans-serif" w:hAnsi="Expensify Neue;sans-serif"/>
          <w:b/>
          <w:color w:val="000000"/>
          <w:sz w:val="24"/>
        </w:rPr>
      </w:pPr>
      <w:r>
        <w:rPr>
          <w:rFonts w:ascii="Expensify Neue;sans-serif" w:hAnsi="Expensify Neue;sans-serif"/>
          <w:b/>
          <w:color w:val="000000"/>
          <w:sz w:val="24"/>
        </w:rPr>
        <w:t>Notes to the Condensed Consolidated Financial Statements</w:t>
      </w:r>
    </w:p>
    <w:p>
      <w:pPr>
        <w:pStyle w:val="TextBody"/>
        <w:bidi w:val="0"/>
        <w:spacing w:lineRule="auto" w:line="288" w:before="0" w:after="0"/>
        <w:jc w:val="center"/>
        <w:rPr>
          <w:rFonts w:ascii="Expensify Neue;sans-serif" w:hAnsi="Expensify Neue;sans-serif"/>
          <w:b/>
          <w:color w:val="000000"/>
          <w:sz w:val="20"/>
        </w:rPr>
      </w:pPr>
      <w:r>
        <w:rPr>
          <w:rFonts w:ascii="Expensify Neue;sans-serif" w:hAnsi="Expensify Neue;sans-serif"/>
          <w:b/>
          <w:color w:val="000000"/>
          <w:sz w:val="20"/>
        </w:rPr>
        <w:t>(unaudited)</w:t>
      </w:r>
    </w:p>
    <w:p>
      <w:pPr>
        <w:pStyle w:val="TextBody"/>
        <w:bidi w:val="0"/>
        <w:spacing w:lineRule="auto" w:line="288" w:before="0" w:after="160"/>
        <w:jc w:val="left"/>
        <w:rPr>
          <w:rFonts w:ascii="Expensify Neue;sans-serif" w:hAnsi="Expensify Neue;sans-serif"/>
          <w:b/>
          <w:color w:val="002E22"/>
          <w:sz w:val="32"/>
        </w:rPr>
      </w:pPr>
      <w:r>
        <w:rPr>
          <w:rFonts w:ascii="Expensify Neue;sans-serif" w:hAnsi="Expensify Neue;sans-serif"/>
          <w:b/>
          <w:color w:val="002E22"/>
          <w:sz w:val="32"/>
        </w:rPr>
        <w:t>NOTE 7 - NET LOSS PER SHARE</w:t>
      </w:r>
    </w:p>
    <w:p>
      <w:pPr>
        <w:pStyle w:val="TextBody"/>
        <w:bidi w:val="0"/>
        <w:spacing w:lineRule="auto" w:line="288" w:before="0" w:after="160"/>
        <w:jc w:val="left"/>
        <w:rPr>
          <w:rFonts w:ascii="Expensify Neue;sans-serif" w:hAnsi="Expensify Neue;sans-serif"/>
          <w:b w:val="false"/>
          <w:color w:val="000000"/>
          <w:sz w:val="20"/>
        </w:rPr>
      </w:pPr>
      <w:r>
        <w:rPr>
          <w:rFonts w:ascii="Expensify Neue;sans-serif" w:hAnsi="Expensify Neue;sans-serif"/>
          <w:b w:val="false"/>
          <w:color w:val="000000"/>
          <w:sz w:val="20"/>
        </w:rPr>
        <w:t>The following table sets forth the computation of basic and diluted net loss per share (in thousands, except share and per share data):</w:t>
      </w:r>
    </w:p>
    <w:tbl>
      <w:tblPr>
        <w:tblW w:w="10205" w:type="dxa"/>
        <w:jc w:val="left"/>
        <w:tblInd w:w="0" w:type="dxa"/>
        <w:tblLayout w:type="fixed"/>
        <w:tblCellMar>
          <w:top w:w="28" w:type="dxa"/>
          <w:left w:w="28" w:type="dxa"/>
          <w:bottom w:w="28" w:type="dxa"/>
          <w:right w:w="28" w:type="dxa"/>
        </w:tblCellMar>
      </w:tblPr>
      <w:tblGrid>
        <w:gridCol w:w="1532"/>
        <w:gridCol w:w="1212"/>
        <w:gridCol w:w="1214"/>
        <w:gridCol w:w="297"/>
        <w:gridCol w:w="949"/>
        <w:gridCol w:w="109"/>
        <w:gridCol w:w="109"/>
        <w:gridCol w:w="109"/>
        <w:gridCol w:w="109"/>
        <w:gridCol w:w="307"/>
        <w:gridCol w:w="819"/>
        <w:gridCol w:w="109"/>
        <w:gridCol w:w="109"/>
        <w:gridCol w:w="109"/>
        <w:gridCol w:w="109"/>
        <w:gridCol w:w="307"/>
        <w:gridCol w:w="819"/>
        <w:gridCol w:w="109"/>
        <w:gridCol w:w="109"/>
        <w:gridCol w:w="109"/>
        <w:gridCol w:w="109"/>
        <w:gridCol w:w="297"/>
        <w:gridCol w:w="949"/>
        <w:gridCol w:w="195"/>
      </w:tblGrid>
      <w:tr>
        <w:trPr/>
        <w:tc>
          <w:tcPr>
            <w:tcW w:w="1532" w:type="dxa"/>
            <w:tcBorders/>
            <w:vAlign w:val="center"/>
          </w:tcPr>
          <w:p>
            <w:pPr>
              <w:pStyle w:val="TableContents"/>
              <w:bidi w:val="0"/>
              <w:spacing w:before="0" w:after="283"/>
              <w:jc w:val="left"/>
              <w:rPr>
                <w:sz w:val="4"/>
                <w:szCs w:val="4"/>
              </w:rPr>
            </w:pPr>
            <w:r>
              <w:rPr>
                <w:sz w:val="4"/>
                <w:szCs w:val="4"/>
              </w:rPr>
            </w:r>
          </w:p>
        </w:tc>
        <w:tc>
          <w:tcPr>
            <w:tcW w:w="1212" w:type="dxa"/>
            <w:tcBorders/>
            <w:vAlign w:val="center"/>
          </w:tcPr>
          <w:p>
            <w:pPr>
              <w:pStyle w:val="TableContents"/>
              <w:bidi w:val="0"/>
              <w:spacing w:before="0" w:after="283"/>
              <w:jc w:val="left"/>
              <w:rPr>
                <w:sz w:val="4"/>
                <w:szCs w:val="4"/>
              </w:rPr>
            </w:pPr>
            <w:r>
              <w:rPr>
                <w:sz w:val="4"/>
                <w:szCs w:val="4"/>
              </w:rPr>
            </w:r>
          </w:p>
        </w:tc>
        <w:tc>
          <w:tcPr>
            <w:tcW w:w="1214" w:type="dxa"/>
            <w:tcBorders/>
            <w:vAlign w:val="center"/>
          </w:tcPr>
          <w:p>
            <w:pPr>
              <w:pStyle w:val="TableContents"/>
              <w:bidi w:val="0"/>
              <w:spacing w:before="0" w:after="283"/>
              <w:jc w:val="left"/>
              <w:rPr>
                <w:sz w:val="4"/>
                <w:szCs w:val="4"/>
              </w:rPr>
            </w:pPr>
            <w:r>
              <w:rPr>
                <w:sz w:val="4"/>
                <w:szCs w:val="4"/>
              </w:rPr>
            </w:r>
          </w:p>
        </w:tc>
        <w:tc>
          <w:tcPr>
            <w:tcW w:w="297" w:type="dxa"/>
            <w:tcBorders/>
            <w:vAlign w:val="center"/>
          </w:tcPr>
          <w:p>
            <w:pPr>
              <w:pStyle w:val="TableContents"/>
              <w:bidi w:val="0"/>
              <w:spacing w:before="0" w:after="283"/>
              <w:jc w:val="left"/>
              <w:rPr>
                <w:sz w:val="4"/>
                <w:szCs w:val="4"/>
              </w:rPr>
            </w:pPr>
            <w:r>
              <w:rPr>
                <w:sz w:val="4"/>
                <w:szCs w:val="4"/>
              </w:rPr>
            </w:r>
          </w:p>
        </w:tc>
        <w:tc>
          <w:tcPr>
            <w:tcW w:w="94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7" w:type="dxa"/>
            <w:tcBorders/>
            <w:vAlign w:val="center"/>
          </w:tcPr>
          <w:p>
            <w:pPr>
              <w:pStyle w:val="TableContents"/>
              <w:bidi w:val="0"/>
              <w:spacing w:before="0" w:after="283"/>
              <w:jc w:val="left"/>
              <w:rPr>
                <w:sz w:val="4"/>
                <w:szCs w:val="4"/>
              </w:rPr>
            </w:pPr>
            <w:r>
              <w:rPr>
                <w:sz w:val="4"/>
                <w:szCs w:val="4"/>
              </w:rPr>
            </w:r>
          </w:p>
        </w:tc>
        <w:tc>
          <w:tcPr>
            <w:tcW w:w="81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7" w:type="dxa"/>
            <w:tcBorders/>
            <w:vAlign w:val="center"/>
          </w:tcPr>
          <w:p>
            <w:pPr>
              <w:pStyle w:val="TableContents"/>
              <w:bidi w:val="0"/>
              <w:spacing w:before="0" w:after="283"/>
              <w:jc w:val="left"/>
              <w:rPr>
                <w:sz w:val="4"/>
                <w:szCs w:val="4"/>
              </w:rPr>
            </w:pPr>
            <w:r>
              <w:rPr>
                <w:sz w:val="4"/>
                <w:szCs w:val="4"/>
              </w:rPr>
            </w:r>
          </w:p>
        </w:tc>
        <w:tc>
          <w:tcPr>
            <w:tcW w:w="81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97" w:type="dxa"/>
            <w:tcBorders/>
            <w:vAlign w:val="center"/>
          </w:tcPr>
          <w:p>
            <w:pPr>
              <w:pStyle w:val="TableContents"/>
              <w:bidi w:val="0"/>
              <w:spacing w:before="0" w:after="283"/>
              <w:jc w:val="left"/>
              <w:rPr>
                <w:sz w:val="4"/>
                <w:szCs w:val="4"/>
              </w:rPr>
            </w:pPr>
            <w:r>
              <w:rPr>
                <w:sz w:val="4"/>
                <w:szCs w:val="4"/>
              </w:rPr>
            </w:r>
          </w:p>
        </w:tc>
        <w:tc>
          <w:tcPr>
            <w:tcW w:w="949" w:type="dxa"/>
            <w:tcBorders/>
            <w:vAlign w:val="center"/>
          </w:tcPr>
          <w:p>
            <w:pPr>
              <w:pStyle w:val="TableContents"/>
              <w:bidi w:val="0"/>
              <w:spacing w:before="0" w:after="283"/>
              <w:jc w:val="left"/>
              <w:rPr>
                <w:sz w:val="4"/>
                <w:szCs w:val="4"/>
              </w:rPr>
            </w:pPr>
            <w:r>
              <w:rPr>
                <w:sz w:val="4"/>
                <w:szCs w:val="4"/>
              </w:rPr>
            </w:r>
          </w:p>
        </w:tc>
        <w:tc>
          <w:tcPr>
            <w:tcW w:w="195" w:type="dxa"/>
            <w:tcBorders/>
            <w:vAlign w:val="center"/>
          </w:tcPr>
          <w:p>
            <w:pPr>
              <w:pStyle w:val="TableContents"/>
              <w:bidi w:val="0"/>
              <w:spacing w:before="0" w:after="283"/>
              <w:jc w:val="left"/>
              <w:rPr>
                <w:sz w:val="4"/>
                <w:szCs w:val="4"/>
              </w:rPr>
            </w:pPr>
            <w:r>
              <w:rPr>
                <w:sz w:val="4"/>
                <w:szCs w:val="4"/>
              </w:rPr>
            </w:r>
          </w:p>
        </w:tc>
      </w:tr>
      <w:tr>
        <w:trPr/>
        <w:tc>
          <w:tcPr>
            <w:tcW w:w="3958" w:type="dxa"/>
            <w:gridSpan w:val="3"/>
            <w:tcBorders>
              <w:top w:val="single" w:sz="1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47" w:type="dxa"/>
            <w:gridSpan w:val="21"/>
            <w:tcBorders>
              <w:top w:val="single" w:sz="16"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Expensify Neue;sans-serif" w:hAnsi="Expensify Neue;sans-serif"/>
                <w:b/>
                <w:color w:val="000000"/>
                <w:sz w:val="16"/>
              </w:rPr>
            </w:pPr>
            <w:r>
              <w:rPr>
                <w:rFonts w:ascii="Expensify Neue;sans-serif" w:hAnsi="Expensify Neue;sans-serif"/>
                <w:b/>
                <w:color w:val="000000"/>
                <w:sz w:val="16"/>
              </w:rPr>
              <w:t>Three Months Ended March 31, 2025</w:t>
            </w:r>
          </w:p>
        </w:tc>
      </w:tr>
      <w:tr>
        <w:trPr/>
        <w:tc>
          <w:tcPr>
            <w:tcW w:w="395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Expensify Neue;sans-serif" w:hAnsi="Expensify Neue;sans-serif"/>
                <w:b/>
                <w:color w:val="000000"/>
                <w:sz w:val="16"/>
              </w:rPr>
            </w:pPr>
            <w:r>
              <w:rPr>
                <w:rFonts w:ascii="Expensify Neue;sans-serif" w:hAnsi="Expensify Neue;sans-serif"/>
                <w:b/>
                <w:color w:val="000000"/>
                <w:sz w:val="16"/>
              </w:rPr>
              <w:t>Class A</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Expensify Neue;sans-serif" w:hAnsi="Expensify Neue;sans-serif"/>
                <w:b/>
                <w:color w:val="000000"/>
                <w:sz w:val="16"/>
              </w:rPr>
            </w:pPr>
            <w:r>
              <w:rPr>
                <w:rFonts w:ascii="Expensify Neue;sans-serif" w:hAnsi="Expensify Neue;sans-serif"/>
                <w:b/>
                <w:color w:val="000000"/>
                <w:sz w:val="16"/>
              </w:rPr>
              <w:t>LT10</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Expensify Neue;sans-serif" w:hAnsi="Expensify Neue;sans-serif"/>
                <w:b/>
                <w:color w:val="000000"/>
                <w:sz w:val="16"/>
              </w:rPr>
            </w:pPr>
            <w:r>
              <w:rPr>
                <w:rFonts w:ascii="Expensify Neue;sans-serif" w:hAnsi="Expensify Neue;sans-serif"/>
                <w:b/>
                <w:color w:val="000000"/>
                <w:sz w:val="16"/>
              </w:rPr>
              <w:t>LT50</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Expensify Neue;sans-serif" w:hAnsi="Expensify Neue;sans-serif"/>
                <w:b/>
                <w:color w:val="000000"/>
                <w:sz w:val="16"/>
              </w:rPr>
            </w:pPr>
            <w:r>
              <w:rPr>
                <w:rFonts w:ascii="Expensify Neue;sans-serif" w:hAnsi="Expensify Neue;sans-serif"/>
                <w:b/>
                <w:color w:val="000000"/>
                <w:sz w:val="16"/>
              </w:rPr>
              <w:t>Consolidated</w:t>
            </w:r>
          </w:p>
        </w:tc>
      </w:tr>
      <w:tr>
        <w:trPr/>
        <w:tc>
          <w:tcPr>
            <w:tcW w:w="395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Expensify Neue;sans-serif" w:hAnsi="Expensify Neue;sans-serif"/>
                <w:b w:val="false"/>
                <w:color w:val="000000"/>
                <w:sz w:val="20"/>
              </w:rPr>
            </w:pPr>
            <w:r>
              <w:rPr>
                <w:rFonts w:ascii="Expensify Neue;sans-serif" w:hAnsi="Expensify Neue;sans-serif"/>
                <w:b w:val="false"/>
                <w:color w:val="000000"/>
                <w:sz w:val="20"/>
              </w:rPr>
              <w:t>Numerator</w:t>
            </w:r>
          </w:p>
        </w:tc>
        <w:tc>
          <w:tcPr>
            <w:tcW w:w="1355"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5"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5"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395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Expensify Neue;sans-serif" w:hAnsi="Expensify Neue;sans-serif"/>
                <w:b w:val="false"/>
                <w:color w:val="000000"/>
                <w:sz w:val="20"/>
              </w:rPr>
            </w:pPr>
            <w:r>
              <w:rPr>
                <w:rFonts w:ascii="Expensify Neue;sans-serif" w:hAnsi="Expensify Neue;sans-serif"/>
                <w:b w:val="false"/>
                <w:color w:val="000000"/>
                <w:sz w:val="20"/>
              </w:rPr>
              <w:t>Net loss, basic and diluted</w:t>
            </w:r>
          </w:p>
        </w:tc>
        <w:tc>
          <w:tcPr>
            <w:tcW w:w="297"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Expensify Neue;sans-serif" w:hAnsi="Expensify Neue;sans-serif"/>
                <w:b w:val="false"/>
                <w:color w:val="000000"/>
                <w:sz w:val="20"/>
              </w:rPr>
            </w:pPr>
            <w:r>
              <w:rPr>
                <w:rFonts w:ascii="Expensify Neue;sans-serif" w:hAnsi="Expensify Neue;sans-serif"/>
                <w:b w:val="false"/>
                <w:color w:val="000000"/>
                <w:sz w:val="20"/>
              </w:rPr>
              <w:t>$</w:t>
            </w:r>
          </w:p>
        </w:tc>
        <w:tc>
          <w:tcPr>
            <w:tcW w:w="94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Expensify Neue;sans-serif" w:hAnsi="Expensify Neue;sans-serif"/>
                <w:b w:val="false"/>
                <w:color w:val="000000"/>
                <w:sz w:val="20"/>
              </w:rPr>
            </w:pPr>
            <w:r>
              <w:rPr>
                <w:rFonts w:ascii="Expensify Neue;sans-serif" w:hAnsi="Expensify Neue;sans-serif"/>
                <w:b w:val="false"/>
                <w:color w:val="000000"/>
                <w:sz w:val="20"/>
              </w:rPr>
              <w:t>(2,756)</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7"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Expensify Neue;sans-serif" w:hAnsi="Expensify Neue;sans-serif"/>
                <w:b w:val="false"/>
                <w:color w:val="000000"/>
                <w:sz w:val="20"/>
              </w:rPr>
            </w:pPr>
            <w:r>
              <w:rPr>
                <w:rFonts w:ascii="Expensify Neue;sans-serif" w:hAnsi="Expensify Neue;sans-serif"/>
                <w:b w:val="false"/>
                <w:color w:val="000000"/>
                <w:sz w:val="20"/>
              </w:rPr>
              <w:t>$</w:t>
            </w:r>
          </w:p>
        </w:tc>
        <w:tc>
          <w:tcPr>
            <w:tcW w:w="81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Expensify Neue;sans-serif" w:hAnsi="Expensify Neue;sans-serif"/>
                <w:b w:val="false"/>
                <w:color w:val="000000"/>
                <w:sz w:val="20"/>
              </w:rPr>
            </w:pPr>
            <w:r>
              <w:rPr>
                <w:rFonts w:ascii="Expensify Neue;sans-serif" w:hAnsi="Expensify Neue;sans-serif"/>
                <w:b w:val="false"/>
                <w:color w:val="000000"/>
                <w:sz w:val="20"/>
              </w:rPr>
              <w:t>(146)</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7"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Expensify Neue;sans-serif" w:hAnsi="Expensify Neue;sans-serif"/>
                <w:b w:val="false"/>
                <w:color w:val="000000"/>
                <w:sz w:val="20"/>
              </w:rPr>
            </w:pPr>
            <w:r>
              <w:rPr>
                <w:rFonts w:ascii="Expensify Neue;sans-serif" w:hAnsi="Expensify Neue;sans-serif"/>
                <w:b w:val="false"/>
                <w:color w:val="000000"/>
                <w:sz w:val="20"/>
              </w:rPr>
              <w:t>$</w:t>
            </w:r>
          </w:p>
        </w:tc>
        <w:tc>
          <w:tcPr>
            <w:tcW w:w="81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Expensify Neue;sans-serif" w:hAnsi="Expensify Neue;sans-serif"/>
                <w:b w:val="false"/>
                <w:color w:val="000000"/>
                <w:sz w:val="20"/>
              </w:rPr>
            </w:pPr>
            <w:r>
              <w:rPr>
                <w:rFonts w:ascii="Expensify Neue;sans-serif" w:hAnsi="Expensify Neue;sans-serif"/>
                <w:b w:val="false"/>
                <w:color w:val="000000"/>
                <w:sz w:val="20"/>
              </w:rPr>
              <w:t>(267)</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7"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Expensify Neue;sans-serif" w:hAnsi="Expensify Neue;sans-serif"/>
                <w:b w:val="false"/>
                <w:color w:val="000000"/>
                <w:sz w:val="20"/>
              </w:rPr>
            </w:pPr>
            <w:r>
              <w:rPr>
                <w:rFonts w:ascii="Expensify Neue;sans-serif" w:hAnsi="Expensify Neue;sans-serif"/>
                <w:b w:val="false"/>
                <w:color w:val="000000"/>
                <w:sz w:val="20"/>
              </w:rPr>
              <w:t>$</w:t>
            </w:r>
          </w:p>
        </w:tc>
        <w:tc>
          <w:tcPr>
            <w:tcW w:w="94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Expensify Neue;sans-serif" w:hAnsi="Expensify Neue;sans-serif"/>
                <w:b w:val="false"/>
                <w:color w:val="000000"/>
                <w:sz w:val="20"/>
              </w:rPr>
            </w:pPr>
            <w:r>
              <w:rPr>
                <w:rFonts w:ascii="Expensify Neue;sans-serif" w:hAnsi="Expensify Neue;sans-serif"/>
                <w:b w:val="false"/>
                <w:color w:val="000000"/>
                <w:sz w:val="20"/>
              </w:rPr>
              <w:t>(3,169)</w:t>
            </w:r>
          </w:p>
        </w:tc>
        <w:tc>
          <w:tcPr>
            <w:tcW w:w="19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5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Expensify Neue;sans-serif" w:hAnsi="Expensify Neue;sans-serif"/>
                <w:b w:val="false"/>
                <w:color w:val="000000"/>
                <w:sz w:val="20"/>
              </w:rPr>
            </w:pPr>
            <w:r>
              <w:rPr>
                <w:rFonts w:ascii="Expensify Neue;sans-serif" w:hAnsi="Expensify Neue;sans-serif"/>
                <w:b w:val="false"/>
                <w:color w:val="000000"/>
                <w:sz w:val="20"/>
              </w:rPr>
              <w:t>Denominator</w:t>
            </w:r>
          </w:p>
        </w:tc>
        <w:tc>
          <w:tcPr>
            <w:tcW w:w="135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1" w:type="dxa"/>
            <w:gridSpan w:val="3"/>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395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Expensify Neue;sans-serif" w:hAnsi="Expensify Neue;sans-serif"/>
                <w:b w:val="false"/>
                <w:color w:val="000000"/>
                <w:sz w:val="20"/>
              </w:rPr>
            </w:pPr>
            <w:r>
              <w:rPr>
                <w:rFonts w:ascii="Expensify Neue;sans-serif" w:hAnsi="Expensify Neue;sans-serif"/>
                <w:b w:val="false"/>
                <w:color w:val="000000"/>
                <w:sz w:val="20"/>
              </w:rPr>
              <w:t>Weighted average shares of common stock used to compute net loss per share, basic and diluted</w:t>
            </w:r>
          </w:p>
        </w:tc>
        <w:tc>
          <w:tcPr>
            <w:tcW w:w="12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Expensify Neue;sans-serif" w:hAnsi="Expensify Neue;sans-serif"/>
                <w:b w:val="false"/>
                <w:color w:val="000000"/>
                <w:sz w:val="20"/>
              </w:rPr>
            </w:pPr>
            <w:r>
              <w:rPr>
                <w:rFonts w:ascii="Expensify Neue;sans-serif" w:hAnsi="Expensify Neue;sans-serif"/>
                <w:b w:val="false"/>
                <w:color w:val="000000"/>
                <w:sz w:val="20"/>
              </w:rPr>
              <w:t>79,577,238 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Expensify Neue;sans-serif" w:hAnsi="Expensify Neue;sans-serif"/>
                <w:b w:val="false"/>
                <w:color w:val="000000"/>
                <w:sz w:val="20"/>
              </w:rPr>
            </w:pPr>
            <w:r>
              <w:rPr>
                <w:rFonts w:ascii="Expensify Neue;sans-serif" w:hAnsi="Expensify Neue;sans-serif"/>
                <w:b w:val="false"/>
                <w:color w:val="000000"/>
                <w:sz w:val="20"/>
              </w:rPr>
              <w:t>4,209,827 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Expensify Neue;sans-serif" w:hAnsi="Expensify Neue;sans-serif"/>
                <w:b w:val="false"/>
                <w:color w:val="000000"/>
                <w:sz w:val="20"/>
              </w:rPr>
            </w:pPr>
            <w:r>
              <w:rPr>
                <w:rFonts w:ascii="Expensify Neue;sans-serif" w:hAnsi="Expensify Neue;sans-serif"/>
                <w:b w:val="false"/>
                <w:color w:val="000000"/>
                <w:sz w:val="20"/>
              </w:rPr>
              <w:t>7,714,018 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Expensify Neue;sans-serif" w:hAnsi="Expensify Neue;sans-serif"/>
                <w:b w:val="false"/>
                <w:color w:val="000000"/>
                <w:sz w:val="20"/>
              </w:rPr>
            </w:pPr>
            <w:r>
              <w:rPr>
                <w:rFonts w:ascii="Expensify Neue;sans-serif" w:hAnsi="Expensify Neue;sans-serif"/>
                <w:b w:val="false"/>
                <w:color w:val="000000"/>
                <w:sz w:val="20"/>
              </w:rPr>
              <w:t>91,501,083 </w:t>
            </w:r>
          </w:p>
        </w:tc>
        <w:tc>
          <w:tcPr>
            <w:tcW w:w="195"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395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Expensify Neue;sans-serif" w:hAnsi="Expensify Neue;sans-serif"/>
                <w:b w:val="false"/>
                <w:color w:val="000000"/>
                <w:sz w:val="20"/>
              </w:rPr>
            </w:pPr>
            <w:r>
              <w:rPr>
                <w:rFonts w:ascii="Expensify Neue;sans-serif" w:hAnsi="Expensify Neue;sans-serif"/>
                <w:b w:val="false"/>
                <w:color w:val="000000"/>
                <w:sz w:val="20"/>
              </w:rPr>
              <w:t>Net loss per share, basic and diluted</w:t>
            </w:r>
          </w:p>
        </w:tc>
        <w:tc>
          <w:tcPr>
            <w:tcW w:w="297"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Expensify Neue;sans-serif" w:hAnsi="Expensify Neue;sans-serif"/>
                <w:b w:val="false"/>
                <w:color w:val="000000"/>
                <w:sz w:val="20"/>
              </w:rPr>
            </w:pPr>
            <w:r>
              <w:rPr>
                <w:rFonts w:ascii="Expensify Neue;sans-serif" w:hAnsi="Expensify Neue;sans-serif"/>
                <w:b w:val="false"/>
                <w:color w:val="000000"/>
                <w:sz w:val="20"/>
              </w:rPr>
              <w:t>$</w:t>
            </w:r>
          </w:p>
        </w:tc>
        <w:tc>
          <w:tcPr>
            <w:tcW w:w="94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Expensify Neue;sans-serif" w:hAnsi="Expensify Neue;sans-serif"/>
                <w:b w:val="false"/>
                <w:color w:val="000000"/>
                <w:sz w:val="20"/>
              </w:rPr>
            </w:pPr>
            <w:r>
              <w:rPr>
                <w:rFonts w:ascii="Expensify Neue;sans-serif" w:hAnsi="Expensify Neue;sans-serif"/>
                <w:b w:val="false"/>
                <w:color w:val="000000"/>
                <w:sz w:val="20"/>
              </w:rPr>
              <w:t>(0.03)</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7"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Expensify Neue;sans-serif" w:hAnsi="Expensify Neue;sans-serif"/>
                <w:b w:val="false"/>
                <w:color w:val="000000"/>
                <w:sz w:val="20"/>
              </w:rPr>
            </w:pPr>
            <w:r>
              <w:rPr>
                <w:rFonts w:ascii="Expensify Neue;sans-serif" w:hAnsi="Expensify Neue;sans-serif"/>
                <w:b w:val="false"/>
                <w:color w:val="000000"/>
                <w:sz w:val="20"/>
              </w:rPr>
              <w:t>$</w:t>
            </w:r>
          </w:p>
        </w:tc>
        <w:tc>
          <w:tcPr>
            <w:tcW w:w="81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Expensify Neue;sans-serif" w:hAnsi="Expensify Neue;sans-serif"/>
                <w:b w:val="false"/>
                <w:color w:val="000000"/>
                <w:sz w:val="20"/>
              </w:rPr>
            </w:pPr>
            <w:r>
              <w:rPr>
                <w:rFonts w:ascii="Expensify Neue;sans-serif" w:hAnsi="Expensify Neue;sans-serif"/>
                <w:b w:val="false"/>
                <w:color w:val="000000"/>
                <w:sz w:val="20"/>
              </w:rPr>
              <w:t>(0.03)</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7"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Expensify Neue;sans-serif" w:hAnsi="Expensify Neue;sans-serif"/>
                <w:b w:val="false"/>
                <w:color w:val="000000"/>
                <w:sz w:val="20"/>
              </w:rPr>
            </w:pPr>
            <w:r>
              <w:rPr>
                <w:rFonts w:ascii="Expensify Neue;sans-serif" w:hAnsi="Expensify Neue;sans-serif"/>
                <w:b w:val="false"/>
                <w:color w:val="000000"/>
                <w:sz w:val="20"/>
              </w:rPr>
              <w:t>$</w:t>
            </w:r>
          </w:p>
        </w:tc>
        <w:tc>
          <w:tcPr>
            <w:tcW w:w="81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Expensify Neue;sans-serif" w:hAnsi="Expensify Neue;sans-serif"/>
                <w:b w:val="false"/>
                <w:color w:val="000000"/>
                <w:sz w:val="20"/>
              </w:rPr>
            </w:pPr>
            <w:r>
              <w:rPr>
                <w:rFonts w:ascii="Expensify Neue;sans-serif" w:hAnsi="Expensify Neue;sans-serif"/>
                <w:b w:val="false"/>
                <w:color w:val="000000"/>
                <w:sz w:val="20"/>
              </w:rPr>
              <w:t>(0.03)</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7"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Expensify Neue;sans-serif" w:hAnsi="Expensify Neue;sans-serif"/>
                <w:b w:val="false"/>
                <w:color w:val="000000"/>
                <w:sz w:val="20"/>
              </w:rPr>
            </w:pPr>
            <w:r>
              <w:rPr>
                <w:rFonts w:ascii="Expensify Neue;sans-serif" w:hAnsi="Expensify Neue;sans-serif"/>
                <w:b w:val="false"/>
                <w:color w:val="000000"/>
                <w:sz w:val="20"/>
              </w:rPr>
              <w:t>$</w:t>
            </w:r>
          </w:p>
        </w:tc>
        <w:tc>
          <w:tcPr>
            <w:tcW w:w="94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Expensify Neue;sans-serif" w:hAnsi="Expensify Neue;sans-serif"/>
                <w:b w:val="false"/>
                <w:color w:val="000000"/>
                <w:sz w:val="20"/>
              </w:rPr>
            </w:pPr>
            <w:r>
              <w:rPr>
                <w:rFonts w:ascii="Expensify Neue;sans-serif" w:hAnsi="Expensify Neue;sans-serif"/>
                <w:b w:val="false"/>
                <w:color w:val="000000"/>
                <w:sz w:val="20"/>
              </w:rPr>
              <w:t>(0.03)</w:t>
            </w:r>
          </w:p>
        </w:tc>
        <w:tc>
          <w:tcPr>
            <w:tcW w:w="19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58"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355"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235"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235"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441"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1532"/>
        <w:gridCol w:w="1212"/>
        <w:gridCol w:w="1214"/>
        <w:gridCol w:w="297"/>
        <w:gridCol w:w="949"/>
        <w:gridCol w:w="109"/>
        <w:gridCol w:w="109"/>
        <w:gridCol w:w="109"/>
        <w:gridCol w:w="109"/>
        <w:gridCol w:w="307"/>
        <w:gridCol w:w="819"/>
        <w:gridCol w:w="109"/>
        <w:gridCol w:w="109"/>
        <w:gridCol w:w="109"/>
        <w:gridCol w:w="109"/>
        <w:gridCol w:w="307"/>
        <w:gridCol w:w="819"/>
        <w:gridCol w:w="109"/>
        <w:gridCol w:w="109"/>
        <w:gridCol w:w="109"/>
        <w:gridCol w:w="109"/>
        <w:gridCol w:w="297"/>
        <w:gridCol w:w="949"/>
        <w:gridCol w:w="195"/>
      </w:tblGrid>
      <w:tr>
        <w:trPr/>
        <w:tc>
          <w:tcPr>
            <w:tcW w:w="1532" w:type="dxa"/>
            <w:tcBorders/>
            <w:vAlign w:val="center"/>
          </w:tcPr>
          <w:p>
            <w:pPr>
              <w:pStyle w:val="TableContents"/>
              <w:bidi w:val="0"/>
              <w:spacing w:before="0" w:after="283"/>
              <w:jc w:val="left"/>
              <w:rPr>
                <w:sz w:val="4"/>
                <w:szCs w:val="4"/>
              </w:rPr>
            </w:pPr>
            <w:r>
              <w:rPr>
                <w:sz w:val="4"/>
                <w:szCs w:val="4"/>
              </w:rPr>
            </w:r>
          </w:p>
        </w:tc>
        <w:tc>
          <w:tcPr>
            <w:tcW w:w="1212" w:type="dxa"/>
            <w:tcBorders/>
            <w:vAlign w:val="center"/>
          </w:tcPr>
          <w:p>
            <w:pPr>
              <w:pStyle w:val="TableContents"/>
              <w:bidi w:val="0"/>
              <w:spacing w:before="0" w:after="283"/>
              <w:jc w:val="left"/>
              <w:rPr>
                <w:sz w:val="4"/>
                <w:szCs w:val="4"/>
              </w:rPr>
            </w:pPr>
            <w:r>
              <w:rPr>
                <w:sz w:val="4"/>
                <w:szCs w:val="4"/>
              </w:rPr>
            </w:r>
          </w:p>
        </w:tc>
        <w:tc>
          <w:tcPr>
            <w:tcW w:w="1214" w:type="dxa"/>
            <w:tcBorders/>
            <w:vAlign w:val="center"/>
          </w:tcPr>
          <w:p>
            <w:pPr>
              <w:pStyle w:val="TableContents"/>
              <w:bidi w:val="0"/>
              <w:spacing w:before="0" w:after="283"/>
              <w:jc w:val="left"/>
              <w:rPr>
                <w:sz w:val="4"/>
                <w:szCs w:val="4"/>
              </w:rPr>
            </w:pPr>
            <w:r>
              <w:rPr>
                <w:sz w:val="4"/>
                <w:szCs w:val="4"/>
              </w:rPr>
            </w:r>
          </w:p>
        </w:tc>
        <w:tc>
          <w:tcPr>
            <w:tcW w:w="297" w:type="dxa"/>
            <w:tcBorders/>
            <w:vAlign w:val="center"/>
          </w:tcPr>
          <w:p>
            <w:pPr>
              <w:pStyle w:val="TableContents"/>
              <w:bidi w:val="0"/>
              <w:spacing w:before="0" w:after="283"/>
              <w:jc w:val="left"/>
              <w:rPr>
                <w:sz w:val="4"/>
                <w:szCs w:val="4"/>
              </w:rPr>
            </w:pPr>
            <w:r>
              <w:rPr>
                <w:sz w:val="4"/>
                <w:szCs w:val="4"/>
              </w:rPr>
            </w:r>
          </w:p>
        </w:tc>
        <w:tc>
          <w:tcPr>
            <w:tcW w:w="94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7" w:type="dxa"/>
            <w:tcBorders/>
            <w:vAlign w:val="center"/>
          </w:tcPr>
          <w:p>
            <w:pPr>
              <w:pStyle w:val="TableContents"/>
              <w:bidi w:val="0"/>
              <w:spacing w:before="0" w:after="283"/>
              <w:jc w:val="left"/>
              <w:rPr>
                <w:sz w:val="4"/>
                <w:szCs w:val="4"/>
              </w:rPr>
            </w:pPr>
            <w:r>
              <w:rPr>
                <w:sz w:val="4"/>
                <w:szCs w:val="4"/>
              </w:rPr>
            </w:r>
          </w:p>
        </w:tc>
        <w:tc>
          <w:tcPr>
            <w:tcW w:w="81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7" w:type="dxa"/>
            <w:tcBorders/>
            <w:vAlign w:val="center"/>
          </w:tcPr>
          <w:p>
            <w:pPr>
              <w:pStyle w:val="TableContents"/>
              <w:bidi w:val="0"/>
              <w:spacing w:before="0" w:after="283"/>
              <w:jc w:val="left"/>
              <w:rPr>
                <w:sz w:val="4"/>
                <w:szCs w:val="4"/>
              </w:rPr>
            </w:pPr>
            <w:r>
              <w:rPr>
                <w:sz w:val="4"/>
                <w:szCs w:val="4"/>
              </w:rPr>
            </w:r>
          </w:p>
        </w:tc>
        <w:tc>
          <w:tcPr>
            <w:tcW w:w="81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97" w:type="dxa"/>
            <w:tcBorders/>
            <w:vAlign w:val="center"/>
          </w:tcPr>
          <w:p>
            <w:pPr>
              <w:pStyle w:val="TableContents"/>
              <w:bidi w:val="0"/>
              <w:spacing w:before="0" w:after="283"/>
              <w:jc w:val="left"/>
              <w:rPr>
                <w:sz w:val="4"/>
                <w:szCs w:val="4"/>
              </w:rPr>
            </w:pPr>
            <w:r>
              <w:rPr>
                <w:sz w:val="4"/>
                <w:szCs w:val="4"/>
              </w:rPr>
            </w:r>
          </w:p>
        </w:tc>
        <w:tc>
          <w:tcPr>
            <w:tcW w:w="949" w:type="dxa"/>
            <w:tcBorders/>
            <w:vAlign w:val="center"/>
          </w:tcPr>
          <w:p>
            <w:pPr>
              <w:pStyle w:val="TableContents"/>
              <w:bidi w:val="0"/>
              <w:spacing w:before="0" w:after="283"/>
              <w:jc w:val="left"/>
              <w:rPr>
                <w:sz w:val="4"/>
                <w:szCs w:val="4"/>
              </w:rPr>
            </w:pPr>
            <w:r>
              <w:rPr>
                <w:sz w:val="4"/>
                <w:szCs w:val="4"/>
              </w:rPr>
            </w:r>
          </w:p>
        </w:tc>
        <w:tc>
          <w:tcPr>
            <w:tcW w:w="195" w:type="dxa"/>
            <w:tcBorders/>
            <w:vAlign w:val="center"/>
          </w:tcPr>
          <w:p>
            <w:pPr>
              <w:pStyle w:val="TableContents"/>
              <w:bidi w:val="0"/>
              <w:spacing w:before="0" w:after="283"/>
              <w:jc w:val="left"/>
              <w:rPr>
                <w:sz w:val="4"/>
                <w:szCs w:val="4"/>
              </w:rPr>
            </w:pPr>
            <w:r>
              <w:rPr>
                <w:sz w:val="4"/>
                <w:szCs w:val="4"/>
              </w:rPr>
            </w:r>
          </w:p>
        </w:tc>
      </w:tr>
      <w:tr>
        <w:trPr/>
        <w:tc>
          <w:tcPr>
            <w:tcW w:w="3958" w:type="dxa"/>
            <w:gridSpan w:val="3"/>
            <w:tcBorders>
              <w:top w:val="single" w:sz="1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47" w:type="dxa"/>
            <w:gridSpan w:val="21"/>
            <w:tcBorders>
              <w:top w:val="single" w:sz="16"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Expensify Neue;sans-serif" w:hAnsi="Expensify Neue;sans-serif"/>
                <w:b/>
                <w:color w:val="000000"/>
                <w:sz w:val="16"/>
              </w:rPr>
            </w:pPr>
            <w:r>
              <w:rPr>
                <w:rFonts w:ascii="Expensify Neue;sans-serif" w:hAnsi="Expensify Neue;sans-serif"/>
                <w:b/>
                <w:color w:val="000000"/>
                <w:sz w:val="16"/>
              </w:rPr>
              <w:t>Three Months Ended March 31, 2024</w:t>
            </w:r>
          </w:p>
        </w:tc>
      </w:tr>
      <w:tr>
        <w:trPr/>
        <w:tc>
          <w:tcPr>
            <w:tcW w:w="395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Expensify Neue;sans-serif" w:hAnsi="Expensify Neue;sans-serif"/>
                <w:b/>
                <w:color w:val="000000"/>
                <w:sz w:val="16"/>
              </w:rPr>
            </w:pPr>
            <w:r>
              <w:rPr>
                <w:rFonts w:ascii="Expensify Neue;sans-serif" w:hAnsi="Expensify Neue;sans-serif"/>
                <w:b/>
                <w:color w:val="000000"/>
                <w:sz w:val="16"/>
              </w:rPr>
              <w:t>Class A</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Expensify Neue;sans-serif" w:hAnsi="Expensify Neue;sans-serif"/>
                <w:b/>
                <w:color w:val="000000"/>
                <w:sz w:val="16"/>
              </w:rPr>
            </w:pPr>
            <w:r>
              <w:rPr>
                <w:rFonts w:ascii="Expensify Neue;sans-serif" w:hAnsi="Expensify Neue;sans-serif"/>
                <w:b/>
                <w:color w:val="000000"/>
                <w:sz w:val="16"/>
              </w:rPr>
              <w:t>LT10</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Expensify Neue;sans-serif" w:hAnsi="Expensify Neue;sans-serif"/>
                <w:b/>
                <w:color w:val="000000"/>
                <w:sz w:val="16"/>
              </w:rPr>
            </w:pPr>
            <w:r>
              <w:rPr>
                <w:rFonts w:ascii="Expensify Neue;sans-serif" w:hAnsi="Expensify Neue;sans-serif"/>
                <w:b/>
                <w:color w:val="000000"/>
                <w:sz w:val="16"/>
              </w:rPr>
              <w:t>LT50</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Expensify Neue;sans-serif" w:hAnsi="Expensify Neue;sans-serif"/>
                <w:b/>
                <w:color w:val="000000"/>
                <w:sz w:val="16"/>
              </w:rPr>
            </w:pPr>
            <w:r>
              <w:rPr>
                <w:rFonts w:ascii="Expensify Neue;sans-serif" w:hAnsi="Expensify Neue;sans-serif"/>
                <w:b/>
                <w:color w:val="000000"/>
                <w:sz w:val="16"/>
              </w:rPr>
              <w:t>Consolidated</w:t>
            </w:r>
          </w:p>
        </w:tc>
      </w:tr>
      <w:tr>
        <w:trPr/>
        <w:tc>
          <w:tcPr>
            <w:tcW w:w="395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Expensify Neue;sans-serif" w:hAnsi="Expensify Neue;sans-serif"/>
                <w:b w:val="false"/>
                <w:color w:val="000000"/>
                <w:sz w:val="20"/>
              </w:rPr>
            </w:pPr>
            <w:r>
              <w:rPr>
                <w:rFonts w:ascii="Expensify Neue;sans-serif" w:hAnsi="Expensify Neue;sans-serif"/>
                <w:b w:val="false"/>
                <w:color w:val="000000"/>
                <w:sz w:val="20"/>
              </w:rPr>
              <w:t>Numerator</w:t>
            </w:r>
          </w:p>
        </w:tc>
        <w:tc>
          <w:tcPr>
            <w:tcW w:w="1355"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5"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5"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395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Expensify Neue;sans-serif" w:hAnsi="Expensify Neue;sans-serif"/>
                <w:b w:val="false"/>
                <w:color w:val="000000"/>
                <w:sz w:val="20"/>
              </w:rPr>
            </w:pPr>
            <w:r>
              <w:rPr>
                <w:rFonts w:ascii="Expensify Neue;sans-serif" w:hAnsi="Expensify Neue;sans-serif"/>
                <w:b w:val="false"/>
                <w:color w:val="000000"/>
                <w:sz w:val="20"/>
              </w:rPr>
              <w:t>Net loss, basic and diluted</w:t>
            </w:r>
          </w:p>
        </w:tc>
        <w:tc>
          <w:tcPr>
            <w:tcW w:w="297"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Expensify Neue;sans-serif" w:hAnsi="Expensify Neue;sans-serif"/>
                <w:b w:val="false"/>
                <w:color w:val="000000"/>
                <w:sz w:val="20"/>
              </w:rPr>
            </w:pPr>
            <w:r>
              <w:rPr>
                <w:rFonts w:ascii="Expensify Neue;sans-serif" w:hAnsi="Expensify Neue;sans-serif"/>
                <w:b w:val="false"/>
                <w:color w:val="000000"/>
                <w:sz w:val="20"/>
              </w:rPr>
              <w:t>$</w:t>
            </w:r>
          </w:p>
        </w:tc>
        <w:tc>
          <w:tcPr>
            <w:tcW w:w="94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Expensify Neue;sans-serif" w:hAnsi="Expensify Neue;sans-serif"/>
                <w:b w:val="false"/>
                <w:color w:val="000000"/>
                <w:sz w:val="20"/>
              </w:rPr>
            </w:pPr>
            <w:r>
              <w:rPr>
                <w:rFonts w:ascii="Expensify Neue;sans-serif" w:hAnsi="Expensify Neue;sans-serif"/>
                <w:b w:val="false"/>
                <w:color w:val="000000"/>
                <w:sz w:val="20"/>
              </w:rPr>
              <w:t>(3,130)</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7"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Expensify Neue;sans-serif" w:hAnsi="Expensify Neue;sans-serif"/>
                <w:b w:val="false"/>
                <w:color w:val="000000"/>
                <w:sz w:val="20"/>
              </w:rPr>
            </w:pPr>
            <w:r>
              <w:rPr>
                <w:rFonts w:ascii="Expensify Neue;sans-serif" w:hAnsi="Expensify Neue;sans-serif"/>
                <w:b w:val="false"/>
                <w:color w:val="000000"/>
                <w:sz w:val="20"/>
              </w:rPr>
              <w:t>$</w:t>
            </w:r>
          </w:p>
        </w:tc>
        <w:tc>
          <w:tcPr>
            <w:tcW w:w="81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Expensify Neue;sans-serif" w:hAnsi="Expensify Neue;sans-serif"/>
                <w:b w:val="false"/>
                <w:color w:val="000000"/>
                <w:sz w:val="20"/>
              </w:rPr>
            </w:pPr>
            <w:r>
              <w:rPr>
                <w:rFonts w:ascii="Expensify Neue;sans-serif" w:hAnsi="Expensify Neue;sans-serif"/>
                <w:b w:val="false"/>
                <w:color w:val="000000"/>
                <w:sz w:val="20"/>
              </w:rPr>
              <w:t>(326)</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7"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Expensify Neue;sans-serif" w:hAnsi="Expensify Neue;sans-serif"/>
                <w:b w:val="false"/>
                <w:color w:val="000000"/>
                <w:sz w:val="20"/>
              </w:rPr>
            </w:pPr>
            <w:r>
              <w:rPr>
                <w:rFonts w:ascii="Expensify Neue;sans-serif" w:hAnsi="Expensify Neue;sans-serif"/>
                <w:b w:val="false"/>
                <w:color w:val="000000"/>
                <w:sz w:val="20"/>
              </w:rPr>
              <w:t>$</w:t>
            </w:r>
          </w:p>
        </w:tc>
        <w:tc>
          <w:tcPr>
            <w:tcW w:w="81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Expensify Neue;sans-serif" w:hAnsi="Expensify Neue;sans-serif"/>
                <w:b w:val="false"/>
                <w:color w:val="000000"/>
                <w:sz w:val="20"/>
              </w:rPr>
            </w:pPr>
            <w:r>
              <w:rPr>
                <w:rFonts w:ascii="Expensify Neue;sans-serif" w:hAnsi="Expensify Neue;sans-serif"/>
                <w:b w:val="false"/>
                <w:color w:val="000000"/>
                <w:sz w:val="20"/>
              </w:rPr>
              <w:t>(325)</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7"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Expensify Neue;sans-serif" w:hAnsi="Expensify Neue;sans-serif"/>
                <w:b w:val="false"/>
                <w:color w:val="000000"/>
                <w:sz w:val="20"/>
              </w:rPr>
            </w:pPr>
            <w:r>
              <w:rPr>
                <w:rFonts w:ascii="Expensify Neue;sans-serif" w:hAnsi="Expensify Neue;sans-serif"/>
                <w:b w:val="false"/>
                <w:color w:val="000000"/>
                <w:sz w:val="20"/>
              </w:rPr>
              <w:t>$</w:t>
            </w:r>
          </w:p>
        </w:tc>
        <w:tc>
          <w:tcPr>
            <w:tcW w:w="94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Expensify Neue;sans-serif" w:hAnsi="Expensify Neue;sans-serif"/>
                <w:b w:val="false"/>
                <w:color w:val="000000"/>
                <w:sz w:val="20"/>
              </w:rPr>
            </w:pPr>
            <w:r>
              <w:rPr>
                <w:rFonts w:ascii="Expensify Neue;sans-serif" w:hAnsi="Expensify Neue;sans-serif"/>
                <w:b w:val="false"/>
                <w:color w:val="000000"/>
                <w:sz w:val="20"/>
              </w:rPr>
              <w:t>(3,781)</w:t>
            </w:r>
          </w:p>
        </w:tc>
        <w:tc>
          <w:tcPr>
            <w:tcW w:w="19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5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Expensify Neue;sans-serif" w:hAnsi="Expensify Neue;sans-serif"/>
                <w:b w:val="false"/>
                <w:color w:val="000000"/>
                <w:sz w:val="20"/>
              </w:rPr>
            </w:pPr>
            <w:r>
              <w:rPr>
                <w:rFonts w:ascii="Expensify Neue;sans-serif" w:hAnsi="Expensify Neue;sans-serif"/>
                <w:b w:val="false"/>
                <w:color w:val="000000"/>
                <w:sz w:val="20"/>
              </w:rPr>
              <w:t>Denominator</w:t>
            </w:r>
          </w:p>
        </w:tc>
        <w:tc>
          <w:tcPr>
            <w:tcW w:w="135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1" w:type="dxa"/>
            <w:gridSpan w:val="3"/>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395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Expensify Neue;sans-serif" w:hAnsi="Expensify Neue;sans-serif"/>
                <w:b w:val="false"/>
                <w:color w:val="000000"/>
                <w:sz w:val="20"/>
              </w:rPr>
            </w:pPr>
            <w:r>
              <w:rPr>
                <w:rFonts w:ascii="Expensify Neue;sans-serif" w:hAnsi="Expensify Neue;sans-serif"/>
                <w:b w:val="false"/>
                <w:color w:val="000000"/>
                <w:sz w:val="20"/>
              </w:rPr>
              <w:t>Weighted average shares of common stock used to compute net loss per share, basic and diluted</w:t>
            </w:r>
          </w:p>
        </w:tc>
        <w:tc>
          <w:tcPr>
            <w:tcW w:w="12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Expensify Neue;sans-serif" w:hAnsi="Expensify Neue;sans-serif"/>
                <w:b w:val="false"/>
                <w:color w:val="000000"/>
                <w:sz w:val="20"/>
              </w:rPr>
            </w:pPr>
            <w:r>
              <w:rPr>
                <w:rFonts w:ascii="Expensify Neue;sans-serif" w:hAnsi="Expensify Neue;sans-serif"/>
                <w:b w:val="false"/>
                <w:color w:val="000000"/>
                <w:sz w:val="20"/>
              </w:rPr>
              <w:t>70,486,146 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Expensify Neue;sans-serif" w:hAnsi="Expensify Neue;sans-serif"/>
                <w:b w:val="false"/>
                <w:color w:val="000000"/>
                <w:sz w:val="20"/>
              </w:rPr>
            </w:pPr>
            <w:r>
              <w:rPr>
                <w:rFonts w:ascii="Expensify Neue;sans-serif" w:hAnsi="Expensify Neue;sans-serif"/>
                <w:b w:val="false"/>
                <w:color w:val="000000"/>
                <w:sz w:val="20"/>
              </w:rPr>
              <w:t>7,333,432 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Expensify Neue;sans-serif" w:hAnsi="Expensify Neue;sans-serif"/>
                <w:b w:val="false"/>
                <w:color w:val="000000"/>
                <w:sz w:val="20"/>
              </w:rPr>
            </w:pPr>
            <w:r>
              <w:rPr>
                <w:rFonts w:ascii="Expensify Neue;sans-serif" w:hAnsi="Expensify Neue;sans-serif"/>
                <w:b w:val="false"/>
                <w:color w:val="000000"/>
                <w:sz w:val="20"/>
              </w:rPr>
              <w:t>7,321,833 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Expensify Neue;sans-serif" w:hAnsi="Expensify Neue;sans-serif"/>
                <w:b w:val="false"/>
                <w:color w:val="000000"/>
                <w:sz w:val="20"/>
              </w:rPr>
            </w:pPr>
            <w:r>
              <w:rPr>
                <w:rFonts w:ascii="Expensify Neue;sans-serif" w:hAnsi="Expensify Neue;sans-serif"/>
                <w:b w:val="false"/>
                <w:color w:val="000000"/>
                <w:sz w:val="20"/>
              </w:rPr>
              <w:t>85,141,411 </w:t>
            </w:r>
          </w:p>
        </w:tc>
        <w:tc>
          <w:tcPr>
            <w:tcW w:w="195"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395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Expensify Neue;sans-serif" w:hAnsi="Expensify Neue;sans-serif"/>
                <w:b w:val="false"/>
                <w:color w:val="000000"/>
                <w:sz w:val="20"/>
              </w:rPr>
            </w:pPr>
            <w:r>
              <w:rPr>
                <w:rFonts w:ascii="Expensify Neue;sans-serif" w:hAnsi="Expensify Neue;sans-serif"/>
                <w:b w:val="false"/>
                <w:color w:val="000000"/>
                <w:sz w:val="20"/>
              </w:rPr>
              <w:t>Net loss per share, basic and diluted</w:t>
            </w:r>
          </w:p>
        </w:tc>
        <w:tc>
          <w:tcPr>
            <w:tcW w:w="297"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Expensify Neue;sans-serif" w:hAnsi="Expensify Neue;sans-serif"/>
                <w:b w:val="false"/>
                <w:color w:val="000000"/>
                <w:sz w:val="20"/>
              </w:rPr>
            </w:pPr>
            <w:r>
              <w:rPr>
                <w:rFonts w:ascii="Expensify Neue;sans-serif" w:hAnsi="Expensify Neue;sans-serif"/>
                <w:b w:val="false"/>
                <w:color w:val="000000"/>
                <w:sz w:val="20"/>
              </w:rPr>
              <w:t>$</w:t>
            </w:r>
          </w:p>
        </w:tc>
        <w:tc>
          <w:tcPr>
            <w:tcW w:w="94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Expensify Neue;sans-serif" w:hAnsi="Expensify Neue;sans-serif"/>
                <w:b w:val="false"/>
                <w:color w:val="000000"/>
                <w:sz w:val="20"/>
              </w:rPr>
            </w:pPr>
            <w:r>
              <w:rPr>
                <w:rFonts w:ascii="Expensify Neue;sans-serif" w:hAnsi="Expensify Neue;sans-serif"/>
                <w:b w:val="false"/>
                <w:color w:val="000000"/>
                <w:sz w:val="20"/>
              </w:rPr>
              <w:t>(0.04)</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7"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Expensify Neue;sans-serif" w:hAnsi="Expensify Neue;sans-serif"/>
                <w:b w:val="false"/>
                <w:color w:val="000000"/>
                <w:sz w:val="20"/>
              </w:rPr>
            </w:pPr>
            <w:r>
              <w:rPr>
                <w:rFonts w:ascii="Expensify Neue;sans-serif" w:hAnsi="Expensify Neue;sans-serif"/>
                <w:b w:val="false"/>
                <w:color w:val="000000"/>
                <w:sz w:val="20"/>
              </w:rPr>
              <w:t>$</w:t>
            </w:r>
          </w:p>
        </w:tc>
        <w:tc>
          <w:tcPr>
            <w:tcW w:w="81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Expensify Neue;sans-serif" w:hAnsi="Expensify Neue;sans-serif"/>
                <w:b w:val="false"/>
                <w:color w:val="000000"/>
                <w:sz w:val="20"/>
              </w:rPr>
            </w:pPr>
            <w:r>
              <w:rPr>
                <w:rFonts w:ascii="Expensify Neue;sans-serif" w:hAnsi="Expensify Neue;sans-serif"/>
                <w:b w:val="false"/>
                <w:color w:val="000000"/>
                <w:sz w:val="20"/>
              </w:rPr>
              <w:t>(0.04)</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7"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Expensify Neue;sans-serif" w:hAnsi="Expensify Neue;sans-serif"/>
                <w:b w:val="false"/>
                <w:color w:val="000000"/>
                <w:sz w:val="20"/>
              </w:rPr>
            </w:pPr>
            <w:r>
              <w:rPr>
                <w:rFonts w:ascii="Expensify Neue;sans-serif" w:hAnsi="Expensify Neue;sans-serif"/>
                <w:b w:val="false"/>
                <w:color w:val="000000"/>
                <w:sz w:val="20"/>
              </w:rPr>
              <w:t>$</w:t>
            </w:r>
          </w:p>
        </w:tc>
        <w:tc>
          <w:tcPr>
            <w:tcW w:w="81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Expensify Neue;sans-serif" w:hAnsi="Expensify Neue;sans-serif"/>
                <w:b w:val="false"/>
                <w:color w:val="000000"/>
                <w:sz w:val="20"/>
              </w:rPr>
            </w:pPr>
            <w:r>
              <w:rPr>
                <w:rFonts w:ascii="Expensify Neue;sans-serif" w:hAnsi="Expensify Neue;sans-serif"/>
                <w:b w:val="false"/>
                <w:color w:val="000000"/>
                <w:sz w:val="20"/>
              </w:rPr>
              <w:t>(0.04)</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7"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Expensify Neue;sans-serif" w:hAnsi="Expensify Neue;sans-serif"/>
                <w:b w:val="false"/>
                <w:color w:val="000000"/>
                <w:sz w:val="20"/>
              </w:rPr>
            </w:pPr>
            <w:r>
              <w:rPr>
                <w:rFonts w:ascii="Expensify Neue;sans-serif" w:hAnsi="Expensify Neue;sans-serif"/>
                <w:b w:val="false"/>
                <w:color w:val="000000"/>
                <w:sz w:val="20"/>
              </w:rPr>
              <w:t>$</w:t>
            </w:r>
          </w:p>
        </w:tc>
        <w:tc>
          <w:tcPr>
            <w:tcW w:w="94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Expensify Neue;sans-serif" w:hAnsi="Expensify Neue;sans-serif"/>
                <w:b w:val="false"/>
                <w:color w:val="000000"/>
                <w:sz w:val="20"/>
              </w:rPr>
            </w:pPr>
            <w:r>
              <w:rPr>
                <w:rFonts w:ascii="Expensify Neue;sans-serif" w:hAnsi="Expensify Neue;sans-serif"/>
                <w:b w:val="false"/>
                <w:color w:val="000000"/>
                <w:sz w:val="20"/>
              </w:rPr>
              <w:t>(0.04)</w:t>
            </w:r>
          </w:p>
        </w:tc>
        <w:tc>
          <w:tcPr>
            <w:tcW w:w="19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58"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355"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235"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235"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441"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160"/>
        <w:jc w:val="left"/>
        <w:rPr>
          <w:rFonts w:ascii="Expensify Neue;sans-serif" w:hAnsi="Expensify Neue;sans-serif"/>
          <w:b w:val="false"/>
          <w:color w:val="000000"/>
          <w:sz w:val="20"/>
        </w:rPr>
      </w:pPr>
      <w:r>
        <w:rPr>
          <w:rFonts w:ascii="Expensify Neue;sans-serif" w:hAnsi="Expensify Neue;sans-serif"/>
          <w:b w:val="false"/>
          <w:color w:val="000000"/>
          <w:sz w:val="20"/>
        </w:rPr>
        <w:t>The rights, including the liquidation and dividend rights, of the holders of Class A, LT10 and LT50 common stock are identical, except with respect to voting, conversion and transfer rights. Each share of Class A common stock is entitled to one vote per share, each share of LT10 common stock is entitled to ten votes per share and each share of LT50 common stock is entitled to 50 votes per share. Each share of LT10 and LT50 common stock is convertible into one share of Class A common stock voluntarily at the option of the holder after the satisfaction of certain requirements, which includes a ten-month notice period for LT10 common stock and a 50-month notice period for LT50 common stock to convert to Class A common stock, or automatically upon certain events. The Class A common stock has no conversion rights. As the liquidation and dividend rights are identical for Class A, LT10 and LT50 common stock, the undistributed earnings are allocated on a proportional basis based on the number of weighted average shares within each class of common stock during the period and the resulting net loss per share attributable to common stockholders will be the same for the Class A, LT10 and LT50 common stock on an individual or combined basis.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5">
                <wp:simplePos x="0" y="0"/>
                <wp:positionH relativeFrom="character">
                  <wp:align>left</wp:align>
                </wp:positionH>
                <wp:positionV relativeFrom="line">
                  <wp:posOffset>635</wp:posOffset>
                </wp:positionV>
                <wp:extent cx="6480175" cy="599440"/>
                <wp:effectExtent l="0" t="0" r="0" b="0"/>
                <wp:wrapNone/>
                <wp:docPr id="24" name="Frame23"/>
                <a:graphic xmlns:a="http://schemas.openxmlformats.org/drawingml/2006/main">
                  <a:graphicData uri="http://schemas.microsoft.com/office/word/2010/wordprocessingShape">
                    <wps:wsp>
                      <wps:cNvSpPr txBox="1"/>
                      <wps:spPr>
                        <a:xfrm>
                          <a:off x="0" y="0"/>
                          <a:ext cx="6480175" cy="599440"/>
                        </a:xfrm>
                        <a:prstGeom prst="rect"/>
                        <a:solidFill>
                          <a:srgbClr val="FFFFFF"/>
                        </a:solidFill>
                      </wps:spPr>
                      <wps:txbx>
                        <w:txbxContent>
                          <w:tbl>
                            <w:tblPr>
                              <w:tblW w:w="406" w:type="dxa"/>
                              <w:jc w:val="left"/>
                              <w:tblInd w:w="0" w:type="dxa"/>
                              <w:tblLayout w:type="fixed"/>
                              <w:tblCellMar>
                                <w:top w:w="28" w:type="dxa"/>
                                <w:left w:w="28" w:type="dxa"/>
                                <w:bottom w:w="28" w:type="dxa"/>
                                <w:right w:w="28" w:type="dxa"/>
                              </w:tblCellMar>
                            </w:tblPr>
                            <w:tblGrid>
                              <w:gridCol w:w="130"/>
                              <w:gridCol w:w="114"/>
                              <w:gridCol w:w="162"/>
                            </w:tblGrid>
                            <w:tr>
                              <w:trPr/>
                              <w:tc>
                                <w:tcPr>
                                  <w:tcW w:w="130"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rPr/>
                              <w:tc>
                                <w:tcPr>
                                  <w:tcW w:w="406"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0"/>
                                    <w:jc w:val="center"/>
                                    <w:rPr>
                                      <w:rFonts w:ascii="Expensify Neue;sans-serif" w:hAnsi="Expensify Neue;sans-serif"/>
                                      <w:b w:val="false"/>
                                      <w:color w:val="000000"/>
                                      <w:sz w:val="20"/>
                                    </w:rPr>
                                  </w:pPr>
                                  <w:r>
                                    <w:rPr>
                                      <w:rFonts w:ascii="Expensify Neue;sans-serif" w:hAnsi="Expensify Neue;sans-serif"/>
                                      <w:b w:val="false"/>
                                      <w:color w:val="000000"/>
                                      <w:sz w:val="20"/>
                                    </w:rPr>
                                    <w:t>18</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7.2pt;mso-wrap-distance-left:0pt;mso-wrap-distance-right:0pt;mso-wrap-distance-top:0pt;mso-wrap-distance-bottom:0pt;margin-top:0pt;mso-position-vertical:top;mso-position-vertical-relative:text;margin-left:0pt;mso-position-horizontal:left;mso-position-horizontal-relative:text">
                <v:textbox>
                  <w:txbxContent>
                    <w:tbl>
                      <w:tblPr>
                        <w:tblW w:w="406" w:type="dxa"/>
                        <w:jc w:val="left"/>
                        <w:tblInd w:w="0" w:type="dxa"/>
                        <w:tblLayout w:type="fixed"/>
                        <w:tblCellMar>
                          <w:top w:w="28" w:type="dxa"/>
                          <w:left w:w="28" w:type="dxa"/>
                          <w:bottom w:w="28" w:type="dxa"/>
                          <w:right w:w="28" w:type="dxa"/>
                        </w:tblCellMar>
                      </w:tblPr>
                      <w:tblGrid>
                        <w:gridCol w:w="130"/>
                        <w:gridCol w:w="114"/>
                        <w:gridCol w:w="162"/>
                      </w:tblGrid>
                      <w:tr>
                        <w:trPr/>
                        <w:tc>
                          <w:tcPr>
                            <w:tcW w:w="130"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rPr/>
                        <w:tc>
                          <w:tcPr>
                            <w:tcW w:w="406"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0"/>
                              <w:jc w:val="center"/>
                              <w:rPr>
                                <w:rFonts w:ascii="Expensify Neue;sans-serif" w:hAnsi="Expensify Neue;sans-serif"/>
                                <w:b w:val="false"/>
                                <w:color w:val="000000"/>
                                <w:sz w:val="20"/>
                              </w:rPr>
                            </w:pPr>
                            <w:r>
                              <w:rPr>
                                <w:rFonts w:ascii="Expensify Neue;sans-serif" w:hAnsi="Expensify Neue;sans-serif"/>
                                <w:b w:val="false"/>
                                <w:color w:val="000000"/>
                                <w:sz w:val="20"/>
                              </w:rPr>
                              <w:t>18</w:t>
                            </w:r>
                          </w:p>
                        </w:tc>
                      </w:tr>
                    </w:tbl>
                    <w:p>
                      <w:pPr>
                        <w:pStyle w:val="TextBody"/>
                        <w:bidi w:val="0"/>
                        <w:spacing w:before="0" w:after="283"/>
                        <w:jc w:val="left"/>
                        <w:rPr/>
                      </w:pPr>
                      <w:r>
                        <w:rPr/>
                      </w:r>
                    </w:p>
                  </w:txbxContent>
                </v:textbox>
                <w10:wrap type="none"/>
              </v:rect>
            </w:pict>
          </mc:Fallback>
        </mc:AlternateContent>
      </w:r>
    </w:p>
    <w:p>
      <w:pPr>
        <w:pStyle w:val="TextBody"/>
        <w:bidi w:val="0"/>
        <w:spacing w:lineRule="auto" w:line="288" w:before="0" w:after="160"/>
        <w:jc w:val="left"/>
        <w:rPr/>
      </w:pPr>
      <w:hyperlink w:anchor="i52a648c4f0e449f7bc3c2044827c8f0d_7">
        <w:r>
          <w:rPr>
            <w:rStyle w:val="InternetLink"/>
            <w:rFonts w:ascii="Expensify Neue;sans-serif" w:hAnsi="Expensify Neue;sans-serif"/>
            <w:b/>
            <w:color w:val="0000FF"/>
            <w:sz w:val="20"/>
            <w:u w:val="single"/>
          </w:rPr>
          <w:t>Table of Contents</w:t>
        </w:r>
      </w:hyperlink>
    </w:p>
    <w:p>
      <w:pPr>
        <w:pStyle w:val="TextBody"/>
        <w:bidi w:val="0"/>
        <w:spacing w:lineRule="auto" w:line="288" w:before="0" w:after="0"/>
        <w:jc w:val="center"/>
        <w:rPr>
          <w:rFonts w:ascii="Expensify Neue;sans-serif" w:hAnsi="Expensify Neue;sans-serif"/>
          <w:b/>
          <w:color w:val="000000"/>
          <w:sz w:val="24"/>
        </w:rPr>
      </w:pPr>
      <w:r>
        <w:rPr>
          <w:rFonts w:ascii="Expensify Neue;sans-serif" w:hAnsi="Expensify Neue;sans-serif"/>
          <w:b/>
          <w:color w:val="000000"/>
          <w:sz w:val="24"/>
        </w:rPr>
        <w:t>Expensify, Inc.</w:t>
      </w:r>
    </w:p>
    <w:p>
      <w:pPr>
        <w:pStyle w:val="TextBody"/>
        <w:bidi w:val="0"/>
        <w:spacing w:lineRule="auto" w:line="288" w:before="0" w:after="0"/>
        <w:jc w:val="center"/>
        <w:rPr>
          <w:rFonts w:ascii="Expensify Neue;sans-serif" w:hAnsi="Expensify Neue;sans-serif"/>
          <w:b/>
          <w:color w:val="000000"/>
          <w:sz w:val="24"/>
        </w:rPr>
      </w:pPr>
      <w:r>
        <w:rPr>
          <w:rFonts w:ascii="Expensify Neue;sans-serif" w:hAnsi="Expensify Neue;sans-serif"/>
          <w:b/>
          <w:color w:val="000000"/>
          <w:sz w:val="24"/>
        </w:rPr>
        <w:t>Notes to the Condensed Consolidated Financial Statements</w:t>
      </w:r>
    </w:p>
    <w:p>
      <w:pPr>
        <w:pStyle w:val="TextBody"/>
        <w:bidi w:val="0"/>
        <w:spacing w:lineRule="auto" w:line="288" w:before="0" w:after="0"/>
        <w:jc w:val="center"/>
        <w:rPr>
          <w:rFonts w:ascii="Expensify Neue;sans-serif" w:hAnsi="Expensify Neue;sans-serif"/>
          <w:b/>
          <w:color w:val="000000"/>
          <w:sz w:val="20"/>
        </w:rPr>
      </w:pPr>
      <w:r>
        <w:rPr>
          <w:rFonts w:ascii="Expensify Neue;sans-serif" w:hAnsi="Expensify Neue;sans-serif"/>
          <w:b/>
          <w:color w:val="000000"/>
          <w:sz w:val="20"/>
        </w:rPr>
        <w:t>(unaudited)</w:t>
      </w:r>
    </w:p>
    <w:p>
      <w:pPr>
        <w:pStyle w:val="TextBody"/>
        <w:bidi w:val="0"/>
        <w:spacing w:lineRule="auto" w:line="288" w:before="0" w:after="160"/>
        <w:jc w:val="left"/>
        <w:rPr>
          <w:rFonts w:ascii="Expensify Neue;sans-serif" w:hAnsi="Expensify Neue;sans-serif"/>
          <w:b w:val="false"/>
          <w:color w:val="000000"/>
          <w:sz w:val="20"/>
        </w:rPr>
      </w:pPr>
      <w:r>
        <w:rPr>
          <w:rFonts w:ascii="Expensify Neue;sans-serif" w:hAnsi="Expensify Neue;sans-serif"/>
          <w:b w:val="false"/>
          <w:color w:val="000000"/>
          <w:sz w:val="20"/>
        </w:rPr>
        <w:t>The following potentially dilutive shares were not included in the calculation of diluted shares outstanding as the effect would have been anti-dilutive:</w:t>
      </w:r>
    </w:p>
    <w:tbl>
      <w:tblPr>
        <w:tblW w:w="9066" w:type="dxa"/>
        <w:jc w:val="center"/>
        <w:tblInd w:w="0" w:type="dxa"/>
        <w:tblLayout w:type="fixed"/>
        <w:tblCellMar>
          <w:top w:w="28" w:type="dxa"/>
          <w:left w:w="28" w:type="dxa"/>
          <w:bottom w:w="28" w:type="dxa"/>
          <w:right w:w="28" w:type="dxa"/>
        </w:tblCellMar>
      </w:tblPr>
      <w:tblGrid>
        <w:gridCol w:w="1185"/>
        <w:gridCol w:w="1039"/>
        <w:gridCol w:w="1045"/>
        <w:gridCol w:w="563"/>
        <w:gridCol w:w="563"/>
        <w:gridCol w:w="266"/>
        <w:gridCol w:w="168"/>
        <w:gridCol w:w="168"/>
        <w:gridCol w:w="168"/>
        <w:gridCol w:w="203"/>
        <w:gridCol w:w="203"/>
        <w:gridCol w:w="191"/>
        <w:gridCol w:w="168"/>
        <w:gridCol w:w="168"/>
        <w:gridCol w:w="168"/>
        <w:gridCol w:w="203"/>
        <w:gridCol w:w="203"/>
        <w:gridCol w:w="191"/>
        <w:gridCol w:w="168"/>
        <w:gridCol w:w="168"/>
        <w:gridCol w:w="168"/>
        <w:gridCol w:w="563"/>
        <w:gridCol w:w="563"/>
        <w:gridCol w:w="573"/>
      </w:tblGrid>
      <w:tr>
        <w:trPr/>
        <w:tc>
          <w:tcPr>
            <w:tcW w:w="1185" w:type="dxa"/>
            <w:tcBorders/>
            <w:vAlign w:val="center"/>
          </w:tcPr>
          <w:p>
            <w:pPr>
              <w:pStyle w:val="TableContents"/>
              <w:bidi w:val="0"/>
              <w:spacing w:before="0" w:after="283"/>
              <w:jc w:val="left"/>
              <w:rPr>
                <w:sz w:val="4"/>
                <w:szCs w:val="4"/>
              </w:rPr>
            </w:pPr>
            <w:r>
              <w:rPr>
                <w:sz w:val="4"/>
                <w:szCs w:val="4"/>
              </w:rPr>
            </w:r>
          </w:p>
        </w:tc>
        <w:tc>
          <w:tcPr>
            <w:tcW w:w="1039" w:type="dxa"/>
            <w:tcBorders/>
            <w:vAlign w:val="center"/>
          </w:tcPr>
          <w:p>
            <w:pPr>
              <w:pStyle w:val="TableContents"/>
              <w:bidi w:val="0"/>
              <w:spacing w:before="0" w:after="283"/>
              <w:jc w:val="left"/>
              <w:rPr>
                <w:sz w:val="4"/>
                <w:szCs w:val="4"/>
              </w:rPr>
            </w:pPr>
            <w:r>
              <w:rPr>
                <w:sz w:val="4"/>
                <w:szCs w:val="4"/>
              </w:rPr>
            </w:r>
          </w:p>
        </w:tc>
        <w:tc>
          <w:tcPr>
            <w:tcW w:w="1045" w:type="dxa"/>
            <w:tcBorders/>
            <w:vAlign w:val="center"/>
          </w:tcPr>
          <w:p>
            <w:pPr>
              <w:pStyle w:val="TableContents"/>
              <w:bidi w:val="0"/>
              <w:spacing w:before="0" w:after="283"/>
              <w:jc w:val="left"/>
              <w:rPr>
                <w:sz w:val="4"/>
                <w:szCs w:val="4"/>
              </w:rPr>
            </w:pPr>
            <w:r>
              <w:rPr>
                <w:sz w:val="4"/>
                <w:szCs w:val="4"/>
              </w:rPr>
            </w:r>
          </w:p>
        </w:tc>
        <w:tc>
          <w:tcPr>
            <w:tcW w:w="563" w:type="dxa"/>
            <w:tcBorders/>
            <w:vAlign w:val="center"/>
          </w:tcPr>
          <w:p>
            <w:pPr>
              <w:pStyle w:val="TableContents"/>
              <w:bidi w:val="0"/>
              <w:spacing w:before="0" w:after="283"/>
              <w:jc w:val="left"/>
              <w:rPr>
                <w:sz w:val="4"/>
                <w:szCs w:val="4"/>
              </w:rPr>
            </w:pPr>
            <w:r>
              <w:rPr>
                <w:sz w:val="4"/>
                <w:szCs w:val="4"/>
              </w:rPr>
            </w:r>
          </w:p>
        </w:tc>
        <w:tc>
          <w:tcPr>
            <w:tcW w:w="563" w:type="dxa"/>
            <w:tcBorders/>
            <w:vAlign w:val="center"/>
          </w:tcPr>
          <w:p>
            <w:pPr>
              <w:pStyle w:val="TableContents"/>
              <w:bidi w:val="0"/>
              <w:spacing w:before="0" w:after="283"/>
              <w:jc w:val="left"/>
              <w:rPr>
                <w:sz w:val="4"/>
                <w:szCs w:val="4"/>
              </w:rPr>
            </w:pPr>
            <w:r>
              <w:rPr>
                <w:sz w:val="4"/>
                <w:szCs w:val="4"/>
              </w:rPr>
            </w:r>
          </w:p>
        </w:tc>
        <w:tc>
          <w:tcPr>
            <w:tcW w:w="266" w:type="dxa"/>
            <w:tcBorders/>
            <w:vAlign w:val="center"/>
          </w:tcPr>
          <w:p>
            <w:pPr>
              <w:pStyle w:val="TableContents"/>
              <w:bidi w:val="0"/>
              <w:spacing w:before="0" w:after="283"/>
              <w:jc w:val="left"/>
              <w:rPr>
                <w:sz w:val="4"/>
                <w:szCs w:val="4"/>
              </w:rPr>
            </w:pPr>
            <w:r>
              <w:rPr>
                <w:sz w:val="4"/>
                <w:szCs w:val="4"/>
              </w:rPr>
            </w:r>
          </w:p>
        </w:tc>
        <w:tc>
          <w:tcPr>
            <w:tcW w:w="168" w:type="dxa"/>
            <w:tcBorders/>
            <w:vAlign w:val="center"/>
          </w:tcPr>
          <w:p>
            <w:pPr>
              <w:pStyle w:val="TableContents"/>
              <w:bidi w:val="0"/>
              <w:spacing w:before="0" w:after="283"/>
              <w:jc w:val="left"/>
              <w:rPr>
                <w:sz w:val="4"/>
                <w:szCs w:val="4"/>
              </w:rPr>
            </w:pPr>
            <w:r>
              <w:rPr>
                <w:sz w:val="4"/>
                <w:szCs w:val="4"/>
              </w:rPr>
            </w:r>
          </w:p>
        </w:tc>
        <w:tc>
          <w:tcPr>
            <w:tcW w:w="168" w:type="dxa"/>
            <w:tcBorders/>
            <w:vAlign w:val="center"/>
          </w:tcPr>
          <w:p>
            <w:pPr>
              <w:pStyle w:val="TableContents"/>
              <w:bidi w:val="0"/>
              <w:spacing w:before="0" w:after="283"/>
              <w:jc w:val="left"/>
              <w:rPr>
                <w:sz w:val="4"/>
                <w:szCs w:val="4"/>
              </w:rPr>
            </w:pPr>
            <w:r>
              <w:rPr>
                <w:sz w:val="4"/>
                <w:szCs w:val="4"/>
              </w:rPr>
            </w:r>
          </w:p>
        </w:tc>
        <w:tc>
          <w:tcPr>
            <w:tcW w:w="168" w:type="dxa"/>
            <w:tcBorders/>
            <w:vAlign w:val="center"/>
          </w:tcPr>
          <w:p>
            <w:pPr>
              <w:pStyle w:val="TableContents"/>
              <w:bidi w:val="0"/>
              <w:spacing w:before="0" w:after="283"/>
              <w:jc w:val="left"/>
              <w:rPr>
                <w:sz w:val="4"/>
                <w:szCs w:val="4"/>
              </w:rPr>
            </w:pPr>
            <w:r>
              <w:rPr>
                <w:sz w:val="4"/>
                <w:szCs w:val="4"/>
              </w:rPr>
            </w:r>
          </w:p>
        </w:tc>
        <w:tc>
          <w:tcPr>
            <w:tcW w:w="203" w:type="dxa"/>
            <w:tcBorders/>
            <w:vAlign w:val="center"/>
          </w:tcPr>
          <w:p>
            <w:pPr>
              <w:pStyle w:val="TableContents"/>
              <w:bidi w:val="0"/>
              <w:spacing w:before="0" w:after="283"/>
              <w:jc w:val="left"/>
              <w:rPr>
                <w:sz w:val="4"/>
                <w:szCs w:val="4"/>
              </w:rPr>
            </w:pPr>
            <w:r>
              <w:rPr>
                <w:sz w:val="4"/>
                <w:szCs w:val="4"/>
              </w:rPr>
            </w:r>
          </w:p>
        </w:tc>
        <w:tc>
          <w:tcPr>
            <w:tcW w:w="203"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c>
          <w:tcPr>
            <w:tcW w:w="168" w:type="dxa"/>
            <w:tcBorders/>
            <w:vAlign w:val="center"/>
          </w:tcPr>
          <w:p>
            <w:pPr>
              <w:pStyle w:val="TableContents"/>
              <w:bidi w:val="0"/>
              <w:spacing w:before="0" w:after="283"/>
              <w:jc w:val="left"/>
              <w:rPr>
                <w:sz w:val="4"/>
                <w:szCs w:val="4"/>
              </w:rPr>
            </w:pPr>
            <w:r>
              <w:rPr>
                <w:sz w:val="4"/>
                <w:szCs w:val="4"/>
              </w:rPr>
            </w:r>
          </w:p>
        </w:tc>
        <w:tc>
          <w:tcPr>
            <w:tcW w:w="168" w:type="dxa"/>
            <w:tcBorders/>
            <w:vAlign w:val="center"/>
          </w:tcPr>
          <w:p>
            <w:pPr>
              <w:pStyle w:val="TableContents"/>
              <w:bidi w:val="0"/>
              <w:spacing w:before="0" w:after="283"/>
              <w:jc w:val="left"/>
              <w:rPr>
                <w:sz w:val="4"/>
                <w:szCs w:val="4"/>
              </w:rPr>
            </w:pPr>
            <w:r>
              <w:rPr>
                <w:sz w:val="4"/>
                <w:szCs w:val="4"/>
              </w:rPr>
            </w:r>
          </w:p>
        </w:tc>
        <w:tc>
          <w:tcPr>
            <w:tcW w:w="168" w:type="dxa"/>
            <w:tcBorders/>
            <w:vAlign w:val="center"/>
          </w:tcPr>
          <w:p>
            <w:pPr>
              <w:pStyle w:val="TableContents"/>
              <w:bidi w:val="0"/>
              <w:spacing w:before="0" w:after="283"/>
              <w:jc w:val="left"/>
              <w:rPr>
                <w:sz w:val="4"/>
                <w:szCs w:val="4"/>
              </w:rPr>
            </w:pPr>
            <w:r>
              <w:rPr>
                <w:sz w:val="4"/>
                <w:szCs w:val="4"/>
              </w:rPr>
            </w:r>
          </w:p>
        </w:tc>
        <w:tc>
          <w:tcPr>
            <w:tcW w:w="203" w:type="dxa"/>
            <w:tcBorders/>
            <w:vAlign w:val="center"/>
          </w:tcPr>
          <w:p>
            <w:pPr>
              <w:pStyle w:val="TableContents"/>
              <w:bidi w:val="0"/>
              <w:spacing w:before="0" w:after="283"/>
              <w:jc w:val="left"/>
              <w:rPr>
                <w:sz w:val="4"/>
                <w:szCs w:val="4"/>
              </w:rPr>
            </w:pPr>
            <w:r>
              <w:rPr>
                <w:sz w:val="4"/>
                <w:szCs w:val="4"/>
              </w:rPr>
            </w:r>
          </w:p>
        </w:tc>
        <w:tc>
          <w:tcPr>
            <w:tcW w:w="203"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c>
          <w:tcPr>
            <w:tcW w:w="168" w:type="dxa"/>
            <w:tcBorders/>
            <w:vAlign w:val="center"/>
          </w:tcPr>
          <w:p>
            <w:pPr>
              <w:pStyle w:val="TableContents"/>
              <w:bidi w:val="0"/>
              <w:spacing w:before="0" w:after="283"/>
              <w:jc w:val="left"/>
              <w:rPr>
                <w:sz w:val="4"/>
                <w:szCs w:val="4"/>
              </w:rPr>
            </w:pPr>
            <w:r>
              <w:rPr>
                <w:sz w:val="4"/>
                <w:szCs w:val="4"/>
              </w:rPr>
            </w:r>
          </w:p>
        </w:tc>
        <w:tc>
          <w:tcPr>
            <w:tcW w:w="168" w:type="dxa"/>
            <w:tcBorders/>
            <w:vAlign w:val="center"/>
          </w:tcPr>
          <w:p>
            <w:pPr>
              <w:pStyle w:val="TableContents"/>
              <w:bidi w:val="0"/>
              <w:spacing w:before="0" w:after="283"/>
              <w:jc w:val="left"/>
              <w:rPr>
                <w:sz w:val="4"/>
                <w:szCs w:val="4"/>
              </w:rPr>
            </w:pPr>
            <w:r>
              <w:rPr>
                <w:sz w:val="4"/>
                <w:szCs w:val="4"/>
              </w:rPr>
            </w:r>
          </w:p>
        </w:tc>
        <w:tc>
          <w:tcPr>
            <w:tcW w:w="168" w:type="dxa"/>
            <w:tcBorders/>
            <w:vAlign w:val="center"/>
          </w:tcPr>
          <w:p>
            <w:pPr>
              <w:pStyle w:val="TableContents"/>
              <w:bidi w:val="0"/>
              <w:spacing w:before="0" w:after="283"/>
              <w:jc w:val="left"/>
              <w:rPr>
                <w:sz w:val="4"/>
                <w:szCs w:val="4"/>
              </w:rPr>
            </w:pPr>
            <w:r>
              <w:rPr>
                <w:sz w:val="4"/>
                <w:szCs w:val="4"/>
              </w:rPr>
            </w:r>
          </w:p>
        </w:tc>
        <w:tc>
          <w:tcPr>
            <w:tcW w:w="563" w:type="dxa"/>
            <w:tcBorders/>
            <w:vAlign w:val="center"/>
          </w:tcPr>
          <w:p>
            <w:pPr>
              <w:pStyle w:val="TableContents"/>
              <w:bidi w:val="0"/>
              <w:spacing w:before="0" w:after="283"/>
              <w:jc w:val="left"/>
              <w:rPr>
                <w:sz w:val="4"/>
                <w:szCs w:val="4"/>
              </w:rPr>
            </w:pPr>
            <w:r>
              <w:rPr>
                <w:sz w:val="4"/>
                <w:szCs w:val="4"/>
              </w:rPr>
            </w:r>
          </w:p>
        </w:tc>
        <w:tc>
          <w:tcPr>
            <w:tcW w:w="563" w:type="dxa"/>
            <w:tcBorders/>
            <w:vAlign w:val="center"/>
          </w:tcPr>
          <w:p>
            <w:pPr>
              <w:pStyle w:val="TableContents"/>
              <w:bidi w:val="0"/>
              <w:spacing w:before="0" w:after="283"/>
              <w:jc w:val="left"/>
              <w:rPr>
                <w:sz w:val="4"/>
                <w:szCs w:val="4"/>
              </w:rPr>
            </w:pPr>
            <w:r>
              <w:rPr>
                <w:sz w:val="4"/>
                <w:szCs w:val="4"/>
              </w:rPr>
            </w:r>
          </w:p>
        </w:tc>
        <w:tc>
          <w:tcPr>
            <w:tcW w:w="573" w:type="dxa"/>
            <w:tcBorders/>
            <w:vAlign w:val="center"/>
          </w:tcPr>
          <w:p>
            <w:pPr>
              <w:pStyle w:val="TableContents"/>
              <w:bidi w:val="0"/>
              <w:spacing w:before="0" w:after="283"/>
              <w:jc w:val="left"/>
              <w:rPr>
                <w:sz w:val="4"/>
                <w:szCs w:val="4"/>
              </w:rPr>
            </w:pPr>
            <w:r>
              <w:rPr>
                <w:sz w:val="4"/>
                <w:szCs w:val="4"/>
              </w:rPr>
            </w:r>
          </w:p>
        </w:tc>
      </w:tr>
      <w:tr>
        <w:trPr/>
        <w:tc>
          <w:tcPr>
            <w:tcW w:w="3269" w:type="dxa"/>
            <w:gridSpan w:val="3"/>
            <w:tcBorders>
              <w:top w:val="single" w:sz="1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97" w:type="dxa"/>
            <w:gridSpan w:val="21"/>
            <w:tcBorders>
              <w:top w:val="single" w:sz="16"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Expensify Neue;sans-serif" w:hAnsi="Expensify Neue;sans-serif"/>
                <w:b/>
                <w:color w:val="000000"/>
                <w:sz w:val="16"/>
              </w:rPr>
            </w:pPr>
            <w:r>
              <w:rPr>
                <w:rFonts w:ascii="Expensify Neue;sans-serif" w:hAnsi="Expensify Neue;sans-serif"/>
                <w:b/>
                <w:color w:val="000000"/>
                <w:sz w:val="16"/>
              </w:rPr>
              <w:t>Three Months Ended March 31, 2025</w:t>
            </w:r>
          </w:p>
        </w:tc>
      </w:tr>
      <w:tr>
        <w:trPr/>
        <w:tc>
          <w:tcPr>
            <w:tcW w:w="326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Expensify Neue;sans-serif" w:hAnsi="Expensify Neue;sans-serif"/>
                <w:b/>
                <w:color w:val="000000"/>
                <w:sz w:val="16"/>
              </w:rPr>
            </w:pPr>
            <w:r>
              <w:rPr>
                <w:rFonts w:ascii="Expensify Neue;sans-serif" w:hAnsi="Expensify Neue;sans-serif"/>
                <w:b/>
                <w:color w:val="000000"/>
                <w:sz w:val="16"/>
              </w:rPr>
              <w:t>Class A</w:t>
            </w:r>
          </w:p>
        </w:tc>
        <w:tc>
          <w:tcPr>
            <w:tcW w:w="504"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Expensify Neue;sans-serif" w:hAnsi="Expensify Neue;sans-serif"/>
                <w:b/>
                <w:color w:val="000000"/>
                <w:sz w:val="16"/>
              </w:rPr>
            </w:pPr>
            <w:r>
              <w:rPr>
                <w:rFonts w:ascii="Expensify Neue;sans-serif" w:hAnsi="Expensify Neue;sans-serif"/>
                <w:b/>
                <w:color w:val="000000"/>
                <w:sz w:val="16"/>
              </w:rPr>
              <w:t>LT10</w:t>
            </w:r>
          </w:p>
        </w:tc>
        <w:tc>
          <w:tcPr>
            <w:tcW w:w="504"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Expensify Neue;sans-serif" w:hAnsi="Expensify Neue;sans-serif"/>
                <w:b/>
                <w:color w:val="000000"/>
                <w:sz w:val="16"/>
              </w:rPr>
            </w:pPr>
            <w:r>
              <w:rPr>
                <w:rFonts w:ascii="Expensify Neue;sans-serif" w:hAnsi="Expensify Neue;sans-serif"/>
                <w:b/>
                <w:color w:val="000000"/>
                <w:sz w:val="16"/>
              </w:rPr>
              <w:t>LT50</w:t>
            </w:r>
          </w:p>
        </w:tc>
        <w:tc>
          <w:tcPr>
            <w:tcW w:w="504"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9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Expensify Neue;sans-serif" w:hAnsi="Expensify Neue;sans-serif"/>
                <w:b/>
                <w:color w:val="000000"/>
                <w:sz w:val="16"/>
              </w:rPr>
            </w:pPr>
            <w:r>
              <w:rPr>
                <w:rFonts w:ascii="Expensify Neue;sans-serif" w:hAnsi="Expensify Neue;sans-serif"/>
                <w:b/>
                <w:color w:val="000000"/>
                <w:sz w:val="16"/>
              </w:rPr>
              <w:t>Consolidated</w:t>
            </w:r>
          </w:p>
        </w:tc>
      </w:tr>
      <w:tr>
        <w:trPr/>
        <w:tc>
          <w:tcPr>
            <w:tcW w:w="326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Expensify Neue;sans-serif" w:hAnsi="Expensify Neue;sans-serif"/>
                <w:b w:val="false"/>
                <w:color w:val="000000"/>
                <w:sz w:val="20"/>
              </w:rPr>
            </w:pPr>
            <w:r>
              <w:rPr>
                <w:rFonts w:ascii="Expensify Neue;sans-serif" w:hAnsi="Expensify Neue;sans-serif"/>
                <w:b w:val="false"/>
                <w:color w:val="000000"/>
                <w:sz w:val="20"/>
              </w:rPr>
              <w:t>Weighted average stock options</w:t>
            </w:r>
          </w:p>
        </w:tc>
        <w:tc>
          <w:tcPr>
            <w:tcW w:w="112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Expensify Neue;sans-serif" w:hAnsi="Expensify Neue;sans-serif"/>
                <w:b w:val="false"/>
                <w:color w:val="000000"/>
                <w:sz w:val="20"/>
              </w:rPr>
            </w:pPr>
            <w:r>
              <w:rPr>
                <w:rFonts w:ascii="Expensify Neue;sans-serif" w:hAnsi="Expensify Neue;sans-serif"/>
                <w:b w:val="false"/>
                <w:color w:val="000000"/>
                <w:sz w:val="20"/>
              </w:rPr>
              <w:t>2,106,034 </w:t>
            </w:r>
          </w:p>
        </w:tc>
        <w:tc>
          <w:tcPr>
            <w:tcW w:w="26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Expensify Neue;sans-serif" w:hAnsi="Expensify Neue;sans-serif"/>
                <w:b w:val="false"/>
                <w:color w:val="000000"/>
                <w:sz w:val="20"/>
              </w:rPr>
            </w:pPr>
            <w:r>
              <w:rPr>
                <w:rFonts w:ascii="Expensify Neue;sans-serif" w:hAnsi="Expensify Neue;sans-serif"/>
                <w:b w:val="false"/>
                <w:color w:val="000000"/>
                <w:sz w:val="20"/>
              </w:rPr>
              <w:t>2,106,034 </w:t>
            </w:r>
          </w:p>
        </w:tc>
        <w:tc>
          <w:tcPr>
            <w:tcW w:w="57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6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Expensify Neue;sans-serif" w:hAnsi="Expensify Neue;sans-serif"/>
                <w:b w:val="false"/>
                <w:color w:val="000000"/>
                <w:sz w:val="20"/>
              </w:rPr>
            </w:pPr>
            <w:r>
              <w:rPr>
                <w:rFonts w:ascii="Expensify Neue;sans-serif" w:hAnsi="Expensify Neue;sans-serif"/>
                <w:b w:val="false"/>
                <w:color w:val="000000"/>
                <w:sz w:val="20"/>
              </w:rPr>
              <w:t>Matching shares</w:t>
            </w:r>
          </w:p>
        </w:tc>
        <w:tc>
          <w:tcPr>
            <w:tcW w:w="112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Expensify Neue;sans-serif" w:hAnsi="Expensify Neue;sans-serif"/>
                <w:b w:val="false"/>
                <w:color w:val="000000"/>
                <w:sz w:val="20"/>
              </w:rPr>
            </w:pPr>
            <w:r>
              <w:rPr>
                <w:rFonts w:ascii="Expensify Neue;sans-serif" w:hAnsi="Expensify Neue;sans-serif"/>
                <w:b w:val="false"/>
                <w:color w:val="000000"/>
                <w:sz w:val="20"/>
              </w:rPr>
              <w:t>28,145 </w:t>
            </w:r>
          </w:p>
        </w:tc>
        <w:tc>
          <w:tcPr>
            <w:tcW w:w="26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Expensify Neue;sans-serif" w:hAnsi="Expensify Neue;sans-serif"/>
                <w:b w:val="false"/>
                <w:color w:val="000000"/>
                <w:sz w:val="20"/>
              </w:rPr>
            </w:pPr>
            <w:r>
              <w:rPr>
                <w:rFonts w:ascii="Expensify Neue;sans-serif" w:hAnsi="Expensify Neue;sans-serif"/>
                <w:b w:val="false"/>
                <w:color w:val="000000"/>
                <w:sz w:val="20"/>
              </w:rPr>
              <w:t>28,145 </w:t>
            </w:r>
          </w:p>
        </w:tc>
        <w:tc>
          <w:tcPr>
            <w:tcW w:w="57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6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Expensify Neue;sans-serif" w:hAnsi="Expensify Neue;sans-serif"/>
                <w:b w:val="false"/>
                <w:color w:val="000000"/>
                <w:sz w:val="20"/>
              </w:rPr>
            </w:pPr>
            <w:r>
              <w:rPr>
                <w:rFonts w:ascii="Expensify Neue;sans-serif" w:hAnsi="Expensify Neue;sans-serif"/>
                <w:b w:val="false"/>
                <w:color w:val="000000"/>
                <w:sz w:val="20"/>
              </w:rPr>
              <w:t>Total</w:t>
            </w:r>
          </w:p>
        </w:tc>
        <w:tc>
          <w:tcPr>
            <w:tcW w:w="112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Expensify Neue;sans-serif" w:hAnsi="Expensify Neue;sans-serif"/>
                <w:b w:val="false"/>
                <w:color w:val="000000"/>
                <w:sz w:val="20"/>
              </w:rPr>
            </w:pPr>
            <w:r>
              <w:rPr>
                <w:rFonts w:ascii="Expensify Neue;sans-serif" w:hAnsi="Expensify Neue;sans-serif"/>
                <w:b w:val="false"/>
                <w:color w:val="000000"/>
                <w:sz w:val="20"/>
              </w:rPr>
              <w:t>2,134,179 </w:t>
            </w:r>
          </w:p>
        </w:tc>
        <w:tc>
          <w:tcPr>
            <w:tcW w:w="26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Expensify Neue;sans-serif" w:hAnsi="Expensify Neue;sans-serif"/>
                <w:b w:val="false"/>
                <w:color w:val="000000"/>
                <w:sz w:val="20"/>
              </w:rPr>
            </w:pPr>
            <w:r>
              <w:rPr>
                <w:rFonts w:ascii="Expensify Neue;sans-serif" w:hAnsi="Expensify Neue;sans-serif"/>
                <w:b w:val="false"/>
                <w:color w:val="000000"/>
                <w:sz w:val="20"/>
              </w:rPr>
              <w:t>2,134,179 </w:t>
            </w:r>
          </w:p>
        </w:tc>
        <w:tc>
          <w:tcPr>
            <w:tcW w:w="57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69"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392" w:type="dxa"/>
            <w:gridSpan w:val="3"/>
            <w:tcBorders>
              <w:top w:val="double" w:sz="8"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504"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597" w:type="dxa"/>
            <w:gridSpan w:val="3"/>
            <w:tcBorders>
              <w:top w:val="double" w:sz="8"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504" w:type="dxa"/>
            <w:gridSpan w:val="3"/>
            <w:tcBorders>
              <w:top w:val="double" w:sz="8"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597" w:type="dxa"/>
            <w:gridSpan w:val="3"/>
            <w:tcBorders>
              <w:top w:val="double" w:sz="8"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504" w:type="dxa"/>
            <w:gridSpan w:val="3"/>
            <w:tcBorders>
              <w:top w:val="double" w:sz="8"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1699" w:type="dxa"/>
            <w:gridSpan w:val="3"/>
            <w:tcBorders>
              <w:top w:val="double" w:sz="8"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r>
    </w:tbl>
    <w:tbl>
      <w:tblPr>
        <w:tblW w:w="9066" w:type="dxa"/>
        <w:jc w:val="center"/>
        <w:tblInd w:w="0" w:type="dxa"/>
        <w:tblLayout w:type="fixed"/>
        <w:tblCellMar>
          <w:top w:w="28" w:type="dxa"/>
          <w:left w:w="28" w:type="dxa"/>
          <w:bottom w:w="28" w:type="dxa"/>
          <w:right w:w="28" w:type="dxa"/>
        </w:tblCellMar>
      </w:tblPr>
      <w:tblGrid>
        <w:gridCol w:w="1185"/>
        <w:gridCol w:w="1039"/>
        <w:gridCol w:w="1045"/>
        <w:gridCol w:w="563"/>
        <w:gridCol w:w="563"/>
        <w:gridCol w:w="266"/>
        <w:gridCol w:w="168"/>
        <w:gridCol w:w="168"/>
        <w:gridCol w:w="168"/>
        <w:gridCol w:w="203"/>
        <w:gridCol w:w="203"/>
        <w:gridCol w:w="191"/>
        <w:gridCol w:w="168"/>
        <w:gridCol w:w="168"/>
        <w:gridCol w:w="168"/>
        <w:gridCol w:w="203"/>
        <w:gridCol w:w="203"/>
        <w:gridCol w:w="191"/>
        <w:gridCol w:w="168"/>
        <w:gridCol w:w="168"/>
        <w:gridCol w:w="168"/>
        <w:gridCol w:w="563"/>
        <w:gridCol w:w="563"/>
        <w:gridCol w:w="573"/>
      </w:tblGrid>
      <w:tr>
        <w:trPr/>
        <w:tc>
          <w:tcPr>
            <w:tcW w:w="1185" w:type="dxa"/>
            <w:tcBorders/>
            <w:vAlign w:val="center"/>
          </w:tcPr>
          <w:p>
            <w:pPr>
              <w:pStyle w:val="TableContents"/>
              <w:bidi w:val="0"/>
              <w:spacing w:before="0" w:after="283"/>
              <w:jc w:val="left"/>
              <w:rPr>
                <w:sz w:val="4"/>
                <w:szCs w:val="4"/>
              </w:rPr>
            </w:pPr>
            <w:r>
              <w:rPr>
                <w:sz w:val="4"/>
                <w:szCs w:val="4"/>
              </w:rPr>
            </w:r>
          </w:p>
        </w:tc>
        <w:tc>
          <w:tcPr>
            <w:tcW w:w="1039" w:type="dxa"/>
            <w:tcBorders/>
            <w:vAlign w:val="center"/>
          </w:tcPr>
          <w:p>
            <w:pPr>
              <w:pStyle w:val="TableContents"/>
              <w:bidi w:val="0"/>
              <w:spacing w:before="0" w:after="283"/>
              <w:jc w:val="left"/>
              <w:rPr>
                <w:sz w:val="4"/>
                <w:szCs w:val="4"/>
              </w:rPr>
            </w:pPr>
            <w:r>
              <w:rPr>
                <w:sz w:val="4"/>
                <w:szCs w:val="4"/>
              </w:rPr>
            </w:r>
          </w:p>
        </w:tc>
        <w:tc>
          <w:tcPr>
            <w:tcW w:w="1045" w:type="dxa"/>
            <w:tcBorders/>
            <w:vAlign w:val="center"/>
          </w:tcPr>
          <w:p>
            <w:pPr>
              <w:pStyle w:val="TableContents"/>
              <w:bidi w:val="0"/>
              <w:spacing w:before="0" w:after="283"/>
              <w:jc w:val="left"/>
              <w:rPr>
                <w:sz w:val="4"/>
                <w:szCs w:val="4"/>
              </w:rPr>
            </w:pPr>
            <w:r>
              <w:rPr>
                <w:sz w:val="4"/>
                <w:szCs w:val="4"/>
              </w:rPr>
            </w:r>
          </w:p>
        </w:tc>
        <w:tc>
          <w:tcPr>
            <w:tcW w:w="563" w:type="dxa"/>
            <w:tcBorders/>
            <w:vAlign w:val="center"/>
          </w:tcPr>
          <w:p>
            <w:pPr>
              <w:pStyle w:val="TableContents"/>
              <w:bidi w:val="0"/>
              <w:spacing w:before="0" w:after="283"/>
              <w:jc w:val="left"/>
              <w:rPr>
                <w:sz w:val="4"/>
                <w:szCs w:val="4"/>
              </w:rPr>
            </w:pPr>
            <w:r>
              <w:rPr>
                <w:sz w:val="4"/>
                <w:szCs w:val="4"/>
              </w:rPr>
            </w:r>
          </w:p>
        </w:tc>
        <w:tc>
          <w:tcPr>
            <w:tcW w:w="563" w:type="dxa"/>
            <w:tcBorders/>
            <w:vAlign w:val="center"/>
          </w:tcPr>
          <w:p>
            <w:pPr>
              <w:pStyle w:val="TableContents"/>
              <w:bidi w:val="0"/>
              <w:spacing w:before="0" w:after="283"/>
              <w:jc w:val="left"/>
              <w:rPr>
                <w:sz w:val="4"/>
                <w:szCs w:val="4"/>
              </w:rPr>
            </w:pPr>
            <w:r>
              <w:rPr>
                <w:sz w:val="4"/>
                <w:szCs w:val="4"/>
              </w:rPr>
            </w:r>
          </w:p>
        </w:tc>
        <w:tc>
          <w:tcPr>
            <w:tcW w:w="266" w:type="dxa"/>
            <w:tcBorders/>
            <w:vAlign w:val="center"/>
          </w:tcPr>
          <w:p>
            <w:pPr>
              <w:pStyle w:val="TableContents"/>
              <w:bidi w:val="0"/>
              <w:spacing w:before="0" w:after="283"/>
              <w:jc w:val="left"/>
              <w:rPr>
                <w:sz w:val="4"/>
                <w:szCs w:val="4"/>
              </w:rPr>
            </w:pPr>
            <w:r>
              <w:rPr>
                <w:sz w:val="4"/>
                <w:szCs w:val="4"/>
              </w:rPr>
            </w:r>
          </w:p>
        </w:tc>
        <w:tc>
          <w:tcPr>
            <w:tcW w:w="168" w:type="dxa"/>
            <w:tcBorders/>
            <w:vAlign w:val="center"/>
          </w:tcPr>
          <w:p>
            <w:pPr>
              <w:pStyle w:val="TableContents"/>
              <w:bidi w:val="0"/>
              <w:spacing w:before="0" w:after="283"/>
              <w:jc w:val="left"/>
              <w:rPr>
                <w:sz w:val="4"/>
                <w:szCs w:val="4"/>
              </w:rPr>
            </w:pPr>
            <w:r>
              <w:rPr>
                <w:sz w:val="4"/>
                <w:szCs w:val="4"/>
              </w:rPr>
            </w:r>
          </w:p>
        </w:tc>
        <w:tc>
          <w:tcPr>
            <w:tcW w:w="168" w:type="dxa"/>
            <w:tcBorders/>
            <w:vAlign w:val="center"/>
          </w:tcPr>
          <w:p>
            <w:pPr>
              <w:pStyle w:val="TableContents"/>
              <w:bidi w:val="0"/>
              <w:spacing w:before="0" w:after="283"/>
              <w:jc w:val="left"/>
              <w:rPr>
                <w:sz w:val="4"/>
                <w:szCs w:val="4"/>
              </w:rPr>
            </w:pPr>
            <w:r>
              <w:rPr>
                <w:sz w:val="4"/>
                <w:szCs w:val="4"/>
              </w:rPr>
            </w:r>
          </w:p>
        </w:tc>
        <w:tc>
          <w:tcPr>
            <w:tcW w:w="168" w:type="dxa"/>
            <w:tcBorders/>
            <w:vAlign w:val="center"/>
          </w:tcPr>
          <w:p>
            <w:pPr>
              <w:pStyle w:val="TableContents"/>
              <w:bidi w:val="0"/>
              <w:spacing w:before="0" w:after="283"/>
              <w:jc w:val="left"/>
              <w:rPr>
                <w:sz w:val="4"/>
                <w:szCs w:val="4"/>
              </w:rPr>
            </w:pPr>
            <w:r>
              <w:rPr>
                <w:sz w:val="4"/>
                <w:szCs w:val="4"/>
              </w:rPr>
            </w:r>
          </w:p>
        </w:tc>
        <w:tc>
          <w:tcPr>
            <w:tcW w:w="203" w:type="dxa"/>
            <w:tcBorders/>
            <w:vAlign w:val="center"/>
          </w:tcPr>
          <w:p>
            <w:pPr>
              <w:pStyle w:val="TableContents"/>
              <w:bidi w:val="0"/>
              <w:spacing w:before="0" w:after="283"/>
              <w:jc w:val="left"/>
              <w:rPr>
                <w:sz w:val="4"/>
                <w:szCs w:val="4"/>
              </w:rPr>
            </w:pPr>
            <w:r>
              <w:rPr>
                <w:sz w:val="4"/>
                <w:szCs w:val="4"/>
              </w:rPr>
            </w:r>
          </w:p>
        </w:tc>
        <w:tc>
          <w:tcPr>
            <w:tcW w:w="203"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c>
          <w:tcPr>
            <w:tcW w:w="168" w:type="dxa"/>
            <w:tcBorders/>
            <w:vAlign w:val="center"/>
          </w:tcPr>
          <w:p>
            <w:pPr>
              <w:pStyle w:val="TableContents"/>
              <w:bidi w:val="0"/>
              <w:spacing w:before="0" w:after="283"/>
              <w:jc w:val="left"/>
              <w:rPr>
                <w:sz w:val="4"/>
                <w:szCs w:val="4"/>
              </w:rPr>
            </w:pPr>
            <w:r>
              <w:rPr>
                <w:sz w:val="4"/>
                <w:szCs w:val="4"/>
              </w:rPr>
            </w:r>
          </w:p>
        </w:tc>
        <w:tc>
          <w:tcPr>
            <w:tcW w:w="168" w:type="dxa"/>
            <w:tcBorders/>
            <w:vAlign w:val="center"/>
          </w:tcPr>
          <w:p>
            <w:pPr>
              <w:pStyle w:val="TableContents"/>
              <w:bidi w:val="0"/>
              <w:spacing w:before="0" w:after="283"/>
              <w:jc w:val="left"/>
              <w:rPr>
                <w:sz w:val="4"/>
                <w:szCs w:val="4"/>
              </w:rPr>
            </w:pPr>
            <w:r>
              <w:rPr>
                <w:sz w:val="4"/>
                <w:szCs w:val="4"/>
              </w:rPr>
            </w:r>
          </w:p>
        </w:tc>
        <w:tc>
          <w:tcPr>
            <w:tcW w:w="168" w:type="dxa"/>
            <w:tcBorders/>
            <w:vAlign w:val="center"/>
          </w:tcPr>
          <w:p>
            <w:pPr>
              <w:pStyle w:val="TableContents"/>
              <w:bidi w:val="0"/>
              <w:spacing w:before="0" w:after="283"/>
              <w:jc w:val="left"/>
              <w:rPr>
                <w:sz w:val="4"/>
                <w:szCs w:val="4"/>
              </w:rPr>
            </w:pPr>
            <w:r>
              <w:rPr>
                <w:sz w:val="4"/>
                <w:szCs w:val="4"/>
              </w:rPr>
            </w:r>
          </w:p>
        </w:tc>
        <w:tc>
          <w:tcPr>
            <w:tcW w:w="203" w:type="dxa"/>
            <w:tcBorders/>
            <w:vAlign w:val="center"/>
          </w:tcPr>
          <w:p>
            <w:pPr>
              <w:pStyle w:val="TableContents"/>
              <w:bidi w:val="0"/>
              <w:spacing w:before="0" w:after="283"/>
              <w:jc w:val="left"/>
              <w:rPr>
                <w:sz w:val="4"/>
                <w:szCs w:val="4"/>
              </w:rPr>
            </w:pPr>
            <w:r>
              <w:rPr>
                <w:sz w:val="4"/>
                <w:szCs w:val="4"/>
              </w:rPr>
            </w:r>
          </w:p>
        </w:tc>
        <w:tc>
          <w:tcPr>
            <w:tcW w:w="203"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c>
          <w:tcPr>
            <w:tcW w:w="168" w:type="dxa"/>
            <w:tcBorders/>
            <w:vAlign w:val="center"/>
          </w:tcPr>
          <w:p>
            <w:pPr>
              <w:pStyle w:val="TableContents"/>
              <w:bidi w:val="0"/>
              <w:spacing w:before="0" w:after="283"/>
              <w:jc w:val="left"/>
              <w:rPr>
                <w:sz w:val="4"/>
                <w:szCs w:val="4"/>
              </w:rPr>
            </w:pPr>
            <w:r>
              <w:rPr>
                <w:sz w:val="4"/>
                <w:szCs w:val="4"/>
              </w:rPr>
            </w:r>
          </w:p>
        </w:tc>
        <w:tc>
          <w:tcPr>
            <w:tcW w:w="168" w:type="dxa"/>
            <w:tcBorders/>
            <w:vAlign w:val="center"/>
          </w:tcPr>
          <w:p>
            <w:pPr>
              <w:pStyle w:val="TableContents"/>
              <w:bidi w:val="0"/>
              <w:spacing w:before="0" w:after="283"/>
              <w:jc w:val="left"/>
              <w:rPr>
                <w:sz w:val="4"/>
                <w:szCs w:val="4"/>
              </w:rPr>
            </w:pPr>
            <w:r>
              <w:rPr>
                <w:sz w:val="4"/>
                <w:szCs w:val="4"/>
              </w:rPr>
            </w:r>
          </w:p>
        </w:tc>
        <w:tc>
          <w:tcPr>
            <w:tcW w:w="168" w:type="dxa"/>
            <w:tcBorders/>
            <w:vAlign w:val="center"/>
          </w:tcPr>
          <w:p>
            <w:pPr>
              <w:pStyle w:val="TableContents"/>
              <w:bidi w:val="0"/>
              <w:spacing w:before="0" w:after="283"/>
              <w:jc w:val="left"/>
              <w:rPr>
                <w:sz w:val="4"/>
                <w:szCs w:val="4"/>
              </w:rPr>
            </w:pPr>
            <w:r>
              <w:rPr>
                <w:sz w:val="4"/>
                <w:szCs w:val="4"/>
              </w:rPr>
            </w:r>
          </w:p>
        </w:tc>
        <w:tc>
          <w:tcPr>
            <w:tcW w:w="563" w:type="dxa"/>
            <w:tcBorders/>
            <w:vAlign w:val="center"/>
          </w:tcPr>
          <w:p>
            <w:pPr>
              <w:pStyle w:val="TableContents"/>
              <w:bidi w:val="0"/>
              <w:spacing w:before="0" w:after="283"/>
              <w:jc w:val="left"/>
              <w:rPr>
                <w:sz w:val="4"/>
                <w:szCs w:val="4"/>
              </w:rPr>
            </w:pPr>
            <w:r>
              <w:rPr>
                <w:sz w:val="4"/>
                <w:szCs w:val="4"/>
              </w:rPr>
            </w:r>
          </w:p>
        </w:tc>
        <w:tc>
          <w:tcPr>
            <w:tcW w:w="563" w:type="dxa"/>
            <w:tcBorders/>
            <w:vAlign w:val="center"/>
          </w:tcPr>
          <w:p>
            <w:pPr>
              <w:pStyle w:val="TableContents"/>
              <w:bidi w:val="0"/>
              <w:spacing w:before="0" w:after="283"/>
              <w:jc w:val="left"/>
              <w:rPr>
                <w:sz w:val="4"/>
                <w:szCs w:val="4"/>
              </w:rPr>
            </w:pPr>
            <w:r>
              <w:rPr>
                <w:sz w:val="4"/>
                <w:szCs w:val="4"/>
              </w:rPr>
            </w:r>
          </w:p>
        </w:tc>
        <w:tc>
          <w:tcPr>
            <w:tcW w:w="573" w:type="dxa"/>
            <w:tcBorders/>
            <w:vAlign w:val="center"/>
          </w:tcPr>
          <w:p>
            <w:pPr>
              <w:pStyle w:val="TableContents"/>
              <w:bidi w:val="0"/>
              <w:spacing w:before="0" w:after="283"/>
              <w:jc w:val="left"/>
              <w:rPr>
                <w:sz w:val="4"/>
                <w:szCs w:val="4"/>
              </w:rPr>
            </w:pPr>
            <w:r>
              <w:rPr>
                <w:sz w:val="4"/>
                <w:szCs w:val="4"/>
              </w:rPr>
            </w:r>
          </w:p>
        </w:tc>
      </w:tr>
      <w:tr>
        <w:trPr/>
        <w:tc>
          <w:tcPr>
            <w:tcW w:w="3269" w:type="dxa"/>
            <w:gridSpan w:val="3"/>
            <w:tcBorders>
              <w:top w:val="single" w:sz="1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97" w:type="dxa"/>
            <w:gridSpan w:val="21"/>
            <w:tcBorders>
              <w:top w:val="single" w:sz="16"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Expensify Neue;sans-serif" w:hAnsi="Expensify Neue;sans-serif"/>
                <w:b/>
                <w:color w:val="000000"/>
                <w:sz w:val="16"/>
              </w:rPr>
            </w:pPr>
            <w:r>
              <w:rPr>
                <w:rFonts w:ascii="Expensify Neue;sans-serif" w:hAnsi="Expensify Neue;sans-serif"/>
                <w:b/>
                <w:color w:val="000000"/>
                <w:sz w:val="16"/>
              </w:rPr>
              <w:t>Three Months Ended March 31, 2024</w:t>
            </w:r>
          </w:p>
        </w:tc>
      </w:tr>
      <w:tr>
        <w:trPr/>
        <w:tc>
          <w:tcPr>
            <w:tcW w:w="326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Expensify Neue;sans-serif" w:hAnsi="Expensify Neue;sans-serif"/>
                <w:b/>
                <w:color w:val="000000"/>
                <w:sz w:val="16"/>
              </w:rPr>
            </w:pPr>
            <w:r>
              <w:rPr>
                <w:rFonts w:ascii="Expensify Neue;sans-serif" w:hAnsi="Expensify Neue;sans-serif"/>
                <w:b/>
                <w:color w:val="000000"/>
                <w:sz w:val="16"/>
              </w:rPr>
              <w:t>Class A</w:t>
            </w:r>
          </w:p>
        </w:tc>
        <w:tc>
          <w:tcPr>
            <w:tcW w:w="504"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Expensify Neue;sans-serif" w:hAnsi="Expensify Neue;sans-serif"/>
                <w:b/>
                <w:color w:val="000000"/>
                <w:sz w:val="16"/>
              </w:rPr>
            </w:pPr>
            <w:r>
              <w:rPr>
                <w:rFonts w:ascii="Expensify Neue;sans-serif" w:hAnsi="Expensify Neue;sans-serif"/>
                <w:b/>
                <w:color w:val="000000"/>
                <w:sz w:val="16"/>
              </w:rPr>
              <w:t>LT10</w:t>
            </w:r>
          </w:p>
        </w:tc>
        <w:tc>
          <w:tcPr>
            <w:tcW w:w="504"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Expensify Neue;sans-serif" w:hAnsi="Expensify Neue;sans-serif"/>
                <w:b/>
                <w:color w:val="000000"/>
                <w:sz w:val="16"/>
              </w:rPr>
            </w:pPr>
            <w:r>
              <w:rPr>
                <w:rFonts w:ascii="Expensify Neue;sans-serif" w:hAnsi="Expensify Neue;sans-serif"/>
                <w:b/>
                <w:color w:val="000000"/>
                <w:sz w:val="16"/>
              </w:rPr>
              <w:t>LT50</w:t>
            </w:r>
          </w:p>
        </w:tc>
        <w:tc>
          <w:tcPr>
            <w:tcW w:w="504"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9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Expensify Neue;sans-serif" w:hAnsi="Expensify Neue;sans-serif"/>
                <w:b/>
                <w:color w:val="000000"/>
                <w:sz w:val="16"/>
              </w:rPr>
            </w:pPr>
            <w:r>
              <w:rPr>
                <w:rFonts w:ascii="Expensify Neue;sans-serif" w:hAnsi="Expensify Neue;sans-serif"/>
                <w:b/>
                <w:color w:val="000000"/>
                <w:sz w:val="16"/>
              </w:rPr>
              <w:t>Consolidated</w:t>
            </w:r>
          </w:p>
        </w:tc>
      </w:tr>
      <w:tr>
        <w:trPr/>
        <w:tc>
          <w:tcPr>
            <w:tcW w:w="326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Expensify Neue;sans-serif" w:hAnsi="Expensify Neue;sans-serif"/>
                <w:b w:val="false"/>
                <w:color w:val="000000"/>
                <w:sz w:val="20"/>
              </w:rPr>
            </w:pPr>
            <w:r>
              <w:rPr>
                <w:rFonts w:ascii="Expensify Neue;sans-serif" w:hAnsi="Expensify Neue;sans-serif"/>
                <w:b w:val="false"/>
                <w:color w:val="000000"/>
                <w:sz w:val="20"/>
              </w:rPr>
              <w:t>Weighted average stock options</w:t>
            </w:r>
          </w:p>
        </w:tc>
        <w:tc>
          <w:tcPr>
            <w:tcW w:w="112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Expensify Neue;sans-serif" w:hAnsi="Expensify Neue;sans-serif"/>
                <w:b w:val="false"/>
                <w:color w:val="000000"/>
                <w:sz w:val="20"/>
              </w:rPr>
            </w:pPr>
            <w:r>
              <w:rPr>
                <w:rFonts w:ascii="Expensify Neue;sans-serif" w:hAnsi="Expensify Neue;sans-serif"/>
                <w:b w:val="false"/>
                <w:color w:val="000000"/>
                <w:sz w:val="20"/>
              </w:rPr>
              <w:t>1,490,098 </w:t>
            </w:r>
          </w:p>
        </w:tc>
        <w:tc>
          <w:tcPr>
            <w:tcW w:w="26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Expensify Neue;sans-serif" w:hAnsi="Expensify Neue;sans-serif"/>
                <w:b w:val="false"/>
                <w:color w:val="000000"/>
                <w:sz w:val="20"/>
              </w:rPr>
            </w:pPr>
            <w:r>
              <w:rPr>
                <w:rFonts w:ascii="Expensify Neue;sans-serif" w:hAnsi="Expensify Neue;sans-serif"/>
                <w:b w:val="false"/>
                <w:color w:val="000000"/>
                <w:sz w:val="20"/>
              </w:rPr>
              <w:t>1,490,098 </w:t>
            </w:r>
          </w:p>
        </w:tc>
        <w:tc>
          <w:tcPr>
            <w:tcW w:w="57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69"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392"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504"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59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504"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59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504"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699"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60"/>
        <w:jc w:val="left"/>
        <w:rPr>
          <w:rFonts w:ascii="Expensify Neue;sans-serif" w:hAnsi="Expensify Neue;sans-serif"/>
          <w:b/>
          <w:color w:val="002E22"/>
          <w:sz w:val="32"/>
        </w:rPr>
      </w:pPr>
      <w:r>
        <w:rPr>
          <w:rFonts w:ascii="Expensify Neue;sans-serif" w:hAnsi="Expensify Neue;sans-serif"/>
          <w:b/>
          <w:color w:val="002E22"/>
          <w:sz w:val="32"/>
        </w:rPr>
        <w:t>NOTE 8 - EQUITY</w:t>
      </w:r>
    </w:p>
    <w:p>
      <w:pPr>
        <w:pStyle w:val="TextBody"/>
        <w:bidi w:val="0"/>
        <w:spacing w:lineRule="auto" w:line="288" w:before="0" w:after="160"/>
        <w:jc w:val="left"/>
        <w:rPr>
          <w:rFonts w:ascii="Expensify Neue;sans-serif" w:hAnsi="Expensify Neue;sans-serif"/>
          <w:b w:val="false"/>
          <w:color w:val="000000"/>
          <w:sz w:val="20"/>
        </w:rPr>
      </w:pPr>
      <w:r>
        <w:rPr>
          <w:rFonts w:ascii="Expensify Neue;sans-serif" w:hAnsi="Expensify Neue;sans-serif"/>
          <w:b w:val="false"/>
          <w:color w:val="000000"/>
          <w:sz w:val="20"/>
        </w:rPr>
        <w:t xml:space="preserve">On May 10, 2022, the Executive Committee of the Board of Directors (the "Executive Committee") approved a share repurchase program with authorization to purchase up to $50.0 million of shares of Class A common stock ("2022 Share Repurchase Program"). The 2022 Share Repurchase Program authorized the Company to repurchase shares from time to time through open market purchases, in privately negotiated transactions or by other means, including the use of trading plans intended to qualify under Rule 10b5-1 of the Securities Exchange Act of 1934, as amended (the "Exchange Act"), in accordance with applicable securities laws and other restrictions. The actual timing, manner, price and total amount of repurchases was dependent on a variety of factors, including business, economic and market conditions, corporate and regulatory requirements, prevailing stock prices, restrictions under the terms of loan agreements and other considerations. The 2022 Share Repurchase Program did not obligate the Company to acquire any particular amount of Class A common stock, and the Company was permitted to suspend or terminate the program at any time at its discretion without prior notice. </w:t>
      </w:r>
    </w:p>
    <w:p>
      <w:pPr>
        <w:pStyle w:val="TextBody"/>
        <w:bidi w:val="0"/>
        <w:spacing w:lineRule="auto" w:line="288" w:before="0" w:after="160"/>
        <w:jc w:val="left"/>
        <w:rPr>
          <w:rFonts w:ascii="Expensify Neue;sans-serif" w:hAnsi="Expensify Neue;sans-serif"/>
          <w:b w:val="false"/>
          <w:color w:val="000000"/>
          <w:sz w:val="20"/>
        </w:rPr>
      </w:pPr>
      <w:r>
        <w:rPr>
          <w:rFonts w:ascii="Expensify Neue;sans-serif" w:hAnsi="Expensify Neue;sans-serif"/>
          <w:b w:val="false"/>
          <w:color w:val="000000"/>
          <w:sz w:val="20"/>
        </w:rPr>
        <w:t>On February 25, 2025, the Executive Committee approved a new share repurchase program with authorization to purchase up to $50.0 million of shares of Class A common stock ("2025 Share Repurchase Program"). The 2025 Share Repurchase Program replaced the 2022 Share Repurchase Program, which would have expired in March 2025. Under the 2025 Share Repurchase Program, the Company may repurchase shares from time to time through open market purchases, in privately negotiated transactions or by other means, including through the use of trading plans intended to qualify under Rule 10b5-1 under the Exchange Act, in accordance with applicable securities laws and other restrictions. The actual timing and total amount of future repurchases are subject to business, economic and market conditions, corporate and regulatory requirements, prevailing stock prices, restrictions under the terms of our loan agreements and other considerations. The 2025 Share Repurchase Program does not obligate the Company to acquire any particular amount of Class A common stock, and the program may be suspended or terminated at any time by the Company at any time at its discretion without prior notice.</w:t>
      </w:r>
    </w:p>
    <w:p>
      <w:pPr>
        <w:pStyle w:val="TextBody"/>
        <w:bidi w:val="0"/>
        <w:spacing w:lineRule="auto" w:line="288" w:before="0" w:after="160"/>
        <w:jc w:val="left"/>
        <w:rPr>
          <w:rFonts w:ascii="Expensify Neue;sans-serif" w:hAnsi="Expensify Neue;sans-serif"/>
          <w:b w:val="false"/>
          <w:color w:val="000000"/>
          <w:sz w:val="20"/>
        </w:rPr>
      </w:pPr>
      <w:r>
        <w:rPr>
          <w:rFonts w:ascii="Expensify Neue;sans-serif" w:hAnsi="Expensify Neue;sans-serif"/>
          <w:b w:val="false"/>
          <w:color w:val="000000"/>
          <w:sz w:val="20"/>
        </w:rPr>
        <w:t xml:space="preserve">During each of the three months ended March 31, 2025 and 2024, the Company did not repurchase any shares of Class A common stock under the 2025 Share Repurchase Program or 2022 Share Repurchase Program. </w:t>
      </w:r>
    </w:p>
    <w:p>
      <w:pPr>
        <w:pStyle w:val="TextBody"/>
        <w:bidi w:val="0"/>
        <w:spacing w:lineRule="auto" w:line="288" w:before="0" w:after="160"/>
        <w:jc w:val="left"/>
        <w:rPr>
          <w:rFonts w:ascii="Expensify Neue;sans-serif" w:hAnsi="Expensify Neue;sans-serif"/>
          <w:b w:val="false"/>
          <w:color w:val="000000"/>
          <w:sz w:val="20"/>
        </w:rPr>
      </w:pPr>
      <w:r>
        <w:rPr>
          <w:rFonts w:ascii="Expensify Neue;sans-serif" w:hAnsi="Expensify Neue;sans-serif"/>
          <w:b w:val="false"/>
          <w:color w:val="000000"/>
          <w:sz w:val="20"/>
        </w:rPr>
        <w:t>As of March 31, 2025, the Company had $50.0 million remaining under the 2025 Share Repurchase Program, not including amounts used for net share settlement of vested equity incentive awards.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6">
                <wp:simplePos x="0" y="0"/>
                <wp:positionH relativeFrom="character">
                  <wp:align>left</wp:align>
                </wp:positionH>
                <wp:positionV relativeFrom="line">
                  <wp:posOffset>635</wp:posOffset>
                </wp:positionV>
                <wp:extent cx="6480175" cy="599440"/>
                <wp:effectExtent l="0" t="0" r="0" b="0"/>
                <wp:wrapNone/>
                <wp:docPr id="25" name="Frame24"/>
                <a:graphic xmlns:a="http://schemas.openxmlformats.org/drawingml/2006/main">
                  <a:graphicData uri="http://schemas.microsoft.com/office/word/2010/wordprocessingShape">
                    <wps:wsp>
                      <wps:cNvSpPr txBox="1"/>
                      <wps:spPr>
                        <a:xfrm>
                          <a:off x="0" y="0"/>
                          <a:ext cx="6480175" cy="599440"/>
                        </a:xfrm>
                        <a:prstGeom prst="rect"/>
                        <a:solidFill>
                          <a:srgbClr val="FFFFFF"/>
                        </a:solidFill>
                      </wps:spPr>
                      <wps:txbx>
                        <w:txbxContent>
                          <w:tbl>
                            <w:tblPr>
                              <w:tblW w:w="406" w:type="dxa"/>
                              <w:jc w:val="left"/>
                              <w:tblInd w:w="0" w:type="dxa"/>
                              <w:tblLayout w:type="fixed"/>
                              <w:tblCellMar>
                                <w:top w:w="28" w:type="dxa"/>
                                <w:left w:w="28" w:type="dxa"/>
                                <w:bottom w:w="28" w:type="dxa"/>
                                <w:right w:w="28" w:type="dxa"/>
                              </w:tblCellMar>
                            </w:tblPr>
                            <w:tblGrid>
                              <w:gridCol w:w="130"/>
                              <w:gridCol w:w="114"/>
                              <w:gridCol w:w="162"/>
                            </w:tblGrid>
                            <w:tr>
                              <w:trPr/>
                              <w:tc>
                                <w:tcPr>
                                  <w:tcW w:w="130"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rPr/>
                              <w:tc>
                                <w:tcPr>
                                  <w:tcW w:w="406"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0"/>
                                    <w:jc w:val="center"/>
                                    <w:rPr>
                                      <w:rFonts w:ascii="Expensify Neue;sans-serif" w:hAnsi="Expensify Neue;sans-serif"/>
                                      <w:b w:val="false"/>
                                      <w:color w:val="000000"/>
                                      <w:sz w:val="20"/>
                                    </w:rPr>
                                  </w:pPr>
                                  <w:r>
                                    <w:rPr>
                                      <w:rFonts w:ascii="Expensify Neue;sans-serif" w:hAnsi="Expensify Neue;sans-serif"/>
                                      <w:b w:val="false"/>
                                      <w:color w:val="000000"/>
                                      <w:sz w:val="20"/>
                                    </w:rPr>
                                    <w:t>19</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7.2pt;mso-wrap-distance-left:0pt;mso-wrap-distance-right:0pt;mso-wrap-distance-top:0pt;mso-wrap-distance-bottom:0pt;margin-top:0pt;mso-position-vertical:top;mso-position-vertical-relative:text;margin-left:0pt;mso-position-horizontal:left;mso-position-horizontal-relative:text">
                <v:textbox>
                  <w:txbxContent>
                    <w:tbl>
                      <w:tblPr>
                        <w:tblW w:w="406" w:type="dxa"/>
                        <w:jc w:val="left"/>
                        <w:tblInd w:w="0" w:type="dxa"/>
                        <w:tblLayout w:type="fixed"/>
                        <w:tblCellMar>
                          <w:top w:w="28" w:type="dxa"/>
                          <w:left w:w="28" w:type="dxa"/>
                          <w:bottom w:w="28" w:type="dxa"/>
                          <w:right w:w="28" w:type="dxa"/>
                        </w:tblCellMar>
                      </w:tblPr>
                      <w:tblGrid>
                        <w:gridCol w:w="130"/>
                        <w:gridCol w:w="114"/>
                        <w:gridCol w:w="162"/>
                      </w:tblGrid>
                      <w:tr>
                        <w:trPr/>
                        <w:tc>
                          <w:tcPr>
                            <w:tcW w:w="130"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rPr/>
                        <w:tc>
                          <w:tcPr>
                            <w:tcW w:w="406"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0"/>
                              <w:jc w:val="center"/>
                              <w:rPr>
                                <w:rFonts w:ascii="Expensify Neue;sans-serif" w:hAnsi="Expensify Neue;sans-serif"/>
                                <w:b w:val="false"/>
                                <w:color w:val="000000"/>
                                <w:sz w:val="20"/>
                              </w:rPr>
                            </w:pPr>
                            <w:r>
                              <w:rPr>
                                <w:rFonts w:ascii="Expensify Neue;sans-serif" w:hAnsi="Expensify Neue;sans-serif"/>
                                <w:b w:val="false"/>
                                <w:color w:val="000000"/>
                                <w:sz w:val="20"/>
                              </w:rPr>
                              <w:t>19</w:t>
                            </w:r>
                          </w:p>
                        </w:tc>
                      </w:tr>
                    </w:tbl>
                    <w:p>
                      <w:pPr>
                        <w:pStyle w:val="TextBody"/>
                        <w:bidi w:val="0"/>
                        <w:spacing w:before="0" w:after="283"/>
                        <w:jc w:val="left"/>
                        <w:rPr/>
                      </w:pPr>
                      <w:r>
                        <w:rPr/>
                      </w:r>
                    </w:p>
                  </w:txbxContent>
                </v:textbox>
                <w10:wrap type="none"/>
              </v:rect>
            </w:pict>
          </mc:Fallback>
        </mc:AlternateContent>
      </w:r>
    </w:p>
    <w:p>
      <w:pPr>
        <w:pStyle w:val="TextBody"/>
        <w:bidi w:val="0"/>
        <w:spacing w:lineRule="auto" w:line="288" w:before="0" w:after="160"/>
        <w:jc w:val="left"/>
        <w:rPr/>
      </w:pPr>
      <w:hyperlink w:anchor="i52a648c4f0e449f7bc3c2044827c8f0d_7">
        <w:r>
          <w:rPr>
            <w:rStyle w:val="InternetLink"/>
            <w:rFonts w:ascii="Expensify Neue;sans-serif" w:hAnsi="Expensify Neue;sans-serif"/>
            <w:b/>
            <w:color w:val="0000FF"/>
            <w:sz w:val="20"/>
            <w:u w:val="single"/>
          </w:rPr>
          <w:t>Table of Contents</w:t>
        </w:r>
      </w:hyperlink>
    </w:p>
    <w:p>
      <w:pPr>
        <w:pStyle w:val="TextBody"/>
        <w:bidi w:val="0"/>
        <w:spacing w:lineRule="auto" w:line="288" w:before="0" w:after="0"/>
        <w:jc w:val="center"/>
        <w:rPr>
          <w:rFonts w:ascii="Expensify Neue;sans-serif" w:hAnsi="Expensify Neue;sans-serif"/>
          <w:b/>
          <w:color w:val="000000"/>
          <w:sz w:val="24"/>
        </w:rPr>
      </w:pPr>
      <w:r>
        <w:rPr>
          <w:rFonts w:ascii="Expensify Neue;sans-serif" w:hAnsi="Expensify Neue;sans-serif"/>
          <w:b/>
          <w:color w:val="000000"/>
          <w:sz w:val="24"/>
        </w:rPr>
        <w:t>Expensify, Inc.</w:t>
      </w:r>
    </w:p>
    <w:p>
      <w:pPr>
        <w:pStyle w:val="TextBody"/>
        <w:bidi w:val="0"/>
        <w:spacing w:lineRule="auto" w:line="288" w:before="0" w:after="0"/>
        <w:jc w:val="center"/>
        <w:rPr>
          <w:rFonts w:ascii="Expensify Neue;sans-serif" w:hAnsi="Expensify Neue;sans-serif"/>
          <w:b/>
          <w:color w:val="000000"/>
          <w:sz w:val="24"/>
        </w:rPr>
      </w:pPr>
      <w:r>
        <w:rPr>
          <w:rFonts w:ascii="Expensify Neue;sans-serif" w:hAnsi="Expensify Neue;sans-serif"/>
          <w:b/>
          <w:color w:val="000000"/>
          <w:sz w:val="24"/>
        </w:rPr>
        <w:t>Notes to the Condensed Consolidated Financial Statements</w:t>
      </w:r>
    </w:p>
    <w:p>
      <w:pPr>
        <w:pStyle w:val="TextBody"/>
        <w:bidi w:val="0"/>
        <w:spacing w:lineRule="auto" w:line="288" w:before="0" w:after="0"/>
        <w:jc w:val="center"/>
        <w:rPr>
          <w:rFonts w:ascii="Expensify Neue;sans-serif" w:hAnsi="Expensify Neue;sans-serif"/>
          <w:b/>
          <w:color w:val="000000"/>
          <w:sz w:val="20"/>
        </w:rPr>
      </w:pPr>
      <w:r>
        <w:rPr>
          <w:rFonts w:ascii="Expensify Neue;sans-serif" w:hAnsi="Expensify Neue;sans-serif"/>
          <w:b/>
          <w:color w:val="000000"/>
          <w:sz w:val="20"/>
        </w:rPr>
        <w:t>(unaudited)</w:t>
      </w:r>
    </w:p>
    <w:p>
      <w:pPr>
        <w:pStyle w:val="TextBody"/>
        <w:bidi w:val="0"/>
        <w:spacing w:lineRule="auto" w:line="288" w:before="0" w:after="160"/>
        <w:jc w:val="left"/>
        <w:rPr>
          <w:rFonts w:ascii="Expensify Neue;sans-serif" w:hAnsi="Expensify Neue;sans-serif"/>
          <w:b/>
          <w:color w:val="002E22"/>
          <w:sz w:val="32"/>
        </w:rPr>
      </w:pPr>
      <w:r>
        <w:rPr>
          <w:rFonts w:ascii="Expensify Neue;sans-serif" w:hAnsi="Expensify Neue;sans-serif"/>
          <w:b/>
          <w:color w:val="002E22"/>
          <w:sz w:val="32"/>
        </w:rPr>
        <w:t>NOTE 9 - RELATED PARTY TRANSACTIONS</w:t>
      </w:r>
    </w:p>
    <w:p>
      <w:pPr>
        <w:pStyle w:val="TextBody"/>
        <w:bidi w:val="0"/>
        <w:spacing w:lineRule="auto" w:line="288" w:before="0" w:after="160"/>
        <w:jc w:val="left"/>
        <w:rPr>
          <w:rFonts w:ascii="Expensify Neue;sans-serif" w:hAnsi="Expensify Neue;sans-serif"/>
          <w:b w:val="false"/>
          <w:color w:val="000000"/>
          <w:sz w:val="20"/>
        </w:rPr>
      </w:pPr>
      <w:r>
        <w:rPr>
          <w:rFonts w:ascii="Expensify Neue;sans-serif" w:hAnsi="Expensify Neue;sans-serif"/>
          <w:b w:val="false"/>
          <w:color w:val="000000"/>
          <w:sz w:val="20"/>
        </w:rPr>
        <w:t xml:space="preserve">There are no significant related party transactions for the Company as of March 31, 2025, except as noted elsewhere in these condensed consolidated financial statements.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7">
                <wp:simplePos x="0" y="0"/>
                <wp:positionH relativeFrom="character">
                  <wp:align>left</wp:align>
                </wp:positionH>
                <wp:positionV relativeFrom="line">
                  <wp:posOffset>635</wp:posOffset>
                </wp:positionV>
                <wp:extent cx="6480175" cy="599440"/>
                <wp:effectExtent l="0" t="0" r="0" b="0"/>
                <wp:wrapNone/>
                <wp:docPr id="26" name="Frame25"/>
                <a:graphic xmlns:a="http://schemas.openxmlformats.org/drawingml/2006/main">
                  <a:graphicData uri="http://schemas.microsoft.com/office/word/2010/wordprocessingShape">
                    <wps:wsp>
                      <wps:cNvSpPr txBox="1"/>
                      <wps:spPr>
                        <a:xfrm>
                          <a:off x="0" y="0"/>
                          <a:ext cx="6480175" cy="599440"/>
                        </a:xfrm>
                        <a:prstGeom prst="rect"/>
                        <a:solidFill>
                          <a:srgbClr val="FFFFFF"/>
                        </a:solidFill>
                      </wps:spPr>
                      <wps:txbx>
                        <w:txbxContent>
                          <w:tbl>
                            <w:tblPr>
                              <w:tblW w:w="406" w:type="dxa"/>
                              <w:jc w:val="left"/>
                              <w:tblInd w:w="0" w:type="dxa"/>
                              <w:tblLayout w:type="fixed"/>
                              <w:tblCellMar>
                                <w:top w:w="28" w:type="dxa"/>
                                <w:left w:w="28" w:type="dxa"/>
                                <w:bottom w:w="28" w:type="dxa"/>
                                <w:right w:w="28" w:type="dxa"/>
                              </w:tblCellMar>
                            </w:tblPr>
                            <w:tblGrid>
                              <w:gridCol w:w="130"/>
                              <w:gridCol w:w="114"/>
                              <w:gridCol w:w="162"/>
                            </w:tblGrid>
                            <w:tr>
                              <w:trPr/>
                              <w:tc>
                                <w:tcPr>
                                  <w:tcW w:w="130"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rPr/>
                              <w:tc>
                                <w:tcPr>
                                  <w:tcW w:w="406"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0"/>
                                    <w:jc w:val="center"/>
                                    <w:rPr>
                                      <w:rFonts w:ascii="Expensify Neue;sans-serif" w:hAnsi="Expensify Neue;sans-serif"/>
                                      <w:b w:val="false"/>
                                      <w:color w:val="000000"/>
                                      <w:sz w:val="20"/>
                                    </w:rPr>
                                  </w:pPr>
                                  <w:r>
                                    <w:rPr>
                                      <w:rFonts w:ascii="Expensify Neue;sans-serif" w:hAnsi="Expensify Neue;sans-serif"/>
                                      <w:b w:val="false"/>
                                      <w:color w:val="000000"/>
                                      <w:sz w:val="20"/>
                                    </w:rPr>
                                    <w:t>20</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7.2pt;mso-wrap-distance-left:0pt;mso-wrap-distance-right:0pt;mso-wrap-distance-top:0pt;mso-wrap-distance-bottom:0pt;margin-top:0pt;mso-position-vertical:top;mso-position-vertical-relative:text;margin-left:0pt;mso-position-horizontal:left;mso-position-horizontal-relative:text">
                <v:textbox>
                  <w:txbxContent>
                    <w:tbl>
                      <w:tblPr>
                        <w:tblW w:w="406" w:type="dxa"/>
                        <w:jc w:val="left"/>
                        <w:tblInd w:w="0" w:type="dxa"/>
                        <w:tblLayout w:type="fixed"/>
                        <w:tblCellMar>
                          <w:top w:w="28" w:type="dxa"/>
                          <w:left w:w="28" w:type="dxa"/>
                          <w:bottom w:w="28" w:type="dxa"/>
                          <w:right w:w="28" w:type="dxa"/>
                        </w:tblCellMar>
                      </w:tblPr>
                      <w:tblGrid>
                        <w:gridCol w:w="130"/>
                        <w:gridCol w:w="114"/>
                        <w:gridCol w:w="162"/>
                      </w:tblGrid>
                      <w:tr>
                        <w:trPr/>
                        <w:tc>
                          <w:tcPr>
                            <w:tcW w:w="130"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rPr/>
                        <w:tc>
                          <w:tcPr>
                            <w:tcW w:w="406"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0"/>
                              <w:jc w:val="center"/>
                              <w:rPr>
                                <w:rFonts w:ascii="Expensify Neue;sans-serif" w:hAnsi="Expensify Neue;sans-serif"/>
                                <w:b w:val="false"/>
                                <w:color w:val="000000"/>
                                <w:sz w:val="20"/>
                              </w:rPr>
                            </w:pPr>
                            <w:r>
                              <w:rPr>
                                <w:rFonts w:ascii="Expensify Neue;sans-serif" w:hAnsi="Expensify Neue;sans-serif"/>
                                <w:b w:val="false"/>
                                <w:color w:val="000000"/>
                                <w:sz w:val="20"/>
                              </w:rPr>
                              <w:t>20</w:t>
                            </w:r>
                          </w:p>
                        </w:tc>
                      </w:tr>
                    </w:tbl>
                    <w:p>
                      <w:pPr>
                        <w:pStyle w:val="TextBody"/>
                        <w:bidi w:val="0"/>
                        <w:spacing w:before="0" w:after="283"/>
                        <w:jc w:val="left"/>
                        <w:rPr/>
                      </w:pPr>
                      <w:r>
                        <w:rPr/>
                      </w:r>
                    </w:p>
                  </w:txbxContent>
                </v:textbox>
                <w10:wrap type="none"/>
              </v:rect>
            </w:pict>
          </mc:Fallback>
        </mc:AlternateContent>
      </w:r>
    </w:p>
    <w:p>
      <w:pPr>
        <w:pStyle w:val="TextBody"/>
        <w:bidi w:val="0"/>
        <w:spacing w:lineRule="auto" w:line="288" w:before="0" w:after="160"/>
        <w:jc w:val="left"/>
        <w:rPr/>
      </w:pPr>
      <w:hyperlink w:anchor="i52a648c4f0e449f7bc3c2044827c8f0d_7">
        <w:r>
          <w:rPr>
            <w:rStyle w:val="InternetLink"/>
            <w:rFonts w:ascii="Expensify Neue;sans-serif" w:hAnsi="Expensify Neue;sans-serif"/>
            <w:b/>
            <w:color w:val="0000FF"/>
            <w:sz w:val="20"/>
            <w:u w:val="single"/>
          </w:rPr>
          <w:t>Table of Contents</w:t>
        </w:r>
      </w:hyperlink>
    </w:p>
    <w:p>
      <w:pPr>
        <w:pStyle w:val="TextBody"/>
        <w:bidi w:val="0"/>
        <w:spacing w:lineRule="auto" w:line="288" w:before="0" w:after="160"/>
        <w:jc w:val="left"/>
        <w:rPr>
          <w:rFonts w:ascii="Expensify Neue;sans-serif" w:hAnsi="Expensify Neue;sans-serif"/>
          <w:b/>
          <w:color w:val="002E22"/>
          <w:sz w:val="32"/>
        </w:rPr>
      </w:pPr>
      <w:r>
        <w:rPr>
          <w:rFonts w:ascii="Expensify Neue;sans-serif" w:hAnsi="Expensify Neue;sans-serif"/>
          <w:b/>
          <w:color w:val="002E22"/>
          <w:sz w:val="32"/>
        </w:rPr>
        <w:t>Item 2. Management's Discussion and Analysis of Financial Condition and Results of Operations</w:t>
      </w:r>
    </w:p>
    <w:p>
      <w:pPr>
        <w:pStyle w:val="TextBody"/>
        <w:bidi w:val="0"/>
        <w:spacing w:lineRule="auto" w:line="288" w:before="0" w:after="160"/>
        <w:jc w:val="left"/>
        <w:rPr>
          <w:rFonts w:ascii="Expensify Neue;sans-serif" w:hAnsi="Expensify Neue;sans-serif"/>
          <w:b w:val="false"/>
          <w:i/>
          <w:color w:val="000000"/>
          <w:sz w:val="20"/>
        </w:rPr>
      </w:pPr>
      <w:r>
        <w:rPr>
          <w:rFonts w:ascii="Expensify Neue;sans-serif" w:hAnsi="Expensify Neue;sans-serif"/>
          <w:b w:val="false"/>
          <w:i/>
          <w:color w:val="000000"/>
          <w:sz w:val="20"/>
        </w:rPr>
        <w:t>The following discussion and analysis of our financial condition and results of operations should be read in conjunction with our condensed consolidated financial statements and related notes included elsewhere in this Quarterly Report on Form 10-Q and with our audited consolidated financial statements included in our Annual Report on Form 10-K for the year ended December 31, 2024 ("2024 Annual Report"). This discussion contains forward-looking statements based upon current plans, expectations and beliefs involving risks and uncertainties. Our actual results could differ materially from those anticipated in these forward-looking statements as a result of various factors, including those set forth under Part I, Item 1A. "Risk Factors" in our 2024 Annual Report and included elsewhere in this Quarterly Report on Form 10-Q. See "Special Note Regarding Forward-Looking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60"/>
        <w:jc w:val="left"/>
        <w:rPr>
          <w:rFonts w:ascii="Expensify Neue;sans-serif" w:hAnsi="Expensify Neue;sans-serif"/>
          <w:b/>
          <w:color w:val="03D47C"/>
          <w:sz w:val="20"/>
        </w:rPr>
      </w:pPr>
      <w:r>
        <w:rPr>
          <w:rFonts w:ascii="Expensify Neue;sans-serif" w:hAnsi="Expensify Neue;sans-serif"/>
          <w:b/>
          <w:color w:val="03D47C"/>
          <w:sz w:val="20"/>
        </w:rPr>
        <w:t>OVERVIEW</w:t>
      </w:r>
    </w:p>
    <w:p>
      <w:pPr>
        <w:pStyle w:val="TextBody"/>
        <w:bidi w:val="0"/>
        <w:spacing w:lineRule="auto" w:line="288" w:before="0" w:after="160"/>
        <w:jc w:val="left"/>
        <w:rPr>
          <w:rFonts w:ascii="Expensify Neue;sans-serif" w:hAnsi="Expensify Neue;sans-serif"/>
          <w:b w:val="false"/>
          <w:color w:val="000000"/>
          <w:sz w:val="20"/>
        </w:rPr>
      </w:pPr>
      <w:r>
        <w:rPr>
          <w:rFonts w:ascii="Expensify Neue;sans-serif" w:hAnsi="Expensify Neue;sans-serif"/>
          <w:b w:val="false"/>
          <w:color w:val="000000"/>
          <w:sz w:val="20"/>
        </w:rPr>
        <w:t xml:space="preserve">Expensify is a cloud-based expense management software platform that helps the smallest to the largest businesses simplify the way they manage money. Every day, people from all walks of life in organizations around the world use Expensify to scan and reimburse receipts from flights, hotels, coffee shops, office supplies and ride shares. Since our founding in 2008, we have added over 15 million members to our community and processed and automated 1.8 billion expense transactions on our platform as of March 31, 2025, freeing people to spend less time managing expenses and more time doing the things they love. For the quarter ended March 31, 2025, an average of 657,000 paid members across an average of 45,100 companies and over 200 countries and territories used Expensify to make money easy. </w:t>
      </w:r>
    </w:p>
    <w:p>
      <w:pPr>
        <w:pStyle w:val="TextBody"/>
        <w:bidi w:val="0"/>
        <w:spacing w:lineRule="auto" w:line="288" w:before="0" w:after="160"/>
        <w:jc w:val="left"/>
        <w:rPr>
          <w:rFonts w:ascii="Expensify Neue;sans-serif" w:hAnsi="Expensify Neue;sans-serif"/>
          <w:b/>
          <w:color w:val="03D47C"/>
          <w:sz w:val="20"/>
        </w:rPr>
      </w:pPr>
      <w:r>
        <w:rPr>
          <w:rFonts w:ascii="Expensify Neue;sans-serif" w:hAnsi="Expensify Neue;sans-serif"/>
          <w:b/>
          <w:color w:val="03D47C"/>
          <w:sz w:val="20"/>
        </w:rPr>
        <w:t>MACROECONOMIC TRENDS</w:t>
      </w:r>
    </w:p>
    <w:p>
      <w:pPr>
        <w:pStyle w:val="TextBody"/>
        <w:bidi w:val="0"/>
        <w:spacing w:lineRule="auto" w:line="288" w:before="0" w:after="160"/>
        <w:jc w:val="left"/>
        <w:rPr>
          <w:rFonts w:ascii="Expensify Neue;sans-serif" w:hAnsi="Expensify Neue;sans-serif"/>
          <w:b w:val="false"/>
          <w:color w:val="000000"/>
          <w:sz w:val="20"/>
        </w:rPr>
      </w:pPr>
      <w:r>
        <w:rPr>
          <w:rFonts w:ascii="Expensify Neue;sans-serif" w:hAnsi="Expensify Neue;sans-serif"/>
          <w:b w:val="false"/>
          <w:color w:val="000000"/>
          <w:sz w:val="20"/>
        </w:rPr>
        <w:t>Our business and the operations of our customers, the majority of which are small and medium-sized businesses, depend on the overall state of the economy, and we and they could be negatively impacted by slower economic growth and a potential for a recession. Although certain indicators have suggested that inflation has made downward progress, the economy continues to be impacted by elevated inflation rates and faces further inflation risk. Tariff and trade issues also continue to cause overall uncertainty with respect to the economy. See Part II, Item 1A. “Risk Factors” in this Quarterly Report on Form 10-Q and Part I, Item 1A. "Risk Factors" in our 2024 Annual Report for further discussion of the possible impact of such macroeconomic trends on our business. Additionally, other potential challenging macroeconomic conditions, and the resulting impact on business continuity and travel, could negatively impact our business.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8">
                <wp:simplePos x="0" y="0"/>
                <wp:positionH relativeFrom="character">
                  <wp:align>left</wp:align>
                </wp:positionH>
                <wp:positionV relativeFrom="line">
                  <wp:posOffset>635</wp:posOffset>
                </wp:positionV>
                <wp:extent cx="6480175" cy="599440"/>
                <wp:effectExtent l="0" t="0" r="0" b="0"/>
                <wp:wrapNone/>
                <wp:docPr id="27" name="Frame26"/>
                <a:graphic xmlns:a="http://schemas.openxmlformats.org/drawingml/2006/main">
                  <a:graphicData uri="http://schemas.microsoft.com/office/word/2010/wordprocessingShape">
                    <wps:wsp>
                      <wps:cNvSpPr txBox="1"/>
                      <wps:spPr>
                        <a:xfrm>
                          <a:off x="0" y="0"/>
                          <a:ext cx="6480175" cy="599440"/>
                        </a:xfrm>
                        <a:prstGeom prst="rect"/>
                        <a:solidFill>
                          <a:srgbClr val="FFFFFF"/>
                        </a:solidFill>
                      </wps:spPr>
                      <wps:txbx>
                        <w:txbxContent>
                          <w:tbl>
                            <w:tblPr>
                              <w:tblW w:w="406" w:type="dxa"/>
                              <w:jc w:val="center"/>
                              <w:tblInd w:w="0" w:type="dxa"/>
                              <w:tblLayout w:type="fixed"/>
                              <w:tblCellMar>
                                <w:top w:w="28" w:type="dxa"/>
                                <w:left w:w="28" w:type="dxa"/>
                                <w:bottom w:w="28" w:type="dxa"/>
                                <w:right w:w="28" w:type="dxa"/>
                              </w:tblCellMar>
                            </w:tblPr>
                            <w:tblGrid>
                              <w:gridCol w:w="130"/>
                              <w:gridCol w:w="114"/>
                              <w:gridCol w:w="162"/>
                            </w:tblGrid>
                            <w:tr>
                              <w:trPr/>
                              <w:tc>
                                <w:tcPr>
                                  <w:tcW w:w="130"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rPr/>
                              <w:tc>
                                <w:tcPr>
                                  <w:tcW w:w="406"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0"/>
                                    <w:jc w:val="center"/>
                                    <w:rPr>
                                      <w:rFonts w:ascii="Expensify Neue;sans-serif" w:hAnsi="Expensify Neue;sans-serif"/>
                                      <w:b w:val="false"/>
                                      <w:color w:val="000000"/>
                                      <w:sz w:val="20"/>
                                    </w:rPr>
                                  </w:pPr>
                                  <w:r>
                                    <w:rPr>
                                      <w:rFonts w:ascii="Expensify Neue;sans-serif" w:hAnsi="Expensify Neue;sans-serif"/>
                                      <w:b w:val="false"/>
                                      <w:color w:val="000000"/>
                                      <w:sz w:val="20"/>
                                    </w:rPr>
                                    <w:t>21</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7.2pt;mso-wrap-distance-left:0pt;mso-wrap-distance-right:0pt;mso-wrap-distance-top:0pt;mso-wrap-distance-bottom:0pt;margin-top:0pt;mso-position-vertical:top;mso-position-vertical-relative:text;margin-left:0pt;mso-position-horizontal:left;mso-position-horizontal-relative:text">
                <v:textbox>
                  <w:txbxContent>
                    <w:tbl>
                      <w:tblPr>
                        <w:tblW w:w="406" w:type="dxa"/>
                        <w:jc w:val="center"/>
                        <w:tblInd w:w="0" w:type="dxa"/>
                        <w:tblLayout w:type="fixed"/>
                        <w:tblCellMar>
                          <w:top w:w="28" w:type="dxa"/>
                          <w:left w:w="28" w:type="dxa"/>
                          <w:bottom w:w="28" w:type="dxa"/>
                          <w:right w:w="28" w:type="dxa"/>
                        </w:tblCellMar>
                      </w:tblPr>
                      <w:tblGrid>
                        <w:gridCol w:w="130"/>
                        <w:gridCol w:w="114"/>
                        <w:gridCol w:w="162"/>
                      </w:tblGrid>
                      <w:tr>
                        <w:trPr/>
                        <w:tc>
                          <w:tcPr>
                            <w:tcW w:w="130"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rPr/>
                        <w:tc>
                          <w:tcPr>
                            <w:tcW w:w="406"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0"/>
                              <w:jc w:val="center"/>
                              <w:rPr>
                                <w:rFonts w:ascii="Expensify Neue;sans-serif" w:hAnsi="Expensify Neue;sans-serif"/>
                                <w:b w:val="false"/>
                                <w:color w:val="000000"/>
                                <w:sz w:val="20"/>
                              </w:rPr>
                            </w:pPr>
                            <w:r>
                              <w:rPr>
                                <w:rFonts w:ascii="Expensify Neue;sans-serif" w:hAnsi="Expensify Neue;sans-serif"/>
                                <w:b w:val="false"/>
                                <w:color w:val="000000"/>
                                <w:sz w:val="20"/>
                              </w:rPr>
                              <w:t>21</w:t>
                            </w:r>
                          </w:p>
                        </w:tc>
                      </w:tr>
                    </w:tbl>
                    <w:p>
                      <w:pPr>
                        <w:pStyle w:val="TextBody"/>
                        <w:bidi w:val="0"/>
                        <w:spacing w:before="0" w:after="283"/>
                        <w:jc w:val="left"/>
                        <w:rPr/>
                      </w:pPr>
                      <w:r>
                        <w:rPr/>
                      </w:r>
                    </w:p>
                  </w:txbxContent>
                </v:textbox>
                <w10:wrap type="none"/>
              </v:rect>
            </w:pict>
          </mc:Fallback>
        </mc:AlternateContent>
      </w:r>
    </w:p>
    <w:p>
      <w:pPr>
        <w:pStyle w:val="TextBody"/>
        <w:bidi w:val="0"/>
        <w:spacing w:lineRule="auto" w:line="288" w:before="0" w:after="160"/>
        <w:jc w:val="left"/>
        <w:rPr/>
      </w:pPr>
      <w:hyperlink w:anchor="i52a648c4f0e449f7bc3c2044827c8f0d_7">
        <w:r>
          <w:rPr>
            <w:rStyle w:val="InternetLink"/>
            <w:rFonts w:ascii="Expensify Neue;sans-serif" w:hAnsi="Expensify Neue;sans-serif"/>
            <w:b/>
            <w:color w:val="0000FF"/>
            <w:sz w:val="20"/>
            <w:u w:val="single"/>
          </w:rPr>
          <w:t>Table of Contents</w:t>
        </w:r>
      </w:hyperlink>
    </w:p>
    <w:p>
      <w:pPr>
        <w:pStyle w:val="TextBody"/>
        <w:bidi w:val="0"/>
        <w:spacing w:lineRule="auto" w:line="288" w:before="0" w:after="160"/>
        <w:jc w:val="left"/>
        <w:rPr>
          <w:rFonts w:ascii="Expensify Neue;sans-serif" w:hAnsi="Expensify Neue;sans-serif"/>
          <w:b/>
          <w:color w:val="002E22"/>
          <w:sz w:val="32"/>
        </w:rPr>
      </w:pPr>
      <w:r>
        <w:rPr>
          <w:rFonts w:ascii="Expensify Neue;sans-serif" w:hAnsi="Expensify Neue;sans-serif"/>
          <w:b/>
          <w:color w:val="002E22"/>
          <w:sz w:val="32"/>
        </w:rPr>
        <w:t>Components of Results of Operations</w:t>
      </w:r>
    </w:p>
    <w:p>
      <w:pPr>
        <w:pStyle w:val="TextBody"/>
        <w:bidi w:val="0"/>
        <w:spacing w:lineRule="auto" w:line="288" w:before="0" w:after="160"/>
        <w:jc w:val="left"/>
        <w:rPr>
          <w:rFonts w:ascii="Expensify Neue;sans-serif" w:hAnsi="Expensify Neue;sans-serif"/>
          <w:b/>
          <w:i/>
          <w:color w:val="000000"/>
          <w:sz w:val="20"/>
        </w:rPr>
      </w:pPr>
      <w:r>
        <w:rPr>
          <w:rFonts w:ascii="Expensify Neue;sans-serif" w:hAnsi="Expensify Neue;sans-serif"/>
          <w:b/>
          <w:i/>
          <w:color w:val="000000"/>
          <w:sz w:val="20"/>
        </w:rPr>
        <w:t>Revenue</w:t>
      </w:r>
    </w:p>
    <w:p>
      <w:pPr>
        <w:pStyle w:val="TextBody"/>
        <w:bidi w:val="0"/>
        <w:spacing w:lineRule="auto" w:line="288" w:before="0" w:after="160"/>
        <w:jc w:val="left"/>
        <w:rPr>
          <w:rFonts w:ascii="Expensify Neue;sans-serif" w:hAnsi="Expensify Neue;sans-serif"/>
          <w:b w:val="false"/>
          <w:color w:val="000000"/>
          <w:sz w:val="20"/>
        </w:rPr>
      </w:pPr>
      <w:r>
        <w:rPr>
          <w:rFonts w:ascii="Expensify Neue;sans-serif" w:hAnsi="Expensify Neue;sans-serif"/>
          <w:b w:val="false"/>
          <w:color w:val="000000"/>
          <w:sz w:val="20"/>
        </w:rPr>
        <w:t>We generate revenue from subscription fees based on the usage of our cloud-based expense management software platform under arrangements paid monthly in arrears that are either (i) month-to-month and can be terminated by either party without penalty at any time or (ii) annual arrangements based on a minimum number of monthly members. Annual subscription customers who wish to terminate their contracts before the end of the term are required to pay the remaining obligation in full plus any fees or penalties set forth in the agreement. We charge our customers subscription fees for access to our platform based on the number of monthly active members and level of service. The contractual price is based on either negotiated fees or rates published on our website. We generate most of our revenue from customers who have a credit card or debit card on file with us that is automatically charged each month. Virtually all of our customers have a standard terms of service contract, with the few exceptions for customers on bespoke service contracts.</w:t>
      </w:r>
    </w:p>
    <w:p>
      <w:pPr>
        <w:pStyle w:val="TextBody"/>
        <w:bidi w:val="0"/>
        <w:spacing w:lineRule="auto" w:line="288" w:before="0" w:after="160"/>
        <w:jc w:val="left"/>
        <w:rPr>
          <w:rFonts w:ascii="Expensify Neue;sans-serif" w:hAnsi="Expensify Neue;sans-serif"/>
          <w:b w:val="false"/>
          <w:color w:val="000000"/>
          <w:sz w:val="20"/>
        </w:rPr>
      </w:pPr>
      <w:r>
        <w:rPr>
          <w:rFonts w:ascii="Expensify Neue;sans-serif" w:hAnsi="Expensify Neue;sans-serif"/>
          <w:b w:val="false"/>
          <w:color w:val="000000"/>
          <w:sz w:val="20"/>
        </w:rPr>
        <w:t>Our contracts with our customers include two performance obligations: access to the hosted software service, inclusive of all features available within the platform, and the related customer support. We account for the platform access and the support as a combined performance obligation because they have the same pattern of transfer over the same period and are therefore delivered concurrently. We satisfy our performance obligation over time each month as we provide platform access and support services to customers and as such recognize revenue over time. We recognize revenue net of applicable taxes imposed on the related transaction.</w:t>
      </w:r>
    </w:p>
    <w:p>
      <w:pPr>
        <w:pStyle w:val="TextBody"/>
        <w:bidi w:val="0"/>
        <w:spacing w:lineRule="auto" w:line="288" w:before="0" w:after="160"/>
        <w:jc w:val="left"/>
        <w:rPr/>
      </w:pPr>
      <w:r>
        <w:rPr>
          <w:rFonts w:ascii="Expensify Neue;sans-serif" w:hAnsi="Expensify Neue;sans-serif"/>
          <w:b w:val="false"/>
          <w:color w:val="000000"/>
          <w:sz w:val="20"/>
          <w:shd w:fill="FFFFFF" w:val="clear"/>
        </w:rPr>
        <w:t xml:space="preserve">As of </w:t>
      </w:r>
      <w:r>
        <w:rPr>
          <w:rFonts w:ascii="Expensify Neue;sans-serif" w:hAnsi="Expensify Neue;sans-serif"/>
          <w:b w:val="false"/>
          <w:color w:val="000000"/>
          <w:sz w:val="20"/>
        </w:rPr>
        <w:t>March 31, 2025</w:t>
      </w:r>
      <w:r>
        <w:rPr>
          <w:rFonts w:ascii="Expensify Neue;sans-serif" w:hAnsi="Expensify Neue;sans-serif"/>
          <w:b w:val="false"/>
          <w:color w:val="000000"/>
          <w:sz w:val="20"/>
          <w:shd w:fill="FFFFFF" w:val="clear"/>
        </w:rPr>
        <w:t xml:space="preserve">, the Expensify Card consisted substantially of a single card program that launched in February 2024 (the "Updated Card Program"). </w:t>
      </w:r>
      <w:r>
        <w:rPr>
          <w:rFonts w:ascii="Expensify Neue;sans-serif" w:hAnsi="Expensify Neue;sans-serif"/>
          <w:b w:val="false"/>
          <w:color w:val="000000"/>
          <w:sz w:val="20"/>
        </w:rPr>
        <w:t xml:space="preserve">The Updated Card Program operates under an agreement with the issuing bank, </w:t>
      </w:r>
      <w:r>
        <w:rPr>
          <w:rFonts w:ascii="Expensify Neue;sans-serif" w:hAnsi="Expensify Neue;sans-serif"/>
          <w:b w:val="false"/>
          <w:color w:val="000000"/>
          <w:sz w:val="20"/>
          <w:shd w:fill="FFFFFF" w:val="clear"/>
        </w:rPr>
        <w:t>The Bancorp Bank, N.A. ("Bancorp"),</w:t>
      </w:r>
      <w:r>
        <w:rPr>
          <w:color w:val="000000"/>
        </w:rPr>
        <w:t xml:space="preserve"> </w:t>
      </w:r>
      <w:r>
        <w:rPr>
          <w:rFonts w:ascii="Expensify Neue;sans-serif" w:hAnsi="Expensify Neue;sans-serif"/>
          <w:b w:val="false"/>
          <w:color w:val="000000"/>
          <w:sz w:val="20"/>
        </w:rPr>
        <w:t>to issue Expensify Cards to customers and authorize and settle transactions on the Visa card network.</w:t>
      </w:r>
    </w:p>
    <w:p>
      <w:pPr>
        <w:pStyle w:val="TextBody"/>
        <w:bidi w:val="0"/>
        <w:spacing w:lineRule="auto" w:line="288" w:before="0" w:after="160"/>
        <w:jc w:val="left"/>
        <w:rPr/>
      </w:pPr>
      <w:r>
        <w:rPr>
          <w:rFonts w:ascii="Expensify Neue;sans-serif" w:hAnsi="Expensify Neue;sans-serif"/>
          <w:b w:val="false"/>
          <w:color w:val="000000"/>
          <w:sz w:val="20"/>
          <w:shd w:fill="FFFFFF" w:val="clear"/>
        </w:rPr>
        <w:t xml:space="preserve">Under the Updated Card Program, we generate revenue from the authorization and settlement of Expensify Card transactions and are contractually entitled to all interchange generated on Expensify Card transactions based on our agreement with Bancorp. We are the principal in the transaction and recognize interchange as revenue on a gross basis within Revenue on the accompanying Condensed Consolidated Statements of Operations. </w:t>
      </w:r>
      <w:r>
        <w:rPr>
          <w:rFonts w:ascii="Expensify Neue;sans-serif" w:hAnsi="Expensify Neue;sans-serif"/>
          <w:b w:val="false"/>
          <w:color w:val="000000"/>
          <w:sz w:val="20"/>
        </w:rPr>
        <w:t>Interchange revenue was $5.0 million for the three months ended March 31, 2025. For the three months ended March 31, 2024, we had an immaterial amount of interchange revenue.</w:t>
      </w:r>
    </w:p>
    <w:p>
      <w:pPr>
        <w:pStyle w:val="TextBody"/>
        <w:bidi w:val="0"/>
        <w:spacing w:lineRule="auto" w:line="288" w:before="0" w:after="160"/>
        <w:jc w:val="left"/>
        <w:rPr>
          <w:rFonts w:ascii="Expensify Neue;sans-serif" w:hAnsi="Expensify Neue;sans-serif"/>
          <w:b w:val="false"/>
          <w:color w:val="000000"/>
          <w:sz w:val="20"/>
        </w:rPr>
      </w:pPr>
      <w:r>
        <w:rPr>
          <w:rFonts w:ascii="Expensify Neue;sans-serif" w:hAnsi="Expensify Neue;sans-serif"/>
          <w:b w:val="false"/>
          <w:color w:val="000000"/>
          <w:sz w:val="20"/>
        </w:rPr>
        <w:t>We offer a cashback rewards program to all customers on the Updated Card Program based on volume of Expensify Card transactions. Cashback rewards are earned on a monthly basis and are applied against outstanding customer receivables or are paid out the following month. We consider our cashback rewards as consideration payable to a customer, and they are recorded as contra revenue within Revenue on the Condensed Consolidated Statements of Operations. Cashback rewards applied against outstanding customer receivables are reflected as a reduction to Accounts receivable, net on the Condensed Consolidated Balance Sheets. Cashback rewards liability is recorded within Accrued expenses and other liabilities on the Condensed Consolidated Balance Sheets. The cashback rewards fluctuate over time as customers meet eligibility requirements and the timing of payments made to customers.</w:t>
      </w:r>
    </w:p>
    <w:p>
      <w:pPr>
        <w:pStyle w:val="TextBody"/>
        <w:bidi w:val="0"/>
        <w:spacing w:lineRule="auto" w:line="288" w:before="0" w:after="160"/>
        <w:jc w:val="left"/>
        <w:rPr>
          <w:rFonts w:ascii="Expensify Neue;sans-serif" w:hAnsi="Expensify Neue;sans-serif"/>
          <w:b/>
          <w:i/>
          <w:color w:val="000000"/>
          <w:sz w:val="20"/>
        </w:rPr>
      </w:pPr>
      <w:r>
        <w:rPr>
          <w:rFonts w:ascii="Expensify Neue;sans-serif" w:hAnsi="Expensify Neue;sans-serif"/>
          <w:b/>
          <w:i/>
          <w:color w:val="000000"/>
          <w:sz w:val="20"/>
        </w:rPr>
        <w:t>Cost of Revenue, Net</w:t>
      </w:r>
    </w:p>
    <w:p>
      <w:pPr>
        <w:pStyle w:val="TextBody"/>
        <w:bidi w:val="0"/>
        <w:spacing w:lineRule="auto" w:line="288" w:before="0" w:after="160"/>
        <w:jc w:val="left"/>
        <w:rPr>
          <w:rFonts w:ascii="Expensify Neue;sans-serif" w:hAnsi="Expensify Neue;sans-serif"/>
          <w:b w:val="false"/>
          <w:color w:val="000000"/>
          <w:sz w:val="20"/>
        </w:rPr>
      </w:pPr>
      <w:r>
        <w:rPr>
          <w:rFonts w:ascii="Expensify Neue;sans-serif" w:hAnsi="Expensify Neue;sans-serif"/>
          <w:b w:val="false"/>
          <w:color w:val="000000"/>
          <w:sz w:val="20"/>
        </w:rPr>
        <w:t>Cost of revenue, net primarily consists of expenses related to hosting our service, including the costs of data center capacity, credit card processing fees, third-party software license fees, outsourcing engineering costs to maintain our platform, outsourcing costs to support customer service and outsourcing costs to support our patented scanning technology SmartScan, net of consideration from a vendor for monetizing Expensify Card activities. Additional costs include amortization of finance right-of-use assets, amortization expense on capitalized software development costs and personnel-related expenses, including stock-based compensation and employee costs attributable to supporting our customers and maintenance of our platform.</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9">
                <wp:simplePos x="0" y="0"/>
                <wp:positionH relativeFrom="character">
                  <wp:align>left</wp:align>
                </wp:positionH>
                <wp:positionV relativeFrom="line">
                  <wp:posOffset>635</wp:posOffset>
                </wp:positionV>
                <wp:extent cx="6480175" cy="599440"/>
                <wp:effectExtent l="0" t="0" r="0" b="0"/>
                <wp:wrapNone/>
                <wp:docPr id="28" name="Frame27"/>
                <a:graphic xmlns:a="http://schemas.openxmlformats.org/drawingml/2006/main">
                  <a:graphicData uri="http://schemas.microsoft.com/office/word/2010/wordprocessingShape">
                    <wps:wsp>
                      <wps:cNvSpPr txBox="1"/>
                      <wps:spPr>
                        <a:xfrm>
                          <a:off x="0" y="0"/>
                          <a:ext cx="6480175" cy="599440"/>
                        </a:xfrm>
                        <a:prstGeom prst="rect"/>
                        <a:solidFill>
                          <a:srgbClr val="FFFFFF"/>
                        </a:solidFill>
                      </wps:spPr>
                      <wps:txbx>
                        <w:txbxContent>
                          <w:tbl>
                            <w:tblPr>
                              <w:tblW w:w="406" w:type="dxa"/>
                              <w:jc w:val="center"/>
                              <w:tblInd w:w="0" w:type="dxa"/>
                              <w:tblLayout w:type="fixed"/>
                              <w:tblCellMar>
                                <w:top w:w="28" w:type="dxa"/>
                                <w:left w:w="28" w:type="dxa"/>
                                <w:bottom w:w="28" w:type="dxa"/>
                                <w:right w:w="28" w:type="dxa"/>
                              </w:tblCellMar>
                            </w:tblPr>
                            <w:tblGrid>
                              <w:gridCol w:w="130"/>
                              <w:gridCol w:w="114"/>
                              <w:gridCol w:w="162"/>
                            </w:tblGrid>
                            <w:tr>
                              <w:trPr/>
                              <w:tc>
                                <w:tcPr>
                                  <w:tcW w:w="130"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rPr/>
                              <w:tc>
                                <w:tcPr>
                                  <w:tcW w:w="406"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0"/>
                                    <w:jc w:val="center"/>
                                    <w:rPr>
                                      <w:rFonts w:ascii="Expensify Neue;sans-serif" w:hAnsi="Expensify Neue;sans-serif"/>
                                      <w:b w:val="false"/>
                                      <w:color w:val="000000"/>
                                      <w:sz w:val="20"/>
                                    </w:rPr>
                                  </w:pPr>
                                  <w:r>
                                    <w:rPr>
                                      <w:rFonts w:ascii="Expensify Neue;sans-serif" w:hAnsi="Expensify Neue;sans-serif"/>
                                      <w:b w:val="false"/>
                                      <w:color w:val="000000"/>
                                      <w:sz w:val="20"/>
                                    </w:rPr>
                                    <w:t>22</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7.2pt;mso-wrap-distance-left:0pt;mso-wrap-distance-right:0pt;mso-wrap-distance-top:0pt;mso-wrap-distance-bottom:0pt;margin-top:0pt;mso-position-vertical:top;mso-position-vertical-relative:text;margin-left:0pt;mso-position-horizontal:left;mso-position-horizontal-relative:text">
                <v:textbox>
                  <w:txbxContent>
                    <w:tbl>
                      <w:tblPr>
                        <w:tblW w:w="406" w:type="dxa"/>
                        <w:jc w:val="center"/>
                        <w:tblInd w:w="0" w:type="dxa"/>
                        <w:tblLayout w:type="fixed"/>
                        <w:tblCellMar>
                          <w:top w:w="28" w:type="dxa"/>
                          <w:left w:w="28" w:type="dxa"/>
                          <w:bottom w:w="28" w:type="dxa"/>
                          <w:right w:w="28" w:type="dxa"/>
                        </w:tblCellMar>
                      </w:tblPr>
                      <w:tblGrid>
                        <w:gridCol w:w="130"/>
                        <w:gridCol w:w="114"/>
                        <w:gridCol w:w="162"/>
                      </w:tblGrid>
                      <w:tr>
                        <w:trPr/>
                        <w:tc>
                          <w:tcPr>
                            <w:tcW w:w="130"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rPr/>
                        <w:tc>
                          <w:tcPr>
                            <w:tcW w:w="406"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0"/>
                              <w:jc w:val="center"/>
                              <w:rPr>
                                <w:rFonts w:ascii="Expensify Neue;sans-serif" w:hAnsi="Expensify Neue;sans-serif"/>
                                <w:b w:val="false"/>
                                <w:color w:val="000000"/>
                                <w:sz w:val="20"/>
                              </w:rPr>
                            </w:pPr>
                            <w:r>
                              <w:rPr>
                                <w:rFonts w:ascii="Expensify Neue;sans-serif" w:hAnsi="Expensify Neue;sans-serif"/>
                                <w:b w:val="false"/>
                                <w:color w:val="000000"/>
                                <w:sz w:val="20"/>
                              </w:rPr>
                              <w:t>22</w:t>
                            </w:r>
                          </w:p>
                        </w:tc>
                      </w:tr>
                    </w:tbl>
                    <w:p>
                      <w:pPr>
                        <w:pStyle w:val="TextBody"/>
                        <w:bidi w:val="0"/>
                        <w:spacing w:before="0" w:after="283"/>
                        <w:jc w:val="left"/>
                        <w:rPr/>
                      </w:pPr>
                      <w:r>
                        <w:rPr/>
                      </w:r>
                    </w:p>
                  </w:txbxContent>
                </v:textbox>
                <w10:wrap type="none"/>
              </v:rect>
            </w:pict>
          </mc:Fallback>
        </mc:AlternateContent>
      </w:r>
    </w:p>
    <w:p>
      <w:pPr>
        <w:pStyle w:val="TextBody"/>
        <w:bidi w:val="0"/>
        <w:spacing w:lineRule="auto" w:line="288" w:before="0" w:after="160"/>
        <w:jc w:val="left"/>
        <w:rPr/>
      </w:pPr>
      <w:hyperlink w:anchor="i52a648c4f0e449f7bc3c2044827c8f0d_7">
        <w:r>
          <w:rPr>
            <w:rStyle w:val="InternetLink"/>
            <w:rFonts w:ascii="Expensify Neue;sans-serif" w:hAnsi="Expensify Neue;sans-serif"/>
            <w:b/>
            <w:color w:val="0000FF"/>
            <w:sz w:val="20"/>
            <w:u w:val="single"/>
          </w:rPr>
          <w:t>Table of Contents</w:t>
        </w:r>
      </w:hyperlink>
    </w:p>
    <w:p>
      <w:pPr>
        <w:pStyle w:val="TextBody"/>
        <w:bidi w:val="0"/>
        <w:spacing w:lineRule="auto" w:line="288" w:before="0" w:after="160"/>
        <w:jc w:val="left"/>
        <w:rPr/>
      </w:pPr>
      <w:r>
        <w:rPr>
          <w:rFonts w:ascii="Expensify Neue;sans-serif" w:hAnsi="Expensify Neue;sans-serif"/>
          <w:b w:val="false"/>
          <w:color w:val="000000"/>
          <w:sz w:val="20"/>
        </w:rPr>
        <w:t>Consideration from a vendor is related to the Expensify Card under our previous card program under which an immaterial number of cardholders continue to operate (the "Legacy Card Program"). The Legacy Card Program operates under an agreement with the payment processor, M</w:t>
      </w:r>
      <w:r>
        <w:rPr>
          <w:rFonts w:ascii="Expensify Neue;sans-serif" w:hAnsi="Expensify Neue;sans-serif"/>
          <w:b w:val="false"/>
          <w:color w:val="000000"/>
          <w:sz w:val="20"/>
          <w:shd w:fill="FFFFFF" w:val="clear"/>
        </w:rPr>
        <w:t xml:space="preserve">arqeta, Inc. ("Marqeta"), </w:t>
      </w:r>
      <w:r>
        <w:rPr>
          <w:rFonts w:ascii="Expensify Neue;sans-serif" w:hAnsi="Expensify Neue;sans-serif"/>
          <w:b w:val="false"/>
          <w:color w:val="000000"/>
          <w:sz w:val="20"/>
        </w:rPr>
        <w:t>and relies on Marqeta to manage the relationship with the issuing bank, Sutton Bank, and the card network, Visa, in authorizing and settling transactions. The vendor is contractually entitled to the interchange through its relationships with the card network and card issuing bank. The vendor keeps a portion of the interchange for their services, and our agreement with the vendor results in us receiving the remainder of the interchange (our remainder portion, "Expensify interchange amount"). The vendor also charges us fees ("vendor fees") for the services it provides to us. Due to the nature of the vendor agreement, we do not record the Expensify interchange amount as revenue under the Legacy Card Program. Instead, the net of the Expensify interchange amount and vendor fees are paid to us, which we record as "Consideration from a vendor, net," a contra expense in Cost of revenue, net on the Condensed Consolidated Statements of Operations. Consideration from a vendor, net was immaterial for the three months ended March 31, 2025. The following table summarizes the components of Consideration from a vendor, net for the three months ended March 31, 2024:</w:t>
      </w:r>
    </w:p>
    <w:tbl>
      <w:tblPr>
        <w:tblW w:w="6959" w:type="dxa"/>
        <w:jc w:val="left"/>
        <w:tblInd w:w="0" w:type="dxa"/>
        <w:tblLayout w:type="fixed"/>
        <w:tblCellMar>
          <w:top w:w="28" w:type="dxa"/>
          <w:left w:w="28" w:type="dxa"/>
          <w:bottom w:w="28" w:type="dxa"/>
          <w:right w:w="28" w:type="dxa"/>
        </w:tblCellMar>
      </w:tblPr>
      <w:tblGrid>
        <w:gridCol w:w="1211"/>
        <w:gridCol w:w="1064"/>
        <w:gridCol w:w="1070"/>
        <w:gridCol w:w="752"/>
        <w:gridCol w:w="2350"/>
        <w:gridCol w:w="512"/>
      </w:tblGrid>
      <w:tr>
        <w:trPr/>
        <w:tc>
          <w:tcPr>
            <w:tcW w:w="1211" w:type="dxa"/>
            <w:tcBorders/>
            <w:vAlign w:val="center"/>
          </w:tcPr>
          <w:p>
            <w:pPr>
              <w:pStyle w:val="TableContents"/>
              <w:bidi w:val="0"/>
              <w:spacing w:before="0" w:after="283"/>
              <w:jc w:val="left"/>
              <w:rPr>
                <w:sz w:val="4"/>
                <w:szCs w:val="4"/>
              </w:rPr>
            </w:pPr>
            <w:r>
              <w:rPr>
                <w:sz w:val="4"/>
                <w:szCs w:val="4"/>
              </w:rPr>
            </w:r>
          </w:p>
        </w:tc>
        <w:tc>
          <w:tcPr>
            <w:tcW w:w="1064" w:type="dxa"/>
            <w:tcBorders/>
            <w:vAlign w:val="center"/>
          </w:tcPr>
          <w:p>
            <w:pPr>
              <w:pStyle w:val="TableContents"/>
              <w:bidi w:val="0"/>
              <w:spacing w:before="0" w:after="283"/>
              <w:jc w:val="left"/>
              <w:rPr>
                <w:sz w:val="4"/>
                <w:szCs w:val="4"/>
              </w:rPr>
            </w:pPr>
            <w:r>
              <w:rPr>
                <w:sz w:val="4"/>
                <w:szCs w:val="4"/>
              </w:rPr>
            </w:r>
          </w:p>
        </w:tc>
        <w:tc>
          <w:tcPr>
            <w:tcW w:w="1070" w:type="dxa"/>
            <w:tcBorders/>
            <w:vAlign w:val="center"/>
          </w:tcPr>
          <w:p>
            <w:pPr>
              <w:pStyle w:val="TableContents"/>
              <w:bidi w:val="0"/>
              <w:spacing w:before="0" w:after="283"/>
              <w:jc w:val="left"/>
              <w:rPr>
                <w:sz w:val="4"/>
                <w:szCs w:val="4"/>
              </w:rPr>
            </w:pPr>
            <w:r>
              <w:rPr>
                <w:sz w:val="4"/>
                <w:szCs w:val="4"/>
              </w:rPr>
            </w:r>
          </w:p>
        </w:tc>
        <w:tc>
          <w:tcPr>
            <w:tcW w:w="752" w:type="dxa"/>
            <w:tcBorders/>
            <w:vAlign w:val="center"/>
          </w:tcPr>
          <w:p>
            <w:pPr>
              <w:pStyle w:val="TableContents"/>
              <w:bidi w:val="0"/>
              <w:spacing w:before="0" w:after="283"/>
              <w:jc w:val="left"/>
              <w:rPr>
                <w:sz w:val="4"/>
                <w:szCs w:val="4"/>
              </w:rPr>
            </w:pPr>
            <w:r>
              <w:rPr>
                <w:sz w:val="4"/>
                <w:szCs w:val="4"/>
              </w:rPr>
            </w:r>
          </w:p>
        </w:tc>
        <w:tc>
          <w:tcPr>
            <w:tcW w:w="2350" w:type="dxa"/>
            <w:tcBorders/>
            <w:vAlign w:val="center"/>
          </w:tcPr>
          <w:p>
            <w:pPr>
              <w:pStyle w:val="TableContents"/>
              <w:bidi w:val="0"/>
              <w:spacing w:before="0" w:after="283"/>
              <w:jc w:val="left"/>
              <w:rPr>
                <w:sz w:val="4"/>
                <w:szCs w:val="4"/>
              </w:rPr>
            </w:pPr>
            <w:r>
              <w:rPr>
                <w:sz w:val="4"/>
                <w:szCs w:val="4"/>
              </w:rPr>
            </w:r>
          </w:p>
        </w:tc>
        <w:tc>
          <w:tcPr>
            <w:tcW w:w="512" w:type="dxa"/>
            <w:tcBorders/>
            <w:vAlign w:val="center"/>
          </w:tcPr>
          <w:p>
            <w:pPr>
              <w:pStyle w:val="TableContents"/>
              <w:bidi w:val="0"/>
              <w:spacing w:before="0" w:after="283"/>
              <w:jc w:val="left"/>
              <w:rPr>
                <w:sz w:val="4"/>
                <w:szCs w:val="4"/>
              </w:rPr>
            </w:pPr>
            <w:r>
              <w:rPr>
                <w:sz w:val="4"/>
                <w:szCs w:val="4"/>
              </w:rPr>
            </w:r>
          </w:p>
        </w:tc>
      </w:tr>
      <w:tr>
        <w:trPr/>
        <w:tc>
          <w:tcPr>
            <w:tcW w:w="3345" w:type="dxa"/>
            <w:gridSpan w:val="3"/>
            <w:tcBorders>
              <w:top w:val="single" w:sz="1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14" w:type="dxa"/>
            <w:gridSpan w:val="3"/>
            <w:tcBorders>
              <w:top w:val="single" w:sz="16"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Expensify Neue;sans-serif" w:hAnsi="Expensify Neue;sans-serif"/>
                <w:b/>
                <w:color w:val="000000"/>
                <w:sz w:val="16"/>
              </w:rPr>
            </w:pPr>
            <w:r>
              <w:rPr>
                <w:rFonts w:ascii="Expensify Neue;sans-serif" w:hAnsi="Expensify Neue;sans-serif"/>
                <w:b/>
                <w:color w:val="000000"/>
                <w:sz w:val="16"/>
              </w:rPr>
              <w:t>Three Months Ended March 31, 2024</w:t>
            </w:r>
          </w:p>
        </w:tc>
      </w:tr>
      <w:tr>
        <w:trPr/>
        <w:tc>
          <w:tcPr>
            <w:tcW w:w="33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1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Expensify Neue;sans-serif" w:hAnsi="Expensify Neue;sans-serif"/>
                <w:b/>
                <w:color w:val="000000"/>
                <w:sz w:val="16"/>
              </w:rPr>
            </w:pPr>
            <w:r>
              <w:rPr>
                <w:rFonts w:ascii="Expensify Neue;sans-serif" w:hAnsi="Expensify Neue;sans-serif"/>
                <w:b/>
                <w:color w:val="000000"/>
                <w:sz w:val="16"/>
              </w:rPr>
              <w:t>(in thousands)</w:t>
            </w:r>
          </w:p>
        </w:tc>
      </w:tr>
      <w:tr>
        <w:trPr/>
        <w:tc>
          <w:tcPr>
            <w:tcW w:w="334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Expensify Neue;sans-serif" w:hAnsi="Expensify Neue;sans-serif"/>
                <w:b w:val="false"/>
                <w:color w:val="000000"/>
                <w:sz w:val="20"/>
              </w:rPr>
            </w:pPr>
            <w:r>
              <w:rPr>
                <w:rFonts w:ascii="Expensify Neue;sans-serif" w:hAnsi="Expensify Neue;sans-serif"/>
                <w:b w:val="false"/>
                <w:color w:val="000000"/>
                <w:sz w:val="20"/>
              </w:rPr>
              <w:t>Expensify interchange amount</w:t>
            </w:r>
          </w:p>
        </w:tc>
        <w:tc>
          <w:tcPr>
            <w:tcW w:w="752"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Expensify Neue;sans-serif" w:hAnsi="Expensify Neue;sans-serif"/>
                <w:b w:val="false"/>
                <w:color w:val="000000"/>
                <w:sz w:val="20"/>
              </w:rPr>
            </w:pPr>
            <w:r>
              <w:rPr>
                <w:rFonts w:ascii="Expensify Neue;sans-serif" w:hAnsi="Expensify Neue;sans-serif"/>
                <w:b w:val="false"/>
                <w:color w:val="000000"/>
                <w:sz w:val="20"/>
              </w:rPr>
              <w:t>$</w:t>
            </w:r>
          </w:p>
        </w:tc>
        <w:tc>
          <w:tcPr>
            <w:tcW w:w="2350"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Expensify Neue;sans-serif" w:hAnsi="Expensify Neue;sans-serif"/>
                <w:b w:val="false"/>
                <w:color w:val="000000"/>
                <w:sz w:val="20"/>
              </w:rPr>
            </w:pPr>
            <w:r>
              <w:rPr>
                <w:rFonts w:ascii="Expensify Neue;sans-serif" w:hAnsi="Expensify Neue;sans-serif"/>
                <w:b w:val="false"/>
                <w:color w:val="000000"/>
                <w:sz w:val="20"/>
              </w:rPr>
              <w:t>3,514 </w:t>
            </w:r>
          </w:p>
        </w:tc>
        <w:tc>
          <w:tcPr>
            <w:tcW w:w="5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4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Expensify Neue;sans-serif" w:hAnsi="Expensify Neue;sans-serif"/>
                <w:b w:val="false"/>
                <w:color w:val="000000"/>
                <w:sz w:val="20"/>
              </w:rPr>
            </w:pPr>
            <w:r>
              <w:rPr>
                <w:rFonts w:ascii="Expensify Neue;sans-serif" w:hAnsi="Expensify Neue;sans-serif"/>
                <w:b w:val="false"/>
                <w:color w:val="000000"/>
                <w:sz w:val="20"/>
              </w:rPr>
              <w:t>Vendor fees</w:t>
            </w:r>
          </w:p>
        </w:tc>
        <w:tc>
          <w:tcPr>
            <w:tcW w:w="31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Expensify Neue;sans-serif" w:hAnsi="Expensify Neue;sans-serif"/>
                <w:b w:val="false"/>
                <w:color w:val="000000"/>
                <w:sz w:val="20"/>
              </w:rPr>
            </w:pPr>
            <w:r>
              <w:rPr>
                <w:rFonts w:ascii="Expensify Neue;sans-serif" w:hAnsi="Expensify Neue;sans-serif"/>
                <w:b w:val="false"/>
                <w:color w:val="000000"/>
                <w:sz w:val="20"/>
              </w:rPr>
              <w:t>(327)</w:t>
            </w:r>
          </w:p>
        </w:tc>
        <w:tc>
          <w:tcPr>
            <w:tcW w:w="5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4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Expensify Neue;sans-serif" w:hAnsi="Expensify Neue;sans-serif"/>
                <w:b w:val="false"/>
                <w:color w:val="000000"/>
                <w:sz w:val="20"/>
              </w:rPr>
            </w:pPr>
            <w:r>
              <w:rPr>
                <w:rFonts w:ascii="Expensify Neue;sans-serif" w:hAnsi="Expensify Neue;sans-serif"/>
                <w:b w:val="false"/>
                <w:color w:val="000000"/>
                <w:sz w:val="20"/>
              </w:rPr>
              <w:t>Consideration from a vendor, net</w:t>
            </w:r>
          </w:p>
        </w:tc>
        <w:tc>
          <w:tcPr>
            <w:tcW w:w="75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Expensify Neue;sans-serif" w:hAnsi="Expensify Neue;sans-serif"/>
                <w:b w:val="false"/>
                <w:color w:val="000000"/>
                <w:sz w:val="20"/>
              </w:rPr>
            </w:pPr>
            <w:r>
              <w:rPr>
                <w:rFonts w:ascii="Expensify Neue;sans-serif" w:hAnsi="Expensify Neue;sans-serif"/>
                <w:b w:val="false"/>
                <w:color w:val="000000"/>
                <w:sz w:val="20"/>
              </w:rPr>
              <w:t>$</w:t>
            </w:r>
          </w:p>
        </w:tc>
        <w:tc>
          <w:tcPr>
            <w:tcW w:w="235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Expensify Neue;sans-serif" w:hAnsi="Expensify Neue;sans-serif"/>
                <w:b w:val="false"/>
                <w:color w:val="000000"/>
                <w:sz w:val="20"/>
              </w:rPr>
            </w:pPr>
            <w:r>
              <w:rPr>
                <w:rFonts w:ascii="Expensify Neue;sans-serif" w:hAnsi="Expensify Neue;sans-serif"/>
                <w:b w:val="false"/>
                <w:color w:val="000000"/>
                <w:sz w:val="20"/>
              </w:rPr>
              <w:t>3,187 </w:t>
            </w:r>
          </w:p>
        </w:tc>
        <w:tc>
          <w:tcPr>
            <w:tcW w:w="51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45" w:type="dxa"/>
            <w:gridSpan w:val="3"/>
            <w:tcBorders>
              <w:bottom w:val="single" w:sz="8" w:space="0" w:color="000000"/>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614" w:type="dxa"/>
            <w:gridSpan w:val="3"/>
            <w:tcBorders>
              <w:top w:val="double" w:sz="8" w:space="0" w:color="000000"/>
              <w:bottom w:val="single" w:sz="8" w:space="0" w:color="000000"/>
            </w:tcBorders>
            <w:shd w:fill="FFFFFF" w:val="clear"/>
            <w:tcMar>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160"/>
        <w:jc w:val="left"/>
        <w:rPr>
          <w:rFonts w:ascii="Expensify Neue;sans-serif" w:hAnsi="Expensify Neue;sans-serif"/>
          <w:b/>
          <w:color w:val="03D47C"/>
          <w:sz w:val="20"/>
        </w:rPr>
      </w:pPr>
      <w:r>
        <w:rPr>
          <w:rFonts w:ascii="Expensify Neue;sans-serif" w:hAnsi="Expensify Neue;sans-serif"/>
          <w:b/>
          <w:color w:val="03D47C"/>
          <w:sz w:val="20"/>
        </w:rPr>
        <w:t>OPERATING EXPENSES</w:t>
      </w:r>
    </w:p>
    <w:p>
      <w:pPr>
        <w:pStyle w:val="TextBody"/>
        <w:bidi w:val="0"/>
        <w:spacing w:lineRule="auto" w:line="288" w:before="0" w:after="160"/>
        <w:jc w:val="left"/>
        <w:rPr>
          <w:rFonts w:ascii="Expensify Neue;sans-serif" w:hAnsi="Expensify Neue;sans-serif"/>
          <w:b/>
          <w:i/>
          <w:color w:val="000000"/>
          <w:sz w:val="20"/>
        </w:rPr>
      </w:pPr>
      <w:r>
        <w:rPr>
          <w:rFonts w:ascii="Expensify Neue;sans-serif" w:hAnsi="Expensify Neue;sans-serif"/>
          <w:b/>
          <w:i/>
          <w:color w:val="000000"/>
          <w:sz w:val="20"/>
        </w:rPr>
        <w:t xml:space="preserve">Research and Development </w:t>
      </w:r>
    </w:p>
    <w:p>
      <w:pPr>
        <w:pStyle w:val="TextBody"/>
        <w:bidi w:val="0"/>
        <w:spacing w:lineRule="auto" w:line="288" w:before="0" w:after="160"/>
        <w:jc w:val="left"/>
        <w:rPr>
          <w:rFonts w:ascii="Expensify Neue;sans-serif" w:hAnsi="Expensify Neue;sans-serif"/>
          <w:b w:val="false"/>
          <w:color w:val="000000"/>
          <w:sz w:val="20"/>
        </w:rPr>
      </w:pPr>
      <w:r>
        <w:rPr>
          <w:rFonts w:ascii="Expensify Neue;sans-serif" w:hAnsi="Expensify Neue;sans-serif"/>
          <w:b w:val="false"/>
          <w:color w:val="000000"/>
          <w:sz w:val="20"/>
        </w:rPr>
        <w:t xml:space="preserve">Research and development expenses consist primarily of personnel-related expenses, including stock-based compensation, and external contributor costs incurred related to the planning and preliminary project stage of new products or enhancing existing products or services. We capitalize certain software development costs that are attributable to developing or adding significant functionality to our internal-use software during the application development stage of the projects. All research and development expenses, excluding capitalized software development costs, are expensed as incurred. </w:t>
      </w:r>
    </w:p>
    <w:p>
      <w:pPr>
        <w:pStyle w:val="TextBody"/>
        <w:bidi w:val="0"/>
        <w:spacing w:lineRule="auto" w:line="288" w:before="0" w:after="160"/>
        <w:jc w:val="left"/>
        <w:rPr>
          <w:rFonts w:ascii="Expensify Neue;sans-serif" w:hAnsi="Expensify Neue;sans-serif"/>
          <w:b w:val="false"/>
          <w:color w:val="000000"/>
          <w:sz w:val="20"/>
        </w:rPr>
      </w:pPr>
      <w:r>
        <w:rPr>
          <w:rFonts w:ascii="Expensify Neue;sans-serif" w:hAnsi="Expensify Neue;sans-serif"/>
          <w:b w:val="false"/>
          <w:color w:val="000000"/>
          <w:sz w:val="20"/>
        </w:rPr>
        <w:t>We believe delivering new functionality is critical to attract new customers and expand our relationships with existing customers. We expect to continue to make investments in and expand our product and service offerings to enhance our customers’ experience and satisfaction and to attract new customers.</w:t>
      </w:r>
    </w:p>
    <w:p>
      <w:pPr>
        <w:pStyle w:val="TextBody"/>
        <w:bidi w:val="0"/>
        <w:spacing w:lineRule="auto" w:line="288" w:before="0" w:after="160"/>
        <w:jc w:val="left"/>
        <w:rPr>
          <w:rFonts w:ascii="Expensify Neue;sans-serif" w:hAnsi="Expensify Neue;sans-serif"/>
          <w:b/>
          <w:i/>
          <w:color w:val="000000"/>
          <w:sz w:val="20"/>
        </w:rPr>
      </w:pPr>
      <w:r>
        <w:rPr>
          <w:rFonts w:ascii="Expensify Neue;sans-serif" w:hAnsi="Expensify Neue;sans-serif"/>
          <w:b/>
          <w:i/>
          <w:color w:val="000000"/>
          <w:sz w:val="20"/>
        </w:rPr>
        <w:t>General and Administrative</w:t>
      </w:r>
    </w:p>
    <w:p>
      <w:pPr>
        <w:pStyle w:val="TextBody"/>
        <w:bidi w:val="0"/>
        <w:spacing w:lineRule="auto" w:line="288" w:before="0" w:after="160"/>
        <w:jc w:val="left"/>
        <w:rPr>
          <w:rFonts w:ascii="Expensify Neue;sans-serif" w:hAnsi="Expensify Neue;sans-serif"/>
          <w:b w:val="false"/>
          <w:color w:val="000000"/>
          <w:sz w:val="20"/>
        </w:rPr>
      </w:pPr>
      <w:r>
        <w:rPr>
          <w:rFonts w:ascii="Expensify Neue;sans-serif" w:hAnsi="Expensify Neue;sans-serif"/>
          <w:b w:val="false"/>
          <w:color w:val="000000"/>
          <w:sz w:val="20"/>
        </w:rPr>
        <w:t>General and administrative expenses primarily consist of personnel-related expenses, including stock-based compensation, for any employee time allocated to administrative functions, including finance and accounting, legal and compliance, and human resources. In addition to personnel-related expenses, general and administrative expenses consist of business insurance, rent, utilities, depreciation on property and equipment, amortization of operating right-of-use assets, information technology and external professional services, including finance and accounting, audit, tax, legal and compliance, and human resources.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0">
                <wp:simplePos x="0" y="0"/>
                <wp:positionH relativeFrom="character">
                  <wp:align>left</wp:align>
                </wp:positionH>
                <wp:positionV relativeFrom="line">
                  <wp:posOffset>635</wp:posOffset>
                </wp:positionV>
                <wp:extent cx="6480175" cy="599440"/>
                <wp:effectExtent l="0" t="0" r="0" b="0"/>
                <wp:wrapNone/>
                <wp:docPr id="29" name="Frame28"/>
                <a:graphic xmlns:a="http://schemas.openxmlformats.org/drawingml/2006/main">
                  <a:graphicData uri="http://schemas.microsoft.com/office/word/2010/wordprocessingShape">
                    <wps:wsp>
                      <wps:cNvSpPr txBox="1"/>
                      <wps:spPr>
                        <a:xfrm>
                          <a:off x="0" y="0"/>
                          <a:ext cx="6480175" cy="599440"/>
                        </a:xfrm>
                        <a:prstGeom prst="rect"/>
                        <a:solidFill>
                          <a:srgbClr val="FFFFFF"/>
                        </a:solidFill>
                      </wps:spPr>
                      <wps:txbx>
                        <w:txbxContent>
                          <w:tbl>
                            <w:tblPr>
                              <w:tblW w:w="406" w:type="dxa"/>
                              <w:jc w:val="center"/>
                              <w:tblInd w:w="0" w:type="dxa"/>
                              <w:tblLayout w:type="fixed"/>
                              <w:tblCellMar>
                                <w:top w:w="28" w:type="dxa"/>
                                <w:left w:w="28" w:type="dxa"/>
                                <w:bottom w:w="28" w:type="dxa"/>
                                <w:right w:w="28" w:type="dxa"/>
                              </w:tblCellMar>
                            </w:tblPr>
                            <w:tblGrid>
                              <w:gridCol w:w="130"/>
                              <w:gridCol w:w="114"/>
                              <w:gridCol w:w="162"/>
                            </w:tblGrid>
                            <w:tr>
                              <w:trPr/>
                              <w:tc>
                                <w:tcPr>
                                  <w:tcW w:w="130"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rPr/>
                              <w:tc>
                                <w:tcPr>
                                  <w:tcW w:w="406"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0"/>
                                    <w:jc w:val="center"/>
                                    <w:rPr>
                                      <w:rFonts w:ascii="Expensify Neue;sans-serif" w:hAnsi="Expensify Neue;sans-serif"/>
                                      <w:b w:val="false"/>
                                      <w:color w:val="000000"/>
                                      <w:sz w:val="20"/>
                                    </w:rPr>
                                  </w:pPr>
                                  <w:r>
                                    <w:rPr>
                                      <w:rFonts w:ascii="Expensify Neue;sans-serif" w:hAnsi="Expensify Neue;sans-serif"/>
                                      <w:b w:val="false"/>
                                      <w:color w:val="000000"/>
                                      <w:sz w:val="20"/>
                                    </w:rPr>
                                    <w:t>23</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7.2pt;mso-wrap-distance-left:0pt;mso-wrap-distance-right:0pt;mso-wrap-distance-top:0pt;mso-wrap-distance-bottom:0pt;margin-top:0pt;mso-position-vertical:top;mso-position-vertical-relative:text;margin-left:0pt;mso-position-horizontal:left;mso-position-horizontal-relative:text">
                <v:textbox>
                  <w:txbxContent>
                    <w:tbl>
                      <w:tblPr>
                        <w:tblW w:w="406" w:type="dxa"/>
                        <w:jc w:val="center"/>
                        <w:tblInd w:w="0" w:type="dxa"/>
                        <w:tblLayout w:type="fixed"/>
                        <w:tblCellMar>
                          <w:top w:w="28" w:type="dxa"/>
                          <w:left w:w="28" w:type="dxa"/>
                          <w:bottom w:w="28" w:type="dxa"/>
                          <w:right w:w="28" w:type="dxa"/>
                        </w:tblCellMar>
                      </w:tblPr>
                      <w:tblGrid>
                        <w:gridCol w:w="130"/>
                        <w:gridCol w:w="114"/>
                        <w:gridCol w:w="162"/>
                      </w:tblGrid>
                      <w:tr>
                        <w:trPr/>
                        <w:tc>
                          <w:tcPr>
                            <w:tcW w:w="130"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rPr/>
                        <w:tc>
                          <w:tcPr>
                            <w:tcW w:w="406"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0"/>
                              <w:jc w:val="center"/>
                              <w:rPr>
                                <w:rFonts w:ascii="Expensify Neue;sans-serif" w:hAnsi="Expensify Neue;sans-serif"/>
                                <w:b w:val="false"/>
                                <w:color w:val="000000"/>
                                <w:sz w:val="20"/>
                              </w:rPr>
                            </w:pPr>
                            <w:r>
                              <w:rPr>
                                <w:rFonts w:ascii="Expensify Neue;sans-serif" w:hAnsi="Expensify Neue;sans-serif"/>
                                <w:b w:val="false"/>
                                <w:color w:val="000000"/>
                                <w:sz w:val="20"/>
                              </w:rPr>
                              <w:t>23</w:t>
                            </w:r>
                          </w:p>
                        </w:tc>
                      </w:tr>
                    </w:tbl>
                    <w:p>
                      <w:pPr>
                        <w:pStyle w:val="TextBody"/>
                        <w:bidi w:val="0"/>
                        <w:spacing w:before="0" w:after="283"/>
                        <w:jc w:val="left"/>
                        <w:rPr/>
                      </w:pPr>
                      <w:r>
                        <w:rPr/>
                      </w:r>
                    </w:p>
                  </w:txbxContent>
                </v:textbox>
                <w10:wrap type="none"/>
              </v:rect>
            </w:pict>
          </mc:Fallback>
        </mc:AlternateContent>
      </w:r>
    </w:p>
    <w:p>
      <w:pPr>
        <w:pStyle w:val="TextBody"/>
        <w:bidi w:val="0"/>
        <w:spacing w:lineRule="auto" w:line="288" w:before="0" w:after="160"/>
        <w:jc w:val="left"/>
        <w:rPr/>
      </w:pPr>
      <w:hyperlink w:anchor="i52a648c4f0e449f7bc3c2044827c8f0d_7">
        <w:r>
          <w:rPr>
            <w:rStyle w:val="InternetLink"/>
            <w:rFonts w:ascii="Expensify Neue;sans-serif" w:hAnsi="Expensify Neue;sans-serif"/>
            <w:b/>
            <w:color w:val="0000FF"/>
            <w:sz w:val="20"/>
            <w:u w:val="single"/>
          </w:rPr>
          <w:t>Table of Contents</w:t>
        </w:r>
      </w:hyperlink>
    </w:p>
    <w:p>
      <w:pPr>
        <w:pStyle w:val="TextBody"/>
        <w:bidi w:val="0"/>
        <w:spacing w:lineRule="auto" w:line="288" w:before="0" w:after="160"/>
        <w:jc w:val="left"/>
        <w:rPr>
          <w:rFonts w:ascii="Expensify Neue;sans-serif" w:hAnsi="Expensify Neue;sans-serif"/>
          <w:b/>
          <w:i/>
          <w:color w:val="000000"/>
          <w:sz w:val="20"/>
        </w:rPr>
      </w:pPr>
      <w:r>
        <w:rPr>
          <w:rFonts w:ascii="Expensify Neue;sans-serif" w:hAnsi="Expensify Neue;sans-serif"/>
          <w:b/>
          <w:i/>
          <w:color w:val="000000"/>
          <w:sz w:val="20"/>
        </w:rPr>
        <w:t>Sales and Marketing</w:t>
      </w:r>
    </w:p>
    <w:p>
      <w:pPr>
        <w:pStyle w:val="TextBody"/>
        <w:bidi w:val="0"/>
        <w:spacing w:lineRule="auto" w:line="288" w:before="0" w:after="160"/>
        <w:jc w:val="left"/>
        <w:rPr>
          <w:rFonts w:ascii="Expensify Neue;sans-serif" w:hAnsi="Expensify Neue;sans-serif"/>
          <w:b w:val="false"/>
          <w:color w:val="000000"/>
          <w:sz w:val="20"/>
        </w:rPr>
      </w:pPr>
      <w:r>
        <w:rPr>
          <w:rFonts w:ascii="Expensify Neue;sans-serif" w:hAnsi="Expensify Neue;sans-serif"/>
          <w:b w:val="false"/>
          <w:color w:val="000000"/>
          <w:sz w:val="20"/>
        </w:rPr>
        <w:t>Sales and marketing expenses primarily consist of personnel-related expenses, including stock-based compensation, advertising expenses, depreciation on property and equipment, outsourcing costs for sales and product demos, branding and public relations expenses, referral fees for strategic partners and other benefits that we provide to our referral and affiliate partners. We expect sales and marketing expenses to increase on a quarter-over-quarter basis as a result of a one-time charge we expect to recognize in the second quarter of 2025 for a promotional marketing opportunity to have Expensify featured in Apple’s big-budget film, F1, which is currently scheduled to be released in theaters in the summer of 2025.</w:t>
      </w:r>
    </w:p>
    <w:p>
      <w:pPr>
        <w:pStyle w:val="TextBody"/>
        <w:bidi w:val="0"/>
        <w:spacing w:lineRule="auto" w:line="288" w:before="0" w:after="160"/>
        <w:jc w:val="left"/>
        <w:rPr>
          <w:rFonts w:ascii="Expensify Neue;sans-serif" w:hAnsi="Expensify Neue;sans-serif"/>
          <w:b/>
          <w:i/>
          <w:color w:val="000000"/>
          <w:sz w:val="20"/>
        </w:rPr>
      </w:pPr>
      <w:r>
        <w:rPr>
          <w:rFonts w:ascii="Expensify Neue;sans-serif" w:hAnsi="Expensify Neue;sans-serif"/>
          <w:b/>
          <w:i/>
          <w:color w:val="000000"/>
          <w:sz w:val="20"/>
        </w:rPr>
        <w:t>Other Income (Expenses), Net</w:t>
      </w:r>
    </w:p>
    <w:p>
      <w:pPr>
        <w:pStyle w:val="TextBody"/>
        <w:bidi w:val="0"/>
        <w:spacing w:lineRule="auto" w:line="288" w:before="0" w:after="160"/>
        <w:jc w:val="left"/>
        <w:rPr>
          <w:rFonts w:ascii="Expensify Neue;sans-serif" w:hAnsi="Expensify Neue;sans-serif"/>
          <w:b w:val="false"/>
          <w:color w:val="000000"/>
          <w:sz w:val="20"/>
        </w:rPr>
      </w:pPr>
      <w:r>
        <w:rPr>
          <w:rFonts w:ascii="Expensify Neue;sans-serif" w:hAnsi="Expensify Neue;sans-serif"/>
          <w:b w:val="false"/>
          <w:color w:val="000000"/>
          <w:sz w:val="20"/>
        </w:rPr>
        <w:t>Other income (expenses), net, consists of the results of operations of our Fifth &amp; Harvey, LLC subsidiary, which holds title to and manages operations of the operating lease for lots in Portland, Oregon that are currently used to host multiple portable food vendors open to the general public, as well as interest income, realized gains and losses on foreign currency transactions, foreign currency remeasurement, and interest paid under our credit facilities with Canadian Imperial Bank of Commerce ("CIBC"). See “—Liquidity and Capital Resources—Credit Facilities.”</w:t>
      </w:r>
    </w:p>
    <w:p>
      <w:pPr>
        <w:pStyle w:val="TextBody"/>
        <w:bidi w:val="0"/>
        <w:spacing w:lineRule="auto" w:line="288" w:before="0" w:after="160"/>
        <w:jc w:val="left"/>
        <w:rPr>
          <w:rFonts w:ascii="Expensify Neue;sans-serif" w:hAnsi="Expensify Neue;sans-serif"/>
          <w:b/>
          <w:i/>
          <w:color w:val="000000"/>
          <w:sz w:val="20"/>
        </w:rPr>
      </w:pPr>
      <w:r>
        <w:rPr>
          <w:rFonts w:ascii="Expensify Neue;sans-serif" w:hAnsi="Expensify Neue;sans-serif"/>
          <w:b/>
          <w:i/>
          <w:color w:val="000000"/>
          <w:sz w:val="20"/>
        </w:rPr>
        <w:t xml:space="preserve">Provision for Income Taxes </w:t>
      </w:r>
    </w:p>
    <w:p>
      <w:pPr>
        <w:pStyle w:val="TextBody"/>
        <w:bidi w:val="0"/>
        <w:spacing w:lineRule="auto" w:line="288" w:before="0" w:after="160"/>
        <w:jc w:val="left"/>
        <w:rPr>
          <w:rFonts w:ascii="Expensify Neue;sans-serif" w:hAnsi="Expensify Neue;sans-serif"/>
          <w:b w:val="false"/>
          <w:color w:val="000000"/>
          <w:sz w:val="20"/>
        </w:rPr>
      </w:pPr>
      <w:r>
        <w:rPr>
          <w:rFonts w:ascii="Expensify Neue;sans-serif" w:hAnsi="Expensify Neue;sans-serif"/>
          <w:b w:val="false"/>
          <w:color w:val="000000"/>
          <w:sz w:val="20"/>
        </w:rPr>
        <w:t>Income taxes primarily consist of income taxes in the United States, United Kingdom, Australia, Netherlands and Canada, as well as states in the United States in which we do business.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1">
                <wp:simplePos x="0" y="0"/>
                <wp:positionH relativeFrom="character">
                  <wp:align>left</wp:align>
                </wp:positionH>
                <wp:positionV relativeFrom="line">
                  <wp:posOffset>635</wp:posOffset>
                </wp:positionV>
                <wp:extent cx="6480175" cy="599440"/>
                <wp:effectExtent l="0" t="0" r="0" b="0"/>
                <wp:wrapNone/>
                <wp:docPr id="30" name="Frame29"/>
                <a:graphic xmlns:a="http://schemas.openxmlformats.org/drawingml/2006/main">
                  <a:graphicData uri="http://schemas.microsoft.com/office/word/2010/wordprocessingShape">
                    <wps:wsp>
                      <wps:cNvSpPr txBox="1"/>
                      <wps:spPr>
                        <a:xfrm>
                          <a:off x="0" y="0"/>
                          <a:ext cx="6480175" cy="599440"/>
                        </a:xfrm>
                        <a:prstGeom prst="rect"/>
                        <a:solidFill>
                          <a:srgbClr val="FFFFFF"/>
                        </a:solidFill>
                      </wps:spPr>
                      <wps:txbx>
                        <w:txbxContent>
                          <w:tbl>
                            <w:tblPr>
                              <w:tblW w:w="406" w:type="dxa"/>
                              <w:jc w:val="center"/>
                              <w:tblInd w:w="0" w:type="dxa"/>
                              <w:tblLayout w:type="fixed"/>
                              <w:tblCellMar>
                                <w:top w:w="28" w:type="dxa"/>
                                <w:left w:w="28" w:type="dxa"/>
                                <w:bottom w:w="28" w:type="dxa"/>
                                <w:right w:w="28" w:type="dxa"/>
                              </w:tblCellMar>
                            </w:tblPr>
                            <w:tblGrid>
                              <w:gridCol w:w="130"/>
                              <w:gridCol w:w="114"/>
                              <w:gridCol w:w="162"/>
                            </w:tblGrid>
                            <w:tr>
                              <w:trPr/>
                              <w:tc>
                                <w:tcPr>
                                  <w:tcW w:w="130"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rPr/>
                              <w:tc>
                                <w:tcPr>
                                  <w:tcW w:w="406"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0"/>
                                    <w:jc w:val="center"/>
                                    <w:rPr>
                                      <w:rFonts w:ascii="Expensify Neue;sans-serif" w:hAnsi="Expensify Neue;sans-serif"/>
                                      <w:b w:val="false"/>
                                      <w:color w:val="000000"/>
                                      <w:sz w:val="20"/>
                                    </w:rPr>
                                  </w:pPr>
                                  <w:r>
                                    <w:rPr>
                                      <w:rFonts w:ascii="Expensify Neue;sans-serif" w:hAnsi="Expensify Neue;sans-serif"/>
                                      <w:b w:val="false"/>
                                      <w:color w:val="000000"/>
                                      <w:sz w:val="20"/>
                                    </w:rPr>
                                    <w:t>24</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7.2pt;mso-wrap-distance-left:0pt;mso-wrap-distance-right:0pt;mso-wrap-distance-top:0pt;mso-wrap-distance-bottom:0pt;margin-top:0pt;mso-position-vertical:top;mso-position-vertical-relative:text;margin-left:0pt;mso-position-horizontal:left;mso-position-horizontal-relative:text">
                <v:textbox>
                  <w:txbxContent>
                    <w:tbl>
                      <w:tblPr>
                        <w:tblW w:w="406" w:type="dxa"/>
                        <w:jc w:val="center"/>
                        <w:tblInd w:w="0" w:type="dxa"/>
                        <w:tblLayout w:type="fixed"/>
                        <w:tblCellMar>
                          <w:top w:w="28" w:type="dxa"/>
                          <w:left w:w="28" w:type="dxa"/>
                          <w:bottom w:w="28" w:type="dxa"/>
                          <w:right w:w="28" w:type="dxa"/>
                        </w:tblCellMar>
                      </w:tblPr>
                      <w:tblGrid>
                        <w:gridCol w:w="130"/>
                        <w:gridCol w:w="114"/>
                        <w:gridCol w:w="162"/>
                      </w:tblGrid>
                      <w:tr>
                        <w:trPr/>
                        <w:tc>
                          <w:tcPr>
                            <w:tcW w:w="130"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rPr/>
                        <w:tc>
                          <w:tcPr>
                            <w:tcW w:w="406"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0"/>
                              <w:jc w:val="center"/>
                              <w:rPr>
                                <w:rFonts w:ascii="Expensify Neue;sans-serif" w:hAnsi="Expensify Neue;sans-serif"/>
                                <w:b w:val="false"/>
                                <w:color w:val="000000"/>
                                <w:sz w:val="20"/>
                              </w:rPr>
                            </w:pPr>
                            <w:r>
                              <w:rPr>
                                <w:rFonts w:ascii="Expensify Neue;sans-serif" w:hAnsi="Expensify Neue;sans-serif"/>
                                <w:b w:val="false"/>
                                <w:color w:val="000000"/>
                                <w:sz w:val="20"/>
                              </w:rPr>
                              <w:t>24</w:t>
                            </w:r>
                          </w:p>
                        </w:tc>
                      </w:tr>
                    </w:tbl>
                    <w:p>
                      <w:pPr>
                        <w:pStyle w:val="TextBody"/>
                        <w:bidi w:val="0"/>
                        <w:spacing w:before="0" w:after="283"/>
                        <w:jc w:val="left"/>
                        <w:rPr/>
                      </w:pPr>
                      <w:r>
                        <w:rPr/>
                      </w:r>
                    </w:p>
                  </w:txbxContent>
                </v:textbox>
                <w10:wrap type="none"/>
              </v:rect>
            </w:pict>
          </mc:Fallback>
        </mc:AlternateContent>
      </w:r>
    </w:p>
    <w:p>
      <w:pPr>
        <w:pStyle w:val="TextBody"/>
        <w:bidi w:val="0"/>
        <w:spacing w:lineRule="auto" w:line="288" w:before="0" w:after="160"/>
        <w:jc w:val="left"/>
        <w:rPr/>
      </w:pPr>
      <w:hyperlink w:anchor="i52a648c4f0e449f7bc3c2044827c8f0d_7">
        <w:r>
          <w:rPr>
            <w:rStyle w:val="InternetLink"/>
            <w:rFonts w:ascii="Expensify Neue;sans-serif" w:hAnsi="Expensify Neue;sans-serif"/>
            <w:b/>
            <w:color w:val="0000FF"/>
            <w:sz w:val="20"/>
            <w:u w:val="single"/>
          </w:rPr>
          <w:t>Table of Contents</w:t>
        </w:r>
      </w:hyperlink>
    </w:p>
    <w:p>
      <w:pPr>
        <w:pStyle w:val="TextBody"/>
        <w:bidi w:val="0"/>
        <w:spacing w:lineRule="auto" w:line="288" w:before="0" w:after="160"/>
        <w:jc w:val="left"/>
        <w:rPr>
          <w:rFonts w:ascii="Expensify Neue;sans-serif" w:hAnsi="Expensify Neue;sans-serif"/>
          <w:b/>
          <w:color w:val="002E22"/>
          <w:sz w:val="32"/>
        </w:rPr>
      </w:pPr>
      <w:r>
        <w:rPr>
          <w:rFonts w:ascii="Expensify Neue;sans-serif" w:hAnsi="Expensify Neue;sans-serif"/>
          <w:b/>
          <w:color w:val="002E22"/>
          <w:sz w:val="32"/>
        </w:rPr>
        <w:t>Results of Operations</w:t>
      </w:r>
    </w:p>
    <w:p>
      <w:pPr>
        <w:pStyle w:val="TextBody"/>
        <w:bidi w:val="0"/>
        <w:spacing w:lineRule="auto" w:line="288" w:before="0" w:after="160"/>
        <w:jc w:val="left"/>
        <w:rPr>
          <w:rFonts w:ascii="Expensify Neue;sans-serif" w:hAnsi="Expensify Neue;sans-serif"/>
          <w:b w:val="false"/>
          <w:color w:val="000000"/>
          <w:sz w:val="20"/>
        </w:rPr>
      </w:pPr>
      <w:r>
        <w:rPr>
          <w:rFonts w:ascii="Expensify Neue;sans-serif" w:hAnsi="Expensify Neue;sans-serif"/>
          <w:b w:val="false"/>
          <w:color w:val="000000"/>
          <w:sz w:val="20"/>
        </w:rPr>
        <w:t xml:space="preserve">The results of operations presented below should be reviewed in conjunction with the condensed consolidated financial statements and notes included elsewhere in this Quarterly Report on Form 10-Q. </w:t>
      </w:r>
    </w:p>
    <w:p>
      <w:pPr>
        <w:pStyle w:val="TextBody"/>
        <w:bidi w:val="0"/>
        <w:spacing w:lineRule="auto" w:line="288" w:before="0" w:after="160"/>
        <w:jc w:val="left"/>
        <w:rPr>
          <w:rFonts w:ascii="Expensify Neue;sans-serif" w:hAnsi="Expensify Neue;sans-serif"/>
          <w:b w:val="false"/>
          <w:color w:val="000000"/>
          <w:sz w:val="20"/>
        </w:rPr>
      </w:pPr>
      <w:r>
        <w:rPr>
          <w:rFonts w:ascii="Expensify Neue;sans-serif" w:hAnsi="Expensify Neue;sans-serif"/>
          <w:b w:val="false"/>
          <w:color w:val="000000"/>
          <w:sz w:val="20"/>
        </w:rPr>
        <w:t>The following table sets forth our results of operations for each of the periods presented:</w:t>
      </w:r>
    </w:p>
    <w:tbl>
      <w:tblPr>
        <w:tblW w:w="10205" w:type="dxa"/>
        <w:jc w:val="left"/>
        <w:tblInd w:w="0" w:type="dxa"/>
        <w:tblLayout w:type="fixed"/>
        <w:tblCellMar>
          <w:top w:w="28" w:type="dxa"/>
          <w:left w:w="28" w:type="dxa"/>
          <w:bottom w:w="28" w:type="dxa"/>
          <w:right w:w="28" w:type="dxa"/>
        </w:tblCellMar>
      </w:tblPr>
      <w:tblGrid>
        <w:gridCol w:w="1978"/>
        <w:gridCol w:w="1650"/>
        <w:gridCol w:w="1655"/>
        <w:gridCol w:w="430"/>
        <w:gridCol w:w="1292"/>
        <w:gridCol w:w="446"/>
        <w:gridCol w:w="170"/>
        <w:gridCol w:w="170"/>
        <w:gridCol w:w="170"/>
        <w:gridCol w:w="430"/>
        <w:gridCol w:w="1292"/>
        <w:gridCol w:w="522"/>
      </w:tblGrid>
      <w:tr>
        <w:trPr/>
        <w:tc>
          <w:tcPr>
            <w:tcW w:w="1978" w:type="dxa"/>
            <w:tcBorders/>
            <w:vAlign w:val="center"/>
          </w:tcPr>
          <w:p>
            <w:pPr>
              <w:pStyle w:val="TableContents"/>
              <w:bidi w:val="0"/>
              <w:spacing w:before="0" w:after="283"/>
              <w:jc w:val="left"/>
              <w:rPr>
                <w:sz w:val="4"/>
                <w:szCs w:val="4"/>
              </w:rPr>
            </w:pPr>
            <w:r>
              <w:rPr>
                <w:sz w:val="4"/>
                <w:szCs w:val="4"/>
              </w:rPr>
            </w:r>
          </w:p>
        </w:tc>
        <w:tc>
          <w:tcPr>
            <w:tcW w:w="1650" w:type="dxa"/>
            <w:tcBorders/>
            <w:vAlign w:val="center"/>
          </w:tcPr>
          <w:p>
            <w:pPr>
              <w:pStyle w:val="TableContents"/>
              <w:bidi w:val="0"/>
              <w:spacing w:before="0" w:after="283"/>
              <w:jc w:val="left"/>
              <w:rPr>
                <w:sz w:val="4"/>
                <w:szCs w:val="4"/>
              </w:rPr>
            </w:pPr>
            <w:r>
              <w:rPr>
                <w:sz w:val="4"/>
                <w:szCs w:val="4"/>
              </w:rPr>
            </w:r>
          </w:p>
        </w:tc>
        <w:tc>
          <w:tcPr>
            <w:tcW w:w="1655" w:type="dxa"/>
            <w:tcBorders/>
            <w:vAlign w:val="center"/>
          </w:tcPr>
          <w:p>
            <w:pPr>
              <w:pStyle w:val="TableContents"/>
              <w:bidi w:val="0"/>
              <w:spacing w:before="0" w:after="283"/>
              <w:jc w:val="left"/>
              <w:rPr>
                <w:sz w:val="4"/>
                <w:szCs w:val="4"/>
              </w:rPr>
            </w:pPr>
            <w:r>
              <w:rPr>
                <w:sz w:val="4"/>
                <w:szCs w:val="4"/>
              </w:rPr>
            </w:r>
          </w:p>
        </w:tc>
        <w:tc>
          <w:tcPr>
            <w:tcW w:w="430" w:type="dxa"/>
            <w:tcBorders/>
            <w:vAlign w:val="center"/>
          </w:tcPr>
          <w:p>
            <w:pPr>
              <w:pStyle w:val="TableContents"/>
              <w:bidi w:val="0"/>
              <w:spacing w:before="0" w:after="283"/>
              <w:jc w:val="left"/>
              <w:rPr>
                <w:sz w:val="4"/>
                <w:szCs w:val="4"/>
              </w:rPr>
            </w:pPr>
            <w:r>
              <w:rPr>
                <w:sz w:val="4"/>
                <w:szCs w:val="4"/>
              </w:rPr>
            </w:r>
          </w:p>
        </w:tc>
        <w:tc>
          <w:tcPr>
            <w:tcW w:w="1292" w:type="dxa"/>
            <w:tcBorders/>
            <w:vAlign w:val="center"/>
          </w:tcPr>
          <w:p>
            <w:pPr>
              <w:pStyle w:val="TableContents"/>
              <w:bidi w:val="0"/>
              <w:spacing w:before="0" w:after="283"/>
              <w:jc w:val="left"/>
              <w:rPr>
                <w:sz w:val="4"/>
                <w:szCs w:val="4"/>
              </w:rPr>
            </w:pPr>
            <w:r>
              <w:rPr>
                <w:sz w:val="4"/>
                <w:szCs w:val="4"/>
              </w:rPr>
            </w:r>
          </w:p>
        </w:tc>
        <w:tc>
          <w:tcPr>
            <w:tcW w:w="446"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sz w:val="4"/>
                <w:szCs w:val="4"/>
              </w:rPr>
            </w:pPr>
            <w:r>
              <w:rPr>
                <w:sz w:val="4"/>
                <w:szCs w:val="4"/>
              </w:rPr>
            </w:r>
          </w:p>
        </w:tc>
        <w:tc>
          <w:tcPr>
            <w:tcW w:w="430" w:type="dxa"/>
            <w:tcBorders/>
            <w:vAlign w:val="center"/>
          </w:tcPr>
          <w:p>
            <w:pPr>
              <w:pStyle w:val="TableContents"/>
              <w:bidi w:val="0"/>
              <w:spacing w:before="0" w:after="283"/>
              <w:jc w:val="left"/>
              <w:rPr>
                <w:sz w:val="4"/>
                <w:szCs w:val="4"/>
              </w:rPr>
            </w:pPr>
            <w:r>
              <w:rPr>
                <w:sz w:val="4"/>
                <w:szCs w:val="4"/>
              </w:rPr>
            </w:r>
          </w:p>
        </w:tc>
        <w:tc>
          <w:tcPr>
            <w:tcW w:w="1292" w:type="dxa"/>
            <w:tcBorders/>
            <w:vAlign w:val="center"/>
          </w:tcPr>
          <w:p>
            <w:pPr>
              <w:pStyle w:val="TableContents"/>
              <w:bidi w:val="0"/>
              <w:spacing w:before="0" w:after="283"/>
              <w:jc w:val="left"/>
              <w:rPr>
                <w:sz w:val="4"/>
                <w:szCs w:val="4"/>
              </w:rPr>
            </w:pPr>
            <w:r>
              <w:rPr>
                <w:sz w:val="4"/>
                <w:szCs w:val="4"/>
              </w:rPr>
            </w:r>
          </w:p>
        </w:tc>
        <w:tc>
          <w:tcPr>
            <w:tcW w:w="522" w:type="dxa"/>
            <w:tcBorders/>
            <w:vAlign w:val="center"/>
          </w:tcPr>
          <w:p>
            <w:pPr>
              <w:pStyle w:val="TableContents"/>
              <w:bidi w:val="0"/>
              <w:spacing w:before="0" w:after="283"/>
              <w:jc w:val="left"/>
              <w:rPr>
                <w:sz w:val="4"/>
                <w:szCs w:val="4"/>
              </w:rPr>
            </w:pPr>
            <w:r>
              <w:rPr>
                <w:sz w:val="4"/>
                <w:szCs w:val="4"/>
              </w:rPr>
            </w:r>
          </w:p>
        </w:tc>
      </w:tr>
      <w:tr>
        <w:trPr/>
        <w:tc>
          <w:tcPr>
            <w:tcW w:w="5283" w:type="dxa"/>
            <w:gridSpan w:val="3"/>
            <w:tcBorders>
              <w:top w:val="single" w:sz="1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22" w:type="dxa"/>
            <w:gridSpan w:val="9"/>
            <w:tcBorders>
              <w:top w:val="single" w:sz="16"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Expensify Neue;sans-serif" w:hAnsi="Expensify Neue;sans-serif"/>
                <w:b/>
                <w:color w:val="000000"/>
                <w:sz w:val="16"/>
              </w:rPr>
            </w:pPr>
            <w:r>
              <w:rPr>
                <w:rFonts w:ascii="Expensify Neue;sans-serif" w:hAnsi="Expensify Neue;sans-serif"/>
                <w:b/>
                <w:color w:val="000000"/>
                <w:sz w:val="16"/>
              </w:rPr>
              <w:t>Three Months Ended March 31,</w:t>
            </w:r>
          </w:p>
        </w:tc>
      </w:tr>
      <w:tr>
        <w:trPr/>
        <w:tc>
          <w:tcPr>
            <w:tcW w:w="528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68"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Expensify Neue;sans-serif" w:hAnsi="Expensify Neue;sans-serif"/>
                <w:b/>
                <w:color w:val="000000"/>
                <w:sz w:val="16"/>
              </w:rPr>
            </w:pPr>
            <w:r>
              <w:rPr>
                <w:rFonts w:ascii="Expensify Neue;sans-serif" w:hAnsi="Expensify Neue;sans-serif"/>
                <w:b/>
                <w:color w:val="000000"/>
                <w:sz w:val="16"/>
              </w:rPr>
              <w:t>2025</w:t>
            </w:r>
          </w:p>
        </w:tc>
        <w:tc>
          <w:tcPr>
            <w:tcW w:w="51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44"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Expensify Neue;sans-serif" w:hAnsi="Expensify Neue;sans-serif"/>
                <w:b/>
                <w:color w:val="000000"/>
                <w:sz w:val="16"/>
              </w:rPr>
            </w:pPr>
            <w:r>
              <w:rPr>
                <w:rFonts w:ascii="Expensify Neue;sans-serif" w:hAnsi="Expensify Neue;sans-serif"/>
                <w:b/>
                <w:color w:val="000000"/>
                <w:sz w:val="16"/>
              </w:rPr>
              <w:t>2024</w:t>
            </w:r>
          </w:p>
        </w:tc>
      </w:tr>
      <w:tr>
        <w:trPr/>
        <w:tc>
          <w:tcPr>
            <w:tcW w:w="528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22"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Expensify Neue;sans-serif" w:hAnsi="Expensify Neue;sans-serif"/>
                <w:b/>
                <w:color w:val="000000"/>
                <w:sz w:val="16"/>
              </w:rPr>
            </w:pPr>
            <w:r>
              <w:rPr>
                <w:rFonts w:ascii="Expensify Neue;sans-serif" w:hAnsi="Expensify Neue;sans-serif"/>
                <w:b/>
                <w:color w:val="000000"/>
                <w:sz w:val="16"/>
              </w:rPr>
              <w:t>(in thousands, except percentages, share and per share data)</w:t>
            </w:r>
          </w:p>
        </w:tc>
      </w:tr>
      <w:tr>
        <w:trPr/>
        <w:tc>
          <w:tcPr>
            <w:tcW w:w="528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Expensify Neue;sans-serif" w:hAnsi="Expensify Neue;sans-serif"/>
                <w:b w:val="false"/>
                <w:color w:val="000000"/>
                <w:sz w:val="20"/>
              </w:rPr>
            </w:pPr>
            <w:r>
              <w:rPr>
                <w:rFonts w:ascii="Expensify Neue;sans-serif" w:hAnsi="Expensify Neue;sans-serif"/>
                <w:b w:val="false"/>
                <w:color w:val="000000"/>
                <w:sz w:val="20"/>
              </w:rPr>
              <w:t>Revenue</w:t>
            </w:r>
          </w:p>
        </w:tc>
        <w:tc>
          <w:tcPr>
            <w:tcW w:w="430"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Expensify Neue;sans-serif" w:hAnsi="Expensify Neue;sans-serif"/>
                <w:b w:val="false"/>
                <w:color w:val="000000"/>
                <w:sz w:val="20"/>
              </w:rPr>
            </w:pPr>
            <w:r>
              <w:rPr>
                <w:rFonts w:ascii="Expensify Neue;sans-serif" w:hAnsi="Expensify Neue;sans-serif"/>
                <w:b w:val="false"/>
                <w:color w:val="000000"/>
                <w:sz w:val="20"/>
              </w:rPr>
              <w:t>$</w:t>
            </w:r>
          </w:p>
        </w:tc>
        <w:tc>
          <w:tcPr>
            <w:tcW w:w="129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Expensify Neue;sans-serif" w:hAnsi="Expensify Neue;sans-serif"/>
                <w:b w:val="false"/>
                <w:color w:val="000000"/>
                <w:sz w:val="20"/>
              </w:rPr>
            </w:pPr>
            <w:r>
              <w:rPr>
                <w:rFonts w:ascii="Expensify Neue;sans-serif" w:hAnsi="Expensify Neue;sans-serif"/>
                <w:b w:val="false"/>
                <w:color w:val="000000"/>
                <w:sz w:val="20"/>
              </w:rPr>
              <w:t>36,074 </w:t>
            </w:r>
          </w:p>
        </w:tc>
        <w:tc>
          <w:tcPr>
            <w:tcW w:w="44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0"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Expensify Neue;sans-serif" w:hAnsi="Expensify Neue;sans-serif"/>
                <w:b w:val="false"/>
                <w:color w:val="000000"/>
                <w:sz w:val="20"/>
              </w:rPr>
            </w:pPr>
            <w:r>
              <w:rPr>
                <w:rFonts w:ascii="Expensify Neue;sans-serif" w:hAnsi="Expensify Neue;sans-serif"/>
                <w:b w:val="false"/>
                <w:color w:val="000000"/>
                <w:sz w:val="20"/>
              </w:rPr>
              <w:t>$</w:t>
            </w:r>
          </w:p>
        </w:tc>
        <w:tc>
          <w:tcPr>
            <w:tcW w:w="129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Expensify Neue;sans-serif" w:hAnsi="Expensify Neue;sans-serif"/>
                <w:b w:val="false"/>
                <w:color w:val="000000"/>
                <w:sz w:val="20"/>
              </w:rPr>
            </w:pPr>
            <w:r>
              <w:rPr>
                <w:rFonts w:ascii="Expensify Neue;sans-serif" w:hAnsi="Expensify Neue;sans-serif"/>
                <w:b w:val="false"/>
                <w:color w:val="000000"/>
                <w:sz w:val="20"/>
              </w:rPr>
              <w:t>33,535 </w:t>
            </w:r>
          </w:p>
        </w:tc>
        <w:tc>
          <w:tcPr>
            <w:tcW w:w="52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83"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360"/>
              <w:jc w:val="left"/>
              <w:rPr/>
            </w:pPr>
            <w:r>
              <w:rPr>
                <w:rFonts w:ascii="Expensify Neue;sans-serif" w:hAnsi="Expensify Neue;sans-serif"/>
                <w:b w:val="false"/>
                <w:color w:val="000000"/>
                <w:sz w:val="20"/>
              </w:rPr>
              <w:t>Cost of revenue, net</w:t>
            </w:r>
            <w:r>
              <w:rPr>
                <w:rFonts w:ascii="Expensify Neue;sans-serif" w:hAnsi="Expensify Neue;sans-serif"/>
                <w:b w:val="false"/>
                <w:color w:val="000000"/>
                <w:sz w:val="13"/>
              </w:rPr>
              <w:t>(1)</w:t>
            </w:r>
          </w:p>
        </w:tc>
        <w:tc>
          <w:tcPr>
            <w:tcW w:w="17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Expensify Neue;sans-serif" w:hAnsi="Expensify Neue;sans-serif"/>
                <w:b w:val="false"/>
                <w:color w:val="000000"/>
                <w:sz w:val="20"/>
              </w:rPr>
            </w:pPr>
            <w:r>
              <w:rPr>
                <w:rFonts w:ascii="Expensify Neue;sans-serif" w:hAnsi="Expensify Neue;sans-serif"/>
                <w:b w:val="false"/>
                <w:color w:val="000000"/>
                <w:sz w:val="20"/>
              </w:rPr>
              <w:t>17,832 </w:t>
            </w:r>
          </w:p>
        </w:tc>
        <w:tc>
          <w:tcPr>
            <w:tcW w:w="4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Expensify Neue;sans-serif" w:hAnsi="Expensify Neue;sans-serif"/>
                <w:b w:val="false"/>
                <w:color w:val="000000"/>
                <w:sz w:val="20"/>
              </w:rPr>
            </w:pPr>
            <w:r>
              <w:rPr>
                <w:rFonts w:ascii="Expensify Neue;sans-serif" w:hAnsi="Expensify Neue;sans-serif"/>
                <w:b w:val="false"/>
                <w:color w:val="000000"/>
                <w:sz w:val="20"/>
              </w:rPr>
              <w:t>14,584 </w:t>
            </w:r>
          </w:p>
        </w:tc>
        <w:tc>
          <w:tcPr>
            <w:tcW w:w="52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8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Expensify Neue;sans-serif" w:hAnsi="Expensify Neue;sans-serif"/>
                <w:b w:val="false"/>
                <w:color w:val="000000"/>
                <w:sz w:val="20"/>
              </w:rPr>
            </w:pPr>
            <w:r>
              <w:rPr>
                <w:rFonts w:ascii="Expensify Neue;sans-serif" w:hAnsi="Expensify Neue;sans-serif"/>
                <w:b w:val="false"/>
                <w:color w:val="000000"/>
                <w:sz w:val="20"/>
              </w:rPr>
              <w:t>Gross margin</w:t>
            </w:r>
          </w:p>
        </w:tc>
        <w:tc>
          <w:tcPr>
            <w:tcW w:w="172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Expensify Neue;sans-serif" w:hAnsi="Expensify Neue;sans-serif"/>
                <w:b w:val="false"/>
                <w:color w:val="000000"/>
                <w:sz w:val="20"/>
              </w:rPr>
            </w:pPr>
            <w:r>
              <w:rPr>
                <w:rFonts w:ascii="Expensify Neue;sans-serif" w:hAnsi="Expensify Neue;sans-serif"/>
                <w:b w:val="false"/>
                <w:color w:val="000000"/>
                <w:sz w:val="20"/>
              </w:rPr>
              <w:t>18,242 </w:t>
            </w:r>
          </w:p>
        </w:tc>
        <w:tc>
          <w:tcPr>
            <w:tcW w:w="44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2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Expensify Neue;sans-serif" w:hAnsi="Expensify Neue;sans-serif"/>
                <w:b w:val="false"/>
                <w:color w:val="000000"/>
                <w:sz w:val="20"/>
              </w:rPr>
            </w:pPr>
            <w:r>
              <w:rPr>
                <w:rFonts w:ascii="Expensify Neue;sans-serif" w:hAnsi="Expensify Neue;sans-serif"/>
                <w:b w:val="false"/>
                <w:color w:val="000000"/>
                <w:sz w:val="20"/>
              </w:rPr>
              <w:t>18,951 </w:t>
            </w:r>
          </w:p>
        </w:tc>
        <w:tc>
          <w:tcPr>
            <w:tcW w:w="52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8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Expensify Neue;sans-serif" w:hAnsi="Expensify Neue;sans-serif"/>
                <w:b w:val="false"/>
                <w:color w:val="000000"/>
                <w:sz w:val="20"/>
              </w:rPr>
            </w:pPr>
            <w:r>
              <w:rPr>
                <w:rFonts w:ascii="Expensify Neue;sans-serif" w:hAnsi="Expensify Neue;sans-serif"/>
                <w:b w:val="false"/>
                <w:color w:val="000000"/>
                <w:sz w:val="20"/>
              </w:rPr>
              <w:t>Operating expenses:</w:t>
            </w:r>
          </w:p>
        </w:tc>
        <w:tc>
          <w:tcPr>
            <w:tcW w:w="2168"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44"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83"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360"/>
              <w:jc w:val="left"/>
              <w:rPr/>
            </w:pPr>
            <w:r>
              <w:rPr>
                <w:rFonts w:ascii="Expensify Neue;sans-serif" w:hAnsi="Expensify Neue;sans-serif"/>
                <w:b w:val="false"/>
                <w:color w:val="000000"/>
                <w:sz w:val="20"/>
              </w:rPr>
              <w:t>Research and development</w:t>
            </w:r>
            <w:r>
              <w:rPr>
                <w:rFonts w:ascii="Expensify Neue;sans-serif" w:hAnsi="Expensify Neue;sans-serif"/>
                <w:b w:val="false"/>
                <w:color w:val="000000"/>
                <w:sz w:val="13"/>
              </w:rPr>
              <w:t>(1)</w:t>
            </w:r>
          </w:p>
        </w:tc>
        <w:tc>
          <w:tcPr>
            <w:tcW w:w="17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Expensify Neue;sans-serif" w:hAnsi="Expensify Neue;sans-serif"/>
                <w:b w:val="false"/>
                <w:color w:val="000000"/>
                <w:sz w:val="20"/>
              </w:rPr>
            </w:pPr>
            <w:r>
              <w:rPr>
                <w:rFonts w:ascii="Expensify Neue;sans-serif" w:hAnsi="Expensify Neue;sans-serif"/>
                <w:b w:val="false"/>
                <w:color w:val="000000"/>
                <w:sz w:val="20"/>
              </w:rPr>
              <w:t>5,358 </w:t>
            </w:r>
          </w:p>
        </w:tc>
        <w:tc>
          <w:tcPr>
            <w:tcW w:w="44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Expensify Neue;sans-serif" w:hAnsi="Expensify Neue;sans-serif"/>
                <w:b w:val="false"/>
                <w:color w:val="000000"/>
                <w:sz w:val="20"/>
              </w:rPr>
            </w:pPr>
            <w:r>
              <w:rPr>
                <w:rFonts w:ascii="Expensify Neue;sans-serif" w:hAnsi="Expensify Neue;sans-serif"/>
                <w:b w:val="false"/>
                <w:color w:val="000000"/>
                <w:sz w:val="20"/>
              </w:rPr>
              <w:t>5,929 </w:t>
            </w:r>
          </w:p>
        </w:tc>
        <w:tc>
          <w:tcPr>
            <w:tcW w:w="52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83"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360"/>
              <w:jc w:val="left"/>
              <w:rPr/>
            </w:pPr>
            <w:r>
              <w:rPr>
                <w:rFonts w:ascii="Expensify Neue;sans-serif" w:hAnsi="Expensify Neue;sans-serif"/>
                <w:b w:val="false"/>
                <w:color w:val="000000"/>
                <w:sz w:val="20"/>
              </w:rPr>
              <w:t>General and administrative</w:t>
            </w:r>
            <w:r>
              <w:rPr>
                <w:rFonts w:ascii="Expensify Neue;sans-serif" w:hAnsi="Expensify Neue;sans-serif"/>
                <w:b w:val="false"/>
                <w:color w:val="000000"/>
                <w:sz w:val="13"/>
              </w:rPr>
              <w:t>(1)</w:t>
            </w:r>
          </w:p>
        </w:tc>
        <w:tc>
          <w:tcPr>
            <w:tcW w:w="17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Expensify Neue;sans-serif" w:hAnsi="Expensify Neue;sans-serif"/>
                <w:b w:val="false"/>
                <w:color w:val="000000"/>
                <w:sz w:val="20"/>
              </w:rPr>
            </w:pPr>
            <w:r>
              <w:rPr>
                <w:rFonts w:ascii="Expensify Neue;sans-serif" w:hAnsi="Expensify Neue;sans-serif"/>
                <w:b w:val="false"/>
                <w:color w:val="000000"/>
                <w:sz w:val="20"/>
              </w:rPr>
              <w:t>10,829 </w:t>
            </w:r>
          </w:p>
        </w:tc>
        <w:tc>
          <w:tcPr>
            <w:tcW w:w="4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Expensify Neue;sans-serif" w:hAnsi="Expensify Neue;sans-serif"/>
                <w:b w:val="false"/>
                <w:color w:val="000000"/>
                <w:sz w:val="20"/>
              </w:rPr>
            </w:pPr>
            <w:r>
              <w:rPr>
                <w:rFonts w:ascii="Expensify Neue;sans-serif" w:hAnsi="Expensify Neue;sans-serif"/>
                <w:b w:val="false"/>
                <w:color w:val="000000"/>
                <w:sz w:val="20"/>
              </w:rPr>
              <w:t>11,431 </w:t>
            </w:r>
          </w:p>
        </w:tc>
        <w:tc>
          <w:tcPr>
            <w:tcW w:w="52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83"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360"/>
              <w:jc w:val="left"/>
              <w:rPr/>
            </w:pPr>
            <w:r>
              <w:rPr>
                <w:rFonts w:ascii="Expensify Neue;sans-serif" w:hAnsi="Expensify Neue;sans-serif"/>
                <w:b w:val="false"/>
                <w:color w:val="000000"/>
                <w:sz w:val="20"/>
              </w:rPr>
              <w:t>Sales and marketing</w:t>
            </w:r>
            <w:r>
              <w:rPr>
                <w:rFonts w:ascii="Expensify Neue;sans-serif" w:hAnsi="Expensify Neue;sans-serif"/>
                <w:b w:val="false"/>
                <w:color w:val="000000"/>
                <w:sz w:val="13"/>
              </w:rPr>
              <w:t>(1)</w:t>
            </w:r>
          </w:p>
        </w:tc>
        <w:tc>
          <w:tcPr>
            <w:tcW w:w="17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Expensify Neue;sans-serif" w:hAnsi="Expensify Neue;sans-serif"/>
                <w:b w:val="false"/>
                <w:color w:val="000000"/>
                <w:sz w:val="20"/>
              </w:rPr>
            </w:pPr>
            <w:r>
              <w:rPr>
                <w:rFonts w:ascii="Expensify Neue;sans-serif" w:hAnsi="Expensify Neue;sans-serif"/>
                <w:b w:val="false"/>
                <w:color w:val="000000"/>
                <w:sz w:val="20"/>
              </w:rPr>
              <w:t>3,542 </w:t>
            </w:r>
          </w:p>
        </w:tc>
        <w:tc>
          <w:tcPr>
            <w:tcW w:w="44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Expensify Neue;sans-serif" w:hAnsi="Expensify Neue;sans-serif"/>
                <w:b w:val="false"/>
                <w:color w:val="000000"/>
                <w:sz w:val="20"/>
              </w:rPr>
            </w:pPr>
            <w:r>
              <w:rPr>
                <w:rFonts w:ascii="Expensify Neue;sans-serif" w:hAnsi="Expensify Neue;sans-serif"/>
                <w:b w:val="false"/>
                <w:color w:val="000000"/>
                <w:sz w:val="20"/>
              </w:rPr>
              <w:t>3,384 </w:t>
            </w:r>
          </w:p>
        </w:tc>
        <w:tc>
          <w:tcPr>
            <w:tcW w:w="52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8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Expensify Neue;sans-serif" w:hAnsi="Expensify Neue;sans-serif"/>
                <w:b w:val="false"/>
                <w:color w:val="000000"/>
                <w:sz w:val="20"/>
              </w:rPr>
            </w:pPr>
            <w:r>
              <w:rPr>
                <w:rFonts w:ascii="Expensify Neue;sans-serif" w:hAnsi="Expensify Neue;sans-serif"/>
                <w:b w:val="false"/>
                <w:color w:val="000000"/>
                <w:sz w:val="20"/>
              </w:rPr>
              <w:t>Total operating expenses</w:t>
            </w:r>
          </w:p>
        </w:tc>
        <w:tc>
          <w:tcPr>
            <w:tcW w:w="172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Expensify Neue;sans-serif" w:hAnsi="Expensify Neue;sans-serif"/>
                <w:b w:val="false"/>
                <w:color w:val="000000"/>
                <w:sz w:val="20"/>
              </w:rPr>
            </w:pPr>
            <w:r>
              <w:rPr>
                <w:rFonts w:ascii="Expensify Neue;sans-serif" w:hAnsi="Expensify Neue;sans-serif"/>
                <w:b w:val="false"/>
                <w:color w:val="000000"/>
                <w:sz w:val="20"/>
              </w:rPr>
              <w:t>19,729 </w:t>
            </w:r>
          </w:p>
        </w:tc>
        <w:tc>
          <w:tcPr>
            <w:tcW w:w="44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2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Expensify Neue;sans-serif" w:hAnsi="Expensify Neue;sans-serif"/>
                <w:b w:val="false"/>
                <w:color w:val="000000"/>
                <w:sz w:val="20"/>
              </w:rPr>
            </w:pPr>
            <w:r>
              <w:rPr>
                <w:rFonts w:ascii="Expensify Neue;sans-serif" w:hAnsi="Expensify Neue;sans-serif"/>
                <w:b w:val="false"/>
                <w:color w:val="000000"/>
                <w:sz w:val="20"/>
              </w:rPr>
              <w:t>20,744 </w:t>
            </w:r>
          </w:p>
        </w:tc>
        <w:tc>
          <w:tcPr>
            <w:tcW w:w="522"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8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Expensify Neue;sans-serif" w:hAnsi="Expensify Neue;sans-serif"/>
                <w:b w:val="false"/>
                <w:color w:val="000000"/>
                <w:sz w:val="20"/>
              </w:rPr>
            </w:pPr>
            <w:r>
              <w:rPr>
                <w:rFonts w:ascii="Expensify Neue;sans-serif" w:hAnsi="Expensify Neue;sans-serif"/>
                <w:b w:val="false"/>
                <w:color w:val="000000"/>
                <w:sz w:val="20"/>
              </w:rPr>
              <w:t>Loss from operations</w:t>
            </w:r>
          </w:p>
        </w:tc>
        <w:tc>
          <w:tcPr>
            <w:tcW w:w="172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Expensify Neue;sans-serif" w:hAnsi="Expensify Neue;sans-serif"/>
                <w:b w:val="false"/>
                <w:color w:val="000000"/>
                <w:sz w:val="20"/>
              </w:rPr>
            </w:pPr>
            <w:r>
              <w:rPr>
                <w:rFonts w:ascii="Expensify Neue;sans-serif" w:hAnsi="Expensify Neue;sans-serif"/>
                <w:b w:val="false"/>
                <w:color w:val="000000"/>
                <w:sz w:val="20"/>
              </w:rPr>
              <w:t>(1,487)</w:t>
            </w:r>
          </w:p>
        </w:tc>
        <w:tc>
          <w:tcPr>
            <w:tcW w:w="44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2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Expensify Neue;sans-serif" w:hAnsi="Expensify Neue;sans-serif"/>
                <w:b w:val="false"/>
                <w:color w:val="000000"/>
                <w:sz w:val="20"/>
              </w:rPr>
            </w:pPr>
            <w:r>
              <w:rPr>
                <w:rFonts w:ascii="Expensify Neue;sans-serif" w:hAnsi="Expensify Neue;sans-serif"/>
                <w:b w:val="false"/>
                <w:color w:val="000000"/>
                <w:sz w:val="20"/>
              </w:rPr>
              <w:t>(1,793)</w:t>
            </w:r>
          </w:p>
        </w:tc>
        <w:tc>
          <w:tcPr>
            <w:tcW w:w="52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8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Expensify Neue;sans-serif" w:hAnsi="Expensify Neue;sans-serif"/>
                <w:b w:val="false"/>
                <w:color w:val="000000"/>
                <w:sz w:val="20"/>
              </w:rPr>
            </w:pPr>
            <w:r>
              <w:rPr>
                <w:rFonts w:ascii="Expensify Neue;sans-serif" w:hAnsi="Expensify Neue;sans-serif"/>
                <w:b w:val="false"/>
                <w:color w:val="000000"/>
                <w:sz w:val="20"/>
              </w:rPr>
              <w:t>Other income (expenses), net</w:t>
            </w:r>
          </w:p>
        </w:tc>
        <w:tc>
          <w:tcPr>
            <w:tcW w:w="17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Expensify Neue;sans-serif" w:hAnsi="Expensify Neue;sans-serif"/>
                <w:b w:val="false"/>
                <w:color w:val="000000"/>
                <w:sz w:val="20"/>
              </w:rPr>
            </w:pPr>
            <w:r>
              <w:rPr>
                <w:rFonts w:ascii="Expensify Neue;sans-serif" w:hAnsi="Expensify Neue;sans-serif"/>
                <w:b w:val="false"/>
                <w:color w:val="000000"/>
                <w:sz w:val="20"/>
              </w:rPr>
              <w:t>324 </w:t>
            </w:r>
          </w:p>
        </w:tc>
        <w:tc>
          <w:tcPr>
            <w:tcW w:w="4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Expensify Neue;sans-serif" w:hAnsi="Expensify Neue;sans-serif"/>
                <w:b w:val="false"/>
                <w:color w:val="000000"/>
                <w:sz w:val="20"/>
              </w:rPr>
            </w:pPr>
            <w:r>
              <w:rPr>
                <w:rFonts w:ascii="Expensify Neue;sans-serif" w:hAnsi="Expensify Neue;sans-serif"/>
                <w:b w:val="false"/>
                <w:color w:val="000000"/>
                <w:sz w:val="20"/>
              </w:rPr>
              <w:t>(954)</w:t>
            </w:r>
          </w:p>
        </w:tc>
        <w:tc>
          <w:tcPr>
            <w:tcW w:w="52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8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Expensify Neue;sans-serif" w:hAnsi="Expensify Neue;sans-serif"/>
                <w:b w:val="false"/>
                <w:color w:val="000000"/>
                <w:sz w:val="20"/>
              </w:rPr>
            </w:pPr>
            <w:r>
              <w:rPr>
                <w:rFonts w:ascii="Expensify Neue;sans-serif" w:hAnsi="Expensify Neue;sans-serif"/>
                <w:b w:val="false"/>
                <w:color w:val="000000"/>
                <w:sz w:val="20"/>
              </w:rPr>
              <w:t>Loss before income taxes</w:t>
            </w:r>
          </w:p>
        </w:tc>
        <w:tc>
          <w:tcPr>
            <w:tcW w:w="172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Expensify Neue;sans-serif" w:hAnsi="Expensify Neue;sans-serif"/>
                <w:b w:val="false"/>
                <w:color w:val="000000"/>
                <w:sz w:val="20"/>
              </w:rPr>
            </w:pPr>
            <w:r>
              <w:rPr>
                <w:rFonts w:ascii="Expensify Neue;sans-serif" w:hAnsi="Expensify Neue;sans-serif"/>
                <w:b w:val="false"/>
                <w:color w:val="000000"/>
                <w:sz w:val="20"/>
              </w:rPr>
              <w:t>(1,163)</w:t>
            </w:r>
          </w:p>
        </w:tc>
        <w:tc>
          <w:tcPr>
            <w:tcW w:w="44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2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Expensify Neue;sans-serif" w:hAnsi="Expensify Neue;sans-serif"/>
                <w:b w:val="false"/>
                <w:color w:val="000000"/>
                <w:sz w:val="20"/>
              </w:rPr>
            </w:pPr>
            <w:r>
              <w:rPr>
                <w:rFonts w:ascii="Expensify Neue;sans-serif" w:hAnsi="Expensify Neue;sans-serif"/>
                <w:b w:val="false"/>
                <w:color w:val="000000"/>
                <w:sz w:val="20"/>
              </w:rPr>
              <w:t>(2,747)</w:t>
            </w:r>
          </w:p>
        </w:tc>
        <w:tc>
          <w:tcPr>
            <w:tcW w:w="52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8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Expensify Neue;sans-serif" w:hAnsi="Expensify Neue;sans-serif"/>
                <w:b w:val="false"/>
                <w:color w:val="000000"/>
                <w:sz w:val="20"/>
              </w:rPr>
            </w:pPr>
            <w:r>
              <w:rPr>
                <w:rFonts w:ascii="Expensify Neue;sans-serif" w:hAnsi="Expensify Neue;sans-serif"/>
                <w:b w:val="false"/>
                <w:color w:val="000000"/>
                <w:sz w:val="20"/>
              </w:rPr>
              <w:t>Provision for income taxes</w:t>
            </w:r>
          </w:p>
        </w:tc>
        <w:tc>
          <w:tcPr>
            <w:tcW w:w="17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Expensify Neue;sans-serif" w:hAnsi="Expensify Neue;sans-serif"/>
                <w:b w:val="false"/>
                <w:color w:val="000000"/>
                <w:sz w:val="20"/>
              </w:rPr>
            </w:pPr>
            <w:r>
              <w:rPr>
                <w:rFonts w:ascii="Expensify Neue;sans-serif" w:hAnsi="Expensify Neue;sans-serif"/>
                <w:b w:val="false"/>
                <w:color w:val="000000"/>
                <w:sz w:val="20"/>
              </w:rPr>
              <w:t>(2,006)</w:t>
            </w:r>
          </w:p>
        </w:tc>
        <w:tc>
          <w:tcPr>
            <w:tcW w:w="4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Expensify Neue;sans-serif" w:hAnsi="Expensify Neue;sans-serif"/>
                <w:b w:val="false"/>
                <w:color w:val="000000"/>
                <w:sz w:val="20"/>
              </w:rPr>
            </w:pPr>
            <w:r>
              <w:rPr>
                <w:rFonts w:ascii="Expensify Neue;sans-serif" w:hAnsi="Expensify Neue;sans-serif"/>
                <w:b w:val="false"/>
                <w:color w:val="000000"/>
                <w:sz w:val="20"/>
              </w:rPr>
              <w:t>(1,034)</w:t>
            </w:r>
          </w:p>
        </w:tc>
        <w:tc>
          <w:tcPr>
            <w:tcW w:w="52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8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Expensify Neue;sans-serif" w:hAnsi="Expensify Neue;sans-serif"/>
                <w:b w:val="false"/>
                <w:color w:val="000000"/>
                <w:sz w:val="20"/>
              </w:rPr>
            </w:pPr>
            <w:r>
              <w:rPr>
                <w:rFonts w:ascii="Expensify Neue;sans-serif" w:hAnsi="Expensify Neue;sans-serif"/>
                <w:b w:val="false"/>
                <w:color w:val="000000"/>
                <w:sz w:val="20"/>
              </w:rPr>
              <w:t>Net loss</w:t>
            </w:r>
          </w:p>
        </w:tc>
        <w:tc>
          <w:tcPr>
            <w:tcW w:w="43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Expensify Neue;sans-serif" w:hAnsi="Expensify Neue;sans-serif"/>
                <w:b w:val="false"/>
                <w:color w:val="000000"/>
                <w:sz w:val="20"/>
              </w:rPr>
            </w:pPr>
            <w:r>
              <w:rPr>
                <w:rFonts w:ascii="Expensify Neue;sans-serif" w:hAnsi="Expensify Neue;sans-serif"/>
                <w:b w:val="false"/>
                <w:color w:val="000000"/>
                <w:sz w:val="20"/>
              </w:rPr>
              <w:t>$</w:t>
            </w:r>
          </w:p>
        </w:tc>
        <w:tc>
          <w:tcPr>
            <w:tcW w:w="129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Expensify Neue;sans-serif" w:hAnsi="Expensify Neue;sans-serif"/>
                <w:b w:val="false"/>
                <w:color w:val="000000"/>
                <w:sz w:val="20"/>
              </w:rPr>
            </w:pPr>
            <w:r>
              <w:rPr>
                <w:rFonts w:ascii="Expensify Neue;sans-serif" w:hAnsi="Expensify Neue;sans-serif"/>
                <w:b w:val="false"/>
                <w:color w:val="000000"/>
                <w:sz w:val="20"/>
              </w:rPr>
              <w:t>(3,169)</w:t>
            </w:r>
          </w:p>
        </w:tc>
        <w:tc>
          <w:tcPr>
            <w:tcW w:w="44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Expensify Neue;sans-serif" w:hAnsi="Expensify Neue;sans-serif"/>
                <w:b w:val="false"/>
                <w:color w:val="000000"/>
                <w:sz w:val="20"/>
              </w:rPr>
            </w:pPr>
            <w:r>
              <w:rPr>
                <w:rFonts w:ascii="Expensify Neue;sans-serif" w:hAnsi="Expensify Neue;sans-serif"/>
                <w:b w:val="false"/>
                <w:color w:val="000000"/>
                <w:sz w:val="20"/>
              </w:rPr>
              <w:t>$</w:t>
            </w:r>
          </w:p>
        </w:tc>
        <w:tc>
          <w:tcPr>
            <w:tcW w:w="129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Expensify Neue;sans-serif" w:hAnsi="Expensify Neue;sans-serif"/>
                <w:b w:val="false"/>
                <w:color w:val="000000"/>
                <w:sz w:val="20"/>
              </w:rPr>
            </w:pPr>
            <w:r>
              <w:rPr>
                <w:rFonts w:ascii="Expensify Neue;sans-serif" w:hAnsi="Expensify Neue;sans-serif"/>
                <w:b w:val="false"/>
                <w:color w:val="000000"/>
                <w:sz w:val="20"/>
              </w:rPr>
              <w:t>(3,781)</w:t>
            </w:r>
          </w:p>
        </w:tc>
        <w:tc>
          <w:tcPr>
            <w:tcW w:w="52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528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Expensify Neue;sans-serif" w:hAnsi="Expensify Neue;sans-serif"/>
                <w:b w:val="false"/>
                <w:color w:val="000000"/>
                <w:sz w:val="20"/>
              </w:rPr>
            </w:pPr>
            <w:r>
              <w:rPr>
                <w:rFonts w:ascii="Expensify Neue;sans-serif" w:hAnsi="Expensify Neue;sans-serif"/>
                <w:b w:val="false"/>
                <w:color w:val="000000"/>
                <w:sz w:val="20"/>
              </w:rPr>
              <w:t>Net loss per share:</w:t>
            </w:r>
          </w:p>
        </w:tc>
        <w:tc>
          <w:tcPr>
            <w:tcW w:w="2168"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44"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8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Expensify Neue;sans-serif" w:hAnsi="Expensify Neue;sans-serif"/>
                <w:b w:val="false"/>
                <w:color w:val="000000"/>
                <w:sz w:val="20"/>
              </w:rPr>
            </w:pPr>
            <w:r>
              <w:rPr>
                <w:rFonts w:ascii="Expensify Neue;sans-serif" w:hAnsi="Expensify Neue;sans-serif"/>
                <w:b w:val="false"/>
                <w:color w:val="000000"/>
                <w:sz w:val="20"/>
              </w:rPr>
              <w:t>Basic and diluted</w:t>
            </w:r>
          </w:p>
        </w:tc>
        <w:tc>
          <w:tcPr>
            <w:tcW w:w="430"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Expensify Neue;sans-serif" w:hAnsi="Expensify Neue;sans-serif"/>
                <w:b w:val="false"/>
                <w:color w:val="000000"/>
                <w:sz w:val="20"/>
              </w:rPr>
            </w:pPr>
            <w:r>
              <w:rPr>
                <w:rFonts w:ascii="Expensify Neue;sans-serif" w:hAnsi="Expensify Neue;sans-serif"/>
                <w:b w:val="false"/>
                <w:color w:val="000000"/>
                <w:sz w:val="20"/>
              </w:rPr>
              <w:t>$</w:t>
            </w:r>
          </w:p>
        </w:tc>
        <w:tc>
          <w:tcPr>
            <w:tcW w:w="129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Expensify Neue;sans-serif" w:hAnsi="Expensify Neue;sans-serif"/>
                <w:b w:val="false"/>
                <w:color w:val="000000"/>
                <w:sz w:val="20"/>
              </w:rPr>
            </w:pPr>
            <w:r>
              <w:rPr>
                <w:rFonts w:ascii="Expensify Neue;sans-serif" w:hAnsi="Expensify Neue;sans-serif"/>
                <w:b w:val="false"/>
                <w:color w:val="000000"/>
                <w:sz w:val="20"/>
              </w:rPr>
              <w:t>(0.03)</w:t>
            </w:r>
          </w:p>
        </w:tc>
        <w:tc>
          <w:tcPr>
            <w:tcW w:w="44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0"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Expensify Neue;sans-serif" w:hAnsi="Expensify Neue;sans-serif"/>
                <w:b w:val="false"/>
                <w:color w:val="000000"/>
                <w:sz w:val="20"/>
              </w:rPr>
            </w:pPr>
            <w:r>
              <w:rPr>
                <w:rFonts w:ascii="Expensify Neue;sans-serif" w:hAnsi="Expensify Neue;sans-serif"/>
                <w:b w:val="false"/>
                <w:color w:val="000000"/>
                <w:sz w:val="20"/>
              </w:rPr>
              <w:t>$</w:t>
            </w:r>
          </w:p>
        </w:tc>
        <w:tc>
          <w:tcPr>
            <w:tcW w:w="129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Expensify Neue;sans-serif" w:hAnsi="Expensify Neue;sans-serif"/>
                <w:b w:val="false"/>
                <w:color w:val="000000"/>
                <w:sz w:val="20"/>
              </w:rPr>
            </w:pPr>
            <w:r>
              <w:rPr>
                <w:rFonts w:ascii="Expensify Neue;sans-serif" w:hAnsi="Expensify Neue;sans-serif"/>
                <w:b w:val="false"/>
                <w:color w:val="000000"/>
                <w:sz w:val="20"/>
              </w:rPr>
              <w:t>(0.04)</w:t>
            </w:r>
          </w:p>
        </w:tc>
        <w:tc>
          <w:tcPr>
            <w:tcW w:w="522" w:type="dxa"/>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528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Expensify Neue;sans-serif" w:hAnsi="Expensify Neue;sans-serif"/>
                <w:b w:val="false"/>
                <w:color w:val="000000"/>
                <w:sz w:val="20"/>
              </w:rPr>
            </w:pPr>
            <w:r>
              <w:rPr>
                <w:rFonts w:ascii="Expensify Neue;sans-serif" w:hAnsi="Expensify Neue;sans-serif"/>
                <w:b w:val="false"/>
                <w:color w:val="000000"/>
                <w:sz w:val="20"/>
              </w:rPr>
              <w:t>Weighted average shares of common stock used to compute net loss per share:</w:t>
            </w:r>
          </w:p>
        </w:tc>
        <w:tc>
          <w:tcPr>
            <w:tcW w:w="216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4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8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Expensify Neue;sans-serif" w:hAnsi="Expensify Neue;sans-serif"/>
                <w:b w:val="false"/>
                <w:color w:val="000000"/>
                <w:sz w:val="20"/>
              </w:rPr>
            </w:pPr>
            <w:r>
              <w:rPr>
                <w:rFonts w:ascii="Expensify Neue;sans-serif" w:hAnsi="Expensify Neue;sans-serif"/>
                <w:b w:val="false"/>
                <w:color w:val="000000"/>
                <w:sz w:val="20"/>
              </w:rPr>
              <w:t>Basic and diluted</w:t>
            </w:r>
          </w:p>
        </w:tc>
        <w:tc>
          <w:tcPr>
            <w:tcW w:w="17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Expensify Neue;sans-serif" w:hAnsi="Expensify Neue;sans-serif"/>
                <w:b w:val="false"/>
                <w:color w:val="000000"/>
                <w:sz w:val="20"/>
              </w:rPr>
            </w:pPr>
            <w:r>
              <w:rPr>
                <w:rFonts w:ascii="Expensify Neue;sans-serif" w:hAnsi="Expensify Neue;sans-serif"/>
                <w:b w:val="false"/>
                <w:color w:val="000000"/>
                <w:sz w:val="20"/>
              </w:rPr>
              <w:t>91,501,083 </w:t>
            </w:r>
          </w:p>
        </w:tc>
        <w:tc>
          <w:tcPr>
            <w:tcW w:w="44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Expensify Neue;sans-serif" w:hAnsi="Expensify Neue;sans-serif"/>
                <w:b w:val="false"/>
                <w:color w:val="000000"/>
                <w:sz w:val="20"/>
              </w:rPr>
            </w:pPr>
            <w:r>
              <w:rPr>
                <w:rFonts w:ascii="Expensify Neue;sans-serif" w:hAnsi="Expensify Neue;sans-serif"/>
                <w:b w:val="false"/>
                <w:color w:val="000000"/>
                <w:sz w:val="20"/>
              </w:rPr>
              <w:t>85,141,411 </w:t>
            </w:r>
          </w:p>
        </w:tc>
        <w:tc>
          <w:tcPr>
            <w:tcW w:w="52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8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Expensify Neue;sans-serif" w:hAnsi="Expensify Neue;sans-serif"/>
                <w:b w:val="false"/>
                <w:color w:val="000000"/>
                <w:sz w:val="20"/>
              </w:rPr>
            </w:pPr>
            <w:r>
              <w:rPr>
                <w:rFonts w:ascii="Expensify Neue;sans-serif" w:hAnsi="Expensify Neue;sans-serif"/>
                <w:b w:val="false"/>
                <w:color w:val="000000"/>
                <w:sz w:val="20"/>
              </w:rPr>
              <w:t>Net loss margin</w:t>
            </w:r>
          </w:p>
        </w:tc>
        <w:tc>
          <w:tcPr>
            <w:tcW w:w="17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Expensify Neue;sans-serif" w:hAnsi="Expensify Neue;sans-serif"/>
                <w:b w:val="false"/>
                <w:color w:val="000000"/>
                <w:sz w:val="20"/>
              </w:rPr>
            </w:pPr>
            <w:r>
              <w:rPr>
                <w:rFonts w:ascii="Expensify Neue;sans-serif" w:hAnsi="Expensify Neue;sans-serif"/>
                <w:b w:val="false"/>
                <w:color w:val="000000"/>
                <w:sz w:val="20"/>
              </w:rPr>
              <w:t>(9)</w:t>
            </w:r>
          </w:p>
        </w:tc>
        <w:tc>
          <w:tcPr>
            <w:tcW w:w="44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Expensify Neue;sans-serif" w:hAnsi="Expensify Neue;sans-serif"/>
                <w:b w:val="false"/>
                <w:color w:val="000000"/>
                <w:sz w:val="20"/>
              </w:rPr>
            </w:pPr>
            <w:r>
              <w:rPr>
                <w:rFonts w:ascii="Expensify Neue;sans-serif" w:hAnsi="Expensify Neue;sans-serif"/>
                <w:b w:val="false"/>
                <w:color w:val="000000"/>
                <w:sz w:val="20"/>
              </w:rPr>
              <w:t>%</w:t>
            </w:r>
          </w:p>
        </w:tc>
        <w:tc>
          <w:tcPr>
            <w:tcW w:w="51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Expensify Neue;sans-serif" w:hAnsi="Expensify Neue;sans-serif"/>
                <w:b w:val="false"/>
                <w:color w:val="000000"/>
                <w:sz w:val="20"/>
              </w:rPr>
            </w:pPr>
            <w:r>
              <w:rPr>
                <w:rFonts w:ascii="Expensify Neue;sans-serif" w:hAnsi="Expensify Neue;sans-serif"/>
                <w:b w:val="false"/>
                <w:color w:val="000000"/>
                <w:sz w:val="20"/>
              </w:rPr>
              <w:t>(11)</w:t>
            </w:r>
          </w:p>
        </w:tc>
        <w:tc>
          <w:tcPr>
            <w:tcW w:w="52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Expensify Neue;sans-serif" w:hAnsi="Expensify Neue;sans-serif"/>
                <w:b w:val="false"/>
                <w:color w:val="000000"/>
                <w:sz w:val="20"/>
              </w:rPr>
            </w:pPr>
            <w:r>
              <w:rPr>
                <w:rFonts w:ascii="Expensify Neue;sans-serif" w:hAnsi="Expensify Neue;sans-serif"/>
                <w:b w:val="false"/>
                <w:color w:val="000000"/>
                <w:sz w:val="20"/>
              </w:rPr>
              <w:t>%</w:t>
            </w:r>
          </w:p>
        </w:tc>
      </w:tr>
      <w:tr>
        <w:trPr/>
        <w:tc>
          <w:tcPr>
            <w:tcW w:w="5283"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2168"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510"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2244"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160"/>
        <w:ind w:left="0" w:right="0" w:hanging="360"/>
        <w:jc w:val="left"/>
        <w:rPr>
          <w:rFonts w:ascii="Expensify Neue;sans-serif" w:hAnsi="Expensify Neue;sans-serif"/>
          <w:b w:val="false"/>
          <w:color w:val="000000"/>
          <w:sz w:val="15"/>
        </w:rPr>
      </w:pPr>
      <w:r>
        <w:rPr>
          <w:rFonts w:ascii="Expensify Neue;sans-serif" w:hAnsi="Expensify Neue;sans-serif"/>
          <w:b w:val="false"/>
          <w:color w:val="000000"/>
          <w:sz w:val="15"/>
        </w:rPr>
        <w:t>(1)Includes stock-based compensation expense as follows:</w:t>
      </w:r>
    </w:p>
    <w:tbl>
      <w:tblPr>
        <w:tblW w:w="6237" w:type="dxa"/>
        <w:jc w:val="left"/>
        <w:tblInd w:w="0" w:type="dxa"/>
        <w:tblLayout w:type="fixed"/>
        <w:tblCellMar>
          <w:top w:w="28" w:type="dxa"/>
          <w:left w:w="28" w:type="dxa"/>
          <w:bottom w:w="28" w:type="dxa"/>
          <w:right w:w="28" w:type="dxa"/>
        </w:tblCellMar>
      </w:tblPr>
      <w:tblGrid>
        <w:gridCol w:w="1145"/>
        <w:gridCol w:w="1008"/>
        <w:gridCol w:w="1012"/>
        <w:gridCol w:w="287"/>
        <w:gridCol w:w="816"/>
        <w:gridCol w:w="160"/>
        <w:gridCol w:w="160"/>
        <w:gridCol w:w="160"/>
        <w:gridCol w:w="160"/>
        <w:gridCol w:w="287"/>
        <w:gridCol w:w="816"/>
        <w:gridCol w:w="226"/>
      </w:tblGrid>
      <w:tr>
        <w:trPr/>
        <w:tc>
          <w:tcPr>
            <w:tcW w:w="1145" w:type="dxa"/>
            <w:tcBorders/>
            <w:vAlign w:val="center"/>
          </w:tcPr>
          <w:p>
            <w:pPr>
              <w:pStyle w:val="TableContents"/>
              <w:bidi w:val="0"/>
              <w:spacing w:before="0" w:after="283"/>
              <w:jc w:val="left"/>
              <w:rPr>
                <w:sz w:val="4"/>
                <w:szCs w:val="4"/>
              </w:rPr>
            </w:pPr>
            <w:r>
              <w:rPr>
                <w:sz w:val="4"/>
                <w:szCs w:val="4"/>
              </w:rPr>
            </w:r>
          </w:p>
        </w:tc>
        <w:tc>
          <w:tcPr>
            <w:tcW w:w="1008" w:type="dxa"/>
            <w:tcBorders/>
            <w:vAlign w:val="center"/>
          </w:tcPr>
          <w:p>
            <w:pPr>
              <w:pStyle w:val="TableContents"/>
              <w:bidi w:val="0"/>
              <w:spacing w:before="0" w:after="283"/>
              <w:jc w:val="left"/>
              <w:rPr>
                <w:sz w:val="4"/>
                <w:szCs w:val="4"/>
              </w:rPr>
            </w:pPr>
            <w:r>
              <w:rPr>
                <w:sz w:val="4"/>
                <w:szCs w:val="4"/>
              </w:rPr>
            </w:r>
          </w:p>
        </w:tc>
        <w:tc>
          <w:tcPr>
            <w:tcW w:w="1012" w:type="dxa"/>
            <w:tcBorders/>
            <w:vAlign w:val="center"/>
          </w:tcPr>
          <w:p>
            <w:pPr>
              <w:pStyle w:val="TableContents"/>
              <w:bidi w:val="0"/>
              <w:spacing w:before="0" w:after="283"/>
              <w:jc w:val="left"/>
              <w:rPr>
                <w:sz w:val="4"/>
                <w:szCs w:val="4"/>
              </w:rPr>
            </w:pPr>
            <w:r>
              <w:rPr>
                <w:sz w:val="4"/>
                <w:szCs w:val="4"/>
              </w:rPr>
            </w:r>
          </w:p>
        </w:tc>
        <w:tc>
          <w:tcPr>
            <w:tcW w:w="287" w:type="dxa"/>
            <w:tcBorders/>
            <w:vAlign w:val="center"/>
          </w:tcPr>
          <w:p>
            <w:pPr>
              <w:pStyle w:val="TableContents"/>
              <w:bidi w:val="0"/>
              <w:spacing w:before="0" w:after="283"/>
              <w:jc w:val="left"/>
              <w:rPr>
                <w:sz w:val="4"/>
                <w:szCs w:val="4"/>
              </w:rPr>
            </w:pPr>
            <w:r>
              <w:rPr>
                <w:sz w:val="4"/>
                <w:szCs w:val="4"/>
              </w:rPr>
            </w:r>
          </w:p>
        </w:tc>
        <w:tc>
          <w:tcPr>
            <w:tcW w:w="816"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c>
          <w:tcPr>
            <w:tcW w:w="287" w:type="dxa"/>
            <w:tcBorders/>
            <w:vAlign w:val="center"/>
          </w:tcPr>
          <w:p>
            <w:pPr>
              <w:pStyle w:val="TableContents"/>
              <w:bidi w:val="0"/>
              <w:spacing w:before="0" w:after="283"/>
              <w:jc w:val="left"/>
              <w:rPr>
                <w:sz w:val="4"/>
                <w:szCs w:val="4"/>
              </w:rPr>
            </w:pPr>
            <w:r>
              <w:rPr>
                <w:sz w:val="4"/>
                <w:szCs w:val="4"/>
              </w:rPr>
            </w:r>
          </w:p>
        </w:tc>
        <w:tc>
          <w:tcPr>
            <w:tcW w:w="816"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r>
      <w:tr>
        <w:trPr/>
        <w:tc>
          <w:tcPr>
            <w:tcW w:w="3165" w:type="dxa"/>
            <w:gridSpan w:val="3"/>
            <w:tcBorders>
              <w:top w:val="single" w:sz="12"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72" w:type="dxa"/>
            <w:gridSpan w:val="9"/>
            <w:tcBorders>
              <w:top w:val="single" w:sz="12"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Expensify Neue;sans-serif" w:hAnsi="Expensify Neue;sans-serif"/>
                <w:b/>
                <w:color w:val="000000"/>
                <w:sz w:val="16"/>
              </w:rPr>
            </w:pPr>
            <w:r>
              <w:rPr>
                <w:rFonts w:ascii="Expensify Neue;sans-serif" w:hAnsi="Expensify Neue;sans-serif"/>
                <w:b/>
                <w:color w:val="000000"/>
                <w:sz w:val="16"/>
              </w:rPr>
              <w:t>Three Months Ended March 31,</w:t>
            </w:r>
          </w:p>
        </w:tc>
      </w:tr>
      <w:tr>
        <w:trPr/>
        <w:tc>
          <w:tcPr>
            <w:tcW w:w="31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Expensify Neue;sans-serif" w:hAnsi="Expensify Neue;sans-serif"/>
                <w:b/>
                <w:color w:val="000000"/>
                <w:sz w:val="16"/>
              </w:rPr>
            </w:pPr>
            <w:r>
              <w:rPr>
                <w:rFonts w:ascii="Expensify Neue;sans-serif" w:hAnsi="Expensify Neue;sans-serif"/>
                <w:b/>
                <w:color w:val="000000"/>
                <w:sz w:val="16"/>
              </w:rPr>
              <w:t>2025</w:t>
            </w:r>
          </w:p>
        </w:tc>
        <w:tc>
          <w:tcPr>
            <w:tcW w:w="48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9"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Expensify Neue;sans-serif" w:hAnsi="Expensify Neue;sans-serif"/>
                <w:b/>
                <w:color w:val="000000"/>
                <w:sz w:val="16"/>
              </w:rPr>
            </w:pPr>
            <w:r>
              <w:rPr>
                <w:rFonts w:ascii="Expensify Neue;sans-serif" w:hAnsi="Expensify Neue;sans-serif"/>
                <w:b/>
                <w:color w:val="000000"/>
                <w:sz w:val="16"/>
              </w:rPr>
              <w:t>2024</w:t>
            </w:r>
          </w:p>
        </w:tc>
      </w:tr>
      <w:tr>
        <w:trPr/>
        <w:tc>
          <w:tcPr>
            <w:tcW w:w="31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72"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Expensify Neue;sans-serif" w:hAnsi="Expensify Neue;sans-serif"/>
                <w:b/>
                <w:color w:val="000000"/>
                <w:sz w:val="16"/>
              </w:rPr>
            </w:pPr>
            <w:r>
              <w:rPr>
                <w:rFonts w:ascii="Expensify Neue;sans-serif" w:hAnsi="Expensify Neue;sans-serif"/>
                <w:b/>
                <w:color w:val="000000"/>
                <w:sz w:val="16"/>
              </w:rPr>
              <w:t>(in thousands)</w:t>
            </w:r>
          </w:p>
        </w:tc>
      </w:tr>
      <w:tr>
        <w:trPr/>
        <w:tc>
          <w:tcPr>
            <w:tcW w:w="316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Expensify Neue;sans-serif" w:hAnsi="Expensify Neue;sans-serif"/>
                <w:b w:val="false"/>
                <w:color w:val="000000"/>
                <w:sz w:val="15"/>
              </w:rPr>
            </w:pPr>
            <w:r>
              <w:rPr>
                <w:rFonts w:ascii="Expensify Neue;sans-serif" w:hAnsi="Expensify Neue;sans-serif"/>
                <w:b w:val="false"/>
                <w:color w:val="000000"/>
                <w:sz w:val="15"/>
              </w:rPr>
              <w:t>Cost of revenue, net</w:t>
            </w:r>
          </w:p>
        </w:tc>
        <w:tc>
          <w:tcPr>
            <w:tcW w:w="287"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Expensify Neue;sans-serif" w:hAnsi="Expensify Neue;sans-serif"/>
                <w:b w:val="false"/>
                <w:color w:val="000000"/>
                <w:sz w:val="14"/>
              </w:rPr>
            </w:pPr>
            <w:r>
              <w:rPr>
                <w:rFonts w:ascii="Expensify Neue;sans-serif" w:hAnsi="Expensify Neue;sans-serif"/>
                <w:b w:val="false"/>
                <w:color w:val="000000"/>
                <w:sz w:val="14"/>
              </w:rPr>
              <w:t>$</w:t>
            </w:r>
          </w:p>
        </w:tc>
        <w:tc>
          <w:tcPr>
            <w:tcW w:w="8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Expensify Neue;sans-serif" w:hAnsi="Expensify Neue;sans-serif"/>
                <w:b w:val="false"/>
                <w:color w:val="000000"/>
                <w:sz w:val="14"/>
              </w:rPr>
            </w:pPr>
            <w:r>
              <w:rPr>
                <w:rFonts w:ascii="Expensify Neue;sans-serif" w:hAnsi="Expensify Neue;sans-serif"/>
                <w:b w:val="false"/>
                <w:color w:val="000000"/>
                <w:sz w:val="14"/>
              </w:rPr>
              <w:t>3,039 </w:t>
            </w:r>
          </w:p>
        </w:tc>
        <w:tc>
          <w:tcPr>
            <w:tcW w:w="16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7"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Expensify Neue;sans-serif" w:hAnsi="Expensify Neue;sans-serif"/>
                <w:b w:val="false"/>
                <w:color w:val="000000"/>
                <w:sz w:val="14"/>
              </w:rPr>
            </w:pPr>
            <w:r>
              <w:rPr>
                <w:rFonts w:ascii="Expensify Neue;sans-serif" w:hAnsi="Expensify Neue;sans-serif"/>
                <w:b w:val="false"/>
                <w:color w:val="000000"/>
                <w:sz w:val="14"/>
              </w:rPr>
              <w:t>$</w:t>
            </w:r>
          </w:p>
        </w:tc>
        <w:tc>
          <w:tcPr>
            <w:tcW w:w="8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Expensify Neue;sans-serif" w:hAnsi="Expensify Neue;sans-serif"/>
                <w:b w:val="false"/>
                <w:color w:val="000000"/>
                <w:sz w:val="14"/>
              </w:rPr>
            </w:pPr>
            <w:r>
              <w:rPr>
                <w:rFonts w:ascii="Expensify Neue;sans-serif" w:hAnsi="Expensify Neue;sans-serif"/>
                <w:b w:val="false"/>
                <w:color w:val="000000"/>
                <w:sz w:val="14"/>
              </w:rPr>
              <w:t>2,932 </w:t>
            </w:r>
          </w:p>
        </w:tc>
        <w:tc>
          <w:tcPr>
            <w:tcW w:w="2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6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Expensify Neue;sans-serif" w:hAnsi="Expensify Neue;sans-serif"/>
                <w:b w:val="false"/>
                <w:color w:val="000000"/>
                <w:sz w:val="15"/>
              </w:rPr>
            </w:pPr>
            <w:r>
              <w:rPr>
                <w:rFonts w:ascii="Expensify Neue;sans-serif" w:hAnsi="Expensify Neue;sans-serif"/>
                <w:b w:val="false"/>
                <w:color w:val="000000"/>
                <w:sz w:val="15"/>
              </w:rPr>
              <w:t>Research and development</w:t>
            </w:r>
          </w:p>
        </w:tc>
        <w:tc>
          <w:tcPr>
            <w:tcW w:w="110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Expensify Neue;sans-serif" w:hAnsi="Expensify Neue;sans-serif"/>
                <w:b w:val="false"/>
                <w:color w:val="000000"/>
                <w:sz w:val="14"/>
              </w:rPr>
            </w:pPr>
            <w:r>
              <w:rPr>
                <w:rFonts w:ascii="Expensify Neue;sans-serif" w:hAnsi="Expensify Neue;sans-serif"/>
                <w:b w:val="false"/>
                <w:color w:val="000000"/>
                <w:sz w:val="14"/>
              </w:rPr>
              <w:t>2,402 </w:t>
            </w:r>
          </w:p>
        </w:tc>
        <w:tc>
          <w:tcPr>
            <w:tcW w:w="16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Expensify Neue;sans-serif" w:hAnsi="Expensify Neue;sans-serif"/>
                <w:b w:val="false"/>
                <w:color w:val="000000"/>
                <w:sz w:val="14"/>
              </w:rPr>
            </w:pPr>
            <w:r>
              <w:rPr>
                <w:rFonts w:ascii="Expensify Neue;sans-serif" w:hAnsi="Expensify Neue;sans-serif"/>
                <w:b w:val="false"/>
                <w:color w:val="000000"/>
                <w:sz w:val="14"/>
              </w:rPr>
              <w:t>2,749 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6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Expensify Neue;sans-serif" w:hAnsi="Expensify Neue;sans-serif"/>
                <w:b w:val="false"/>
                <w:color w:val="000000"/>
                <w:sz w:val="15"/>
              </w:rPr>
            </w:pPr>
            <w:r>
              <w:rPr>
                <w:rFonts w:ascii="Expensify Neue;sans-serif" w:hAnsi="Expensify Neue;sans-serif"/>
                <w:b w:val="false"/>
                <w:color w:val="000000"/>
                <w:sz w:val="15"/>
              </w:rPr>
              <w:t>General and administrative</w:t>
            </w:r>
          </w:p>
        </w:tc>
        <w:tc>
          <w:tcPr>
            <w:tcW w:w="110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Expensify Neue;sans-serif" w:hAnsi="Expensify Neue;sans-serif"/>
                <w:b w:val="false"/>
                <w:color w:val="000000"/>
                <w:sz w:val="14"/>
              </w:rPr>
            </w:pPr>
            <w:r>
              <w:rPr>
                <w:rFonts w:ascii="Expensify Neue;sans-serif" w:hAnsi="Expensify Neue;sans-serif"/>
                <w:b w:val="false"/>
                <w:color w:val="000000"/>
                <w:sz w:val="14"/>
              </w:rPr>
              <w:t>1,572 </w:t>
            </w:r>
          </w:p>
        </w:tc>
        <w:tc>
          <w:tcPr>
            <w:tcW w:w="16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Expensify Neue;sans-serif" w:hAnsi="Expensify Neue;sans-serif"/>
                <w:b w:val="false"/>
                <w:color w:val="000000"/>
                <w:sz w:val="14"/>
              </w:rPr>
            </w:pPr>
            <w:r>
              <w:rPr>
                <w:rFonts w:ascii="Expensify Neue;sans-serif" w:hAnsi="Expensify Neue;sans-serif"/>
                <w:b w:val="false"/>
                <w:color w:val="000000"/>
                <w:sz w:val="14"/>
              </w:rPr>
              <w:t>1,703 </w:t>
            </w:r>
          </w:p>
        </w:tc>
        <w:tc>
          <w:tcPr>
            <w:tcW w:w="2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6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Expensify Neue;sans-serif" w:hAnsi="Expensify Neue;sans-serif"/>
                <w:b w:val="false"/>
                <w:color w:val="000000"/>
                <w:sz w:val="15"/>
              </w:rPr>
            </w:pPr>
            <w:r>
              <w:rPr>
                <w:rFonts w:ascii="Expensify Neue;sans-serif" w:hAnsi="Expensify Neue;sans-serif"/>
                <w:b w:val="false"/>
                <w:color w:val="000000"/>
                <w:sz w:val="15"/>
              </w:rPr>
              <w:t>Sales and marketing</w:t>
            </w:r>
          </w:p>
        </w:tc>
        <w:tc>
          <w:tcPr>
            <w:tcW w:w="110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Expensify Neue;sans-serif" w:hAnsi="Expensify Neue;sans-serif"/>
                <w:b w:val="false"/>
                <w:color w:val="000000"/>
                <w:sz w:val="14"/>
              </w:rPr>
            </w:pPr>
            <w:r>
              <w:rPr>
                <w:rFonts w:ascii="Expensify Neue;sans-serif" w:hAnsi="Expensify Neue;sans-serif"/>
                <w:b w:val="false"/>
                <w:color w:val="000000"/>
                <w:sz w:val="14"/>
              </w:rPr>
              <w:t>977 </w:t>
            </w:r>
          </w:p>
        </w:tc>
        <w:tc>
          <w:tcPr>
            <w:tcW w:w="16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Expensify Neue;sans-serif" w:hAnsi="Expensify Neue;sans-serif"/>
                <w:b w:val="false"/>
                <w:color w:val="000000"/>
                <w:sz w:val="14"/>
              </w:rPr>
            </w:pPr>
            <w:r>
              <w:rPr>
                <w:rFonts w:ascii="Expensify Neue;sans-serif" w:hAnsi="Expensify Neue;sans-serif"/>
                <w:b w:val="false"/>
                <w:color w:val="000000"/>
                <w:sz w:val="14"/>
              </w:rPr>
              <w:t>140 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6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Expensify Neue;sans-serif" w:hAnsi="Expensify Neue;sans-serif"/>
                <w:b w:val="false"/>
                <w:color w:val="000000"/>
                <w:sz w:val="15"/>
              </w:rPr>
            </w:pPr>
            <w:r>
              <w:rPr>
                <w:rFonts w:ascii="Expensify Neue;sans-serif" w:hAnsi="Expensify Neue;sans-serif"/>
                <w:b w:val="false"/>
                <w:color w:val="000000"/>
                <w:sz w:val="15"/>
              </w:rPr>
              <w:t>Total stock-based compensation expense</w:t>
            </w:r>
          </w:p>
        </w:tc>
        <w:tc>
          <w:tcPr>
            <w:tcW w:w="28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Expensify Neue;sans-serif" w:hAnsi="Expensify Neue;sans-serif"/>
                <w:b w:val="false"/>
                <w:color w:val="000000"/>
                <w:sz w:val="14"/>
              </w:rPr>
            </w:pPr>
            <w:r>
              <w:rPr>
                <w:rFonts w:ascii="Expensify Neue;sans-serif" w:hAnsi="Expensify Neue;sans-serif"/>
                <w:b w:val="false"/>
                <w:color w:val="000000"/>
                <w:sz w:val="14"/>
              </w:rPr>
              <w:t>$</w:t>
            </w:r>
          </w:p>
        </w:tc>
        <w:tc>
          <w:tcPr>
            <w:tcW w:w="8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Expensify Neue;sans-serif" w:hAnsi="Expensify Neue;sans-serif"/>
                <w:b w:val="false"/>
                <w:color w:val="000000"/>
                <w:sz w:val="14"/>
              </w:rPr>
            </w:pPr>
            <w:r>
              <w:rPr>
                <w:rFonts w:ascii="Expensify Neue;sans-serif" w:hAnsi="Expensify Neue;sans-serif"/>
                <w:b w:val="false"/>
                <w:color w:val="000000"/>
                <w:sz w:val="14"/>
              </w:rPr>
              <w:t>7,990 </w:t>
            </w:r>
          </w:p>
        </w:tc>
        <w:tc>
          <w:tcPr>
            <w:tcW w:w="16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Expensify Neue;sans-serif" w:hAnsi="Expensify Neue;sans-serif"/>
                <w:b w:val="false"/>
                <w:color w:val="000000"/>
                <w:sz w:val="14"/>
              </w:rPr>
            </w:pPr>
            <w:r>
              <w:rPr>
                <w:rFonts w:ascii="Expensify Neue;sans-serif" w:hAnsi="Expensify Neue;sans-serif"/>
                <w:b w:val="false"/>
                <w:color w:val="000000"/>
                <w:sz w:val="14"/>
              </w:rPr>
              <w:t>$</w:t>
            </w:r>
          </w:p>
        </w:tc>
        <w:tc>
          <w:tcPr>
            <w:tcW w:w="8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Expensify Neue;sans-serif" w:hAnsi="Expensify Neue;sans-serif"/>
                <w:b w:val="false"/>
                <w:color w:val="000000"/>
                <w:sz w:val="14"/>
              </w:rPr>
            </w:pPr>
            <w:r>
              <w:rPr>
                <w:rFonts w:ascii="Expensify Neue;sans-serif" w:hAnsi="Expensify Neue;sans-serif"/>
                <w:b w:val="false"/>
                <w:color w:val="000000"/>
                <w:sz w:val="14"/>
              </w:rPr>
              <w:t>7,524 </w:t>
            </w:r>
          </w:p>
        </w:tc>
        <w:tc>
          <w:tcPr>
            <w:tcW w:w="22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65" w:type="dxa"/>
            <w:gridSpan w:val="3"/>
            <w:tcBorders>
              <w:bottom w:val="single" w:sz="8" w:space="0" w:color="000000"/>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263" w:type="dxa"/>
            <w:gridSpan w:val="3"/>
            <w:tcBorders>
              <w:top w:val="double" w:sz="8" w:space="0" w:color="000000"/>
              <w:bottom w:val="single" w:sz="8" w:space="0" w:color="000000"/>
            </w:tcBorders>
            <w:shd w:fill="FFFFFF" w:val="clear"/>
            <w:tcMar>
              <w:left w:w="0" w:type="dxa"/>
              <w:right w:w="0" w:type="dxa"/>
            </w:tcMar>
            <w:vAlign w:val="center"/>
          </w:tcPr>
          <w:p>
            <w:pPr>
              <w:pStyle w:val="TableContents"/>
              <w:bidi w:val="0"/>
              <w:spacing w:before="0" w:after="283"/>
              <w:jc w:val="left"/>
              <w:rPr>
                <w:sz w:val="4"/>
                <w:szCs w:val="4"/>
              </w:rPr>
            </w:pPr>
            <w:r>
              <w:rPr>
                <w:sz w:val="4"/>
                <w:szCs w:val="4"/>
              </w:rPr>
            </w:r>
          </w:p>
        </w:tc>
        <w:tc>
          <w:tcPr>
            <w:tcW w:w="480" w:type="dxa"/>
            <w:gridSpan w:val="3"/>
            <w:tcBorders>
              <w:bottom w:val="single" w:sz="8" w:space="0" w:color="000000"/>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329" w:type="dxa"/>
            <w:gridSpan w:val="3"/>
            <w:tcBorders>
              <w:top w:val="double" w:sz="8" w:space="0" w:color="000000"/>
              <w:bottom w:val="single" w:sz="8" w:space="0" w:color="000000"/>
            </w:tcBorders>
            <w:shd w:fill="FFFFFF" w:val="clear"/>
            <w:tcMar>
              <w:left w:w="0" w:type="dxa"/>
              <w:right w:w="0" w:type="dxa"/>
            </w:tcMar>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2">
                <wp:simplePos x="0" y="0"/>
                <wp:positionH relativeFrom="character">
                  <wp:align>left</wp:align>
                </wp:positionH>
                <wp:positionV relativeFrom="line">
                  <wp:posOffset>635</wp:posOffset>
                </wp:positionV>
                <wp:extent cx="6480175" cy="599440"/>
                <wp:effectExtent l="0" t="0" r="0" b="0"/>
                <wp:wrapNone/>
                <wp:docPr id="31" name="Frame30"/>
                <a:graphic xmlns:a="http://schemas.openxmlformats.org/drawingml/2006/main">
                  <a:graphicData uri="http://schemas.microsoft.com/office/word/2010/wordprocessingShape">
                    <wps:wsp>
                      <wps:cNvSpPr txBox="1"/>
                      <wps:spPr>
                        <a:xfrm>
                          <a:off x="0" y="0"/>
                          <a:ext cx="6480175" cy="599440"/>
                        </a:xfrm>
                        <a:prstGeom prst="rect"/>
                        <a:solidFill>
                          <a:srgbClr val="FFFFFF"/>
                        </a:solidFill>
                      </wps:spPr>
                      <wps:txbx>
                        <w:txbxContent>
                          <w:tbl>
                            <w:tblPr>
                              <w:tblW w:w="406" w:type="dxa"/>
                              <w:jc w:val="center"/>
                              <w:tblInd w:w="0" w:type="dxa"/>
                              <w:tblLayout w:type="fixed"/>
                              <w:tblCellMar>
                                <w:top w:w="28" w:type="dxa"/>
                                <w:left w:w="28" w:type="dxa"/>
                                <w:bottom w:w="28" w:type="dxa"/>
                                <w:right w:w="28" w:type="dxa"/>
                              </w:tblCellMar>
                            </w:tblPr>
                            <w:tblGrid>
                              <w:gridCol w:w="130"/>
                              <w:gridCol w:w="114"/>
                              <w:gridCol w:w="162"/>
                            </w:tblGrid>
                            <w:tr>
                              <w:trPr/>
                              <w:tc>
                                <w:tcPr>
                                  <w:tcW w:w="130"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rPr/>
                              <w:tc>
                                <w:tcPr>
                                  <w:tcW w:w="406"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0"/>
                                    <w:jc w:val="center"/>
                                    <w:rPr>
                                      <w:rFonts w:ascii="Expensify Neue;sans-serif" w:hAnsi="Expensify Neue;sans-serif"/>
                                      <w:b w:val="false"/>
                                      <w:color w:val="000000"/>
                                      <w:sz w:val="20"/>
                                    </w:rPr>
                                  </w:pPr>
                                  <w:r>
                                    <w:rPr>
                                      <w:rFonts w:ascii="Expensify Neue;sans-serif" w:hAnsi="Expensify Neue;sans-serif"/>
                                      <w:b w:val="false"/>
                                      <w:color w:val="000000"/>
                                      <w:sz w:val="20"/>
                                    </w:rPr>
                                    <w:t>25</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7.2pt;mso-wrap-distance-left:0pt;mso-wrap-distance-right:0pt;mso-wrap-distance-top:0pt;mso-wrap-distance-bottom:0pt;margin-top:0pt;mso-position-vertical:top;mso-position-vertical-relative:text;margin-left:0pt;mso-position-horizontal:left;mso-position-horizontal-relative:text">
                <v:textbox>
                  <w:txbxContent>
                    <w:tbl>
                      <w:tblPr>
                        <w:tblW w:w="406" w:type="dxa"/>
                        <w:jc w:val="center"/>
                        <w:tblInd w:w="0" w:type="dxa"/>
                        <w:tblLayout w:type="fixed"/>
                        <w:tblCellMar>
                          <w:top w:w="28" w:type="dxa"/>
                          <w:left w:w="28" w:type="dxa"/>
                          <w:bottom w:w="28" w:type="dxa"/>
                          <w:right w:w="28" w:type="dxa"/>
                        </w:tblCellMar>
                      </w:tblPr>
                      <w:tblGrid>
                        <w:gridCol w:w="130"/>
                        <w:gridCol w:w="114"/>
                        <w:gridCol w:w="162"/>
                      </w:tblGrid>
                      <w:tr>
                        <w:trPr/>
                        <w:tc>
                          <w:tcPr>
                            <w:tcW w:w="130"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rPr/>
                        <w:tc>
                          <w:tcPr>
                            <w:tcW w:w="406"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0"/>
                              <w:jc w:val="center"/>
                              <w:rPr>
                                <w:rFonts w:ascii="Expensify Neue;sans-serif" w:hAnsi="Expensify Neue;sans-serif"/>
                                <w:b w:val="false"/>
                                <w:color w:val="000000"/>
                                <w:sz w:val="20"/>
                              </w:rPr>
                            </w:pPr>
                            <w:r>
                              <w:rPr>
                                <w:rFonts w:ascii="Expensify Neue;sans-serif" w:hAnsi="Expensify Neue;sans-serif"/>
                                <w:b w:val="false"/>
                                <w:color w:val="000000"/>
                                <w:sz w:val="20"/>
                              </w:rPr>
                              <w:t>25</w:t>
                            </w:r>
                          </w:p>
                        </w:tc>
                      </w:tr>
                    </w:tbl>
                    <w:p>
                      <w:pPr>
                        <w:pStyle w:val="TextBody"/>
                        <w:bidi w:val="0"/>
                        <w:spacing w:before="0" w:after="283"/>
                        <w:jc w:val="left"/>
                        <w:rPr/>
                      </w:pPr>
                      <w:r>
                        <w:rPr/>
                      </w:r>
                    </w:p>
                  </w:txbxContent>
                </v:textbox>
                <w10:wrap type="none"/>
              </v:rect>
            </w:pict>
          </mc:Fallback>
        </mc:AlternateContent>
      </w:r>
    </w:p>
    <w:p>
      <w:pPr>
        <w:pStyle w:val="TextBody"/>
        <w:bidi w:val="0"/>
        <w:spacing w:lineRule="auto" w:line="288" w:before="0" w:after="160"/>
        <w:jc w:val="left"/>
        <w:rPr/>
      </w:pPr>
      <w:hyperlink w:anchor="i52a648c4f0e449f7bc3c2044827c8f0d_7">
        <w:r>
          <w:rPr>
            <w:rStyle w:val="InternetLink"/>
            <w:rFonts w:ascii="Expensify Neue;sans-serif" w:hAnsi="Expensify Neue;sans-serif"/>
            <w:b/>
            <w:color w:val="0000FF"/>
            <w:sz w:val="20"/>
            <w:u w:val="single"/>
          </w:rPr>
          <w:t>Table of Contents</w:t>
        </w:r>
      </w:hyperlink>
    </w:p>
    <w:p>
      <w:pPr>
        <w:pStyle w:val="TextBody"/>
        <w:bidi w:val="0"/>
        <w:spacing w:lineRule="auto" w:line="288" w:before="0" w:after="160"/>
        <w:jc w:val="left"/>
        <w:rPr>
          <w:rFonts w:ascii="Expensify Neue;sans-serif" w:hAnsi="Expensify Neue;sans-serif"/>
          <w:b/>
          <w:color w:val="03D47C"/>
          <w:sz w:val="20"/>
        </w:rPr>
      </w:pPr>
      <w:r>
        <w:rPr>
          <w:rFonts w:ascii="Expensify Neue;sans-serif" w:hAnsi="Expensify Neue;sans-serif"/>
          <w:b/>
          <w:color w:val="03D47C"/>
          <w:sz w:val="20"/>
        </w:rPr>
        <w:t>COMPARISON OF THE THREE MONTHS ENDED MARCH 31, 2025 AND 2024</w:t>
      </w:r>
    </w:p>
    <w:p>
      <w:pPr>
        <w:pStyle w:val="TextBody"/>
        <w:bidi w:val="0"/>
        <w:spacing w:lineRule="auto" w:line="288" w:before="0" w:after="160"/>
        <w:jc w:val="left"/>
        <w:rPr>
          <w:rFonts w:ascii="Expensify Neue;sans-serif" w:hAnsi="Expensify Neue;sans-serif"/>
          <w:b/>
          <w:i/>
          <w:color w:val="000000"/>
          <w:sz w:val="20"/>
        </w:rPr>
      </w:pPr>
      <w:r>
        <w:rPr>
          <w:rFonts w:ascii="Expensify Neue;sans-serif" w:hAnsi="Expensify Neue;sans-serif"/>
          <w:b/>
          <w:i/>
          <w:color w:val="000000"/>
          <w:sz w:val="20"/>
        </w:rPr>
        <w:t>Revenue</w:t>
      </w:r>
    </w:p>
    <w:tbl>
      <w:tblPr>
        <w:tblW w:w="6314" w:type="dxa"/>
        <w:jc w:val="left"/>
        <w:tblInd w:w="0" w:type="dxa"/>
        <w:tblLayout w:type="fixed"/>
        <w:tblCellMar>
          <w:top w:w="28" w:type="dxa"/>
          <w:left w:w="28" w:type="dxa"/>
          <w:bottom w:w="28" w:type="dxa"/>
          <w:right w:w="28" w:type="dxa"/>
        </w:tblCellMar>
      </w:tblPr>
      <w:tblGrid>
        <w:gridCol w:w="353"/>
        <w:gridCol w:w="311"/>
        <w:gridCol w:w="312"/>
        <w:gridCol w:w="258"/>
        <w:gridCol w:w="945"/>
        <w:gridCol w:w="124"/>
        <w:gridCol w:w="124"/>
        <w:gridCol w:w="124"/>
        <w:gridCol w:w="124"/>
        <w:gridCol w:w="258"/>
        <w:gridCol w:w="945"/>
        <w:gridCol w:w="124"/>
        <w:gridCol w:w="109"/>
        <w:gridCol w:w="109"/>
        <w:gridCol w:w="109"/>
        <w:gridCol w:w="226"/>
        <w:gridCol w:w="706"/>
        <w:gridCol w:w="109"/>
        <w:gridCol w:w="109"/>
        <w:gridCol w:w="109"/>
        <w:gridCol w:w="109"/>
        <w:gridCol w:w="143"/>
        <w:gridCol w:w="143"/>
        <w:gridCol w:w="331"/>
      </w:tblGrid>
      <w:tr>
        <w:trPr/>
        <w:tc>
          <w:tcPr>
            <w:tcW w:w="353" w:type="dxa"/>
            <w:tcBorders/>
            <w:vAlign w:val="center"/>
          </w:tcPr>
          <w:p>
            <w:pPr>
              <w:pStyle w:val="TableContents"/>
              <w:bidi w:val="0"/>
              <w:spacing w:before="0" w:after="283"/>
              <w:jc w:val="left"/>
              <w:rPr>
                <w:sz w:val="4"/>
                <w:szCs w:val="4"/>
              </w:rPr>
            </w:pPr>
            <w:r>
              <w:rPr>
                <w:sz w:val="4"/>
                <w:szCs w:val="4"/>
              </w:rPr>
            </w:r>
          </w:p>
        </w:tc>
        <w:tc>
          <w:tcPr>
            <w:tcW w:w="311" w:type="dxa"/>
            <w:tcBorders/>
            <w:vAlign w:val="center"/>
          </w:tcPr>
          <w:p>
            <w:pPr>
              <w:pStyle w:val="TableContents"/>
              <w:bidi w:val="0"/>
              <w:spacing w:before="0" w:after="283"/>
              <w:jc w:val="left"/>
              <w:rPr>
                <w:sz w:val="4"/>
                <w:szCs w:val="4"/>
              </w:rPr>
            </w:pPr>
            <w:r>
              <w:rPr>
                <w:sz w:val="4"/>
                <w:szCs w:val="4"/>
              </w:rPr>
            </w:r>
          </w:p>
        </w:tc>
        <w:tc>
          <w:tcPr>
            <w:tcW w:w="312" w:type="dxa"/>
            <w:tcBorders/>
            <w:vAlign w:val="center"/>
          </w:tcPr>
          <w:p>
            <w:pPr>
              <w:pStyle w:val="TableContents"/>
              <w:bidi w:val="0"/>
              <w:spacing w:before="0" w:after="283"/>
              <w:jc w:val="left"/>
              <w:rPr>
                <w:sz w:val="4"/>
                <w:szCs w:val="4"/>
              </w:rPr>
            </w:pPr>
            <w:r>
              <w:rPr>
                <w:sz w:val="4"/>
                <w:szCs w:val="4"/>
              </w:rPr>
            </w:r>
          </w:p>
        </w:tc>
        <w:tc>
          <w:tcPr>
            <w:tcW w:w="258" w:type="dxa"/>
            <w:tcBorders/>
            <w:vAlign w:val="center"/>
          </w:tcPr>
          <w:p>
            <w:pPr>
              <w:pStyle w:val="TableContents"/>
              <w:bidi w:val="0"/>
              <w:spacing w:before="0" w:after="283"/>
              <w:jc w:val="left"/>
              <w:rPr>
                <w:sz w:val="4"/>
                <w:szCs w:val="4"/>
              </w:rPr>
            </w:pPr>
            <w:r>
              <w:rPr>
                <w:sz w:val="4"/>
                <w:szCs w:val="4"/>
              </w:rPr>
            </w:r>
          </w:p>
        </w:tc>
        <w:tc>
          <w:tcPr>
            <w:tcW w:w="945" w:type="dxa"/>
            <w:tcBorders/>
            <w:vAlign w:val="center"/>
          </w:tcPr>
          <w:p>
            <w:pPr>
              <w:pStyle w:val="TableContents"/>
              <w:bidi w:val="0"/>
              <w:spacing w:before="0" w:after="283"/>
              <w:jc w:val="left"/>
              <w:rPr>
                <w:sz w:val="4"/>
                <w:szCs w:val="4"/>
              </w:rPr>
            </w:pPr>
            <w:r>
              <w:rPr>
                <w:sz w:val="4"/>
                <w:szCs w:val="4"/>
              </w:rPr>
            </w:r>
          </w:p>
        </w:tc>
        <w:tc>
          <w:tcPr>
            <w:tcW w:w="124" w:type="dxa"/>
            <w:tcBorders/>
            <w:vAlign w:val="center"/>
          </w:tcPr>
          <w:p>
            <w:pPr>
              <w:pStyle w:val="TableContents"/>
              <w:bidi w:val="0"/>
              <w:spacing w:before="0" w:after="283"/>
              <w:jc w:val="left"/>
              <w:rPr>
                <w:sz w:val="4"/>
                <w:szCs w:val="4"/>
              </w:rPr>
            </w:pPr>
            <w:r>
              <w:rPr>
                <w:sz w:val="4"/>
                <w:szCs w:val="4"/>
              </w:rPr>
            </w:r>
          </w:p>
        </w:tc>
        <w:tc>
          <w:tcPr>
            <w:tcW w:w="124" w:type="dxa"/>
            <w:tcBorders/>
            <w:vAlign w:val="center"/>
          </w:tcPr>
          <w:p>
            <w:pPr>
              <w:pStyle w:val="TableContents"/>
              <w:bidi w:val="0"/>
              <w:spacing w:before="0" w:after="283"/>
              <w:jc w:val="left"/>
              <w:rPr>
                <w:sz w:val="4"/>
                <w:szCs w:val="4"/>
              </w:rPr>
            </w:pPr>
            <w:r>
              <w:rPr>
                <w:sz w:val="4"/>
                <w:szCs w:val="4"/>
              </w:rPr>
            </w:r>
          </w:p>
        </w:tc>
        <w:tc>
          <w:tcPr>
            <w:tcW w:w="124" w:type="dxa"/>
            <w:tcBorders/>
            <w:vAlign w:val="center"/>
          </w:tcPr>
          <w:p>
            <w:pPr>
              <w:pStyle w:val="TableContents"/>
              <w:bidi w:val="0"/>
              <w:spacing w:before="0" w:after="283"/>
              <w:jc w:val="left"/>
              <w:rPr>
                <w:sz w:val="4"/>
                <w:szCs w:val="4"/>
              </w:rPr>
            </w:pPr>
            <w:r>
              <w:rPr>
                <w:sz w:val="4"/>
                <w:szCs w:val="4"/>
              </w:rPr>
            </w:r>
          </w:p>
        </w:tc>
        <w:tc>
          <w:tcPr>
            <w:tcW w:w="124" w:type="dxa"/>
            <w:tcBorders/>
            <w:vAlign w:val="center"/>
          </w:tcPr>
          <w:p>
            <w:pPr>
              <w:pStyle w:val="TableContents"/>
              <w:bidi w:val="0"/>
              <w:spacing w:before="0" w:after="283"/>
              <w:jc w:val="left"/>
              <w:rPr>
                <w:sz w:val="4"/>
                <w:szCs w:val="4"/>
              </w:rPr>
            </w:pPr>
            <w:r>
              <w:rPr>
                <w:sz w:val="4"/>
                <w:szCs w:val="4"/>
              </w:rPr>
            </w:r>
          </w:p>
        </w:tc>
        <w:tc>
          <w:tcPr>
            <w:tcW w:w="258" w:type="dxa"/>
            <w:tcBorders/>
            <w:vAlign w:val="center"/>
          </w:tcPr>
          <w:p>
            <w:pPr>
              <w:pStyle w:val="TableContents"/>
              <w:bidi w:val="0"/>
              <w:spacing w:before="0" w:after="283"/>
              <w:jc w:val="left"/>
              <w:rPr>
                <w:sz w:val="4"/>
                <w:szCs w:val="4"/>
              </w:rPr>
            </w:pPr>
            <w:r>
              <w:rPr>
                <w:sz w:val="4"/>
                <w:szCs w:val="4"/>
              </w:rPr>
            </w:r>
          </w:p>
        </w:tc>
        <w:tc>
          <w:tcPr>
            <w:tcW w:w="945" w:type="dxa"/>
            <w:tcBorders/>
            <w:vAlign w:val="center"/>
          </w:tcPr>
          <w:p>
            <w:pPr>
              <w:pStyle w:val="TableContents"/>
              <w:bidi w:val="0"/>
              <w:spacing w:before="0" w:after="283"/>
              <w:jc w:val="left"/>
              <w:rPr>
                <w:sz w:val="4"/>
                <w:szCs w:val="4"/>
              </w:rPr>
            </w:pPr>
            <w:r>
              <w:rPr>
                <w:sz w:val="4"/>
                <w:szCs w:val="4"/>
              </w:rPr>
            </w:r>
          </w:p>
        </w:tc>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70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43" w:type="dxa"/>
            <w:tcBorders/>
            <w:vAlign w:val="center"/>
          </w:tcPr>
          <w:p>
            <w:pPr>
              <w:pStyle w:val="TableContents"/>
              <w:bidi w:val="0"/>
              <w:spacing w:before="0" w:after="283"/>
              <w:jc w:val="left"/>
              <w:rPr>
                <w:sz w:val="4"/>
                <w:szCs w:val="4"/>
              </w:rPr>
            </w:pPr>
            <w:r>
              <w:rPr>
                <w:sz w:val="4"/>
                <w:szCs w:val="4"/>
              </w:rPr>
            </w:r>
          </w:p>
        </w:tc>
        <w:tc>
          <w:tcPr>
            <w:tcW w:w="143" w:type="dxa"/>
            <w:tcBorders/>
            <w:vAlign w:val="center"/>
          </w:tcPr>
          <w:p>
            <w:pPr>
              <w:pStyle w:val="TableContents"/>
              <w:bidi w:val="0"/>
              <w:spacing w:before="0" w:after="283"/>
              <w:jc w:val="left"/>
              <w:rPr>
                <w:sz w:val="4"/>
                <w:szCs w:val="4"/>
              </w:rPr>
            </w:pPr>
            <w:r>
              <w:rPr>
                <w:sz w:val="4"/>
                <w:szCs w:val="4"/>
              </w:rPr>
            </w:r>
          </w:p>
        </w:tc>
        <w:tc>
          <w:tcPr>
            <w:tcW w:w="331" w:type="dxa"/>
            <w:tcBorders/>
            <w:vAlign w:val="center"/>
          </w:tcPr>
          <w:p>
            <w:pPr>
              <w:pStyle w:val="TableContents"/>
              <w:bidi w:val="0"/>
              <w:spacing w:before="0" w:after="283"/>
              <w:jc w:val="left"/>
              <w:rPr>
                <w:sz w:val="4"/>
                <w:szCs w:val="4"/>
              </w:rPr>
            </w:pPr>
            <w:r>
              <w:rPr>
                <w:sz w:val="4"/>
                <w:szCs w:val="4"/>
              </w:rPr>
            </w:r>
          </w:p>
        </w:tc>
      </w:tr>
      <w:tr>
        <w:trPr/>
        <w:tc>
          <w:tcPr>
            <w:tcW w:w="976" w:type="dxa"/>
            <w:gridSpan w:val="3"/>
            <w:tcBorders>
              <w:top w:val="single" w:sz="1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26" w:type="dxa"/>
            <w:gridSpan w:val="9"/>
            <w:tcBorders>
              <w:top w:val="single" w:sz="16"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Expensify Neue;sans-serif" w:hAnsi="Expensify Neue;sans-serif"/>
                <w:b/>
                <w:color w:val="000000"/>
                <w:sz w:val="16"/>
              </w:rPr>
            </w:pPr>
            <w:r>
              <w:rPr>
                <w:rFonts w:ascii="Expensify Neue;sans-serif" w:hAnsi="Expensify Neue;sans-serif"/>
                <w:b/>
                <w:color w:val="000000"/>
                <w:sz w:val="16"/>
              </w:rPr>
              <w:t>Three Months Ended March 31,</w:t>
            </w:r>
          </w:p>
        </w:tc>
        <w:tc>
          <w:tcPr>
            <w:tcW w:w="327" w:type="dxa"/>
            <w:gridSpan w:val="3"/>
            <w:tcBorders>
              <w:top w:val="single" w:sz="1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85" w:type="dxa"/>
            <w:gridSpan w:val="9"/>
            <w:tcBorders>
              <w:top w:val="single" w:sz="16"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Expensify Neue;sans-serif" w:hAnsi="Expensify Neue;sans-serif"/>
                <w:b/>
                <w:color w:val="000000"/>
                <w:sz w:val="16"/>
              </w:rPr>
            </w:pPr>
            <w:r>
              <w:rPr>
                <w:rFonts w:ascii="Expensify Neue;sans-serif" w:hAnsi="Expensify Neue;sans-serif"/>
                <w:b/>
                <w:color w:val="000000"/>
                <w:sz w:val="16"/>
              </w:rPr>
              <w:t>Change</w:t>
            </w:r>
          </w:p>
        </w:tc>
      </w:tr>
      <w:tr>
        <w:trPr/>
        <w:tc>
          <w:tcPr>
            <w:tcW w:w="9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Expensify Neue;sans-serif" w:hAnsi="Expensify Neue;sans-serif"/>
                <w:b/>
                <w:color w:val="000000"/>
                <w:sz w:val="16"/>
              </w:rPr>
            </w:pPr>
            <w:r>
              <w:rPr>
                <w:rFonts w:ascii="Expensify Neue;sans-serif" w:hAnsi="Expensify Neue;sans-serif"/>
                <w:b/>
                <w:color w:val="000000"/>
                <w:sz w:val="16"/>
              </w:rPr>
              <w:t>2025</w:t>
            </w:r>
          </w:p>
        </w:tc>
        <w:tc>
          <w:tcPr>
            <w:tcW w:w="372"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7"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Expensify Neue;sans-serif" w:hAnsi="Expensify Neue;sans-serif"/>
                <w:b/>
                <w:color w:val="000000"/>
                <w:sz w:val="16"/>
              </w:rPr>
            </w:pPr>
            <w:r>
              <w:rPr>
                <w:rFonts w:ascii="Expensify Neue;sans-serif" w:hAnsi="Expensify Neue;sans-serif"/>
                <w:b/>
                <w:color w:val="000000"/>
                <w:sz w:val="16"/>
              </w:rPr>
              <w:t>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Expensify Neue;sans-serif" w:hAnsi="Expensify Neue;sans-serif"/>
                <w:b/>
                <w:color w:val="000000"/>
                <w:sz w:val="16"/>
              </w:rPr>
            </w:pPr>
            <w:r>
              <w:rPr>
                <w:rFonts w:ascii="Expensify Neue;sans-serif" w:hAnsi="Expensify Neue;sans-serif"/>
                <w:b/>
                <w:color w:val="000000"/>
                <w:sz w:val="16"/>
              </w:rPr>
              <w:t>Amount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Expensify Neue;sans-serif" w:hAnsi="Expensify Neue;sans-serif"/>
                <w:b/>
                <w:color w:val="000000"/>
                <w:sz w:val="16"/>
              </w:rPr>
            </w:pPr>
            <w:r>
              <w:rPr>
                <w:rFonts w:ascii="Expensify Neue;sans-serif" w:hAnsi="Expensify Neue;sans-serif"/>
                <w:b/>
                <w:color w:val="000000"/>
                <w:sz w:val="16"/>
              </w:rPr>
              <w:t>%</w:t>
            </w:r>
          </w:p>
        </w:tc>
      </w:tr>
      <w:tr>
        <w:trPr/>
        <w:tc>
          <w:tcPr>
            <w:tcW w:w="9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38" w:type="dxa"/>
            <w:gridSpan w:val="21"/>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Expensify Neue;sans-serif" w:hAnsi="Expensify Neue;sans-serif"/>
                <w:b/>
                <w:color w:val="000000"/>
                <w:sz w:val="16"/>
              </w:rPr>
            </w:pPr>
            <w:r>
              <w:rPr>
                <w:rFonts w:ascii="Expensify Neue;sans-serif" w:hAnsi="Expensify Neue;sans-serif"/>
                <w:b/>
                <w:color w:val="000000"/>
                <w:sz w:val="16"/>
              </w:rPr>
              <w:t>(in thousands, except percentages)</w:t>
            </w:r>
          </w:p>
        </w:tc>
      </w:tr>
      <w:tr>
        <w:trPr/>
        <w:tc>
          <w:tcPr>
            <w:tcW w:w="97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Expensify Neue;sans-serif" w:hAnsi="Expensify Neue;sans-serif"/>
                <w:b w:val="false"/>
                <w:color w:val="000000"/>
                <w:sz w:val="20"/>
              </w:rPr>
            </w:pPr>
            <w:r>
              <w:rPr>
                <w:rFonts w:ascii="Expensify Neue;sans-serif" w:hAnsi="Expensify Neue;sans-serif"/>
                <w:b w:val="false"/>
                <w:color w:val="000000"/>
                <w:sz w:val="20"/>
              </w:rPr>
              <w:t>Revenue</w:t>
            </w:r>
          </w:p>
        </w:tc>
        <w:tc>
          <w:tcPr>
            <w:tcW w:w="258"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Expensify Neue;sans-serif" w:hAnsi="Expensify Neue;sans-serif"/>
                <w:b w:val="false"/>
                <w:color w:val="000000"/>
                <w:sz w:val="20"/>
              </w:rPr>
            </w:pPr>
            <w:r>
              <w:rPr>
                <w:rFonts w:ascii="Expensify Neue;sans-serif" w:hAnsi="Expensify Neue;sans-serif"/>
                <w:b w:val="false"/>
                <w:color w:val="000000"/>
                <w:sz w:val="20"/>
              </w:rPr>
              <w:t>$</w:t>
            </w:r>
          </w:p>
        </w:tc>
        <w:tc>
          <w:tcPr>
            <w:tcW w:w="94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Expensify Neue;sans-serif" w:hAnsi="Expensify Neue;sans-serif"/>
                <w:b w:val="false"/>
                <w:color w:val="000000"/>
                <w:sz w:val="20"/>
              </w:rPr>
            </w:pPr>
            <w:r>
              <w:rPr>
                <w:rFonts w:ascii="Expensify Neue;sans-serif" w:hAnsi="Expensify Neue;sans-serif"/>
                <w:b w:val="false"/>
                <w:color w:val="000000"/>
                <w:sz w:val="20"/>
              </w:rPr>
              <w:t>36,074 </w:t>
            </w:r>
          </w:p>
        </w:tc>
        <w:tc>
          <w:tcPr>
            <w:tcW w:w="12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8"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Expensify Neue;sans-serif" w:hAnsi="Expensify Neue;sans-serif"/>
                <w:b w:val="false"/>
                <w:color w:val="000000"/>
                <w:sz w:val="20"/>
              </w:rPr>
            </w:pPr>
            <w:r>
              <w:rPr>
                <w:rFonts w:ascii="Expensify Neue;sans-serif" w:hAnsi="Expensify Neue;sans-serif"/>
                <w:b w:val="false"/>
                <w:color w:val="000000"/>
                <w:sz w:val="20"/>
              </w:rPr>
              <w:t>$</w:t>
            </w:r>
          </w:p>
        </w:tc>
        <w:tc>
          <w:tcPr>
            <w:tcW w:w="94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Expensify Neue;sans-serif" w:hAnsi="Expensify Neue;sans-serif"/>
                <w:b w:val="false"/>
                <w:color w:val="000000"/>
                <w:sz w:val="20"/>
              </w:rPr>
            </w:pPr>
            <w:r>
              <w:rPr>
                <w:rFonts w:ascii="Expensify Neue;sans-serif" w:hAnsi="Expensify Neue;sans-serif"/>
                <w:b w:val="false"/>
                <w:color w:val="000000"/>
                <w:sz w:val="20"/>
              </w:rPr>
              <w:t>33,535 </w:t>
            </w:r>
          </w:p>
        </w:tc>
        <w:tc>
          <w:tcPr>
            <w:tcW w:w="12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Expensify Neue;sans-serif" w:hAnsi="Expensify Neue;sans-serif"/>
                <w:b w:val="false"/>
                <w:color w:val="000000"/>
                <w:sz w:val="20"/>
              </w:rPr>
            </w:pPr>
            <w:r>
              <w:rPr>
                <w:rFonts w:ascii="Expensify Neue;sans-serif" w:hAnsi="Expensify Neue;sans-serif"/>
                <w:b w:val="false"/>
                <w:color w:val="000000"/>
                <w:sz w:val="20"/>
              </w:rPr>
              <w:t>$</w:t>
            </w:r>
          </w:p>
        </w:tc>
        <w:tc>
          <w:tcPr>
            <w:tcW w:w="70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Expensify Neue;sans-serif" w:hAnsi="Expensify Neue;sans-serif"/>
                <w:b w:val="false"/>
                <w:color w:val="000000"/>
                <w:sz w:val="20"/>
              </w:rPr>
            </w:pPr>
            <w:r>
              <w:rPr>
                <w:rFonts w:ascii="Expensify Neue;sans-serif" w:hAnsi="Expensify Neue;sans-serif"/>
                <w:b w:val="false"/>
                <w:color w:val="000000"/>
                <w:sz w:val="20"/>
              </w:rPr>
              <w:t>2,539 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Expensify Neue;sans-serif" w:hAnsi="Expensify Neue;sans-serif"/>
                <w:b w:val="false"/>
                <w:color w:val="000000"/>
                <w:sz w:val="20"/>
              </w:rPr>
            </w:pPr>
            <w:r>
              <w:rPr>
                <w:rFonts w:ascii="Expensify Neue;sans-serif" w:hAnsi="Expensify Neue;sans-serif"/>
                <w:b w:val="false"/>
                <w:color w:val="000000"/>
                <w:sz w:val="20"/>
              </w:rPr>
              <w:t>8 </w:t>
            </w:r>
          </w:p>
        </w:tc>
        <w:tc>
          <w:tcPr>
            <w:tcW w:w="33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Expensify Neue;sans-serif" w:hAnsi="Expensify Neue;sans-serif"/>
                <w:b w:val="false"/>
                <w:color w:val="000000"/>
                <w:sz w:val="20"/>
              </w:rPr>
            </w:pPr>
            <w:r>
              <w:rPr>
                <w:rFonts w:ascii="Expensify Neue;sans-serif" w:hAnsi="Expensify Neue;sans-serif"/>
                <w:b w:val="false"/>
                <w:color w:val="000000"/>
                <w:sz w:val="20"/>
              </w:rPr>
              <w:t>%</w:t>
            </w:r>
          </w:p>
        </w:tc>
      </w:tr>
      <w:tr>
        <w:trPr/>
        <w:tc>
          <w:tcPr>
            <w:tcW w:w="976" w:type="dxa"/>
            <w:gridSpan w:val="3"/>
            <w:tcBorders>
              <w:bottom w:val="single" w:sz="8" w:space="0" w:color="000000"/>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327" w:type="dxa"/>
            <w:gridSpan w:val="3"/>
            <w:tcBorders>
              <w:bottom w:val="single" w:sz="8" w:space="0" w:color="000000"/>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bottom w:val="single" w:sz="8" w:space="0" w:color="000000"/>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327" w:type="dxa"/>
            <w:gridSpan w:val="3"/>
            <w:tcBorders>
              <w:bottom w:val="single" w:sz="8" w:space="0" w:color="000000"/>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8" w:space="0" w:color="000000"/>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bottom w:val="single" w:sz="8" w:space="0" w:color="000000"/>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8" w:space="0" w:color="000000"/>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61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160"/>
        <w:jc w:val="left"/>
        <w:rPr>
          <w:rFonts w:ascii="Expensify Neue;sans-serif" w:hAnsi="Expensify Neue;sans-serif"/>
          <w:b w:val="false"/>
          <w:color w:val="000000"/>
          <w:sz w:val="20"/>
        </w:rPr>
      </w:pPr>
      <w:r>
        <w:rPr>
          <w:rFonts w:ascii="Expensify Neue;sans-serif" w:hAnsi="Expensify Neue;sans-serif"/>
          <w:b w:val="false"/>
          <w:color w:val="000000"/>
          <w:sz w:val="20"/>
        </w:rPr>
        <w:t xml:space="preserve">Revenue increased by $2.5 million, or 8%, for the three months ended March 31, 2025 compared to the same period in 2024, primarily due to an increase in interchange revenue driven primarily by a shift in cardholder spend from the Legacy Card Program to the Updated Card Program. This increase was partially offset by (i) a decrease in billable activity across our user base, including a decrease in pay-per-use billable activity which has a higher average fee per member than our annual members, and (ii) an increase in contra revenue related to cashback payments driven by the increased adoption and spend captured from members using the Expensify Card. </w:t>
      </w:r>
    </w:p>
    <w:p>
      <w:pPr>
        <w:pStyle w:val="TextBody"/>
        <w:bidi w:val="0"/>
        <w:spacing w:lineRule="auto" w:line="288" w:before="0" w:after="160"/>
        <w:jc w:val="left"/>
        <w:rPr>
          <w:rFonts w:ascii="Expensify Neue;sans-serif" w:hAnsi="Expensify Neue;sans-serif"/>
          <w:b/>
          <w:i/>
          <w:color w:val="000000"/>
          <w:sz w:val="20"/>
        </w:rPr>
      </w:pPr>
      <w:r>
        <w:rPr>
          <w:rFonts w:ascii="Expensify Neue;sans-serif" w:hAnsi="Expensify Neue;sans-serif"/>
          <w:b/>
          <w:i/>
          <w:color w:val="000000"/>
          <w:sz w:val="20"/>
        </w:rPr>
        <w:t>Cost of Revenue, Net and Gross Margin</w:t>
      </w:r>
    </w:p>
    <w:tbl>
      <w:tblPr>
        <w:tblW w:w="7559" w:type="dxa"/>
        <w:jc w:val="center"/>
        <w:tblInd w:w="0" w:type="dxa"/>
        <w:tblLayout w:type="fixed"/>
        <w:tblCellMar>
          <w:top w:w="28" w:type="dxa"/>
          <w:left w:w="28" w:type="dxa"/>
          <w:bottom w:w="28" w:type="dxa"/>
          <w:right w:w="28" w:type="dxa"/>
        </w:tblCellMar>
      </w:tblPr>
      <w:tblGrid>
        <w:gridCol w:w="759"/>
        <w:gridCol w:w="669"/>
        <w:gridCol w:w="671"/>
        <w:gridCol w:w="228"/>
        <w:gridCol w:w="833"/>
        <w:gridCol w:w="288"/>
        <w:gridCol w:w="110"/>
        <w:gridCol w:w="110"/>
        <w:gridCol w:w="110"/>
        <w:gridCol w:w="228"/>
        <w:gridCol w:w="833"/>
        <w:gridCol w:w="288"/>
        <w:gridCol w:w="109"/>
        <w:gridCol w:w="109"/>
        <w:gridCol w:w="109"/>
        <w:gridCol w:w="226"/>
        <w:gridCol w:w="706"/>
        <w:gridCol w:w="109"/>
        <w:gridCol w:w="109"/>
        <w:gridCol w:w="109"/>
        <w:gridCol w:w="109"/>
        <w:gridCol w:w="203"/>
        <w:gridCol w:w="203"/>
        <w:gridCol w:w="331"/>
      </w:tblGrid>
      <w:tr>
        <w:trPr/>
        <w:tc>
          <w:tcPr>
            <w:tcW w:w="759" w:type="dxa"/>
            <w:tcBorders/>
            <w:vAlign w:val="center"/>
          </w:tcPr>
          <w:p>
            <w:pPr>
              <w:pStyle w:val="TableContents"/>
              <w:bidi w:val="0"/>
              <w:spacing w:before="0" w:after="283"/>
              <w:jc w:val="left"/>
              <w:rPr>
                <w:sz w:val="4"/>
                <w:szCs w:val="4"/>
              </w:rPr>
            </w:pPr>
            <w:r>
              <w:rPr>
                <w:sz w:val="4"/>
                <w:szCs w:val="4"/>
              </w:rPr>
            </w:r>
          </w:p>
        </w:tc>
        <w:tc>
          <w:tcPr>
            <w:tcW w:w="669" w:type="dxa"/>
            <w:tcBorders/>
            <w:vAlign w:val="center"/>
          </w:tcPr>
          <w:p>
            <w:pPr>
              <w:pStyle w:val="TableContents"/>
              <w:bidi w:val="0"/>
              <w:spacing w:before="0" w:after="283"/>
              <w:jc w:val="left"/>
              <w:rPr>
                <w:sz w:val="4"/>
                <w:szCs w:val="4"/>
              </w:rPr>
            </w:pPr>
            <w:r>
              <w:rPr>
                <w:sz w:val="4"/>
                <w:szCs w:val="4"/>
              </w:rPr>
            </w:r>
          </w:p>
        </w:tc>
        <w:tc>
          <w:tcPr>
            <w:tcW w:w="671" w:type="dxa"/>
            <w:tcBorders/>
            <w:vAlign w:val="center"/>
          </w:tcPr>
          <w:p>
            <w:pPr>
              <w:pStyle w:val="TableContents"/>
              <w:bidi w:val="0"/>
              <w:spacing w:before="0" w:after="283"/>
              <w:jc w:val="left"/>
              <w:rPr>
                <w:sz w:val="4"/>
                <w:szCs w:val="4"/>
              </w:rPr>
            </w:pPr>
            <w:r>
              <w:rPr>
                <w:sz w:val="4"/>
                <w:szCs w:val="4"/>
              </w:rPr>
            </w:r>
          </w:p>
        </w:tc>
        <w:tc>
          <w:tcPr>
            <w:tcW w:w="228" w:type="dxa"/>
            <w:tcBorders/>
            <w:vAlign w:val="center"/>
          </w:tcPr>
          <w:p>
            <w:pPr>
              <w:pStyle w:val="TableContents"/>
              <w:bidi w:val="0"/>
              <w:spacing w:before="0" w:after="283"/>
              <w:jc w:val="left"/>
              <w:rPr>
                <w:sz w:val="4"/>
                <w:szCs w:val="4"/>
              </w:rPr>
            </w:pPr>
            <w:r>
              <w:rPr>
                <w:sz w:val="4"/>
                <w:szCs w:val="4"/>
              </w:rPr>
            </w:r>
          </w:p>
        </w:tc>
        <w:tc>
          <w:tcPr>
            <w:tcW w:w="833" w:type="dxa"/>
            <w:tcBorders/>
            <w:vAlign w:val="center"/>
          </w:tcPr>
          <w:p>
            <w:pPr>
              <w:pStyle w:val="TableContents"/>
              <w:bidi w:val="0"/>
              <w:spacing w:before="0" w:after="283"/>
              <w:jc w:val="left"/>
              <w:rPr>
                <w:sz w:val="4"/>
                <w:szCs w:val="4"/>
              </w:rPr>
            </w:pPr>
            <w:r>
              <w:rPr>
                <w:sz w:val="4"/>
                <w:szCs w:val="4"/>
              </w:rPr>
            </w:r>
          </w:p>
        </w:tc>
        <w:tc>
          <w:tcPr>
            <w:tcW w:w="288"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228" w:type="dxa"/>
            <w:tcBorders/>
            <w:vAlign w:val="center"/>
          </w:tcPr>
          <w:p>
            <w:pPr>
              <w:pStyle w:val="TableContents"/>
              <w:bidi w:val="0"/>
              <w:spacing w:before="0" w:after="283"/>
              <w:jc w:val="left"/>
              <w:rPr>
                <w:sz w:val="4"/>
                <w:szCs w:val="4"/>
              </w:rPr>
            </w:pPr>
            <w:r>
              <w:rPr>
                <w:sz w:val="4"/>
                <w:szCs w:val="4"/>
              </w:rPr>
            </w:r>
          </w:p>
        </w:tc>
        <w:tc>
          <w:tcPr>
            <w:tcW w:w="833" w:type="dxa"/>
            <w:tcBorders/>
            <w:vAlign w:val="center"/>
          </w:tcPr>
          <w:p>
            <w:pPr>
              <w:pStyle w:val="TableContents"/>
              <w:bidi w:val="0"/>
              <w:spacing w:before="0" w:after="283"/>
              <w:jc w:val="left"/>
              <w:rPr>
                <w:sz w:val="4"/>
                <w:szCs w:val="4"/>
              </w:rPr>
            </w:pPr>
            <w:r>
              <w:rPr>
                <w:sz w:val="4"/>
                <w:szCs w:val="4"/>
              </w:rPr>
            </w:r>
          </w:p>
        </w:tc>
        <w:tc>
          <w:tcPr>
            <w:tcW w:w="28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70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3" w:type="dxa"/>
            <w:tcBorders/>
            <w:vAlign w:val="center"/>
          </w:tcPr>
          <w:p>
            <w:pPr>
              <w:pStyle w:val="TableContents"/>
              <w:bidi w:val="0"/>
              <w:spacing w:before="0" w:after="283"/>
              <w:jc w:val="left"/>
              <w:rPr>
                <w:sz w:val="4"/>
                <w:szCs w:val="4"/>
              </w:rPr>
            </w:pPr>
            <w:r>
              <w:rPr>
                <w:sz w:val="4"/>
                <w:szCs w:val="4"/>
              </w:rPr>
            </w:r>
          </w:p>
        </w:tc>
        <w:tc>
          <w:tcPr>
            <w:tcW w:w="203" w:type="dxa"/>
            <w:tcBorders/>
            <w:vAlign w:val="center"/>
          </w:tcPr>
          <w:p>
            <w:pPr>
              <w:pStyle w:val="TableContents"/>
              <w:bidi w:val="0"/>
              <w:spacing w:before="0" w:after="283"/>
              <w:jc w:val="left"/>
              <w:rPr>
                <w:sz w:val="4"/>
                <w:szCs w:val="4"/>
              </w:rPr>
            </w:pPr>
            <w:r>
              <w:rPr>
                <w:sz w:val="4"/>
                <w:szCs w:val="4"/>
              </w:rPr>
            </w:r>
          </w:p>
        </w:tc>
        <w:tc>
          <w:tcPr>
            <w:tcW w:w="331" w:type="dxa"/>
            <w:tcBorders/>
            <w:vAlign w:val="center"/>
          </w:tcPr>
          <w:p>
            <w:pPr>
              <w:pStyle w:val="TableContents"/>
              <w:bidi w:val="0"/>
              <w:spacing w:before="0" w:after="283"/>
              <w:jc w:val="left"/>
              <w:rPr>
                <w:sz w:val="4"/>
                <w:szCs w:val="4"/>
              </w:rPr>
            </w:pPr>
            <w:r>
              <w:rPr>
                <w:sz w:val="4"/>
                <w:szCs w:val="4"/>
              </w:rPr>
            </w:r>
          </w:p>
        </w:tc>
      </w:tr>
      <w:tr>
        <w:trPr/>
        <w:tc>
          <w:tcPr>
            <w:tcW w:w="2099" w:type="dxa"/>
            <w:gridSpan w:val="3"/>
            <w:tcBorders>
              <w:top w:val="single" w:sz="1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28" w:type="dxa"/>
            <w:gridSpan w:val="9"/>
            <w:tcBorders>
              <w:top w:val="single" w:sz="16"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Expensify Neue;sans-serif" w:hAnsi="Expensify Neue;sans-serif"/>
                <w:b/>
                <w:color w:val="000000"/>
                <w:sz w:val="16"/>
              </w:rPr>
            </w:pPr>
            <w:r>
              <w:rPr>
                <w:rFonts w:ascii="Expensify Neue;sans-serif" w:hAnsi="Expensify Neue;sans-serif"/>
                <w:b/>
                <w:color w:val="000000"/>
                <w:sz w:val="16"/>
              </w:rPr>
              <w:t>Three Months Ended March 31,</w:t>
            </w:r>
          </w:p>
        </w:tc>
        <w:tc>
          <w:tcPr>
            <w:tcW w:w="327" w:type="dxa"/>
            <w:gridSpan w:val="3"/>
            <w:tcBorders>
              <w:top w:val="single" w:sz="1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05" w:type="dxa"/>
            <w:gridSpan w:val="9"/>
            <w:tcBorders>
              <w:top w:val="single" w:sz="16"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Expensify Neue;sans-serif" w:hAnsi="Expensify Neue;sans-serif"/>
                <w:b/>
                <w:color w:val="000000"/>
                <w:sz w:val="16"/>
              </w:rPr>
            </w:pPr>
            <w:r>
              <w:rPr>
                <w:rFonts w:ascii="Expensify Neue;sans-serif" w:hAnsi="Expensify Neue;sans-serif"/>
                <w:b/>
                <w:color w:val="000000"/>
                <w:sz w:val="16"/>
              </w:rPr>
              <w:t>Change</w:t>
            </w:r>
          </w:p>
        </w:tc>
      </w:tr>
      <w:tr>
        <w:trPr/>
        <w:tc>
          <w:tcPr>
            <w:tcW w:w="20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Expensify Neue;sans-serif" w:hAnsi="Expensify Neue;sans-serif"/>
                <w:b/>
                <w:color w:val="000000"/>
                <w:sz w:val="16"/>
              </w:rPr>
            </w:pPr>
            <w:r>
              <w:rPr>
                <w:rFonts w:ascii="Expensify Neue;sans-serif" w:hAnsi="Expensify Neue;sans-serif"/>
                <w:b/>
                <w:color w:val="000000"/>
                <w:sz w:val="16"/>
              </w:rPr>
              <w:t>2025</w:t>
            </w:r>
          </w:p>
        </w:tc>
        <w:tc>
          <w:tcPr>
            <w:tcW w:w="33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9"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Expensify Neue;sans-serif" w:hAnsi="Expensify Neue;sans-serif"/>
                <w:b/>
                <w:color w:val="000000"/>
                <w:sz w:val="16"/>
              </w:rPr>
            </w:pPr>
            <w:r>
              <w:rPr>
                <w:rFonts w:ascii="Expensify Neue;sans-serif" w:hAnsi="Expensify Neue;sans-serif"/>
                <w:b/>
                <w:color w:val="000000"/>
                <w:sz w:val="16"/>
              </w:rPr>
              <w:t>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Expensify Neue;sans-serif" w:hAnsi="Expensify Neue;sans-serif"/>
                <w:b/>
                <w:color w:val="000000"/>
                <w:sz w:val="16"/>
              </w:rPr>
            </w:pPr>
            <w:r>
              <w:rPr>
                <w:rFonts w:ascii="Expensify Neue;sans-serif" w:hAnsi="Expensify Neue;sans-serif"/>
                <w:b/>
                <w:color w:val="000000"/>
                <w:sz w:val="16"/>
              </w:rPr>
              <w:t>Amount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7"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Expensify Neue;sans-serif" w:hAnsi="Expensify Neue;sans-serif"/>
                <w:b/>
                <w:color w:val="000000"/>
                <w:sz w:val="16"/>
              </w:rPr>
            </w:pPr>
            <w:r>
              <w:rPr>
                <w:rFonts w:ascii="Expensify Neue;sans-serif" w:hAnsi="Expensify Neue;sans-serif"/>
                <w:b/>
                <w:color w:val="000000"/>
                <w:sz w:val="16"/>
              </w:rPr>
              <w:t>%</w:t>
            </w:r>
          </w:p>
        </w:tc>
      </w:tr>
      <w:tr>
        <w:trPr/>
        <w:tc>
          <w:tcPr>
            <w:tcW w:w="20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60" w:type="dxa"/>
            <w:gridSpan w:val="21"/>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Expensify Neue;sans-serif" w:hAnsi="Expensify Neue;sans-serif"/>
                <w:b/>
                <w:color w:val="000000"/>
                <w:sz w:val="16"/>
              </w:rPr>
            </w:pPr>
            <w:r>
              <w:rPr>
                <w:rFonts w:ascii="Expensify Neue;sans-serif" w:hAnsi="Expensify Neue;sans-serif"/>
                <w:b/>
                <w:color w:val="000000"/>
                <w:sz w:val="16"/>
              </w:rPr>
              <w:t>(in thousands, except percentages)</w:t>
            </w:r>
          </w:p>
        </w:tc>
      </w:tr>
      <w:tr>
        <w:trPr/>
        <w:tc>
          <w:tcPr>
            <w:tcW w:w="209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Expensify Neue;sans-serif" w:hAnsi="Expensify Neue;sans-serif"/>
                <w:b w:val="false"/>
                <w:color w:val="000000"/>
                <w:sz w:val="20"/>
              </w:rPr>
            </w:pPr>
            <w:r>
              <w:rPr>
                <w:rFonts w:ascii="Expensify Neue;sans-serif" w:hAnsi="Expensify Neue;sans-serif"/>
                <w:b w:val="false"/>
                <w:color w:val="000000"/>
                <w:sz w:val="20"/>
              </w:rPr>
              <w:t>Cost of revenue, net</w:t>
            </w:r>
          </w:p>
        </w:tc>
        <w:tc>
          <w:tcPr>
            <w:tcW w:w="228"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Expensify Neue;sans-serif" w:hAnsi="Expensify Neue;sans-serif"/>
                <w:b w:val="false"/>
                <w:color w:val="000000"/>
                <w:sz w:val="20"/>
              </w:rPr>
            </w:pPr>
            <w:r>
              <w:rPr>
                <w:rFonts w:ascii="Expensify Neue;sans-serif" w:hAnsi="Expensify Neue;sans-serif"/>
                <w:b w:val="false"/>
                <w:color w:val="000000"/>
                <w:sz w:val="20"/>
              </w:rPr>
              <w:t>$</w:t>
            </w:r>
          </w:p>
        </w:tc>
        <w:tc>
          <w:tcPr>
            <w:tcW w:w="83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Expensify Neue;sans-serif" w:hAnsi="Expensify Neue;sans-serif"/>
                <w:b w:val="false"/>
                <w:color w:val="000000"/>
                <w:sz w:val="20"/>
              </w:rPr>
            </w:pPr>
            <w:r>
              <w:rPr>
                <w:rFonts w:ascii="Expensify Neue;sans-serif" w:hAnsi="Expensify Neue;sans-serif"/>
                <w:b w:val="false"/>
                <w:color w:val="000000"/>
                <w:sz w:val="20"/>
              </w:rPr>
              <w:t>17,832 </w:t>
            </w:r>
          </w:p>
        </w:tc>
        <w:tc>
          <w:tcPr>
            <w:tcW w:w="28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8"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Expensify Neue;sans-serif" w:hAnsi="Expensify Neue;sans-serif"/>
                <w:b w:val="false"/>
                <w:color w:val="000000"/>
                <w:sz w:val="20"/>
              </w:rPr>
            </w:pPr>
            <w:r>
              <w:rPr>
                <w:rFonts w:ascii="Expensify Neue;sans-serif" w:hAnsi="Expensify Neue;sans-serif"/>
                <w:b w:val="false"/>
                <w:color w:val="000000"/>
                <w:sz w:val="20"/>
              </w:rPr>
              <w:t>$</w:t>
            </w:r>
          </w:p>
        </w:tc>
        <w:tc>
          <w:tcPr>
            <w:tcW w:w="83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Expensify Neue;sans-serif" w:hAnsi="Expensify Neue;sans-serif"/>
                <w:b w:val="false"/>
                <w:color w:val="000000"/>
                <w:sz w:val="20"/>
              </w:rPr>
            </w:pPr>
            <w:r>
              <w:rPr>
                <w:rFonts w:ascii="Expensify Neue;sans-serif" w:hAnsi="Expensify Neue;sans-serif"/>
                <w:b w:val="false"/>
                <w:color w:val="000000"/>
                <w:sz w:val="20"/>
              </w:rPr>
              <w:t>14,584 </w:t>
            </w:r>
          </w:p>
        </w:tc>
        <w:tc>
          <w:tcPr>
            <w:tcW w:w="28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Expensify Neue;sans-serif" w:hAnsi="Expensify Neue;sans-serif"/>
                <w:b w:val="false"/>
                <w:color w:val="000000"/>
                <w:sz w:val="20"/>
              </w:rPr>
            </w:pPr>
            <w:r>
              <w:rPr>
                <w:rFonts w:ascii="Expensify Neue;sans-serif" w:hAnsi="Expensify Neue;sans-serif"/>
                <w:b w:val="false"/>
                <w:color w:val="000000"/>
                <w:sz w:val="20"/>
              </w:rPr>
              <w:t>$</w:t>
            </w:r>
          </w:p>
        </w:tc>
        <w:tc>
          <w:tcPr>
            <w:tcW w:w="70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Expensify Neue;sans-serif" w:hAnsi="Expensify Neue;sans-serif"/>
                <w:b w:val="false"/>
                <w:color w:val="000000"/>
                <w:sz w:val="20"/>
              </w:rPr>
            </w:pPr>
            <w:r>
              <w:rPr>
                <w:rFonts w:ascii="Expensify Neue;sans-serif" w:hAnsi="Expensify Neue;sans-serif"/>
                <w:b w:val="false"/>
                <w:color w:val="000000"/>
                <w:sz w:val="20"/>
              </w:rPr>
              <w:t>3,248 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Expensify Neue;sans-serif" w:hAnsi="Expensify Neue;sans-serif"/>
                <w:b w:val="false"/>
                <w:color w:val="000000"/>
                <w:sz w:val="20"/>
              </w:rPr>
            </w:pPr>
            <w:r>
              <w:rPr>
                <w:rFonts w:ascii="Expensify Neue;sans-serif" w:hAnsi="Expensify Neue;sans-serif"/>
                <w:b w:val="false"/>
                <w:color w:val="000000"/>
                <w:sz w:val="20"/>
              </w:rPr>
              <w:t>22 </w:t>
            </w:r>
          </w:p>
        </w:tc>
        <w:tc>
          <w:tcPr>
            <w:tcW w:w="33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Expensify Neue;sans-serif" w:hAnsi="Expensify Neue;sans-serif"/>
                <w:b w:val="false"/>
                <w:color w:val="000000"/>
                <w:sz w:val="20"/>
              </w:rPr>
            </w:pPr>
            <w:r>
              <w:rPr>
                <w:rFonts w:ascii="Expensify Neue;sans-serif" w:hAnsi="Expensify Neue;sans-serif"/>
                <w:b w:val="false"/>
                <w:color w:val="000000"/>
                <w:sz w:val="20"/>
              </w:rPr>
              <w:t>%</w:t>
            </w:r>
          </w:p>
        </w:tc>
      </w:tr>
      <w:tr>
        <w:trPr/>
        <w:tc>
          <w:tcPr>
            <w:tcW w:w="209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Expensify Neue;sans-serif" w:hAnsi="Expensify Neue;sans-serif"/>
                <w:b w:val="false"/>
                <w:color w:val="000000"/>
                <w:sz w:val="20"/>
              </w:rPr>
            </w:pPr>
            <w:r>
              <w:rPr>
                <w:rFonts w:ascii="Expensify Neue;sans-serif" w:hAnsi="Expensify Neue;sans-serif"/>
                <w:b w:val="false"/>
                <w:color w:val="000000"/>
                <w:sz w:val="20"/>
              </w:rPr>
              <w:t>Gross margin</w:t>
            </w:r>
          </w:p>
        </w:tc>
        <w:tc>
          <w:tcPr>
            <w:tcW w:w="228"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Expensify Neue;sans-serif" w:hAnsi="Expensify Neue;sans-serif"/>
                <w:b w:val="false"/>
                <w:color w:val="000000"/>
                <w:sz w:val="20"/>
              </w:rPr>
            </w:pPr>
            <w:r>
              <w:rPr>
                <w:rFonts w:ascii="Expensify Neue;sans-serif" w:hAnsi="Expensify Neue;sans-serif"/>
                <w:b w:val="false"/>
                <w:color w:val="000000"/>
                <w:sz w:val="20"/>
              </w:rPr>
              <w:t>$</w:t>
            </w:r>
          </w:p>
        </w:tc>
        <w:tc>
          <w:tcPr>
            <w:tcW w:w="83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Expensify Neue;sans-serif" w:hAnsi="Expensify Neue;sans-serif"/>
                <w:b w:val="false"/>
                <w:color w:val="000000"/>
                <w:sz w:val="20"/>
              </w:rPr>
            </w:pPr>
            <w:r>
              <w:rPr>
                <w:rFonts w:ascii="Expensify Neue;sans-serif" w:hAnsi="Expensify Neue;sans-serif"/>
                <w:b w:val="false"/>
                <w:color w:val="000000"/>
                <w:sz w:val="20"/>
              </w:rPr>
              <w:t>18,242 </w:t>
            </w:r>
          </w:p>
        </w:tc>
        <w:tc>
          <w:tcPr>
            <w:tcW w:w="28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8"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Expensify Neue;sans-serif" w:hAnsi="Expensify Neue;sans-serif"/>
                <w:b w:val="false"/>
                <w:color w:val="000000"/>
                <w:sz w:val="20"/>
              </w:rPr>
            </w:pPr>
            <w:r>
              <w:rPr>
                <w:rFonts w:ascii="Expensify Neue;sans-serif" w:hAnsi="Expensify Neue;sans-serif"/>
                <w:b w:val="false"/>
                <w:color w:val="000000"/>
                <w:sz w:val="20"/>
              </w:rPr>
              <w:t>$</w:t>
            </w:r>
          </w:p>
        </w:tc>
        <w:tc>
          <w:tcPr>
            <w:tcW w:w="83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Expensify Neue;sans-serif" w:hAnsi="Expensify Neue;sans-serif"/>
                <w:b w:val="false"/>
                <w:color w:val="000000"/>
                <w:sz w:val="20"/>
              </w:rPr>
            </w:pPr>
            <w:r>
              <w:rPr>
                <w:rFonts w:ascii="Expensify Neue;sans-serif" w:hAnsi="Expensify Neue;sans-serif"/>
                <w:b w:val="false"/>
                <w:color w:val="000000"/>
                <w:sz w:val="20"/>
              </w:rPr>
              <w:t>18,951 </w:t>
            </w:r>
          </w:p>
        </w:tc>
        <w:tc>
          <w:tcPr>
            <w:tcW w:w="28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Expensify Neue;sans-serif" w:hAnsi="Expensify Neue;sans-serif"/>
                <w:b w:val="false"/>
                <w:color w:val="000000"/>
                <w:sz w:val="20"/>
              </w:rPr>
            </w:pPr>
            <w:r>
              <w:rPr>
                <w:rFonts w:ascii="Expensify Neue;sans-serif" w:hAnsi="Expensify Neue;sans-serif"/>
                <w:b w:val="false"/>
                <w:color w:val="000000"/>
                <w:sz w:val="20"/>
              </w:rPr>
              <w:t>$</w:t>
            </w:r>
          </w:p>
        </w:tc>
        <w:tc>
          <w:tcPr>
            <w:tcW w:w="70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Expensify Neue;sans-serif" w:hAnsi="Expensify Neue;sans-serif"/>
                <w:b w:val="false"/>
                <w:color w:val="000000"/>
                <w:sz w:val="20"/>
              </w:rPr>
            </w:pPr>
            <w:r>
              <w:rPr>
                <w:rFonts w:ascii="Expensify Neue;sans-serif" w:hAnsi="Expensify Neue;sans-serif"/>
                <w:b w:val="false"/>
                <w:color w:val="000000"/>
                <w:sz w:val="20"/>
              </w:rPr>
              <w:t>(709)</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Expensify Neue;sans-serif" w:hAnsi="Expensify Neue;sans-serif"/>
                <w:b w:val="false"/>
                <w:color w:val="000000"/>
                <w:sz w:val="20"/>
              </w:rPr>
            </w:pPr>
            <w:r>
              <w:rPr>
                <w:rFonts w:ascii="Expensify Neue;sans-serif" w:hAnsi="Expensify Neue;sans-serif"/>
                <w:b w:val="false"/>
                <w:color w:val="000000"/>
                <w:sz w:val="20"/>
              </w:rPr>
              <w:t>(4)</w:t>
            </w:r>
          </w:p>
        </w:tc>
        <w:tc>
          <w:tcPr>
            <w:tcW w:w="33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Expensify Neue;sans-serif" w:hAnsi="Expensify Neue;sans-serif"/>
                <w:b w:val="false"/>
                <w:color w:val="000000"/>
                <w:sz w:val="20"/>
              </w:rPr>
            </w:pPr>
            <w:r>
              <w:rPr>
                <w:rFonts w:ascii="Expensify Neue;sans-serif" w:hAnsi="Expensify Neue;sans-serif"/>
                <w:b w:val="false"/>
                <w:color w:val="000000"/>
                <w:sz w:val="20"/>
              </w:rPr>
              <w:t>%</w:t>
            </w:r>
          </w:p>
        </w:tc>
      </w:tr>
      <w:tr>
        <w:trPr/>
        <w:tc>
          <w:tcPr>
            <w:tcW w:w="209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Expensify Neue;sans-serif" w:hAnsi="Expensify Neue;sans-serif"/>
                <w:b w:val="false"/>
                <w:color w:val="000000"/>
                <w:sz w:val="20"/>
              </w:rPr>
            </w:pPr>
            <w:r>
              <w:rPr>
                <w:rFonts w:ascii="Expensify Neue;sans-serif" w:hAnsi="Expensify Neue;sans-serif"/>
                <w:b w:val="false"/>
                <w:color w:val="000000"/>
                <w:sz w:val="20"/>
              </w:rPr>
              <w:t>Gross margin %</w:t>
            </w:r>
          </w:p>
        </w:tc>
        <w:tc>
          <w:tcPr>
            <w:tcW w:w="10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Expensify Neue;sans-serif" w:hAnsi="Expensify Neue;sans-serif"/>
                <w:b w:val="false"/>
                <w:color w:val="000000"/>
                <w:sz w:val="20"/>
              </w:rPr>
            </w:pPr>
            <w:r>
              <w:rPr>
                <w:rFonts w:ascii="Expensify Neue;sans-serif" w:hAnsi="Expensify Neue;sans-serif"/>
                <w:b w:val="false"/>
                <w:color w:val="000000"/>
                <w:sz w:val="20"/>
              </w:rPr>
              <w:t>51 </w:t>
            </w:r>
          </w:p>
        </w:tc>
        <w:tc>
          <w:tcPr>
            <w:tcW w:w="28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Expensify Neue;sans-serif" w:hAnsi="Expensify Neue;sans-serif"/>
                <w:b w:val="false"/>
                <w:color w:val="000000"/>
                <w:sz w:val="20"/>
              </w:rPr>
            </w:pPr>
            <w:r>
              <w:rPr>
                <w:rFonts w:ascii="Expensify Neue;sans-serif" w:hAnsi="Expensify Neue;sans-serif"/>
                <w:b w:val="false"/>
                <w:color w:val="000000"/>
                <w:sz w:val="20"/>
              </w:rPr>
              <w:t>%</w:t>
            </w:r>
          </w:p>
        </w:tc>
        <w:tc>
          <w:tcPr>
            <w:tcW w:w="3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Expensify Neue;sans-serif" w:hAnsi="Expensify Neue;sans-serif"/>
                <w:b w:val="false"/>
                <w:color w:val="000000"/>
                <w:sz w:val="20"/>
              </w:rPr>
            </w:pPr>
            <w:r>
              <w:rPr>
                <w:rFonts w:ascii="Expensify Neue;sans-serif" w:hAnsi="Expensify Neue;sans-serif"/>
                <w:b w:val="false"/>
                <w:color w:val="000000"/>
                <w:sz w:val="20"/>
              </w:rPr>
              <w:t>57 </w:t>
            </w:r>
          </w:p>
        </w:tc>
        <w:tc>
          <w:tcPr>
            <w:tcW w:w="28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Expensify Neue;sans-serif" w:hAnsi="Expensify Neue;sans-serif"/>
                <w:b w:val="false"/>
                <w:color w:val="000000"/>
                <w:sz w:val="20"/>
              </w:rPr>
            </w:pPr>
            <w:r>
              <w:rPr>
                <w:rFonts w:ascii="Expensify Neue;sans-serif" w:hAnsi="Expensify Neue;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99" w:type="dxa"/>
            <w:gridSpan w:val="3"/>
            <w:tcBorders>
              <w:bottom w:val="single" w:sz="8" w:space="0" w:color="000000"/>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349" w:type="dxa"/>
            <w:gridSpan w:val="3"/>
            <w:tcBorders>
              <w:bottom w:val="single" w:sz="8" w:space="0" w:color="000000"/>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bottom w:val="single" w:sz="8" w:space="0" w:color="000000"/>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349" w:type="dxa"/>
            <w:gridSpan w:val="3"/>
            <w:tcBorders>
              <w:bottom w:val="single" w:sz="8" w:space="0" w:color="000000"/>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8" w:space="0" w:color="000000"/>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bottom w:val="single" w:sz="8" w:space="0" w:color="000000"/>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8" w:space="0" w:color="000000"/>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737" w:type="dxa"/>
            <w:gridSpan w:val="3"/>
            <w:tcBorders>
              <w:bottom w:val="single" w:sz="8" w:space="0" w:color="000000"/>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160"/>
        <w:jc w:val="left"/>
        <w:rPr>
          <w:rFonts w:ascii="Expensify Neue;sans-serif" w:hAnsi="Expensify Neue;sans-serif"/>
          <w:b w:val="false"/>
          <w:color w:val="000000"/>
          <w:sz w:val="20"/>
        </w:rPr>
      </w:pPr>
      <w:r>
        <w:rPr>
          <w:rFonts w:ascii="Expensify Neue;sans-serif" w:hAnsi="Expensify Neue;sans-serif"/>
          <w:b w:val="false"/>
          <w:color w:val="000000"/>
          <w:sz w:val="20"/>
        </w:rPr>
        <w:t>Cost of revenue, net increased by $3.2 million, or 22%, for the three months ended March 31, 2025 compared to the same period in 2024. Cost of revenue, net increased primarily due to a decrease in Consideration from a vendor, net driven primarily by a shift in cardholder spend from the Legacy Card Program to the Updated Card Program, partially offset by a decrease in SmartScan costs due to increased use of AI instead of human agents.</w:t>
      </w:r>
    </w:p>
    <w:p>
      <w:pPr>
        <w:pStyle w:val="TextBody"/>
        <w:bidi w:val="0"/>
        <w:spacing w:lineRule="auto" w:line="288" w:before="0" w:after="160"/>
        <w:jc w:val="left"/>
        <w:rPr>
          <w:rFonts w:ascii="Expensify Neue;sans-serif" w:hAnsi="Expensify Neue;sans-serif"/>
          <w:b w:val="false"/>
          <w:color w:val="000000"/>
          <w:sz w:val="20"/>
        </w:rPr>
      </w:pPr>
      <w:r>
        <w:rPr>
          <w:rFonts w:ascii="Expensify Neue;sans-serif" w:hAnsi="Expensify Neue;sans-serif"/>
          <w:b w:val="false"/>
          <w:color w:val="000000"/>
          <w:sz w:val="20"/>
        </w:rPr>
        <w:t>Gross margin decreased to 51% for the three months ended March 31, 2025 compared to 57% in the same period in 2024 due to the factors described in the preceding paragraphs for Revenue and Cost of revenue, net.</w:t>
      </w:r>
    </w:p>
    <w:p>
      <w:pPr>
        <w:pStyle w:val="TextBody"/>
        <w:bidi w:val="0"/>
        <w:spacing w:lineRule="auto" w:line="288" w:before="0" w:after="160"/>
        <w:jc w:val="left"/>
        <w:rPr>
          <w:rFonts w:ascii="Expensify Neue;sans-serif" w:hAnsi="Expensify Neue;sans-serif"/>
          <w:b/>
          <w:color w:val="03D47C"/>
          <w:sz w:val="20"/>
        </w:rPr>
      </w:pPr>
      <w:r>
        <w:rPr>
          <w:rFonts w:ascii="Expensify Neue;sans-serif" w:hAnsi="Expensify Neue;sans-serif"/>
          <w:b/>
          <w:color w:val="03D47C"/>
          <w:sz w:val="20"/>
        </w:rPr>
        <w:t>OPERATING EXPENSES</w:t>
      </w:r>
    </w:p>
    <w:p>
      <w:pPr>
        <w:pStyle w:val="TextBody"/>
        <w:bidi w:val="0"/>
        <w:spacing w:lineRule="auto" w:line="288" w:before="0" w:after="160"/>
        <w:jc w:val="left"/>
        <w:rPr>
          <w:rFonts w:ascii="Expensify Neue;sans-serif" w:hAnsi="Expensify Neue;sans-serif"/>
          <w:b/>
          <w:i/>
          <w:color w:val="000000"/>
          <w:sz w:val="20"/>
        </w:rPr>
      </w:pPr>
      <w:r>
        <w:rPr>
          <w:rFonts w:ascii="Expensify Neue;sans-serif" w:hAnsi="Expensify Neue;sans-serif"/>
          <w:b/>
          <w:i/>
          <w:color w:val="000000"/>
          <w:sz w:val="20"/>
        </w:rPr>
        <w:t>Research and Development</w:t>
      </w:r>
    </w:p>
    <w:tbl>
      <w:tblPr>
        <w:tblW w:w="8250" w:type="dxa"/>
        <w:jc w:val="left"/>
        <w:tblInd w:w="0" w:type="dxa"/>
        <w:tblLayout w:type="fixed"/>
        <w:tblCellMar>
          <w:top w:w="28" w:type="dxa"/>
          <w:left w:w="28" w:type="dxa"/>
          <w:bottom w:w="28" w:type="dxa"/>
          <w:right w:w="28" w:type="dxa"/>
        </w:tblCellMar>
      </w:tblPr>
      <w:tblGrid>
        <w:gridCol w:w="1010"/>
        <w:gridCol w:w="888"/>
        <w:gridCol w:w="892"/>
        <w:gridCol w:w="284"/>
        <w:gridCol w:w="888"/>
        <w:gridCol w:w="137"/>
        <w:gridCol w:w="137"/>
        <w:gridCol w:w="137"/>
        <w:gridCol w:w="137"/>
        <w:gridCol w:w="284"/>
        <w:gridCol w:w="888"/>
        <w:gridCol w:w="137"/>
        <w:gridCol w:w="109"/>
        <w:gridCol w:w="109"/>
        <w:gridCol w:w="109"/>
        <w:gridCol w:w="226"/>
        <w:gridCol w:w="616"/>
        <w:gridCol w:w="109"/>
        <w:gridCol w:w="109"/>
        <w:gridCol w:w="109"/>
        <w:gridCol w:w="109"/>
        <w:gridCol w:w="247"/>
        <w:gridCol w:w="248"/>
        <w:gridCol w:w="331"/>
      </w:tblGrid>
      <w:tr>
        <w:trPr/>
        <w:tc>
          <w:tcPr>
            <w:tcW w:w="1010" w:type="dxa"/>
            <w:tcBorders/>
            <w:vAlign w:val="center"/>
          </w:tcPr>
          <w:p>
            <w:pPr>
              <w:pStyle w:val="TableContents"/>
              <w:bidi w:val="0"/>
              <w:spacing w:before="0" w:after="283"/>
              <w:jc w:val="left"/>
              <w:rPr>
                <w:sz w:val="4"/>
                <w:szCs w:val="4"/>
              </w:rPr>
            </w:pPr>
            <w:r>
              <w:rPr>
                <w:sz w:val="4"/>
                <w:szCs w:val="4"/>
              </w:rPr>
            </w:r>
          </w:p>
        </w:tc>
        <w:tc>
          <w:tcPr>
            <w:tcW w:w="888" w:type="dxa"/>
            <w:tcBorders/>
            <w:vAlign w:val="center"/>
          </w:tcPr>
          <w:p>
            <w:pPr>
              <w:pStyle w:val="TableContents"/>
              <w:bidi w:val="0"/>
              <w:spacing w:before="0" w:after="283"/>
              <w:jc w:val="left"/>
              <w:rPr>
                <w:sz w:val="4"/>
                <w:szCs w:val="4"/>
              </w:rPr>
            </w:pPr>
            <w:r>
              <w:rPr>
                <w:sz w:val="4"/>
                <w:szCs w:val="4"/>
              </w:rPr>
            </w:r>
          </w:p>
        </w:tc>
        <w:tc>
          <w:tcPr>
            <w:tcW w:w="892" w:type="dxa"/>
            <w:tcBorders/>
            <w:vAlign w:val="center"/>
          </w:tcPr>
          <w:p>
            <w:pPr>
              <w:pStyle w:val="TableContents"/>
              <w:bidi w:val="0"/>
              <w:spacing w:before="0" w:after="283"/>
              <w:jc w:val="left"/>
              <w:rPr>
                <w:sz w:val="4"/>
                <w:szCs w:val="4"/>
              </w:rPr>
            </w:pPr>
            <w:r>
              <w:rPr>
                <w:sz w:val="4"/>
                <w:szCs w:val="4"/>
              </w:rPr>
            </w:r>
          </w:p>
        </w:tc>
        <w:tc>
          <w:tcPr>
            <w:tcW w:w="284" w:type="dxa"/>
            <w:tcBorders/>
            <w:vAlign w:val="center"/>
          </w:tcPr>
          <w:p>
            <w:pPr>
              <w:pStyle w:val="TableContents"/>
              <w:bidi w:val="0"/>
              <w:spacing w:before="0" w:after="283"/>
              <w:jc w:val="left"/>
              <w:rPr>
                <w:sz w:val="4"/>
                <w:szCs w:val="4"/>
              </w:rPr>
            </w:pPr>
            <w:r>
              <w:rPr>
                <w:sz w:val="4"/>
                <w:szCs w:val="4"/>
              </w:rPr>
            </w:r>
          </w:p>
        </w:tc>
        <w:tc>
          <w:tcPr>
            <w:tcW w:w="888" w:type="dxa"/>
            <w:tcBorders/>
            <w:vAlign w:val="center"/>
          </w:tcPr>
          <w:p>
            <w:pPr>
              <w:pStyle w:val="TableContents"/>
              <w:bidi w:val="0"/>
              <w:spacing w:before="0" w:after="283"/>
              <w:jc w:val="left"/>
              <w:rPr>
                <w:sz w:val="4"/>
                <w:szCs w:val="4"/>
              </w:rPr>
            </w:pPr>
            <w:r>
              <w:rPr>
                <w:sz w:val="4"/>
                <w:szCs w:val="4"/>
              </w:rPr>
            </w:r>
          </w:p>
        </w:tc>
        <w:tc>
          <w:tcPr>
            <w:tcW w:w="137" w:type="dxa"/>
            <w:tcBorders/>
            <w:vAlign w:val="center"/>
          </w:tcPr>
          <w:p>
            <w:pPr>
              <w:pStyle w:val="TableContents"/>
              <w:bidi w:val="0"/>
              <w:spacing w:before="0" w:after="283"/>
              <w:jc w:val="left"/>
              <w:rPr>
                <w:sz w:val="4"/>
                <w:szCs w:val="4"/>
              </w:rPr>
            </w:pPr>
            <w:r>
              <w:rPr>
                <w:sz w:val="4"/>
                <w:szCs w:val="4"/>
              </w:rPr>
            </w:r>
          </w:p>
        </w:tc>
        <w:tc>
          <w:tcPr>
            <w:tcW w:w="137" w:type="dxa"/>
            <w:tcBorders/>
            <w:vAlign w:val="center"/>
          </w:tcPr>
          <w:p>
            <w:pPr>
              <w:pStyle w:val="TableContents"/>
              <w:bidi w:val="0"/>
              <w:spacing w:before="0" w:after="283"/>
              <w:jc w:val="left"/>
              <w:rPr>
                <w:sz w:val="4"/>
                <w:szCs w:val="4"/>
              </w:rPr>
            </w:pPr>
            <w:r>
              <w:rPr>
                <w:sz w:val="4"/>
                <w:szCs w:val="4"/>
              </w:rPr>
            </w:r>
          </w:p>
        </w:tc>
        <w:tc>
          <w:tcPr>
            <w:tcW w:w="137" w:type="dxa"/>
            <w:tcBorders/>
            <w:vAlign w:val="center"/>
          </w:tcPr>
          <w:p>
            <w:pPr>
              <w:pStyle w:val="TableContents"/>
              <w:bidi w:val="0"/>
              <w:spacing w:before="0" w:after="283"/>
              <w:jc w:val="left"/>
              <w:rPr>
                <w:sz w:val="4"/>
                <w:szCs w:val="4"/>
              </w:rPr>
            </w:pPr>
            <w:r>
              <w:rPr>
                <w:sz w:val="4"/>
                <w:szCs w:val="4"/>
              </w:rPr>
            </w:r>
          </w:p>
        </w:tc>
        <w:tc>
          <w:tcPr>
            <w:tcW w:w="137" w:type="dxa"/>
            <w:tcBorders/>
            <w:vAlign w:val="center"/>
          </w:tcPr>
          <w:p>
            <w:pPr>
              <w:pStyle w:val="TableContents"/>
              <w:bidi w:val="0"/>
              <w:spacing w:before="0" w:after="283"/>
              <w:jc w:val="left"/>
              <w:rPr>
                <w:sz w:val="4"/>
                <w:szCs w:val="4"/>
              </w:rPr>
            </w:pPr>
            <w:r>
              <w:rPr>
                <w:sz w:val="4"/>
                <w:szCs w:val="4"/>
              </w:rPr>
            </w:r>
          </w:p>
        </w:tc>
        <w:tc>
          <w:tcPr>
            <w:tcW w:w="284" w:type="dxa"/>
            <w:tcBorders/>
            <w:vAlign w:val="center"/>
          </w:tcPr>
          <w:p>
            <w:pPr>
              <w:pStyle w:val="TableContents"/>
              <w:bidi w:val="0"/>
              <w:spacing w:before="0" w:after="283"/>
              <w:jc w:val="left"/>
              <w:rPr>
                <w:sz w:val="4"/>
                <w:szCs w:val="4"/>
              </w:rPr>
            </w:pPr>
            <w:r>
              <w:rPr>
                <w:sz w:val="4"/>
                <w:szCs w:val="4"/>
              </w:rPr>
            </w:r>
          </w:p>
        </w:tc>
        <w:tc>
          <w:tcPr>
            <w:tcW w:w="888" w:type="dxa"/>
            <w:tcBorders/>
            <w:vAlign w:val="center"/>
          </w:tcPr>
          <w:p>
            <w:pPr>
              <w:pStyle w:val="TableContents"/>
              <w:bidi w:val="0"/>
              <w:spacing w:before="0" w:after="283"/>
              <w:jc w:val="left"/>
              <w:rPr>
                <w:sz w:val="4"/>
                <w:szCs w:val="4"/>
              </w:rPr>
            </w:pPr>
            <w:r>
              <w:rPr>
                <w:sz w:val="4"/>
                <w:szCs w:val="4"/>
              </w:rPr>
            </w:r>
          </w:p>
        </w:tc>
        <w:tc>
          <w:tcPr>
            <w:tcW w:w="13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7" w:type="dxa"/>
            <w:tcBorders/>
            <w:vAlign w:val="center"/>
          </w:tcPr>
          <w:p>
            <w:pPr>
              <w:pStyle w:val="TableContents"/>
              <w:bidi w:val="0"/>
              <w:spacing w:before="0" w:after="283"/>
              <w:jc w:val="left"/>
              <w:rPr>
                <w:sz w:val="4"/>
                <w:szCs w:val="4"/>
              </w:rPr>
            </w:pPr>
            <w:r>
              <w:rPr>
                <w:sz w:val="4"/>
                <w:szCs w:val="4"/>
              </w:rPr>
            </w:r>
          </w:p>
        </w:tc>
        <w:tc>
          <w:tcPr>
            <w:tcW w:w="248" w:type="dxa"/>
            <w:tcBorders/>
            <w:vAlign w:val="center"/>
          </w:tcPr>
          <w:p>
            <w:pPr>
              <w:pStyle w:val="TableContents"/>
              <w:bidi w:val="0"/>
              <w:spacing w:before="0" w:after="283"/>
              <w:jc w:val="left"/>
              <w:rPr>
                <w:sz w:val="4"/>
                <w:szCs w:val="4"/>
              </w:rPr>
            </w:pPr>
            <w:r>
              <w:rPr>
                <w:sz w:val="4"/>
                <w:szCs w:val="4"/>
              </w:rPr>
            </w:r>
          </w:p>
        </w:tc>
        <w:tc>
          <w:tcPr>
            <w:tcW w:w="331" w:type="dxa"/>
            <w:tcBorders/>
            <w:vAlign w:val="center"/>
          </w:tcPr>
          <w:p>
            <w:pPr>
              <w:pStyle w:val="TableContents"/>
              <w:bidi w:val="0"/>
              <w:spacing w:before="0" w:after="283"/>
              <w:jc w:val="left"/>
              <w:rPr>
                <w:sz w:val="4"/>
                <w:szCs w:val="4"/>
              </w:rPr>
            </w:pPr>
            <w:r>
              <w:rPr>
                <w:sz w:val="4"/>
                <w:szCs w:val="4"/>
              </w:rPr>
            </w:r>
          </w:p>
        </w:tc>
      </w:tr>
      <w:tr>
        <w:trPr/>
        <w:tc>
          <w:tcPr>
            <w:tcW w:w="2790" w:type="dxa"/>
            <w:gridSpan w:val="3"/>
            <w:tcBorders>
              <w:top w:val="single" w:sz="1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29" w:type="dxa"/>
            <w:gridSpan w:val="9"/>
            <w:tcBorders>
              <w:top w:val="single" w:sz="16"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Expensify Neue;sans-serif" w:hAnsi="Expensify Neue;sans-serif"/>
                <w:b/>
                <w:color w:val="000000"/>
                <w:sz w:val="16"/>
              </w:rPr>
            </w:pPr>
            <w:r>
              <w:rPr>
                <w:rFonts w:ascii="Expensify Neue;sans-serif" w:hAnsi="Expensify Neue;sans-serif"/>
                <w:b/>
                <w:color w:val="000000"/>
                <w:sz w:val="16"/>
              </w:rPr>
              <w:t>Three Months Ended March 31,</w:t>
            </w:r>
          </w:p>
        </w:tc>
        <w:tc>
          <w:tcPr>
            <w:tcW w:w="327" w:type="dxa"/>
            <w:gridSpan w:val="3"/>
            <w:tcBorders>
              <w:top w:val="single" w:sz="1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04" w:type="dxa"/>
            <w:gridSpan w:val="9"/>
            <w:tcBorders>
              <w:top w:val="single" w:sz="16"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Expensify Neue;sans-serif" w:hAnsi="Expensify Neue;sans-serif"/>
                <w:b/>
                <w:color w:val="000000"/>
                <w:sz w:val="16"/>
              </w:rPr>
            </w:pPr>
            <w:r>
              <w:rPr>
                <w:rFonts w:ascii="Expensify Neue;sans-serif" w:hAnsi="Expensify Neue;sans-serif"/>
                <w:b/>
                <w:color w:val="000000"/>
                <w:sz w:val="16"/>
              </w:rPr>
              <w:t>Change</w:t>
            </w:r>
          </w:p>
        </w:tc>
      </w:tr>
      <w:tr>
        <w:trPr/>
        <w:tc>
          <w:tcPr>
            <w:tcW w:w="279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Expensify Neue;sans-serif" w:hAnsi="Expensify Neue;sans-serif"/>
                <w:b/>
                <w:color w:val="000000"/>
                <w:sz w:val="16"/>
              </w:rPr>
            </w:pPr>
            <w:r>
              <w:rPr>
                <w:rFonts w:ascii="Expensify Neue;sans-serif" w:hAnsi="Expensify Neue;sans-serif"/>
                <w:b/>
                <w:color w:val="000000"/>
                <w:sz w:val="16"/>
              </w:rPr>
              <w:t>2025</w:t>
            </w:r>
          </w:p>
        </w:tc>
        <w:tc>
          <w:tcPr>
            <w:tcW w:w="41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9"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Expensify Neue;sans-serif" w:hAnsi="Expensify Neue;sans-serif"/>
                <w:b/>
                <w:color w:val="000000"/>
                <w:sz w:val="16"/>
              </w:rPr>
            </w:pPr>
            <w:r>
              <w:rPr>
                <w:rFonts w:ascii="Expensify Neue;sans-serif" w:hAnsi="Expensify Neue;sans-serif"/>
                <w:b/>
                <w:color w:val="000000"/>
                <w:sz w:val="16"/>
              </w:rPr>
              <w:t>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Expensify Neue;sans-serif" w:hAnsi="Expensify Neue;sans-serif"/>
                <w:b/>
                <w:color w:val="000000"/>
                <w:sz w:val="16"/>
              </w:rPr>
            </w:pPr>
            <w:r>
              <w:rPr>
                <w:rFonts w:ascii="Expensify Neue;sans-serif" w:hAnsi="Expensify Neue;sans-serif"/>
                <w:b/>
                <w:color w:val="000000"/>
                <w:sz w:val="16"/>
              </w:rPr>
              <w:t>Amount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Expensify Neue;sans-serif" w:hAnsi="Expensify Neue;sans-serif"/>
                <w:b/>
                <w:color w:val="000000"/>
                <w:sz w:val="16"/>
              </w:rPr>
            </w:pPr>
            <w:r>
              <w:rPr>
                <w:rFonts w:ascii="Expensify Neue;sans-serif" w:hAnsi="Expensify Neue;sans-serif"/>
                <w:b/>
                <w:color w:val="000000"/>
                <w:sz w:val="16"/>
              </w:rPr>
              <w:t>%</w:t>
            </w:r>
          </w:p>
        </w:tc>
      </w:tr>
      <w:tr>
        <w:trPr/>
        <w:tc>
          <w:tcPr>
            <w:tcW w:w="279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60" w:type="dxa"/>
            <w:gridSpan w:val="21"/>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Expensify Neue;sans-serif" w:hAnsi="Expensify Neue;sans-serif"/>
                <w:b/>
                <w:color w:val="000000"/>
                <w:sz w:val="16"/>
              </w:rPr>
            </w:pPr>
            <w:r>
              <w:rPr>
                <w:rFonts w:ascii="Expensify Neue;sans-serif" w:hAnsi="Expensify Neue;sans-serif"/>
                <w:b/>
                <w:color w:val="000000"/>
                <w:sz w:val="16"/>
              </w:rPr>
              <w:t>(in thousands, except percentages)</w:t>
            </w:r>
          </w:p>
        </w:tc>
      </w:tr>
      <w:tr>
        <w:trPr/>
        <w:tc>
          <w:tcPr>
            <w:tcW w:w="279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Expensify Neue;sans-serif" w:hAnsi="Expensify Neue;sans-serif"/>
                <w:b w:val="false"/>
                <w:color w:val="000000"/>
                <w:sz w:val="20"/>
              </w:rPr>
            </w:pPr>
            <w:r>
              <w:rPr>
                <w:rFonts w:ascii="Expensify Neue;sans-serif" w:hAnsi="Expensify Neue;sans-serif"/>
                <w:b w:val="false"/>
                <w:color w:val="000000"/>
                <w:sz w:val="20"/>
              </w:rPr>
              <w:t>Research and development</w:t>
            </w:r>
          </w:p>
        </w:tc>
        <w:tc>
          <w:tcPr>
            <w:tcW w:w="284"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Expensify Neue;sans-serif" w:hAnsi="Expensify Neue;sans-serif"/>
                <w:b w:val="false"/>
                <w:color w:val="000000"/>
                <w:sz w:val="20"/>
              </w:rPr>
            </w:pPr>
            <w:r>
              <w:rPr>
                <w:rFonts w:ascii="Expensify Neue;sans-serif" w:hAnsi="Expensify Neue;sans-serif"/>
                <w:b w:val="false"/>
                <w:color w:val="000000"/>
                <w:sz w:val="20"/>
              </w:rPr>
              <w:t>$</w:t>
            </w:r>
          </w:p>
        </w:tc>
        <w:tc>
          <w:tcPr>
            <w:tcW w:w="88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Expensify Neue;sans-serif" w:hAnsi="Expensify Neue;sans-serif"/>
                <w:b w:val="false"/>
                <w:color w:val="000000"/>
                <w:sz w:val="20"/>
              </w:rPr>
            </w:pPr>
            <w:r>
              <w:rPr>
                <w:rFonts w:ascii="Expensify Neue;sans-serif" w:hAnsi="Expensify Neue;sans-serif"/>
                <w:b w:val="false"/>
                <w:color w:val="000000"/>
                <w:sz w:val="20"/>
              </w:rPr>
              <w:t>5,358 </w:t>
            </w:r>
          </w:p>
        </w:tc>
        <w:tc>
          <w:tcPr>
            <w:tcW w:w="13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4"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Expensify Neue;sans-serif" w:hAnsi="Expensify Neue;sans-serif"/>
                <w:b w:val="false"/>
                <w:color w:val="000000"/>
                <w:sz w:val="20"/>
              </w:rPr>
            </w:pPr>
            <w:r>
              <w:rPr>
                <w:rFonts w:ascii="Expensify Neue;sans-serif" w:hAnsi="Expensify Neue;sans-serif"/>
                <w:b w:val="false"/>
                <w:color w:val="000000"/>
                <w:sz w:val="20"/>
              </w:rPr>
              <w:t>$</w:t>
            </w:r>
          </w:p>
        </w:tc>
        <w:tc>
          <w:tcPr>
            <w:tcW w:w="88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Expensify Neue;sans-serif" w:hAnsi="Expensify Neue;sans-serif"/>
                <w:b w:val="false"/>
                <w:color w:val="000000"/>
                <w:sz w:val="20"/>
              </w:rPr>
            </w:pPr>
            <w:r>
              <w:rPr>
                <w:rFonts w:ascii="Expensify Neue;sans-serif" w:hAnsi="Expensify Neue;sans-serif"/>
                <w:b w:val="false"/>
                <w:color w:val="000000"/>
                <w:sz w:val="20"/>
              </w:rPr>
              <w:t>5,929 </w:t>
            </w:r>
          </w:p>
        </w:tc>
        <w:tc>
          <w:tcPr>
            <w:tcW w:w="13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Expensify Neue;sans-serif" w:hAnsi="Expensify Neue;sans-serif"/>
                <w:b w:val="false"/>
                <w:color w:val="000000"/>
                <w:sz w:val="20"/>
              </w:rPr>
            </w:pPr>
            <w:r>
              <w:rPr>
                <w:rFonts w:ascii="Expensify Neue;sans-serif" w:hAnsi="Expensify Neue;sans-serif"/>
                <w:b w:val="false"/>
                <w:color w:val="000000"/>
                <w:sz w:val="20"/>
              </w:rPr>
              <w:t>$</w:t>
            </w:r>
          </w:p>
        </w:tc>
        <w:tc>
          <w:tcPr>
            <w:tcW w:w="6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Expensify Neue;sans-serif" w:hAnsi="Expensify Neue;sans-serif"/>
                <w:b w:val="false"/>
                <w:color w:val="000000"/>
                <w:sz w:val="20"/>
              </w:rPr>
            </w:pPr>
            <w:r>
              <w:rPr>
                <w:rFonts w:ascii="Expensify Neue;sans-serif" w:hAnsi="Expensify Neue;sans-serif"/>
                <w:b w:val="false"/>
                <w:color w:val="000000"/>
                <w:sz w:val="20"/>
              </w:rPr>
              <w:t>(571)</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Expensify Neue;sans-serif" w:hAnsi="Expensify Neue;sans-serif"/>
                <w:b w:val="false"/>
                <w:color w:val="000000"/>
                <w:sz w:val="20"/>
              </w:rPr>
            </w:pPr>
            <w:r>
              <w:rPr>
                <w:rFonts w:ascii="Expensify Neue;sans-serif" w:hAnsi="Expensify Neue;sans-serif"/>
                <w:b w:val="false"/>
                <w:color w:val="000000"/>
                <w:sz w:val="20"/>
              </w:rPr>
              <w:t>(10)</w:t>
            </w:r>
          </w:p>
        </w:tc>
        <w:tc>
          <w:tcPr>
            <w:tcW w:w="33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Expensify Neue;sans-serif" w:hAnsi="Expensify Neue;sans-serif"/>
                <w:b w:val="false"/>
                <w:color w:val="000000"/>
                <w:sz w:val="20"/>
              </w:rPr>
            </w:pPr>
            <w:r>
              <w:rPr>
                <w:rFonts w:ascii="Expensify Neue;sans-serif" w:hAnsi="Expensify Neue;sans-serif"/>
                <w:b w:val="false"/>
                <w:color w:val="000000"/>
                <w:sz w:val="20"/>
              </w:rPr>
              <w:t>%</w:t>
            </w:r>
          </w:p>
        </w:tc>
      </w:tr>
      <w:tr>
        <w:trPr/>
        <w:tc>
          <w:tcPr>
            <w:tcW w:w="2790" w:type="dxa"/>
            <w:gridSpan w:val="3"/>
            <w:tcBorders>
              <w:bottom w:val="single" w:sz="8" w:space="0" w:color="000000"/>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309" w:type="dxa"/>
            <w:gridSpan w:val="3"/>
            <w:tcBorders>
              <w:bottom w:val="single" w:sz="8" w:space="0" w:color="000000"/>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411" w:type="dxa"/>
            <w:gridSpan w:val="3"/>
            <w:tcBorders>
              <w:bottom w:val="single" w:sz="8" w:space="0" w:color="000000"/>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309" w:type="dxa"/>
            <w:gridSpan w:val="3"/>
            <w:tcBorders>
              <w:bottom w:val="single" w:sz="8" w:space="0" w:color="000000"/>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8" w:space="0" w:color="000000"/>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bottom w:val="single" w:sz="8" w:space="0" w:color="000000"/>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8" w:space="0" w:color="000000"/>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826" w:type="dxa"/>
            <w:gridSpan w:val="3"/>
            <w:tcBorders>
              <w:bottom w:val="single" w:sz="8" w:space="0" w:color="000000"/>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160"/>
        <w:jc w:val="left"/>
        <w:rPr>
          <w:rFonts w:ascii="Expensify Neue;sans-serif" w:hAnsi="Expensify Neue;sans-serif"/>
          <w:b w:val="false"/>
          <w:color w:val="000000"/>
          <w:sz w:val="20"/>
        </w:rPr>
      </w:pPr>
      <w:r>
        <w:rPr>
          <w:rFonts w:ascii="Expensify Neue;sans-serif" w:hAnsi="Expensify Neue;sans-serif"/>
          <w:b w:val="false"/>
          <w:color w:val="000000"/>
          <w:sz w:val="20"/>
        </w:rPr>
        <w:t>Research and development expenses decreased by $0.6 million, or 10%, for the three months ended March 31, 2025 compared to the same period in 2024, primarily due to a decrease in outsourcing activities for external contributor time spent on project initiatives and new product features.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3">
                <wp:simplePos x="0" y="0"/>
                <wp:positionH relativeFrom="character">
                  <wp:align>left</wp:align>
                </wp:positionH>
                <wp:positionV relativeFrom="line">
                  <wp:posOffset>635</wp:posOffset>
                </wp:positionV>
                <wp:extent cx="6480175" cy="599440"/>
                <wp:effectExtent l="0" t="0" r="0" b="0"/>
                <wp:wrapNone/>
                <wp:docPr id="32" name="Frame31"/>
                <a:graphic xmlns:a="http://schemas.openxmlformats.org/drawingml/2006/main">
                  <a:graphicData uri="http://schemas.microsoft.com/office/word/2010/wordprocessingShape">
                    <wps:wsp>
                      <wps:cNvSpPr txBox="1"/>
                      <wps:spPr>
                        <a:xfrm>
                          <a:off x="0" y="0"/>
                          <a:ext cx="6480175" cy="599440"/>
                        </a:xfrm>
                        <a:prstGeom prst="rect"/>
                        <a:solidFill>
                          <a:srgbClr val="FFFFFF"/>
                        </a:solidFill>
                      </wps:spPr>
                      <wps:txbx>
                        <w:txbxContent>
                          <w:tbl>
                            <w:tblPr>
                              <w:tblW w:w="406" w:type="dxa"/>
                              <w:jc w:val="center"/>
                              <w:tblInd w:w="0" w:type="dxa"/>
                              <w:tblLayout w:type="fixed"/>
                              <w:tblCellMar>
                                <w:top w:w="28" w:type="dxa"/>
                                <w:left w:w="28" w:type="dxa"/>
                                <w:bottom w:w="28" w:type="dxa"/>
                                <w:right w:w="28" w:type="dxa"/>
                              </w:tblCellMar>
                            </w:tblPr>
                            <w:tblGrid>
                              <w:gridCol w:w="130"/>
                              <w:gridCol w:w="114"/>
                              <w:gridCol w:w="162"/>
                            </w:tblGrid>
                            <w:tr>
                              <w:trPr/>
                              <w:tc>
                                <w:tcPr>
                                  <w:tcW w:w="130"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rPr/>
                              <w:tc>
                                <w:tcPr>
                                  <w:tcW w:w="406"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0"/>
                                    <w:jc w:val="center"/>
                                    <w:rPr>
                                      <w:rFonts w:ascii="Expensify Neue;sans-serif" w:hAnsi="Expensify Neue;sans-serif"/>
                                      <w:b w:val="false"/>
                                      <w:color w:val="000000"/>
                                      <w:sz w:val="20"/>
                                    </w:rPr>
                                  </w:pPr>
                                  <w:r>
                                    <w:rPr>
                                      <w:rFonts w:ascii="Expensify Neue;sans-serif" w:hAnsi="Expensify Neue;sans-serif"/>
                                      <w:b w:val="false"/>
                                      <w:color w:val="000000"/>
                                      <w:sz w:val="20"/>
                                    </w:rPr>
                                    <w:t>26</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7.2pt;mso-wrap-distance-left:0pt;mso-wrap-distance-right:0pt;mso-wrap-distance-top:0pt;mso-wrap-distance-bottom:0pt;margin-top:0pt;mso-position-vertical:top;mso-position-vertical-relative:text;margin-left:0pt;mso-position-horizontal:left;mso-position-horizontal-relative:text">
                <v:textbox>
                  <w:txbxContent>
                    <w:tbl>
                      <w:tblPr>
                        <w:tblW w:w="406" w:type="dxa"/>
                        <w:jc w:val="center"/>
                        <w:tblInd w:w="0" w:type="dxa"/>
                        <w:tblLayout w:type="fixed"/>
                        <w:tblCellMar>
                          <w:top w:w="28" w:type="dxa"/>
                          <w:left w:w="28" w:type="dxa"/>
                          <w:bottom w:w="28" w:type="dxa"/>
                          <w:right w:w="28" w:type="dxa"/>
                        </w:tblCellMar>
                      </w:tblPr>
                      <w:tblGrid>
                        <w:gridCol w:w="130"/>
                        <w:gridCol w:w="114"/>
                        <w:gridCol w:w="162"/>
                      </w:tblGrid>
                      <w:tr>
                        <w:trPr/>
                        <w:tc>
                          <w:tcPr>
                            <w:tcW w:w="130"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rPr/>
                        <w:tc>
                          <w:tcPr>
                            <w:tcW w:w="406"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0"/>
                              <w:jc w:val="center"/>
                              <w:rPr>
                                <w:rFonts w:ascii="Expensify Neue;sans-serif" w:hAnsi="Expensify Neue;sans-serif"/>
                                <w:b w:val="false"/>
                                <w:color w:val="000000"/>
                                <w:sz w:val="20"/>
                              </w:rPr>
                            </w:pPr>
                            <w:r>
                              <w:rPr>
                                <w:rFonts w:ascii="Expensify Neue;sans-serif" w:hAnsi="Expensify Neue;sans-serif"/>
                                <w:b w:val="false"/>
                                <w:color w:val="000000"/>
                                <w:sz w:val="20"/>
                              </w:rPr>
                              <w:t>26</w:t>
                            </w:r>
                          </w:p>
                        </w:tc>
                      </w:tr>
                    </w:tbl>
                    <w:p>
                      <w:pPr>
                        <w:pStyle w:val="TextBody"/>
                        <w:bidi w:val="0"/>
                        <w:spacing w:before="0" w:after="283"/>
                        <w:jc w:val="left"/>
                        <w:rPr/>
                      </w:pPr>
                      <w:r>
                        <w:rPr/>
                      </w:r>
                    </w:p>
                  </w:txbxContent>
                </v:textbox>
                <w10:wrap type="none"/>
              </v:rect>
            </w:pict>
          </mc:Fallback>
        </mc:AlternateContent>
      </w:r>
    </w:p>
    <w:p>
      <w:pPr>
        <w:pStyle w:val="TextBody"/>
        <w:bidi w:val="0"/>
        <w:spacing w:lineRule="auto" w:line="288" w:before="0" w:after="160"/>
        <w:jc w:val="left"/>
        <w:rPr/>
      </w:pPr>
      <w:hyperlink w:anchor="i52a648c4f0e449f7bc3c2044827c8f0d_7">
        <w:r>
          <w:rPr>
            <w:rStyle w:val="InternetLink"/>
            <w:rFonts w:ascii="Expensify Neue;sans-serif" w:hAnsi="Expensify Neue;sans-serif"/>
            <w:b/>
            <w:color w:val="0000FF"/>
            <w:sz w:val="20"/>
            <w:u w:val="single"/>
          </w:rPr>
          <w:t>Table of Contents</w:t>
        </w:r>
      </w:hyperlink>
    </w:p>
    <w:p>
      <w:pPr>
        <w:pStyle w:val="TextBody"/>
        <w:bidi w:val="0"/>
        <w:spacing w:lineRule="auto" w:line="288" w:before="0" w:after="160"/>
        <w:jc w:val="left"/>
        <w:rPr>
          <w:rFonts w:ascii="Expensify Neue;sans-serif" w:hAnsi="Expensify Neue;sans-serif"/>
          <w:b/>
          <w:i/>
          <w:color w:val="000000"/>
          <w:sz w:val="20"/>
        </w:rPr>
      </w:pPr>
      <w:r>
        <w:rPr>
          <w:rFonts w:ascii="Expensify Neue;sans-serif" w:hAnsi="Expensify Neue;sans-serif"/>
          <w:b/>
          <w:i/>
          <w:color w:val="000000"/>
          <w:sz w:val="20"/>
        </w:rPr>
        <w:t>General and Administrative</w:t>
      </w:r>
    </w:p>
    <w:tbl>
      <w:tblPr>
        <w:tblW w:w="8126" w:type="dxa"/>
        <w:jc w:val="center"/>
        <w:tblInd w:w="0" w:type="dxa"/>
        <w:tblLayout w:type="fixed"/>
        <w:tblCellMar>
          <w:top w:w="28" w:type="dxa"/>
          <w:left w:w="28" w:type="dxa"/>
          <w:bottom w:w="28" w:type="dxa"/>
          <w:right w:w="28" w:type="dxa"/>
        </w:tblCellMar>
      </w:tblPr>
      <w:tblGrid>
        <w:gridCol w:w="1010"/>
        <w:gridCol w:w="888"/>
        <w:gridCol w:w="891"/>
        <w:gridCol w:w="258"/>
        <w:gridCol w:w="945"/>
        <w:gridCol w:w="124"/>
        <w:gridCol w:w="124"/>
        <w:gridCol w:w="124"/>
        <w:gridCol w:w="124"/>
        <w:gridCol w:w="258"/>
        <w:gridCol w:w="945"/>
        <w:gridCol w:w="124"/>
        <w:gridCol w:w="109"/>
        <w:gridCol w:w="109"/>
        <w:gridCol w:w="109"/>
        <w:gridCol w:w="226"/>
        <w:gridCol w:w="616"/>
        <w:gridCol w:w="109"/>
        <w:gridCol w:w="109"/>
        <w:gridCol w:w="109"/>
        <w:gridCol w:w="109"/>
        <w:gridCol w:w="187"/>
        <w:gridCol w:w="188"/>
        <w:gridCol w:w="331"/>
      </w:tblGrid>
      <w:tr>
        <w:trPr/>
        <w:tc>
          <w:tcPr>
            <w:tcW w:w="1010" w:type="dxa"/>
            <w:tcBorders/>
            <w:vAlign w:val="center"/>
          </w:tcPr>
          <w:p>
            <w:pPr>
              <w:pStyle w:val="TableContents"/>
              <w:bidi w:val="0"/>
              <w:spacing w:before="0" w:after="283"/>
              <w:jc w:val="left"/>
              <w:rPr>
                <w:sz w:val="4"/>
                <w:szCs w:val="4"/>
              </w:rPr>
            </w:pPr>
            <w:r>
              <w:rPr>
                <w:sz w:val="4"/>
                <w:szCs w:val="4"/>
              </w:rPr>
            </w:r>
          </w:p>
        </w:tc>
        <w:tc>
          <w:tcPr>
            <w:tcW w:w="888" w:type="dxa"/>
            <w:tcBorders/>
            <w:vAlign w:val="center"/>
          </w:tcPr>
          <w:p>
            <w:pPr>
              <w:pStyle w:val="TableContents"/>
              <w:bidi w:val="0"/>
              <w:spacing w:before="0" w:after="283"/>
              <w:jc w:val="left"/>
              <w:rPr>
                <w:sz w:val="4"/>
                <w:szCs w:val="4"/>
              </w:rPr>
            </w:pPr>
            <w:r>
              <w:rPr>
                <w:sz w:val="4"/>
                <w:szCs w:val="4"/>
              </w:rPr>
            </w:r>
          </w:p>
        </w:tc>
        <w:tc>
          <w:tcPr>
            <w:tcW w:w="891" w:type="dxa"/>
            <w:tcBorders/>
            <w:vAlign w:val="center"/>
          </w:tcPr>
          <w:p>
            <w:pPr>
              <w:pStyle w:val="TableContents"/>
              <w:bidi w:val="0"/>
              <w:spacing w:before="0" w:after="283"/>
              <w:jc w:val="left"/>
              <w:rPr>
                <w:sz w:val="4"/>
                <w:szCs w:val="4"/>
              </w:rPr>
            </w:pPr>
            <w:r>
              <w:rPr>
                <w:sz w:val="4"/>
                <w:szCs w:val="4"/>
              </w:rPr>
            </w:r>
          </w:p>
        </w:tc>
        <w:tc>
          <w:tcPr>
            <w:tcW w:w="258" w:type="dxa"/>
            <w:tcBorders/>
            <w:vAlign w:val="center"/>
          </w:tcPr>
          <w:p>
            <w:pPr>
              <w:pStyle w:val="TableContents"/>
              <w:bidi w:val="0"/>
              <w:spacing w:before="0" w:after="283"/>
              <w:jc w:val="left"/>
              <w:rPr>
                <w:sz w:val="4"/>
                <w:szCs w:val="4"/>
              </w:rPr>
            </w:pPr>
            <w:r>
              <w:rPr>
                <w:sz w:val="4"/>
                <w:szCs w:val="4"/>
              </w:rPr>
            </w:r>
          </w:p>
        </w:tc>
        <w:tc>
          <w:tcPr>
            <w:tcW w:w="945" w:type="dxa"/>
            <w:tcBorders/>
            <w:vAlign w:val="center"/>
          </w:tcPr>
          <w:p>
            <w:pPr>
              <w:pStyle w:val="TableContents"/>
              <w:bidi w:val="0"/>
              <w:spacing w:before="0" w:after="283"/>
              <w:jc w:val="left"/>
              <w:rPr>
                <w:sz w:val="4"/>
                <w:szCs w:val="4"/>
              </w:rPr>
            </w:pPr>
            <w:r>
              <w:rPr>
                <w:sz w:val="4"/>
                <w:szCs w:val="4"/>
              </w:rPr>
            </w:r>
          </w:p>
        </w:tc>
        <w:tc>
          <w:tcPr>
            <w:tcW w:w="124" w:type="dxa"/>
            <w:tcBorders/>
            <w:vAlign w:val="center"/>
          </w:tcPr>
          <w:p>
            <w:pPr>
              <w:pStyle w:val="TableContents"/>
              <w:bidi w:val="0"/>
              <w:spacing w:before="0" w:after="283"/>
              <w:jc w:val="left"/>
              <w:rPr>
                <w:sz w:val="4"/>
                <w:szCs w:val="4"/>
              </w:rPr>
            </w:pPr>
            <w:r>
              <w:rPr>
                <w:sz w:val="4"/>
                <w:szCs w:val="4"/>
              </w:rPr>
            </w:r>
          </w:p>
        </w:tc>
        <w:tc>
          <w:tcPr>
            <w:tcW w:w="124" w:type="dxa"/>
            <w:tcBorders/>
            <w:vAlign w:val="center"/>
          </w:tcPr>
          <w:p>
            <w:pPr>
              <w:pStyle w:val="TableContents"/>
              <w:bidi w:val="0"/>
              <w:spacing w:before="0" w:after="283"/>
              <w:jc w:val="left"/>
              <w:rPr>
                <w:sz w:val="4"/>
                <w:szCs w:val="4"/>
              </w:rPr>
            </w:pPr>
            <w:r>
              <w:rPr>
                <w:sz w:val="4"/>
                <w:szCs w:val="4"/>
              </w:rPr>
            </w:r>
          </w:p>
        </w:tc>
        <w:tc>
          <w:tcPr>
            <w:tcW w:w="124" w:type="dxa"/>
            <w:tcBorders/>
            <w:vAlign w:val="center"/>
          </w:tcPr>
          <w:p>
            <w:pPr>
              <w:pStyle w:val="TableContents"/>
              <w:bidi w:val="0"/>
              <w:spacing w:before="0" w:after="283"/>
              <w:jc w:val="left"/>
              <w:rPr>
                <w:sz w:val="4"/>
                <w:szCs w:val="4"/>
              </w:rPr>
            </w:pPr>
            <w:r>
              <w:rPr>
                <w:sz w:val="4"/>
                <w:szCs w:val="4"/>
              </w:rPr>
            </w:r>
          </w:p>
        </w:tc>
        <w:tc>
          <w:tcPr>
            <w:tcW w:w="124" w:type="dxa"/>
            <w:tcBorders/>
            <w:vAlign w:val="center"/>
          </w:tcPr>
          <w:p>
            <w:pPr>
              <w:pStyle w:val="TableContents"/>
              <w:bidi w:val="0"/>
              <w:spacing w:before="0" w:after="283"/>
              <w:jc w:val="left"/>
              <w:rPr>
                <w:sz w:val="4"/>
                <w:szCs w:val="4"/>
              </w:rPr>
            </w:pPr>
            <w:r>
              <w:rPr>
                <w:sz w:val="4"/>
                <w:szCs w:val="4"/>
              </w:rPr>
            </w:r>
          </w:p>
        </w:tc>
        <w:tc>
          <w:tcPr>
            <w:tcW w:w="258" w:type="dxa"/>
            <w:tcBorders/>
            <w:vAlign w:val="center"/>
          </w:tcPr>
          <w:p>
            <w:pPr>
              <w:pStyle w:val="TableContents"/>
              <w:bidi w:val="0"/>
              <w:spacing w:before="0" w:after="283"/>
              <w:jc w:val="left"/>
              <w:rPr>
                <w:sz w:val="4"/>
                <w:szCs w:val="4"/>
              </w:rPr>
            </w:pPr>
            <w:r>
              <w:rPr>
                <w:sz w:val="4"/>
                <w:szCs w:val="4"/>
              </w:rPr>
            </w:r>
          </w:p>
        </w:tc>
        <w:tc>
          <w:tcPr>
            <w:tcW w:w="945" w:type="dxa"/>
            <w:tcBorders/>
            <w:vAlign w:val="center"/>
          </w:tcPr>
          <w:p>
            <w:pPr>
              <w:pStyle w:val="TableContents"/>
              <w:bidi w:val="0"/>
              <w:spacing w:before="0" w:after="283"/>
              <w:jc w:val="left"/>
              <w:rPr>
                <w:sz w:val="4"/>
                <w:szCs w:val="4"/>
              </w:rPr>
            </w:pPr>
            <w:r>
              <w:rPr>
                <w:sz w:val="4"/>
                <w:szCs w:val="4"/>
              </w:rPr>
            </w:r>
          </w:p>
        </w:tc>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7" w:type="dxa"/>
            <w:tcBorders/>
            <w:vAlign w:val="center"/>
          </w:tcPr>
          <w:p>
            <w:pPr>
              <w:pStyle w:val="TableContents"/>
              <w:bidi w:val="0"/>
              <w:spacing w:before="0" w:after="283"/>
              <w:jc w:val="left"/>
              <w:rPr>
                <w:sz w:val="4"/>
                <w:szCs w:val="4"/>
              </w:rPr>
            </w:pPr>
            <w:r>
              <w:rPr>
                <w:sz w:val="4"/>
                <w:szCs w:val="4"/>
              </w:rPr>
            </w:r>
          </w:p>
        </w:tc>
        <w:tc>
          <w:tcPr>
            <w:tcW w:w="188" w:type="dxa"/>
            <w:tcBorders/>
            <w:vAlign w:val="center"/>
          </w:tcPr>
          <w:p>
            <w:pPr>
              <w:pStyle w:val="TableContents"/>
              <w:bidi w:val="0"/>
              <w:spacing w:before="0" w:after="283"/>
              <w:jc w:val="left"/>
              <w:rPr>
                <w:sz w:val="4"/>
                <w:szCs w:val="4"/>
              </w:rPr>
            </w:pPr>
            <w:r>
              <w:rPr>
                <w:sz w:val="4"/>
                <w:szCs w:val="4"/>
              </w:rPr>
            </w:r>
          </w:p>
        </w:tc>
        <w:tc>
          <w:tcPr>
            <w:tcW w:w="331" w:type="dxa"/>
            <w:tcBorders/>
            <w:vAlign w:val="center"/>
          </w:tcPr>
          <w:p>
            <w:pPr>
              <w:pStyle w:val="TableContents"/>
              <w:bidi w:val="0"/>
              <w:spacing w:before="0" w:after="283"/>
              <w:jc w:val="left"/>
              <w:rPr>
                <w:sz w:val="4"/>
                <w:szCs w:val="4"/>
              </w:rPr>
            </w:pPr>
            <w:r>
              <w:rPr>
                <w:sz w:val="4"/>
                <w:szCs w:val="4"/>
              </w:rPr>
            </w:r>
          </w:p>
        </w:tc>
      </w:tr>
      <w:tr>
        <w:trPr/>
        <w:tc>
          <w:tcPr>
            <w:tcW w:w="2789" w:type="dxa"/>
            <w:gridSpan w:val="3"/>
            <w:tcBorders>
              <w:top w:val="single" w:sz="1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26" w:type="dxa"/>
            <w:gridSpan w:val="9"/>
            <w:tcBorders>
              <w:top w:val="single" w:sz="16"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Expensify Neue;sans-serif" w:hAnsi="Expensify Neue;sans-serif"/>
                <w:b/>
                <w:color w:val="000000"/>
                <w:sz w:val="16"/>
              </w:rPr>
            </w:pPr>
            <w:r>
              <w:rPr>
                <w:rFonts w:ascii="Expensify Neue;sans-serif" w:hAnsi="Expensify Neue;sans-serif"/>
                <w:b/>
                <w:color w:val="000000"/>
                <w:sz w:val="16"/>
              </w:rPr>
              <w:t>Three Months Ended March 31,</w:t>
            </w:r>
          </w:p>
        </w:tc>
        <w:tc>
          <w:tcPr>
            <w:tcW w:w="327" w:type="dxa"/>
            <w:gridSpan w:val="3"/>
            <w:tcBorders>
              <w:top w:val="single" w:sz="1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84" w:type="dxa"/>
            <w:gridSpan w:val="9"/>
            <w:tcBorders>
              <w:top w:val="single" w:sz="16"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Expensify Neue;sans-serif" w:hAnsi="Expensify Neue;sans-serif"/>
                <w:b/>
                <w:color w:val="000000"/>
                <w:sz w:val="16"/>
              </w:rPr>
            </w:pPr>
            <w:r>
              <w:rPr>
                <w:rFonts w:ascii="Expensify Neue;sans-serif" w:hAnsi="Expensify Neue;sans-serif"/>
                <w:b/>
                <w:color w:val="000000"/>
                <w:sz w:val="16"/>
              </w:rPr>
              <w:t>Change</w:t>
            </w:r>
          </w:p>
        </w:tc>
      </w:tr>
      <w:tr>
        <w:trPr/>
        <w:tc>
          <w:tcPr>
            <w:tcW w:w="27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Expensify Neue;sans-serif" w:hAnsi="Expensify Neue;sans-serif"/>
                <w:b/>
                <w:color w:val="000000"/>
                <w:sz w:val="16"/>
              </w:rPr>
            </w:pPr>
            <w:r>
              <w:rPr>
                <w:rFonts w:ascii="Expensify Neue;sans-serif" w:hAnsi="Expensify Neue;sans-serif"/>
                <w:b/>
                <w:color w:val="000000"/>
                <w:sz w:val="16"/>
              </w:rPr>
              <w:t>2025</w:t>
            </w:r>
          </w:p>
        </w:tc>
        <w:tc>
          <w:tcPr>
            <w:tcW w:w="372"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7"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Expensify Neue;sans-serif" w:hAnsi="Expensify Neue;sans-serif"/>
                <w:b/>
                <w:color w:val="000000"/>
                <w:sz w:val="16"/>
              </w:rPr>
            </w:pPr>
            <w:r>
              <w:rPr>
                <w:rFonts w:ascii="Expensify Neue;sans-serif" w:hAnsi="Expensify Neue;sans-serif"/>
                <w:b/>
                <w:color w:val="000000"/>
                <w:sz w:val="16"/>
              </w:rPr>
              <w:t>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Expensify Neue;sans-serif" w:hAnsi="Expensify Neue;sans-serif"/>
                <w:b/>
                <w:color w:val="000000"/>
                <w:sz w:val="16"/>
              </w:rPr>
            </w:pPr>
            <w:r>
              <w:rPr>
                <w:rFonts w:ascii="Expensify Neue;sans-serif" w:hAnsi="Expensify Neue;sans-serif"/>
                <w:b/>
                <w:color w:val="000000"/>
                <w:sz w:val="16"/>
              </w:rPr>
              <w:t>Amount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6"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Expensify Neue;sans-serif" w:hAnsi="Expensify Neue;sans-serif"/>
                <w:b/>
                <w:color w:val="000000"/>
                <w:sz w:val="16"/>
              </w:rPr>
            </w:pPr>
            <w:r>
              <w:rPr>
                <w:rFonts w:ascii="Expensify Neue;sans-serif" w:hAnsi="Expensify Neue;sans-serif"/>
                <w:b/>
                <w:color w:val="000000"/>
                <w:sz w:val="16"/>
              </w:rPr>
              <w:t>%</w:t>
            </w:r>
          </w:p>
        </w:tc>
      </w:tr>
      <w:tr>
        <w:trPr/>
        <w:tc>
          <w:tcPr>
            <w:tcW w:w="27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37" w:type="dxa"/>
            <w:gridSpan w:val="21"/>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Expensify Neue;sans-serif" w:hAnsi="Expensify Neue;sans-serif"/>
                <w:b/>
                <w:color w:val="000000"/>
                <w:sz w:val="16"/>
              </w:rPr>
            </w:pPr>
            <w:r>
              <w:rPr>
                <w:rFonts w:ascii="Expensify Neue;sans-serif" w:hAnsi="Expensify Neue;sans-serif"/>
                <w:b/>
                <w:color w:val="000000"/>
                <w:sz w:val="16"/>
              </w:rPr>
              <w:t>(in thousands, except percentages)</w:t>
            </w:r>
          </w:p>
        </w:tc>
      </w:tr>
      <w:tr>
        <w:trPr/>
        <w:tc>
          <w:tcPr>
            <w:tcW w:w="278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Expensify Neue;sans-serif" w:hAnsi="Expensify Neue;sans-serif"/>
                <w:b w:val="false"/>
                <w:color w:val="000000"/>
                <w:sz w:val="20"/>
              </w:rPr>
            </w:pPr>
            <w:r>
              <w:rPr>
                <w:rFonts w:ascii="Expensify Neue;sans-serif" w:hAnsi="Expensify Neue;sans-serif"/>
                <w:b w:val="false"/>
                <w:color w:val="000000"/>
                <w:sz w:val="20"/>
              </w:rPr>
              <w:t>General and administrative</w:t>
            </w:r>
          </w:p>
        </w:tc>
        <w:tc>
          <w:tcPr>
            <w:tcW w:w="258"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Expensify Neue;sans-serif" w:hAnsi="Expensify Neue;sans-serif"/>
                <w:b w:val="false"/>
                <w:color w:val="000000"/>
                <w:sz w:val="20"/>
              </w:rPr>
            </w:pPr>
            <w:r>
              <w:rPr>
                <w:rFonts w:ascii="Expensify Neue;sans-serif" w:hAnsi="Expensify Neue;sans-serif"/>
                <w:b w:val="false"/>
                <w:color w:val="000000"/>
                <w:sz w:val="20"/>
              </w:rPr>
              <w:t>$</w:t>
            </w:r>
          </w:p>
        </w:tc>
        <w:tc>
          <w:tcPr>
            <w:tcW w:w="94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Expensify Neue;sans-serif" w:hAnsi="Expensify Neue;sans-serif"/>
                <w:b w:val="false"/>
                <w:color w:val="000000"/>
                <w:sz w:val="20"/>
              </w:rPr>
            </w:pPr>
            <w:r>
              <w:rPr>
                <w:rFonts w:ascii="Expensify Neue;sans-serif" w:hAnsi="Expensify Neue;sans-serif"/>
                <w:b w:val="false"/>
                <w:color w:val="000000"/>
                <w:sz w:val="20"/>
              </w:rPr>
              <w:t>10,829 </w:t>
            </w:r>
          </w:p>
        </w:tc>
        <w:tc>
          <w:tcPr>
            <w:tcW w:w="12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8"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Expensify Neue;sans-serif" w:hAnsi="Expensify Neue;sans-serif"/>
                <w:b w:val="false"/>
                <w:color w:val="000000"/>
                <w:sz w:val="20"/>
              </w:rPr>
            </w:pPr>
            <w:r>
              <w:rPr>
                <w:rFonts w:ascii="Expensify Neue;sans-serif" w:hAnsi="Expensify Neue;sans-serif"/>
                <w:b w:val="false"/>
                <w:color w:val="000000"/>
                <w:sz w:val="20"/>
              </w:rPr>
              <w:t>$</w:t>
            </w:r>
          </w:p>
        </w:tc>
        <w:tc>
          <w:tcPr>
            <w:tcW w:w="94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Expensify Neue;sans-serif" w:hAnsi="Expensify Neue;sans-serif"/>
                <w:b w:val="false"/>
                <w:color w:val="000000"/>
                <w:sz w:val="20"/>
              </w:rPr>
            </w:pPr>
            <w:r>
              <w:rPr>
                <w:rFonts w:ascii="Expensify Neue;sans-serif" w:hAnsi="Expensify Neue;sans-serif"/>
                <w:b w:val="false"/>
                <w:color w:val="000000"/>
                <w:sz w:val="20"/>
              </w:rPr>
              <w:t>11,431 </w:t>
            </w:r>
          </w:p>
        </w:tc>
        <w:tc>
          <w:tcPr>
            <w:tcW w:w="12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Expensify Neue;sans-serif" w:hAnsi="Expensify Neue;sans-serif"/>
                <w:b w:val="false"/>
                <w:color w:val="000000"/>
                <w:sz w:val="20"/>
              </w:rPr>
            </w:pPr>
            <w:r>
              <w:rPr>
                <w:rFonts w:ascii="Expensify Neue;sans-serif" w:hAnsi="Expensify Neue;sans-serif"/>
                <w:b w:val="false"/>
                <w:color w:val="000000"/>
                <w:sz w:val="20"/>
              </w:rPr>
              <w:t>$</w:t>
            </w:r>
          </w:p>
        </w:tc>
        <w:tc>
          <w:tcPr>
            <w:tcW w:w="6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Expensify Neue;sans-serif" w:hAnsi="Expensify Neue;sans-serif"/>
                <w:b w:val="false"/>
                <w:color w:val="000000"/>
                <w:sz w:val="20"/>
              </w:rPr>
            </w:pPr>
            <w:r>
              <w:rPr>
                <w:rFonts w:ascii="Expensify Neue;sans-serif" w:hAnsi="Expensify Neue;sans-serif"/>
                <w:b w:val="false"/>
                <w:color w:val="000000"/>
                <w:sz w:val="20"/>
              </w:rPr>
              <w:t>(602)</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Expensify Neue;sans-serif" w:hAnsi="Expensify Neue;sans-serif"/>
                <w:b w:val="false"/>
                <w:color w:val="000000"/>
                <w:sz w:val="20"/>
              </w:rPr>
            </w:pPr>
            <w:r>
              <w:rPr>
                <w:rFonts w:ascii="Expensify Neue;sans-serif" w:hAnsi="Expensify Neue;sans-serif"/>
                <w:b w:val="false"/>
                <w:color w:val="000000"/>
                <w:sz w:val="20"/>
              </w:rPr>
              <w:t>(5)</w:t>
            </w:r>
          </w:p>
        </w:tc>
        <w:tc>
          <w:tcPr>
            <w:tcW w:w="33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Expensify Neue;sans-serif" w:hAnsi="Expensify Neue;sans-serif"/>
                <w:b w:val="false"/>
                <w:color w:val="000000"/>
                <w:sz w:val="20"/>
              </w:rPr>
            </w:pPr>
            <w:r>
              <w:rPr>
                <w:rFonts w:ascii="Expensify Neue;sans-serif" w:hAnsi="Expensify Neue;sans-serif"/>
                <w:b w:val="false"/>
                <w:color w:val="000000"/>
                <w:sz w:val="20"/>
              </w:rPr>
              <w:t>%</w:t>
            </w:r>
          </w:p>
        </w:tc>
      </w:tr>
      <w:tr>
        <w:trPr/>
        <w:tc>
          <w:tcPr>
            <w:tcW w:w="2789" w:type="dxa"/>
            <w:gridSpan w:val="3"/>
            <w:tcBorders>
              <w:bottom w:val="single" w:sz="8" w:space="0" w:color="000000"/>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327" w:type="dxa"/>
            <w:gridSpan w:val="3"/>
            <w:tcBorders>
              <w:bottom w:val="single" w:sz="8" w:space="0" w:color="000000"/>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bottom w:val="single" w:sz="8" w:space="0" w:color="000000"/>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327" w:type="dxa"/>
            <w:gridSpan w:val="3"/>
            <w:tcBorders>
              <w:bottom w:val="single" w:sz="8" w:space="0" w:color="000000"/>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8" w:space="0" w:color="000000"/>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bottom w:val="single" w:sz="8" w:space="0" w:color="000000"/>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8" w:space="0" w:color="000000"/>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706" w:type="dxa"/>
            <w:gridSpan w:val="3"/>
            <w:tcBorders>
              <w:bottom w:val="single" w:sz="8" w:space="0" w:color="000000"/>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160"/>
        <w:jc w:val="left"/>
        <w:rPr>
          <w:rFonts w:ascii="Expensify Neue;sans-serif" w:hAnsi="Expensify Neue;sans-serif"/>
          <w:b w:val="false"/>
          <w:color w:val="000000"/>
          <w:sz w:val="20"/>
        </w:rPr>
      </w:pPr>
      <w:r>
        <w:rPr>
          <w:rFonts w:ascii="Expensify Neue;sans-serif" w:hAnsi="Expensify Neue;sans-serif"/>
          <w:b w:val="false"/>
          <w:color w:val="000000"/>
          <w:sz w:val="20"/>
        </w:rPr>
        <w:t>General and administrative expenses decreased by $0.6 million, or 5%, for the three months ended March 31, 2025 compared to the same period in 2024, primarily due to a decrease in business insurance expense.</w:t>
      </w:r>
    </w:p>
    <w:p>
      <w:pPr>
        <w:pStyle w:val="TextBody"/>
        <w:bidi w:val="0"/>
        <w:spacing w:lineRule="auto" w:line="288" w:before="0" w:after="160"/>
        <w:jc w:val="left"/>
        <w:rPr>
          <w:rFonts w:ascii="Expensify Neue;sans-serif" w:hAnsi="Expensify Neue;sans-serif"/>
          <w:b/>
          <w:i/>
          <w:color w:val="000000"/>
          <w:sz w:val="20"/>
        </w:rPr>
      </w:pPr>
      <w:r>
        <w:rPr>
          <w:rFonts w:ascii="Expensify Neue;sans-serif" w:hAnsi="Expensify Neue;sans-serif"/>
          <w:b/>
          <w:i/>
          <w:color w:val="000000"/>
          <w:sz w:val="20"/>
        </w:rPr>
        <w:t>Sales and Marketing</w:t>
      </w:r>
    </w:p>
    <w:tbl>
      <w:tblPr>
        <w:tblW w:w="7291" w:type="dxa"/>
        <w:jc w:val="center"/>
        <w:tblInd w:w="0" w:type="dxa"/>
        <w:tblLayout w:type="fixed"/>
        <w:tblCellMar>
          <w:top w:w="28" w:type="dxa"/>
          <w:left w:w="28" w:type="dxa"/>
          <w:bottom w:w="28" w:type="dxa"/>
          <w:right w:w="28" w:type="dxa"/>
        </w:tblCellMar>
      </w:tblPr>
      <w:tblGrid>
        <w:gridCol w:w="772"/>
        <w:gridCol w:w="677"/>
        <w:gridCol w:w="681"/>
        <w:gridCol w:w="284"/>
        <w:gridCol w:w="888"/>
        <w:gridCol w:w="137"/>
        <w:gridCol w:w="137"/>
        <w:gridCol w:w="137"/>
        <w:gridCol w:w="137"/>
        <w:gridCol w:w="284"/>
        <w:gridCol w:w="888"/>
        <w:gridCol w:w="137"/>
        <w:gridCol w:w="109"/>
        <w:gridCol w:w="109"/>
        <w:gridCol w:w="109"/>
        <w:gridCol w:w="226"/>
        <w:gridCol w:w="526"/>
        <w:gridCol w:w="109"/>
        <w:gridCol w:w="109"/>
        <w:gridCol w:w="109"/>
        <w:gridCol w:w="109"/>
        <w:gridCol w:w="143"/>
        <w:gridCol w:w="143"/>
        <w:gridCol w:w="331"/>
      </w:tblGrid>
      <w:tr>
        <w:trPr/>
        <w:tc>
          <w:tcPr>
            <w:tcW w:w="772" w:type="dxa"/>
            <w:tcBorders/>
            <w:vAlign w:val="center"/>
          </w:tcPr>
          <w:p>
            <w:pPr>
              <w:pStyle w:val="TableContents"/>
              <w:bidi w:val="0"/>
              <w:spacing w:before="0" w:after="283"/>
              <w:jc w:val="left"/>
              <w:rPr>
                <w:sz w:val="4"/>
                <w:szCs w:val="4"/>
              </w:rPr>
            </w:pPr>
            <w:r>
              <w:rPr>
                <w:sz w:val="4"/>
                <w:szCs w:val="4"/>
              </w:rPr>
            </w:r>
          </w:p>
        </w:tc>
        <w:tc>
          <w:tcPr>
            <w:tcW w:w="677" w:type="dxa"/>
            <w:tcBorders/>
            <w:vAlign w:val="center"/>
          </w:tcPr>
          <w:p>
            <w:pPr>
              <w:pStyle w:val="TableContents"/>
              <w:bidi w:val="0"/>
              <w:spacing w:before="0" w:after="283"/>
              <w:jc w:val="left"/>
              <w:rPr>
                <w:sz w:val="4"/>
                <w:szCs w:val="4"/>
              </w:rPr>
            </w:pPr>
            <w:r>
              <w:rPr>
                <w:sz w:val="4"/>
                <w:szCs w:val="4"/>
              </w:rPr>
            </w:r>
          </w:p>
        </w:tc>
        <w:tc>
          <w:tcPr>
            <w:tcW w:w="681" w:type="dxa"/>
            <w:tcBorders/>
            <w:vAlign w:val="center"/>
          </w:tcPr>
          <w:p>
            <w:pPr>
              <w:pStyle w:val="TableContents"/>
              <w:bidi w:val="0"/>
              <w:spacing w:before="0" w:after="283"/>
              <w:jc w:val="left"/>
              <w:rPr>
                <w:sz w:val="4"/>
                <w:szCs w:val="4"/>
              </w:rPr>
            </w:pPr>
            <w:r>
              <w:rPr>
                <w:sz w:val="4"/>
                <w:szCs w:val="4"/>
              </w:rPr>
            </w:r>
          </w:p>
        </w:tc>
        <w:tc>
          <w:tcPr>
            <w:tcW w:w="284" w:type="dxa"/>
            <w:tcBorders/>
            <w:vAlign w:val="center"/>
          </w:tcPr>
          <w:p>
            <w:pPr>
              <w:pStyle w:val="TableContents"/>
              <w:bidi w:val="0"/>
              <w:spacing w:before="0" w:after="283"/>
              <w:jc w:val="left"/>
              <w:rPr>
                <w:sz w:val="4"/>
                <w:szCs w:val="4"/>
              </w:rPr>
            </w:pPr>
            <w:r>
              <w:rPr>
                <w:sz w:val="4"/>
                <w:szCs w:val="4"/>
              </w:rPr>
            </w:r>
          </w:p>
        </w:tc>
        <w:tc>
          <w:tcPr>
            <w:tcW w:w="888" w:type="dxa"/>
            <w:tcBorders/>
            <w:vAlign w:val="center"/>
          </w:tcPr>
          <w:p>
            <w:pPr>
              <w:pStyle w:val="TableContents"/>
              <w:bidi w:val="0"/>
              <w:spacing w:before="0" w:after="283"/>
              <w:jc w:val="left"/>
              <w:rPr>
                <w:sz w:val="4"/>
                <w:szCs w:val="4"/>
              </w:rPr>
            </w:pPr>
            <w:r>
              <w:rPr>
                <w:sz w:val="4"/>
                <w:szCs w:val="4"/>
              </w:rPr>
            </w:r>
          </w:p>
        </w:tc>
        <w:tc>
          <w:tcPr>
            <w:tcW w:w="137" w:type="dxa"/>
            <w:tcBorders/>
            <w:vAlign w:val="center"/>
          </w:tcPr>
          <w:p>
            <w:pPr>
              <w:pStyle w:val="TableContents"/>
              <w:bidi w:val="0"/>
              <w:spacing w:before="0" w:after="283"/>
              <w:jc w:val="left"/>
              <w:rPr>
                <w:sz w:val="4"/>
                <w:szCs w:val="4"/>
              </w:rPr>
            </w:pPr>
            <w:r>
              <w:rPr>
                <w:sz w:val="4"/>
                <w:szCs w:val="4"/>
              </w:rPr>
            </w:r>
          </w:p>
        </w:tc>
        <w:tc>
          <w:tcPr>
            <w:tcW w:w="137" w:type="dxa"/>
            <w:tcBorders/>
            <w:vAlign w:val="center"/>
          </w:tcPr>
          <w:p>
            <w:pPr>
              <w:pStyle w:val="TableContents"/>
              <w:bidi w:val="0"/>
              <w:spacing w:before="0" w:after="283"/>
              <w:jc w:val="left"/>
              <w:rPr>
                <w:sz w:val="4"/>
                <w:szCs w:val="4"/>
              </w:rPr>
            </w:pPr>
            <w:r>
              <w:rPr>
                <w:sz w:val="4"/>
                <w:szCs w:val="4"/>
              </w:rPr>
            </w:r>
          </w:p>
        </w:tc>
        <w:tc>
          <w:tcPr>
            <w:tcW w:w="137" w:type="dxa"/>
            <w:tcBorders/>
            <w:vAlign w:val="center"/>
          </w:tcPr>
          <w:p>
            <w:pPr>
              <w:pStyle w:val="TableContents"/>
              <w:bidi w:val="0"/>
              <w:spacing w:before="0" w:after="283"/>
              <w:jc w:val="left"/>
              <w:rPr>
                <w:sz w:val="4"/>
                <w:szCs w:val="4"/>
              </w:rPr>
            </w:pPr>
            <w:r>
              <w:rPr>
                <w:sz w:val="4"/>
                <w:szCs w:val="4"/>
              </w:rPr>
            </w:r>
          </w:p>
        </w:tc>
        <w:tc>
          <w:tcPr>
            <w:tcW w:w="137" w:type="dxa"/>
            <w:tcBorders/>
            <w:vAlign w:val="center"/>
          </w:tcPr>
          <w:p>
            <w:pPr>
              <w:pStyle w:val="TableContents"/>
              <w:bidi w:val="0"/>
              <w:spacing w:before="0" w:after="283"/>
              <w:jc w:val="left"/>
              <w:rPr>
                <w:sz w:val="4"/>
                <w:szCs w:val="4"/>
              </w:rPr>
            </w:pPr>
            <w:r>
              <w:rPr>
                <w:sz w:val="4"/>
                <w:szCs w:val="4"/>
              </w:rPr>
            </w:r>
          </w:p>
        </w:tc>
        <w:tc>
          <w:tcPr>
            <w:tcW w:w="284" w:type="dxa"/>
            <w:tcBorders/>
            <w:vAlign w:val="center"/>
          </w:tcPr>
          <w:p>
            <w:pPr>
              <w:pStyle w:val="TableContents"/>
              <w:bidi w:val="0"/>
              <w:spacing w:before="0" w:after="283"/>
              <w:jc w:val="left"/>
              <w:rPr>
                <w:sz w:val="4"/>
                <w:szCs w:val="4"/>
              </w:rPr>
            </w:pPr>
            <w:r>
              <w:rPr>
                <w:sz w:val="4"/>
                <w:szCs w:val="4"/>
              </w:rPr>
            </w:r>
          </w:p>
        </w:tc>
        <w:tc>
          <w:tcPr>
            <w:tcW w:w="888" w:type="dxa"/>
            <w:tcBorders/>
            <w:vAlign w:val="center"/>
          </w:tcPr>
          <w:p>
            <w:pPr>
              <w:pStyle w:val="TableContents"/>
              <w:bidi w:val="0"/>
              <w:spacing w:before="0" w:after="283"/>
              <w:jc w:val="left"/>
              <w:rPr>
                <w:sz w:val="4"/>
                <w:szCs w:val="4"/>
              </w:rPr>
            </w:pPr>
            <w:r>
              <w:rPr>
                <w:sz w:val="4"/>
                <w:szCs w:val="4"/>
              </w:rPr>
            </w:r>
          </w:p>
        </w:tc>
        <w:tc>
          <w:tcPr>
            <w:tcW w:w="13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5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43" w:type="dxa"/>
            <w:tcBorders/>
            <w:vAlign w:val="center"/>
          </w:tcPr>
          <w:p>
            <w:pPr>
              <w:pStyle w:val="TableContents"/>
              <w:bidi w:val="0"/>
              <w:spacing w:before="0" w:after="283"/>
              <w:jc w:val="left"/>
              <w:rPr>
                <w:sz w:val="4"/>
                <w:szCs w:val="4"/>
              </w:rPr>
            </w:pPr>
            <w:r>
              <w:rPr>
                <w:sz w:val="4"/>
                <w:szCs w:val="4"/>
              </w:rPr>
            </w:r>
          </w:p>
        </w:tc>
        <w:tc>
          <w:tcPr>
            <w:tcW w:w="143" w:type="dxa"/>
            <w:tcBorders/>
            <w:vAlign w:val="center"/>
          </w:tcPr>
          <w:p>
            <w:pPr>
              <w:pStyle w:val="TableContents"/>
              <w:bidi w:val="0"/>
              <w:spacing w:before="0" w:after="283"/>
              <w:jc w:val="left"/>
              <w:rPr>
                <w:sz w:val="4"/>
                <w:szCs w:val="4"/>
              </w:rPr>
            </w:pPr>
            <w:r>
              <w:rPr>
                <w:sz w:val="4"/>
                <w:szCs w:val="4"/>
              </w:rPr>
            </w:r>
          </w:p>
        </w:tc>
        <w:tc>
          <w:tcPr>
            <w:tcW w:w="331" w:type="dxa"/>
            <w:tcBorders/>
            <w:vAlign w:val="center"/>
          </w:tcPr>
          <w:p>
            <w:pPr>
              <w:pStyle w:val="TableContents"/>
              <w:bidi w:val="0"/>
              <w:spacing w:before="0" w:after="283"/>
              <w:jc w:val="left"/>
              <w:rPr>
                <w:sz w:val="4"/>
                <w:szCs w:val="4"/>
              </w:rPr>
            </w:pPr>
            <w:r>
              <w:rPr>
                <w:sz w:val="4"/>
                <w:szCs w:val="4"/>
              </w:rPr>
            </w:r>
          </w:p>
        </w:tc>
      </w:tr>
      <w:tr>
        <w:trPr/>
        <w:tc>
          <w:tcPr>
            <w:tcW w:w="2130" w:type="dxa"/>
            <w:gridSpan w:val="3"/>
            <w:tcBorders>
              <w:top w:val="single" w:sz="1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29" w:type="dxa"/>
            <w:gridSpan w:val="9"/>
            <w:tcBorders>
              <w:top w:val="single" w:sz="16"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Expensify Neue;sans-serif" w:hAnsi="Expensify Neue;sans-serif"/>
                <w:b/>
                <w:color w:val="000000"/>
                <w:sz w:val="16"/>
              </w:rPr>
            </w:pPr>
            <w:r>
              <w:rPr>
                <w:rFonts w:ascii="Expensify Neue;sans-serif" w:hAnsi="Expensify Neue;sans-serif"/>
                <w:b/>
                <w:color w:val="000000"/>
                <w:sz w:val="16"/>
              </w:rPr>
              <w:t>Three Months Ended March 31,</w:t>
            </w:r>
          </w:p>
        </w:tc>
        <w:tc>
          <w:tcPr>
            <w:tcW w:w="327" w:type="dxa"/>
            <w:gridSpan w:val="3"/>
            <w:tcBorders>
              <w:top w:val="single" w:sz="1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05" w:type="dxa"/>
            <w:gridSpan w:val="9"/>
            <w:tcBorders>
              <w:top w:val="single" w:sz="16"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Expensify Neue;sans-serif" w:hAnsi="Expensify Neue;sans-serif"/>
                <w:b/>
                <w:color w:val="000000"/>
                <w:sz w:val="16"/>
              </w:rPr>
            </w:pPr>
            <w:r>
              <w:rPr>
                <w:rFonts w:ascii="Expensify Neue;sans-serif" w:hAnsi="Expensify Neue;sans-serif"/>
                <w:b/>
                <w:color w:val="000000"/>
                <w:sz w:val="16"/>
              </w:rPr>
              <w:t>Change</w:t>
            </w:r>
          </w:p>
        </w:tc>
      </w:tr>
      <w:tr>
        <w:trPr/>
        <w:tc>
          <w:tcPr>
            <w:tcW w:w="21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Expensify Neue;sans-serif" w:hAnsi="Expensify Neue;sans-serif"/>
                <w:b/>
                <w:color w:val="000000"/>
                <w:sz w:val="16"/>
              </w:rPr>
            </w:pPr>
            <w:r>
              <w:rPr>
                <w:rFonts w:ascii="Expensify Neue;sans-serif" w:hAnsi="Expensify Neue;sans-serif"/>
                <w:b/>
                <w:color w:val="000000"/>
                <w:sz w:val="16"/>
              </w:rPr>
              <w:t>2025</w:t>
            </w:r>
          </w:p>
        </w:tc>
        <w:tc>
          <w:tcPr>
            <w:tcW w:w="41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9"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Expensify Neue;sans-serif" w:hAnsi="Expensify Neue;sans-serif"/>
                <w:b/>
                <w:color w:val="000000"/>
                <w:sz w:val="16"/>
              </w:rPr>
            </w:pPr>
            <w:r>
              <w:rPr>
                <w:rFonts w:ascii="Expensify Neue;sans-serif" w:hAnsi="Expensify Neue;sans-serif"/>
                <w:b/>
                <w:color w:val="000000"/>
                <w:sz w:val="16"/>
              </w:rPr>
              <w:t>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88" w:before="0" w:after="283"/>
              <w:jc w:val="center"/>
              <w:rPr>
                <w:rFonts w:ascii="Expensify Neue;sans-serif" w:hAnsi="Expensify Neue;sans-serif"/>
                <w:b/>
                <w:color w:val="000000"/>
                <w:sz w:val="16"/>
              </w:rPr>
            </w:pPr>
            <w:r>
              <w:rPr>
                <w:rFonts w:ascii="Expensify Neue;sans-serif" w:hAnsi="Expensify Neue;sans-serif"/>
                <w:b/>
                <w:color w:val="000000"/>
                <w:sz w:val="16"/>
              </w:rPr>
              <w:t>Amount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88" w:before="0" w:after="283"/>
              <w:jc w:val="center"/>
              <w:rPr>
                <w:rFonts w:ascii="Expensify Neue;sans-serif" w:hAnsi="Expensify Neue;sans-serif"/>
                <w:b/>
                <w:color w:val="000000"/>
                <w:sz w:val="16"/>
              </w:rPr>
            </w:pPr>
            <w:r>
              <w:rPr>
                <w:rFonts w:ascii="Expensify Neue;sans-serif" w:hAnsi="Expensify Neue;sans-serif"/>
                <w:b/>
                <w:color w:val="000000"/>
                <w:sz w:val="16"/>
              </w:rPr>
              <w:t>%</w:t>
            </w:r>
          </w:p>
        </w:tc>
      </w:tr>
      <w:tr>
        <w:trPr/>
        <w:tc>
          <w:tcPr>
            <w:tcW w:w="21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61" w:type="dxa"/>
            <w:gridSpan w:val="21"/>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Expensify Neue;sans-serif" w:hAnsi="Expensify Neue;sans-serif"/>
                <w:b/>
                <w:color w:val="000000"/>
                <w:sz w:val="16"/>
              </w:rPr>
            </w:pPr>
            <w:r>
              <w:rPr>
                <w:rFonts w:ascii="Expensify Neue;sans-serif" w:hAnsi="Expensify Neue;sans-serif"/>
                <w:b/>
                <w:color w:val="000000"/>
                <w:sz w:val="16"/>
              </w:rPr>
              <w:t>(in thousands, except percentages)</w:t>
            </w:r>
          </w:p>
        </w:tc>
      </w:tr>
      <w:tr>
        <w:trPr/>
        <w:tc>
          <w:tcPr>
            <w:tcW w:w="213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Expensify Neue;sans-serif" w:hAnsi="Expensify Neue;sans-serif"/>
                <w:b w:val="false"/>
                <w:color w:val="000000"/>
                <w:sz w:val="20"/>
              </w:rPr>
            </w:pPr>
            <w:r>
              <w:rPr>
                <w:rFonts w:ascii="Expensify Neue;sans-serif" w:hAnsi="Expensify Neue;sans-serif"/>
                <w:b w:val="false"/>
                <w:color w:val="000000"/>
                <w:sz w:val="20"/>
              </w:rPr>
              <w:t>Sales and marketing</w:t>
            </w:r>
          </w:p>
        </w:tc>
        <w:tc>
          <w:tcPr>
            <w:tcW w:w="284"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Expensify Neue;sans-serif" w:hAnsi="Expensify Neue;sans-serif"/>
                <w:b w:val="false"/>
                <w:color w:val="000000"/>
                <w:sz w:val="20"/>
              </w:rPr>
            </w:pPr>
            <w:r>
              <w:rPr>
                <w:rFonts w:ascii="Expensify Neue;sans-serif" w:hAnsi="Expensify Neue;sans-serif"/>
                <w:b w:val="false"/>
                <w:color w:val="000000"/>
                <w:sz w:val="20"/>
              </w:rPr>
              <w:t>$</w:t>
            </w:r>
          </w:p>
        </w:tc>
        <w:tc>
          <w:tcPr>
            <w:tcW w:w="88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Expensify Neue;sans-serif" w:hAnsi="Expensify Neue;sans-serif"/>
                <w:b w:val="false"/>
                <w:color w:val="000000"/>
                <w:sz w:val="20"/>
              </w:rPr>
            </w:pPr>
            <w:r>
              <w:rPr>
                <w:rFonts w:ascii="Expensify Neue;sans-serif" w:hAnsi="Expensify Neue;sans-serif"/>
                <w:b w:val="false"/>
                <w:color w:val="000000"/>
                <w:sz w:val="20"/>
              </w:rPr>
              <w:t>3,542 </w:t>
            </w:r>
          </w:p>
        </w:tc>
        <w:tc>
          <w:tcPr>
            <w:tcW w:w="13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4"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Expensify Neue;sans-serif" w:hAnsi="Expensify Neue;sans-serif"/>
                <w:b w:val="false"/>
                <w:color w:val="000000"/>
                <w:sz w:val="20"/>
              </w:rPr>
            </w:pPr>
            <w:r>
              <w:rPr>
                <w:rFonts w:ascii="Expensify Neue;sans-serif" w:hAnsi="Expensify Neue;sans-serif"/>
                <w:b w:val="false"/>
                <w:color w:val="000000"/>
                <w:sz w:val="20"/>
              </w:rPr>
              <w:t>$</w:t>
            </w:r>
          </w:p>
        </w:tc>
        <w:tc>
          <w:tcPr>
            <w:tcW w:w="88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Expensify Neue;sans-serif" w:hAnsi="Expensify Neue;sans-serif"/>
                <w:b w:val="false"/>
                <w:color w:val="000000"/>
                <w:sz w:val="20"/>
              </w:rPr>
            </w:pPr>
            <w:r>
              <w:rPr>
                <w:rFonts w:ascii="Expensify Neue;sans-serif" w:hAnsi="Expensify Neue;sans-serif"/>
                <w:b w:val="false"/>
                <w:color w:val="000000"/>
                <w:sz w:val="20"/>
              </w:rPr>
              <w:t>3,384 </w:t>
            </w:r>
          </w:p>
        </w:tc>
        <w:tc>
          <w:tcPr>
            <w:tcW w:w="13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Expensify Neue;sans-serif" w:hAnsi="Expensify Neue;sans-serif"/>
                <w:b w:val="false"/>
                <w:color w:val="000000"/>
                <w:sz w:val="20"/>
              </w:rPr>
            </w:pPr>
            <w:r>
              <w:rPr>
                <w:rFonts w:ascii="Expensify Neue;sans-serif" w:hAnsi="Expensify Neue;sans-serif"/>
                <w:b w:val="false"/>
                <w:color w:val="000000"/>
                <w:sz w:val="20"/>
              </w:rPr>
              <w:t>$</w:t>
            </w:r>
          </w:p>
        </w:tc>
        <w:tc>
          <w:tcPr>
            <w:tcW w:w="5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Expensify Neue;sans-serif" w:hAnsi="Expensify Neue;sans-serif"/>
                <w:b w:val="false"/>
                <w:color w:val="000000"/>
                <w:sz w:val="20"/>
              </w:rPr>
            </w:pPr>
            <w:r>
              <w:rPr>
                <w:rFonts w:ascii="Expensify Neue;sans-serif" w:hAnsi="Expensify Neue;sans-serif"/>
                <w:b w:val="false"/>
                <w:color w:val="000000"/>
                <w:sz w:val="20"/>
              </w:rPr>
              <w:t>158 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Expensify Neue;sans-serif" w:hAnsi="Expensify Neue;sans-serif"/>
                <w:b w:val="false"/>
                <w:color w:val="000000"/>
                <w:sz w:val="20"/>
              </w:rPr>
            </w:pPr>
            <w:r>
              <w:rPr>
                <w:rFonts w:ascii="Expensify Neue;sans-serif" w:hAnsi="Expensify Neue;sans-serif"/>
                <w:b w:val="false"/>
                <w:color w:val="000000"/>
                <w:sz w:val="20"/>
              </w:rPr>
              <w:t>5 </w:t>
            </w:r>
          </w:p>
        </w:tc>
        <w:tc>
          <w:tcPr>
            <w:tcW w:w="33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Expensify Neue;sans-serif" w:hAnsi="Expensify Neue;sans-serif"/>
                <w:b w:val="false"/>
                <w:color w:val="000000"/>
                <w:sz w:val="20"/>
              </w:rPr>
            </w:pPr>
            <w:r>
              <w:rPr>
                <w:rFonts w:ascii="Expensify Neue;sans-serif" w:hAnsi="Expensify Neue;sans-serif"/>
                <w:b w:val="false"/>
                <w:color w:val="000000"/>
                <w:sz w:val="20"/>
              </w:rPr>
              <w:t>%</w:t>
            </w:r>
          </w:p>
        </w:tc>
      </w:tr>
      <w:tr>
        <w:trPr/>
        <w:tc>
          <w:tcPr>
            <w:tcW w:w="2130" w:type="dxa"/>
            <w:gridSpan w:val="3"/>
            <w:tcBorders>
              <w:bottom w:val="single" w:sz="8" w:space="0" w:color="000000"/>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309" w:type="dxa"/>
            <w:gridSpan w:val="3"/>
            <w:tcBorders>
              <w:bottom w:val="single" w:sz="8" w:space="0" w:color="000000"/>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411" w:type="dxa"/>
            <w:gridSpan w:val="3"/>
            <w:tcBorders>
              <w:bottom w:val="single" w:sz="8" w:space="0" w:color="000000"/>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309" w:type="dxa"/>
            <w:gridSpan w:val="3"/>
            <w:tcBorders>
              <w:bottom w:val="single" w:sz="8" w:space="0" w:color="000000"/>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8" w:space="0" w:color="000000"/>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bottom w:val="single" w:sz="8" w:space="0" w:color="000000"/>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8" w:space="0" w:color="000000"/>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617" w:type="dxa"/>
            <w:gridSpan w:val="3"/>
            <w:tcBorders>
              <w:bottom w:val="single" w:sz="8" w:space="0" w:color="000000"/>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160"/>
        <w:jc w:val="left"/>
        <w:rPr>
          <w:rFonts w:ascii="Expensify Neue;sans-serif" w:hAnsi="Expensify Neue;sans-serif"/>
          <w:b w:val="false"/>
          <w:color w:val="000000"/>
          <w:sz w:val="20"/>
        </w:rPr>
      </w:pPr>
      <w:r>
        <w:rPr>
          <w:rFonts w:ascii="Expensify Neue;sans-serif" w:hAnsi="Expensify Neue;sans-serif"/>
          <w:b w:val="false"/>
          <w:color w:val="000000"/>
          <w:sz w:val="20"/>
        </w:rPr>
        <w:t>Sales and marketing expenses increased by $0.2 million, or 5%, for the three months ended March 31, 2025 compared to the same period in 2024, primarily due to an increase in time spent on sales and marketing activities, partially offset by a decrease in advertising spend.</w:t>
      </w:r>
    </w:p>
    <w:p>
      <w:pPr>
        <w:pStyle w:val="TextBody"/>
        <w:bidi w:val="0"/>
        <w:spacing w:lineRule="auto" w:line="288" w:before="0" w:after="160"/>
        <w:jc w:val="left"/>
        <w:rPr>
          <w:rFonts w:ascii="Expensify Neue;sans-serif" w:hAnsi="Expensify Neue;sans-serif"/>
          <w:b/>
          <w:i/>
          <w:color w:val="000000"/>
          <w:sz w:val="20"/>
        </w:rPr>
      </w:pPr>
      <w:r>
        <w:rPr>
          <w:rFonts w:ascii="Expensify Neue;sans-serif" w:hAnsi="Expensify Neue;sans-serif"/>
          <w:b/>
          <w:i/>
          <w:color w:val="000000"/>
          <w:sz w:val="20"/>
        </w:rPr>
        <w:t>Other income (expenses), net</w:t>
      </w:r>
    </w:p>
    <w:tbl>
      <w:tblPr>
        <w:tblW w:w="8683" w:type="dxa"/>
        <w:jc w:val="left"/>
        <w:tblInd w:w="0" w:type="dxa"/>
        <w:tblLayout w:type="fixed"/>
        <w:tblCellMar>
          <w:top w:w="28" w:type="dxa"/>
          <w:left w:w="28" w:type="dxa"/>
          <w:bottom w:w="28" w:type="dxa"/>
          <w:right w:w="28" w:type="dxa"/>
        </w:tblCellMar>
      </w:tblPr>
      <w:tblGrid>
        <w:gridCol w:w="1092"/>
        <w:gridCol w:w="959"/>
        <w:gridCol w:w="964"/>
        <w:gridCol w:w="320"/>
        <w:gridCol w:w="745"/>
        <w:gridCol w:w="154"/>
        <w:gridCol w:w="154"/>
        <w:gridCol w:w="154"/>
        <w:gridCol w:w="154"/>
        <w:gridCol w:w="320"/>
        <w:gridCol w:w="872"/>
        <w:gridCol w:w="154"/>
        <w:gridCol w:w="109"/>
        <w:gridCol w:w="109"/>
        <w:gridCol w:w="109"/>
        <w:gridCol w:w="226"/>
        <w:gridCol w:w="706"/>
        <w:gridCol w:w="109"/>
        <w:gridCol w:w="109"/>
        <w:gridCol w:w="109"/>
        <w:gridCol w:w="109"/>
        <w:gridCol w:w="307"/>
        <w:gridCol w:w="308"/>
        <w:gridCol w:w="331"/>
      </w:tblGrid>
      <w:tr>
        <w:trPr/>
        <w:tc>
          <w:tcPr>
            <w:tcW w:w="1092" w:type="dxa"/>
            <w:tcBorders/>
            <w:vAlign w:val="center"/>
          </w:tcPr>
          <w:p>
            <w:pPr>
              <w:pStyle w:val="TableContents"/>
              <w:bidi w:val="0"/>
              <w:spacing w:before="0" w:after="283"/>
              <w:jc w:val="left"/>
              <w:rPr>
                <w:sz w:val="4"/>
                <w:szCs w:val="4"/>
              </w:rPr>
            </w:pPr>
            <w:r>
              <w:rPr>
                <w:sz w:val="4"/>
                <w:szCs w:val="4"/>
              </w:rPr>
            </w:r>
          </w:p>
        </w:tc>
        <w:tc>
          <w:tcPr>
            <w:tcW w:w="959" w:type="dxa"/>
            <w:tcBorders/>
            <w:vAlign w:val="center"/>
          </w:tcPr>
          <w:p>
            <w:pPr>
              <w:pStyle w:val="TableContents"/>
              <w:bidi w:val="0"/>
              <w:spacing w:before="0" w:after="283"/>
              <w:jc w:val="left"/>
              <w:rPr>
                <w:sz w:val="4"/>
                <w:szCs w:val="4"/>
              </w:rPr>
            </w:pPr>
            <w:r>
              <w:rPr>
                <w:sz w:val="4"/>
                <w:szCs w:val="4"/>
              </w:rPr>
            </w:r>
          </w:p>
        </w:tc>
        <w:tc>
          <w:tcPr>
            <w:tcW w:w="964" w:type="dxa"/>
            <w:tcBorders/>
            <w:vAlign w:val="center"/>
          </w:tcPr>
          <w:p>
            <w:pPr>
              <w:pStyle w:val="TableContents"/>
              <w:bidi w:val="0"/>
              <w:spacing w:before="0" w:after="283"/>
              <w:jc w:val="left"/>
              <w:rPr>
                <w:sz w:val="4"/>
                <w:szCs w:val="4"/>
              </w:rPr>
            </w:pPr>
            <w:r>
              <w:rPr>
                <w:sz w:val="4"/>
                <w:szCs w:val="4"/>
              </w:rPr>
            </w:r>
          </w:p>
        </w:tc>
        <w:tc>
          <w:tcPr>
            <w:tcW w:w="320" w:type="dxa"/>
            <w:tcBorders/>
            <w:vAlign w:val="center"/>
          </w:tcPr>
          <w:p>
            <w:pPr>
              <w:pStyle w:val="TableContents"/>
              <w:bidi w:val="0"/>
              <w:spacing w:before="0" w:after="283"/>
              <w:jc w:val="left"/>
              <w:rPr>
                <w:sz w:val="4"/>
                <w:szCs w:val="4"/>
              </w:rPr>
            </w:pPr>
            <w:r>
              <w:rPr>
                <w:sz w:val="4"/>
                <w:szCs w:val="4"/>
              </w:rPr>
            </w:r>
          </w:p>
        </w:tc>
        <w:tc>
          <w:tcPr>
            <w:tcW w:w="745"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c>
          <w:tcPr>
            <w:tcW w:w="320" w:type="dxa"/>
            <w:tcBorders/>
            <w:vAlign w:val="center"/>
          </w:tcPr>
          <w:p>
            <w:pPr>
              <w:pStyle w:val="TableContents"/>
              <w:bidi w:val="0"/>
              <w:spacing w:before="0" w:after="283"/>
              <w:jc w:val="left"/>
              <w:rPr>
                <w:sz w:val="4"/>
                <w:szCs w:val="4"/>
              </w:rPr>
            </w:pPr>
            <w:r>
              <w:rPr>
                <w:sz w:val="4"/>
                <w:szCs w:val="4"/>
              </w:rPr>
            </w:r>
          </w:p>
        </w:tc>
        <w:tc>
          <w:tcPr>
            <w:tcW w:w="872"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70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7" w:type="dxa"/>
            <w:tcBorders/>
            <w:vAlign w:val="center"/>
          </w:tcPr>
          <w:p>
            <w:pPr>
              <w:pStyle w:val="TableContents"/>
              <w:bidi w:val="0"/>
              <w:spacing w:before="0" w:after="283"/>
              <w:jc w:val="left"/>
              <w:rPr>
                <w:sz w:val="4"/>
                <w:szCs w:val="4"/>
              </w:rPr>
            </w:pPr>
            <w:r>
              <w:rPr>
                <w:sz w:val="4"/>
                <w:szCs w:val="4"/>
              </w:rPr>
            </w:r>
          </w:p>
        </w:tc>
        <w:tc>
          <w:tcPr>
            <w:tcW w:w="308" w:type="dxa"/>
            <w:tcBorders/>
            <w:vAlign w:val="center"/>
          </w:tcPr>
          <w:p>
            <w:pPr>
              <w:pStyle w:val="TableContents"/>
              <w:bidi w:val="0"/>
              <w:spacing w:before="0" w:after="283"/>
              <w:jc w:val="left"/>
              <w:rPr>
                <w:sz w:val="4"/>
                <w:szCs w:val="4"/>
              </w:rPr>
            </w:pPr>
            <w:r>
              <w:rPr>
                <w:sz w:val="4"/>
                <w:szCs w:val="4"/>
              </w:rPr>
            </w:r>
          </w:p>
        </w:tc>
        <w:tc>
          <w:tcPr>
            <w:tcW w:w="331" w:type="dxa"/>
            <w:tcBorders/>
            <w:vAlign w:val="center"/>
          </w:tcPr>
          <w:p>
            <w:pPr>
              <w:pStyle w:val="TableContents"/>
              <w:bidi w:val="0"/>
              <w:spacing w:before="0" w:after="283"/>
              <w:jc w:val="left"/>
              <w:rPr>
                <w:sz w:val="4"/>
                <w:szCs w:val="4"/>
              </w:rPr>
            </w:pPr>
            <w:r>
              <w:rPr>
                <w:sz w:val="4"/>
                <w:szCs w:val="4"/>
              </w:rPr>
            </w:r>
          </w:p>
        </w:tc>
      </w:tr>
      <w:tr>
        <w:trPr/>
        <w:tc>
          <w:tcPr>
            <w:tcW w:w="3015" w:type="dxa"/>
            <w:gridSpan w:val="3"/>
            <w:tcBorders>
              <w:top w:val="single" w:sz="1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27" w:type="dxa"/>
            <w:gridSpan w:val="9"/>
            <w:tcBorders>
              <w:top w:val="single" w:sz="16"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Expensify Neue;sans-serif" w:hAnsi="Expensify Neue;sans-serif"/>
                <w:b/>
                <w:color w:val="000000"/>
                <w:sz w:val="16"/>
              </w:rPr>
            </w:pPr>
            <w:r>
              <w:rPr>
                <w:rFonts w:ascii="Expensify Neue;sans-serif" w:hAnsi="Expensify Neue;sans-serif"/>
                <w:b/>
                <w:color w:val="000000"/>
                <w:sz w:val="16"/>
              </w:rPr>
              <w:t>Three Months Ended March 31,</w:t>
            </w:r>
          </w:p>
        </w:tc>
        <w:tc>
          <w:tcPr>
            <w:tcW w:w="327" w:type="dxa"/>
            <w:gridSpan w:val="3"/>
            <w:tcBorders>
              <w:top w:val="single" w:sz="1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14" w:type="dxa"/>
            <w:gridSpan w:val="9"/>
            <w:tcBorders>
              <w:top w:val="single" w:sz="16"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Expensify Neue;sans-serif" w:hAnsi="Expensify Neue;sans-serif"/>
                <w:b/>
                <w:color w:val="000000"/>
                <w:sz w:val="16"/>
              </w:rPr>
            </w:pPr>
            <w:r>
              <w:rPr>
                <w:rFonts w:ascii="Expensify Neue;sans-serif" w:hAnsi="Expensify Neue;sans-serif"/>
                <w:b/>
                <w:color w:val="000000"/>
                <w:sz w:val="16"/>
              </w:rPr>
              <w:t>Change</w:t>
            </w:r>
          </w:p>
        </w:tc>
      </w:tr>
      <w:tr>
        <w:trPr/>
        <w:tc>
          <w:tcPr>
            <w:tcW w:w="301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Expensify Neue;sans-serif" w:hAnsi="Expensify Neue;sans-serif"/>
                <w:b/>
                <w:color w:val="000000"/>
                <w:sz w:val="16"/>
              </w:rPr>
            </w:pPr>
            <w:r>
              <w:rPr>
                <w:rFonts w:ascii="Expensify Neue;sans-serif" w:hAnsi="Expensify Neue;sans-serif"/>
                <w:b/>
                <w:color w:val="000000"/>
                <w:sz w:val="16"/>
              </w:rPr>
              <w:t>2025</w:t>
            </w:r>
          </w:p>
        </w:tc>
        <w:tc>
          <w:tcPr>
            <w:tcW w:w="462"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6"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Expensify Neue;sans-serif" w:hAnsi="Expensify Neue;sans-serif"/>
                <w:b/>
                <w:color w:val="000000"/>
                <w:sz w:val="16"/>
              </w:rPr>
            </w:pPr>
            <w:r>
              <w:rPr>
                <w:rFonts w:ascii="Expensify Neue;sans-serif" w:hAnsi="Expensify Neue;sans-serif"/>
                <w:b/>
                <w:color w:val="000000"/>
                <w:sz w:val="16"/>
              </w:rPr>
              <w:t>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Expensify Neue;sans-serif" w:hAnsi="Expensify Neue;sans-serif"/>
                <w:b/>
                <w:color w:val="000000"/>
                <w:sz w:val="16"/>
              </w:rPr>
            </w:pPr>
            <w:r>
              <w:rPr>
                <w:rFonts w:ascii="Expensify Neue;sans-serif" w:hAnsi="Expensify Neue;sans-serif"/>
                <w:b/>
                <w:color w:val="000000"/>
                <w:sz w:val="16"/>
              </w:rPr>
              <w:t>Amount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6"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Expensify Neue;sans-serif" w:hAnsi="Expensify Neue;sans-serif"/>
                <w:b/>
                <w:color w:val="000000"/>
                <w:sz w:val="16"/>
              </w:rPr>
            </w:pPr>
            <w:r>
              <w:rPr>
                <w:rFonts w:ascii="Expensify Neue;sans-serif" w:hAnsi="Expensify Neue;sans-serif"/>
                <w:b/>
                <w:color w:val="000000"/>
                <w:sz w:val="16"/>
              </w:rPr>
              <w:t>%</w:t>
            </w:r>
          </w:p>
        </w:tc>
      </w:tr>
      <w:tr>
        <w:trPr/>
        <w:tc>
          <w:tcPr>
            <w:tcW w:w="301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68" w:type="dxa"/>
            <w:gridSpan w:val="21"/>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Expensify Neue;sans-serif" w:hAnsi="Expensify Neue;sans-serif"/>
                <w:b/>
                <w:color w:val="000000"/>
                <w:sz w:val="16"/>
              </w:rPr>
            </w:pPr>
            <w:r>
              <w:rPr>
                <w:rFonts w:ascii="Expensify Neue;sans-serif" w:hAnsi="Expensify Neue;sans-serif"/>
                <w:b/>
                <w:color w:val="000000"/>
                <w:sz w:val="16"/>
              </w:rPr>
              <w:t>(in thousands, except percentages)</w:t>
            </w:r>
          </w:p>
        </w:tc>
      </w:tr>
      <w:tr>
        <w:trPr/>
        <w:tc>
          <w:tcPr>
            <w:tcW w:w="301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Expensify Neue;sans-serif" w:hAnsi="Expensify Neue;sans-serif"/>
                <w:b w:val="false"/>
                <w:color w:val="000000"/>
                <w:sz w:val="20"/>
              </w:rPr>
            </w:pPr>
            <w:r>
              <w:rPr>
                <w:rFonts w:ascii="Expensify Neue;sans-serif" w:hAnsi="Expensify Neue;sans-serif"/>
                <w:b w:val="false"/>
                <w:color w:val="000000"/>
                <w:sz w:val="20"/>
              </w:rPr>
              <w:t>Other income (expenses), net</w:t>
            </w:r>
          </w:p>
        </w:tc>
        <w:tc>
          <w:tcPr>
            <w:tcW w:w="320"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Expensify Neue;sans-serif" w:hAnsi="Expensify Neue;sans-serif"/>
                <w:b w:val="false"/>
                <w:color w:val="000000"/>
                <w:sz w:val="20"/>
              </w:rPr>
            </w:pPr>
            <w:r>
              <w:rPr>
                <w:rFonts w:ascii="Expensify Neue;sans-serif" w:hAnsi="Expensify Neue;sans-serif"/>
                <w:b w:val="false"/>
                <w:color w:val="000000"/>
                <w:sz w:val="20"/>
              </w:rPr>
              <w:t>$</w:t>
            </w:r>
          </w:p>
        </w:tc>
        <w:tc>
          <w:tcPr>
            <w:tcW w:w="74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Expensify Neue;sans-serif" w:hAnsi="Expensify Neue;sans-serif"/>
                <w:b w:val="false"/>
                <w:color w:val="000000"/>
                <w:sz w:val="20"/>
              </w:rPr>
            </w:pPr>
            <w:r>
              <w:rPr>
                <w:rFonts w:ascii="Expensify Neue;sans-serif" w:hAnsi="Expensify Neue;sans-serif"/>
                <w:b w:val="false"/>
                <w:color w:val="000000"/>
                <w:sz w:val="20"/>
              </w:rPr>
              <w:t>324 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0"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Expensify Neue;sans-serif" w:hAnsi="Expensify Neue;sans-serif"/>
                <w:b w:val="false"/>
                <w:color w:val="000000"/>
                <w:sz w:val="20"/>
              </w:rPr>
            </w:pPr>
            <w:r>
              <w:rPr>
                <w:rFonts w:ascii="Expensify Neue;sans-serif" w:hAnsi="Expensify Neue;sans-serif"/>
                <w:b w:val="false"/>
                <w:color w:val="000000"/>
                <w:sz w:val="20"/>
              </w:rPr>
              <w:t>$</w:t>
            </w:r>
          </w:p>
        </w:tc>
        <w:tc>
          <w:tcPr>
            <w:tcW w:w="87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Expensify Neue;sans-serif" w:hAnsi="Expensify Neue;sans-serif"/>
                <w:b w:val="false"/>
                <w:color w:val="000000"/>
                <w:sz w:val="20"/>
              </w:rPr>
            </w:pPr>
            <w:r>
              <w:rPr>
                <w:rFonts w:ascii="Expensify Neue;sans-serif" w:hAnsi="Expensify Neue;sans-serif"/>
                <w:b w:val="false"/>
                <w:color w:val="000000"/>
                <w:sz w:val="20"/>
              </w:rPr>
              <w:t>(954)</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Expensify Neue;sans-serif" w:hAnsi="Expensify Neue;sans-serif"/>
                <w:b w:val="false"/>
                <w:color w:val="000000"/>
                <w:sz w:val="20"/>
              </w:rPr>
            </w:pPr>
            <w:r>
              <w:rPr>
                <w:rFonts w:ascii="Expensify Neue;sans-serif" w:hAnsi="Expensify Neue;sans-serif"/>
                <w:b w:val="false"/>
                <w:color w:val="000000"/>
                <w:sz w:val="20"/>
              </w:rPr>
              <w:t>$</w:t>
            </w:r>
          </w:p>
        </w:tc>
        <w:tc>
          <w:tcPr>
            <w:tcW w:w="70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Expensify Neue;sans-serif" w:hAnsi="Expensify Neue;sans-serif"/>
                <w:b w:val="false"/>
                <w:color w:val="000000"/>
                <w:sz w:val="20"/>
              </w:rPr>
            </w:pPr>
            <w:r>
              <w:rPr>
                <w:rFonts w:ascii="Expensify Neue;sans-serif" w:hAnsi="Expensify Neue;sans-serif"/>
                <w:b w:val="false"/>
                <w:color w:val="000000"/>
                <w:sz w:val="20"/>
              </w:rPr>
              <w:t>1,278 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Expensify Neue;sans-serif" w:hAnsi="Expensify Neue;sans-serif"/>
                <w:b w:val="false"/>
                <w:color w:val="000000"/>
                <w:sz w:val="20"/>
              </w:rPr>
            </w:pPr>
            <w:r>
              <w:rPr>
                <w:rFonts w:ascii="Expensify Neue;sans-serif" w:hAnsi="Expensify Neue;sans-serif"/>
                <w:b w:val="false"/>
                <w:color w:val="000000"/>
                <w:sz w:val="20"/>
              </w:rPr>
              <w:t>(134)</w:t>
            </w:r>
          </w:p>
        </w:tc>
        <w:tc>
          <w:tcPr>
            <w:tcW w:w="33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Expensify Neue;sans-serif" w:hAnsi="Expensify Neue;sans-serif"/>
                <w:b w:val="false"/>
                <w:color w:val="000000"/>
                <w:sz w:val="20"/>
              </w:rPr>
            </w:pPr>
            <w:r>
              <w:rPr>
                <w:rFonts w:ascii="Expensify Neue;sans-serif" w:hAnsi="Expensify Neue;sans-serif"/>
                <w:b w:val="false"/>
                <w:color w:val="000000"/>
                <w:sz w:val="20"/>
              </w:rPr>
              <w:t>%</w:t>
            </w:r>
          </w:p>
        </w:tc>
      </w:tr>
      <w:tr>
        <w:trPr/>
        <w:tc>
          <w:tcPr>
            <w:tcW w:w="3015" w:type="dxa"/>
            <w:gridSpan w:val="3"/>
            <w:tcBorders>
              <w:bottom w:val="single" w:sz="8" w:space="0" w:color="000000"/>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219" w:type="dxa"/>
            <w:gridSpan w:val="3"/>
            <w:tcBorders>
              <w:bottom w:val="single" w:sz="8" w:space="0" w:color="000000"/>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462" w:type="dxa"/>
            <w:gridSpan w:val="3"/>
            <w:tcBorders>
              <w:bottom w:val="single" w:sz="8" w:space="0" w:color="000000"/>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346" w:type="dxa"/>
            <w:gridSpan w:val="3"/>
            <w:tcBorders>
              <w:bottom w:val="single" w:sz="8" w:space="0" w:color="000000"/>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8" w:space="0" w:color="000000"/>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bottom w:val="single" w:sz="8" w:space="0" w:color="000000"/>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8" w:space="0" w:color="000000"/>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946" w:type="dxa"/>
            <w:gridSpan w:val="3"/>
            <w:tcBorders>
              <w:bottom w:val="single" w:sz="8" w:space="0" w:color="000000"/>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160"/>
        <w:jc w:val="left"/>
        <w:rPr>
          <w:rFonts w:ascii="Expensify Neue;sans-serif" w:hAnsi="Expensify Neue;sans-serif"/>
          <w:b w:val="false"/>
          <w:color w:val="000000"/>
          <w:sz w:val="20"/>
        </w:rPr>
      </w:pPr>
      <w:r>
        <w:rPr>
          <w:rFonts w:ascii="Expensify Neue;sans-serif" w:hAnsi="Expensify Neue;sans-serif"/>
          <w:b w:val="false"/>
          <w:color w:val="000000"/>
          <w:sz w:val="20"/>
        </w:rPr>
        <w:t>Other income (expenses), net changed by $1.3 million, or 134%, for the three months ended March 31, 2025 compared to the same period in 2024, primarily due to a decrease in interest expense incurred due to the repayments of the revolving line of credit and amortizing term mortgage discussed below under “—Liquidity and Capital Resources—Credit Facilities.”</w:t>
      </w:r>
    </w:p>
    <w:p>
      <w:pPr>
        <w:pStyle w:val="TextBody"/>
        <w:bidi w:val="0"/>
        <w:spacing w:lineRule="auto" w:line="288" w:before="0" w:after="160"/>
        <w:jc w:val="left"/>
        <w:rPr>
          <w:rFonts w:ascii="Expensify Neue;sans-serif" w:hAnsi="Expensify Neue;sans-serif"/>
          <w:b/>
          <w:i/>
          <w:color w:val="000000"/>
          <w:sz w:val="20"/>
        </w:rPr>
      </w:pPr>
      <w:r>
        <w:rPr>
          <w:rFonts w:ascii="Expensify Neue;sans-serif" w:hAnsi="Expensify Neue;sans-serif"/>
          <w:b/>
          <w:i/>
          <w:color w:val="000000"/>
          <w:sz w:val="20"/>
        </w:rPr>
        <w:t>Provision for Income Taxes</w:t>
      </w:r>
    </w:p>
    <w:tbl>
      <w:tblPr>
        <w:tblW w:w="8096" w:type="dxa"/>
        <w:jc w:val="left"/>
        <w:tblInd w:w="0" w:type="dxa"/>
        <w:tblLayout w:type="fixed"/>
        <w:tblCellMar>
          <w:top w:w="28" w:type="dxa"/>
          <w:left w:w="28" w:type="dxa"/>
          <w:bottom w:w="28" w:type="dxa"/>
          <w:right w:w="28" w:type="dxa"/>
        </w:tblCellMar>
      </w:tblPr>
      <w:tblGrid>
        <w:gridCol w:w="989"/>
        <w:gridCol w:w="869"/>
        <w:gridCol w:w="871"/>
        <w:gridCol w:w="264"/>
        <w:gridCol w:w="931"/>
        <w:gridCol w:w="127"/>
        <w:gridCol w:w="127"/>
        <w:gridCol w:w="127"/>
        <w:gridCol w:w="127"/>
        <w:gridCol w:w="264"/>
        <w:gridCol w:w="931"/>
        <w:gridCol w:w="127"/>
        <w:gridCol w:w="109"/>
        <w:gridCol w:w="109"/>
        <w:gridCol w:w="109"/>
        <w:gridCol w:w="226"/>
        <w:gridCol w:w="616"/>
        <w:gridCol w:w="109"/>
        <w:gridCol w:w="109"/>
        <w:gridCol w:w="109"/>
        <w:gridCol w:w="109"/>
        <w:gridCol w:w="203"/>
        <w:gridCol w:w="203"/>
        <w:gridCol w:w="331"/>
      </w:tblGrid>
      <w:tr>
        <w:trPr/>
        <w:tc>
          <w:tcPr>
            <w:tcW w:w="989" w:type="dxa"/>
            <w:tcBorders/>
            <w:vAlign w:val="center"/>
          </w:tcPr>
          <w:p>
            <w:pPr>
              <w:pStyle w:val="TableContents"/>
              <w:bidi w:val="0"/>
              <w:spacing w:before="0" w:after="283"/>
              <w:jc w:val="left"/>
              <w:rPr>
                <w:sz w:val="4"/>
                <w:szCs w:val="4"/>
              </w:rPr>
            </w:pPr>
            <w:r>
              <w:rPr>
                <w:sz w:val="4"/>
                <w:szCs w:val="4"/>
              </w:rPr>
            </w:r>
          </w:p>
        </w:tc>
        <w:tc>
          <w:tcPr>
            <w:tcW w:w="869"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tc>
        <w:tc>
          <w:tcPr>
            <w:tcW w:w="264" w:type="dxa"/>
            <w:tcBorders/>
            <w:vAlign w:val="center"/>
          </w:tcPr>
          <w:p>
            <w:pPr>
              <w:pStyle w:val="TableContents"/>
              <w:bidi w:val="0"/>
              <w:spacing w:before="0" w:after="283"/>
              <w:jc w:val="left"/>
              <w:rPr>
                <w:sz w:val="4"/>
                <w:szCs w:val="4"/>
              </w:rPr>
            </w:pPr>
            <w:r>
              <w:rPr>
                <w:sz w:val="4"/>
                <w:szCs w:val="4"/>
              </w:rPr>
            </w:r>
          </w:p>
        </w:tc>
        <w:tc>
          <w:tcPr>
            <w:tcW w:w="931" w:type="dxa"/>
            <w:tcBorders/>
            <w:vAlign w:val="center"/>
          </w:tcPr>
          <w:p>
            <w:pPr>
              <w:pStyle w:val="TableContents"/>
              <w:bidi w:val="0"/>
              <w:spacing w:before="0" w:after="283"/>
              <w:jc w:val="left"/>
              <w:rPr>
                <w:sz w:val="4"/>
                <w:szCs w:val="4"/>
              </w:rPr>
            </w:pPr>
            <w:r>
              <w:rPr>
                <w:sz w:val="4"/>
                <w:szCs w:val="4"/>
              </w:rPr>
            </w:r>
          </w:p>
        </w:tc>
        <w:tc>
          <w:tcPr>
            <w:tcW w:w="127" w:type="dxa"/>
            <w:tcBorders/>
            <w:vAlign w:val="center"/>
          </w:tcPr>
          <w:p>
            <w:pPr>
              <w:pStyle w:val="TableContents"/>
              <w:bidi w:val="0"/>
              <w:spacing w:before="0" w:after="283"/>
              <w:jc w:val="left"/>
              <w:rPr>
                <w:sz w:val="4"/>
                <w:szCs w:val="4"/>
              </w:rPr>
            </w:pPr>
            <w:r>
              <w:rPr>
                <w:sz w:val="4"/>
                <w:szCs w:val="4"/>
              </w:rPr>
            </w:r>
          </w:p>
        </w:tc>
        <w:tc>
          <w:tcPr>
            <w:tcW w:w="127" w:type="dxa"/>
            <w:tcBorders/>
            <w:vAlign w:val="center"/>
          </w:tcPr>
          <w:p>
            <w:pPr>
              <w:pStyle w:val="TableContents"/>
              <w:bidi w:val="0"/>
              <w:spacing w:before="0" w:after="283"/>
              <w:jc w:val="left"/>
              <w:rPr>
                <w:sz w:val="4"/>
                <w:szCs w:val="4"/>
              </w:rPr>
            </w:pPr>
            <w:r>
              <w:rPr>
                <w:sz w:val="4"/>
                <w:szCs w:val="4"/>
              </w:rPr>
            </w:r>
          </w:p>
        </w:tc>
        <w:tc>
          <w:tcPr>
            <w:tcW w:w="127" w:type="dxa"/>
            <w:tcBorders/>
            <w:vAlign w:val="center"/>
          </w:tcPr>
          <w:p>
            <w:pPr>
              <w:pStyle w:val="TableContents"/>
              <w:bidi w:val="0"/>
              <w:spacing w:before="0" w:after="283"/>
              <w:jc w:val="left"/>
              <w:rPr>
                <w:sz w:val="4"/>
                <w:szCs w:val="4"/>
              </w:rPr>
            </w:pPr>
            <w:r>
              <w:rPr>
                <w:sz w:val="4"/>
                <w:szCs w:val="4"/>
              </w:rPr>
            </w:r>
          </w:p>
        </w:tc>
        <w:tc>
          <w:tcPr>
            <w:tcW w:w="127" w:type="dxa"/>
            <w:tcBorders/>
            <w:vAlign w:val="center"/>
          </w:tcPr>
          <w:p>
            <w:pPr>
              <w:pStyle w:val="TableContents"/>
              <w:bidi w:val="0"/>
              <w:spacing w:before="0" w:after="283"/>
              <w:jc w:val="left"/>
              <w:rPr>
                <w:sz w:val="4"/>
                <w:szCs w:val="4"/>
              </w:rPr>
            </w:pPr>
            <w:r>
              <w:rPr>
                <w:sz w:val="4"/>
                <w:szCs w:val="4"/>
              </w:rPr>
            </w:r>
          </w:p>
        </w:tc>
        <w:tc>
          <w:tcPr>
            <w:tcW w:w="264" w:type="dxa"/>
            <w:tcBorders/>
            <w:vAlign w:val="center"/>
          </w:tcPr>
          <w:p>
            <w:pPr>
              <w:pStyle w:val="TableContents"/>
              <w:bidi w:val="0"/>
              <w:spacing w:before="0" w:after="283"/>
              <w:jc w:val="left"/>
              <w:rPr>
                <w:sz w:val="4"/>
                <w:szCs w:val="4"/>
              </w:rPr>
            </w:pPr>
            <w:r>
              <w:rPr>
                <w:sz w:val="4"/>
                <w:szCs w:val="4"/>
              </w:rPr>
            </w:r>
          </w:p>
        </w:tc>
        <w:tc>
          <w:tcPr>
            <w:tcW w:w="931" w:type="dxa"/>
            <w:tcBorders/>
            <w:vAlign w:val="center"/>
          </w:tcPr>
          <w:p>
            <w:pPr>
              <w:pStyle w:val="TableContents"/>
              <w:bidi w:val="0"/>
              <w:spacing w:before="0" w:after="283"/>
              <w:jc w:val="left"/>
              <w:rPr>
                <w:sz w:val="4"/>
                <w:szCs w:val="4"/>
              </w:rPr>
            </w:pPr>
            <w:r>
              <w:rPr>
                <w:sz w:val="4"/>
                <w:szCs w:val="4"/>
              </w:rPr>
            </w:r>
          </w:p>
        </w:tc>
        <w:tc>
          <w:tcPr>
            <w:tcW w:w="12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3" w:type="dxa"/>
            <w:tcBorders/>
            <w:vAlign w:val="center"/>
          </w:tcPr>
          <w:p>
            <w:pPr>
              <w:pStyle w:val="TableContents"/>
              <w:bidi w:val="0"/>
              <w:spacing w:before="0" w:after="283"/>
              <w:jc w:val="left"/>
              <w:rPr>
                <w:sz w:val="4"/>
                <w:szCs w:val="4"/>
              </w:rPr>
            </w:pPr>
            <w:r>
              <w:rPr>
                <w:sz w:val="4"/>
                <w:szCs w:val="4"/>
              </w:rPr>
            </w:r>
          </w:p>
        </w:tc>
        <w:tc>
          <w:tcPr>
            <w:tcW w:w="203" w:type="dxa"/>
            <w:tcBorders/>
            <w:vAlign w:val="center"/>
          </w:tcPr>
          <w:p>
            <w:pPr>
              <w:pStyle w:val="TableContents"/>
              <w:bidi w:val="0"/>
              <w:spacing w:before="0" w:after="283"/>
              <w:jc w:val="left"/>
              <w:rPr>
                <w:sz w:val="4"/>
                <w:szCs w:val="4"/>
              </w:rPr>
            </w:pPr>
            <w:r>
              <w:rPr>
                <w:sz w:val="4"/>
                <w:szCs w:val="4"/>
              </w:rPr>
            </w:r>
          </w:p>
        </w:tc>
        <w:tc>
          <w:tcPr>
            <w:tcW w:w="331" w:type="dxa"/>
            <w:tcBorders/>
            <w:vAlign w:val="center"/>
          </w:tcPr>
          <w:p>
            <w:pPr>
              <w:pStyle w:val="TableContents"/>
              <w:bidi w:val="0"/>
              <w:spacing w:before="0" w:after="283"/>
              <w:jc w:val="left"/>
              <w:rPr>
                <w:sz w:val="4"/>
                <w:szCs w:val="4"/>
              </w:rPr>
            </w:pPr>
            <w:r>
              <w:rPr>
                <w:sz w:val="4"/>
                <w:szCs w:val="4"/>
              </w:rPr>
            </w:r>
          </w:p>
        </w:tc>
      </w:tr>
      <w:tr>
        <w:trPr/>
        <w:tc>
          <w:tcPr>
            <w:tcW w:w="2729" w:type="dxa"/>
            <w:gridSpan w:val="3"/>
            <w:tcBorders>
              <w:top w:val="single" w:sz="1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25" w:type="dxa"/>
            <w:gridSpan w:val="9"/>
            <w:tcBorders>
              <w:top w:val="single" w:sz="16"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Expensify Neue;sans-serif" w:hAnsi="Expensify Neue;sans-serif"/>
                <w:b/>
                <w:color w:val="000000"/>
                <w:sz w:val="16"/>
              </w:rPr>
            </w:pPr>
            <w:r>
              <w:rPr>
                <w:rFonts w:ascii="Expensify Neue;sans-serif" w:hAnsi="Expensify Neue;sans-serif"/>
                <w:b/>
                <w:color w:val="000000"/>
                <w:sz w:val="16"/>
              </w:rPr>
              <w:t>Three Months Ended March 31,</w:t>
            </w:r>
          </w:p>
        </w:tc>
        <w:tc>
          <w:tcPr>
            <w:tcW w:w="327" w:type="dxa"/>
            <w:gridSpan w:val="3"/>
            <w:tcBorders>
              <w:top w:val="single" w:sz="1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15" w:type="dxa"/>
            <w:gridSpan w:val="9"/>
            <w:tcBorders>
              <w:top w:val="single" w:sz="16"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Expensify Neue;sans-serif" w:hAnsi="Expensify Neue;sans-serif"/>
                <w:b/>
                <w:color w:val="000000"/>
                <w:sz w:val="16"/>
              </w:rPr>
            </w:pPr>
            <w:r>
              <w:rPr>
                <w:rFonts w:ascii="Expensify Neue;sans-serif" w:hAnsi="Expensify Neue;sans-serif"/>
                <w:b/>
                <w:color w:val="000000"/>
                <w:sz w:val="16"/>
              </w:rPr>
              <w:t>Change</w:t>
            </w:r>
          </w:p>
        </w:tc>
      </w:tr>
      <w:tr>
        <w:trPr/>
        <w:tc>
          <w:tcPr>
            <w:tcW w:w="272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Expensify Neue;sans-serif" w:hAnsi="Expensify Neue;sans-serif"/>
                <w:b/>
                <w:color w:val="000000"/>
                <w:sz w:val="16"/>
              </w:rPr>
            </w:pPr>
            <w:r>
              <w:rPr>
                <w:rFonts w:ascii="Expensify Neue;sans-serif" w:hAnsi="Expensify Neue;sans-serif"/>
                <w:b/>
                <w:color w:val="000000"/>
                <w:sz w:val="16"/>
              </w:rPr>
              <w:t>2025</w:t>
            </w:r>
          </w:p>
        </w:tc>
        <w:tc>
          <w:tcPr>
            <w:tcW w:w="38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2"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Expensify Neue;sans-serif" w:hAnsi="Expensify Neue;sans-serif"/>
                <w:b/>
                <w:color w:val="000000"/>
                <w:sz w:val="16"/>
              </w:rPr>
            </w:pPr>
            <w:r>
              <w:rPr>
                <w:rFonts w:ascii="Expensify Neue;sans-serif" w:hAnsi="Expensify Neue;sans-serif"/>
                <w:b/>
                <w:color w:val="000000"/>
                <w:sz w:val="16"/>
              </w:rPr>
              <w:t>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Expensify Neue;sans-serif" w:hAnsi="Expensify Neue;sans-serif"/>
                <w:b/>
                <w:color w:val="000000"/>
                <w:sz w:val="16"/>
              </w:rPr>
            </w:pPr>
            <w:r>
              <w:rPr>
                <w:rFonts w:ascii="Expensify Neue;sans-serif" w:hAnsi="Expensify Neue;sans-serif"/>
                <w:b/>
                <w:color w:val="000000"/>
                <w:sz w:val="16"/>
              </w:rPr>
              <w:t>Amount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7"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Expensify Neue;sans-serif" w:hAnsi="Expensify Neue;sans-serif"/>
                <w:b/>
                <w:color w:val="000000"/>
                <w:sz w:val="16"/>
              </w:rPr>
            </w:pPr>
            <w:r>
              <w:rPr>
                <w:rFonts w:ascii="Expensify Neue;sans-serif" w:hAnsi="Expensify Neue;sans-serif"/>
                <w:b/>
                <w:color w:val="000000"/>
                <w:sz w:val="16"/>
              </w:rPr>
              <w:t>%</w:t>
            </w:r>
          </w:p>
        </w:tc>
      </w:tr>
      <w:tr>
        <w:trPr/>
        <w:tc>
          <w:tcPr>
            <w:tcW w:w="272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67" w:type="dxa"/>
            <w:gridSpan w:val="21"/>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Expensify Neue;sans-serif" w:hAnsi="Expensify Neue;sans-serif"/>
                <w:b/>
                <w:color w:val="000000"/>
                <w:sz w:val="16"/>
              </w:rPr>
            </w:pPr>
            <w:r>
              <w:rPr>
                <w:rFonts w:ascii="Expensify Neue;sans-serif" w:hAnsi="Expensify Neue;sans-serif"/>
                <w:b/>
                <w:color w:val="000000"/>
                <w:sz w:val="16"/>
              </w:rPr>
              <w:t>(in thousands, except percentages)</w:t>
            </w:r>
          </w:p>
        </w:tc>
      </w:tr>
      <w:tr>
        <w:trPr/>
        <w:tc>
          <w:tcPr>
            <w:tcW w:w="272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Expensify Neue;sans-serif" w:hAnsi="Expensify Neue;sans-serif"/>
                <w:b w:val="false"/>
                <w:color w:val="000000"/>
                <w:sz w:val="20"/>
              </w:rPr>
            </w:pPr>
            <w:r>
              <w:rPr>
                <w:rFonts w:ascii="Expensify Neue;sans-serif" w:hAnsi="Expensify Neue;sans-serif"/>
                <w:b w:val="false"/>
                <w:color w:val="000000"/>
                <w:sz w:val="20"/>
              </w:rPr>
              <w:t>Provision for income taxes</w:t>
            </w:r>
          </w:p>
        </w:tc>
        <w:tc>
          <w:tcPr>
            <w:tcW w:w="264"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Expensify Neue;sans-serif" w:hAnsi="Expensify Neue;sans-serif"/>
                <w:b w:val="false"/>
                <w:color w:val="000000"/>
                <w:sz w:val="20"/>
              </w:rPr>
            </w:pPr>
            <w:r>
              <w:rPr>
                <w:rFonts w:ascii="Expensify Neue;sans-serif" w:hAnsi="Expensify Neue;sans-serif"/>
                <w:b w:val="false"/>
                <w:color w:val="000000"/>
                <w:sz w:val="20"/>
              </w:rPr>
              <w:t>$</w:t>
            </w:r>
          </w:p>
        </w:tc>
        <w:tc>
          <w:tcPr>
            <w:tcW w:w="93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Expensify Neue;sans-serif" w:hAnsi="Expensify Neue;sans-serif"/>
                <w:b w:val="false"/>
                <w:color w:val="000000"/>
                <w:sz w:val="20"/>
              </w:rPr>
            </w:pPr>
            <w:r>
              <w:rPr>
                <w:rFonts w:ascii="Expensify Neue;sans-serif" w:hAnsi="Expensify Neue;sans-serif"/>
                <w:b w:val="false"/>
                <w:color w:val="000000"/>
                <w:sz w:val="20"/>
              </w:rPr>
              <w:t>(2,006)</w:t>
            </w:r>
          </w:p>
        </w:tc>
        <w:tc>
          <w:tcPr>
            <w:tcW w:w="12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4"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Expensify Neue;sans-serif" w:hAnsi="Expensify Neue;sans-serif"/>
                <w:b w:val="false"/>
                <w:color w:val="000000"/>
                <w:sz w:val="20"/>
              </w:rPr>
            </w:pPr>
            <w:r>
              <w:rPr>
                <w:rFonts w:ascii="Expensify Neue;sans-serif" w:hAnsi="Expensify Neue;sans-serif"/>
                <w:b w:val="false"/>
                <w:color w:val="000000"/>
                <w:sz w:val="20"/>
              </w:rPr>
              <w:t>$</w:t>
            </w:r>
          </w:p>
        </w:tc>
        <w:tc>
          <w:tcPr>
            <w:tcW w:w="93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Expensify Neue;sans-serif" w:hAnsi="Expensify Neue;sans-serif"/>
                <w:b w:val="false"/>
                <w:color w:val="000000"/>
                <w:sz w:val="20"/>
              </w:rPr>
            </w:pPr>
            <w:r>
              <w:rPr>
                <w:rFonts w:ascii="Expensify Neue;sans-serif" w:hAnsi="Expensify Neue;sans-serif"/>
                <w:b w:val="false"/>
                <w:color w:val="000000"/>
                <w:sz w:val="20"/>
              </w:rPr>
              <w:t>(1,034)</w:t>
            </w:r>
          </w:p>
        </w:tc>
        <w:tc>
          <w:tcPr>
            <w:tcW w:w="12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Expensify Neue;sans-serif" w:hAnsi="Expensify Neue;sans-serif"/>
                <w:b w:val="false"/>
                <w:color w:val="000000"/>
                <w:sz w:val="20"/>
              </w:rPr>
            </w:pPr>
            <w:r>
              <w:rPr>
                <w:rFonts w:ascii="Expensify Neue;sans-serif" w:hAnsi="Expensify Neue;sans-serif"/>
                <w:b w:val="false"/>
                <w:color w:val="000000"/>
                <w:sz w:val="20"/>
              </w:rPr>
              <w:t>$</w:t>
            </w:r>
          </w:p>
        </w:tc>
        <w:tc>
          <w:tcPr>
            <w:tcW w:w="6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Expensify Neue;sans-serif" w:hAnsi="Expensify Neue;sans-serif"/>
                <w:b w:val="false"/>
                <w:color w:val="000000"/>
                <w:sz w:val="20"/>
              </w:rPr>
            </w:pPr>
            <w:r>
              <w:rPr>
                <w:rFonts w:ascii="Expensify Neue;sans-serif" w:hAnsi="Expensify Neue;sans-serif"/>
                <w:b w:val="false"/>
                <w:color w:val="000000"/>
                <w:sz w:val="20"/>
              </w:rPr>
              <w:t>(972)</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Expensify Neue;sans-serif" w:hAnsi="Expensify Neue;sans-serif"/>
                <w:b w:val="false"/>
                <w:color w:val="000000"/>
                <w:sz w:val="20"/>
              </w:rPr>
            </w:pPr>
            <w:r>
              <w:rPr>
                <w:rFonts w:ascii="Expensify Neue;sans-serif" w:hAnsi="Expensify Neue;sans-serif"/>
                <w:b w:val="false"/>
                <w:color w:val="000000"/>
                <w:sz w:val="20"/>
              </w:rPr>
              <w:t>94 </w:t>
            </w:r>
          </w:p>
        </w:tc>
        <w:tc>
          <w:tcPr>
            <w:tcW w:w="33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Expensify Neue;sans-serif" w:hAnsi="Expensify Neue;sans-serif"/>
                <w:b w:val="false"/>
                <w:color w:val="000000"/>
                <w:sz w:val="20"/>
              </w:rPr>
            </w:pPr>
            <w:r>
              <w:rPr>
                <w:rFonts w:ascii="Expensify Neue;sans-serif" w:hAnsi="Expensify Neue;sans-serif"/>
                <w:b w:val="false"/>
                <w:color w:val="000000"/>
                <w:sz w:val="20"/>
              </w:rPr>
              <w:t>%</w:t>
            </w:r>
          </w:p>
        </w:tc>
      </w:tr>
      <w:tr>
        <w:trPr/>
        <w:tc>
          <w:tcPr>
            <w:tcW w:w="2729" w:type="dxa"/>
            <w:gridSpan w:val="3"/>
            <w:tcBorders>
              <w:bottom w:val="single" w:sz="8" w:space="0" w:color="000000"/>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322" w:type="dxa"/>
            <w:gridSpan w:val="3"/>
            <w:tcBorders>
              <w:bottom w:val="single" w:sz="8" w:space="0" w:color="000000"/>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81" w:type="dxa"/>
            <w:gridSpan w:val="3"/>
            <w:tcBorders>
              <w:bottom w:val="single" w:sz="8" w:space="0" w:color="000000"/>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322" w:type="dxa"/>
            <w:gridSpan w:val="3"/>
            <w:tcBorders>
              <w:bottom w:val="single" w:sz="8" w:space="0" w:color="000000"/>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8" w:space="0" w:color="000000"/>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bottom w:val="single" w:sz="8" w:space="0" w:color="000000"/>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8" w:space="0" w:color="000000"/>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737" w:type="dxa"/>
            <w:gridSpan w:val="3"/>
            <w:tcBorders>
              <w:bottom w:val="single" w:sz="8" w:space="0" w:color="000000"/>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160"/>
        <w:jc w:val="left"/>
        <w:rPr>
          <w:rFonts w:ascii="Expensify Neue;sans-serif" w:hAnsi="Expensify Neue;sans-serif"/>
          <w:b w:val="false"/>
          <w:color w:val="000000"/>
          <w:sz w:val="20"/>
        </w:rPr>
      </w:pPr>
      <w:r>
        <w:rPr>
          <w:rFonts w:ascii="Expensify Neue;sans-serif" w:hAnsi="Expensify Neue;sans-serif"/>
          <w:b w:val="false"/>
          <w:color w:val="000000"/>
          <w:sz w:val="20"/>
        </w:rPr>
        <w:t>We recorded a provision for income taxes of $2.0 million during the three months ended March 31, 2025 compared to a provision from income taxes of $1.0 million for the same period in 2024.</w:t>
      </w:r>
    </w:p>
    <w:p>
      <w:pPr>
        <w:pStyle w:val="TextBody"/>
        <w:bidi w:val="0"/>
        <w:spacing w:lineRule="auto" w:line="288" w:before="0" w:after="160"/>
        <w:jc w:val="left"/>
        <w:rPr>
          <w:rFonts w:ascii="Expensify Neue;sans-serif" w:hAnsi="Expensify Neue;sans-serif"/>
          <w:b w:val="false"/>
          <w:color w:val="000000"/>
          <w:sz w:val="20"/>
        </w:rPr>
      </w:pPr>
      <w:r>
        <w:rPr>
          <w:rFonts w:ascii="Expensify Neue;sans-serif" w:hAnsi="Expensify Neue;sans-serif"/>
          <w:b w:val="false"/>
          <w:color w:val="000000"/>
          <w:sz w:val="20"/>
        </w:rPr>
        <w:t>During the three months ended March 31, 2025 and 2024, our effective income tax rate was (172.5)% and (37.6)%, respectively. The effective income tax rate differs from the statutory rate in 2025 and 2024 primarily due to the changes in valuation allowance and non-deductible stock-based compensation, partially offset by Section 162(m) of the Internal Revenue Code compensation limitations.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4">
                <wp:simplePos x="0" y="0"/>
                <wp:positionH relativeFrom="character">
                  <wp:align>left</wp:align>
                </wp:positionH>
                <wp:positionV relativeFrom="line">
                  <wp:posOffset>635</wp:posOffset>
                </wp:positionV>
                <wp:extent cx="6480175" cy="599440"/>
                <wp:effectExtent l="0" t="0" r="0" b="0"/>
                <wp:wrapNone/>
                <wp:docPr id="33" name="Frame32"/>
                <a:graphic xmlns:a="http://schemas.openxmlformats.org/drawingml/2006/main">
                  <a:graphicData uri="http://schemas.microsoft.com/office/word/2010/wordprocessingShape">
                    <wps:wsp>
                      <wps:cNvSpPr txBox="1"/>
                      <wps:spPr>
                        <a:xfrm>
                          <a:off x="0" y="0"/>
                          <a:ext cx="6480175" cy="599440"/>
                        </a:xfrm>
                        <a:prstGeom prst="rect"/>
                        <a:solidFill>
                          <a:srgbClr val="FFFFFF"/>
                        </a:solidFill>
                      </wps:spPr>
                      <wps:txbx>
                        <w:txbxContent>
                          <w:tbl>
                            <w:tblPr>
                              <w:tblW w:w="406" w:type="dxa"/>
                              <w:jc w:val="center"/>
                              <w:tblInd w:w="0" w:type="dxa"/>
                              <w:tblLayout w:type="fixed"/>
                              <w:tblCellMar>
                                <w:top w:w="28" w:type="dxa"/>
                                <w:left w:w="28" w:type="dxa"/>
                                <w:bottom w:w="28" w:type="dxa"/>
                                <w:right w:w="28" w:type="dxa"/>
                              </w:tblCellMar>
                            </w:tblPr>
                            <w:tblGrid>
                              <w:gridCol w:w="130"/>
                              <w:gridCol w:w="114"/>
                              <w:gridCol w:w="162"/>
                            </w:tblGrid>
                            <w:tr>
                              <w:trPr/>
                              <w:tc>
                                <w:tcPr>
                                  <w:tcW w:w="130"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rPr/>
                              <w:tc>
                                <w:tcPr>
                                  <w:tcW w:w="406"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0"/>
                                    <w:jc w:val="center"/>
                                    <w:rPr>
                                      <w:rFonts w:ascii="Expensify Neue;sans-serif" w:hAnsi="Expensify Neue;sans-serif"/>
                                      <w:b w:val="false"/>
                                      <w:color w:val="000000"/>
                                      <w:sz w:val="20"/>
                                    </w:rPr>
                                  </w:pPr>
                                  <w:r>
                                    <w:rPr>
                                      <w:rFonts w:ascii="Expensify Neue;sans-serif" w:hAnsi="Expensify Neue;sans-serif"/>
                                      <w:b w:val="false"/>
                                      <w:color w:val="000000"/>
                                      <w:sz w:val="20"/>
                                    </w:rPr>
                                    <w:t>27</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7.2pt;mso-wrap-distance-left:0pt;mso-wrap-distance-right:0pt;mso-wrap-distance-top:0pt;mso-wrap-distance-bottom:0pt;margin-top:0pt;mso-position-vertical:top;mso-position-vertical-relative:text;margin-left:0pt;mso-position-horizontal:left;mso-position-horizontal-relative:text">
                <v:textbox>
                  <w:txbxContent>
                    <w:tbl>
                      <w:tblPr>
                        <w:tblW w:w="406" w:type="dxa"/>
                        <w:jc w:val="center"/>
                        <w:tblInd w:w="0" w:type="dxa"/>
                        <w:tblLayout w:type="fixed"/>
                        <w:tblCellMar>
                          <w:top w:w="28" w:type="dxa"/>
                          <w:left w:w="28" w:type="dxa"/>
                          <w:bottom w:w="28" w:type="dxa"/>
                          <w:right w:w="28" w:type="dxa"/>
                        </w:tblCellMar>
                      </w:tblPr>
                      <w:tblGrid>
                        <w:gridCol w:w="130"/>
                        <w:gridCol w:w="114"/>
                        <w:gridCol w:w="162"/>
                      </w:tblGrid>
                      <w:tr>
                        <w:trPr/>
                        <w:tc>
                          <w:tcPr>
                            <w:tcW w:w="130"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rPr/>
                        <w:tc>
                          <w:tcPr>
                            <w:tcW w:w="406"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0"/>
                              <w:jc w:val="center"/>
                              <w:rPr>
                                <w:rFonts w:ascii="Expensify Neue;sans-serif" w:hAnsi="Expensify Neue;sans-serif"/>
                                <w:b w:val="false"/>
                                <w:color w:val="000000"/>
                                <w:sz w:val="20"/>
                              </w:rPr>
                            </w:pPr>
                            <w:r>
                              <w:rPr>
                                <w:rFonts w:ascii="Expensify Neue;sans-serif" w:hAnsi="Expensify Neue;sans-serif"/>
                                <w:b w:val="false"/>
                                <w:color w:val="000000"/>
                                <w:sz w:val="20"/>
                              </w:rPr>
                              <w:t>27</w:t>
                            </w:r>
                          </w:p>
                        </w:tc>
                      </w:tr>
                    </w:tbl>
                    <w:p>
                      <w:pPr>
                        <w:pStyle w:val="TextBody"/>
                        <w:bidi w:val="0"/>
                        <w:spacing w:before="0" w:after="283"/>
                        <w:jc w:val="left"/>
                        <w:rPr/>
                      </w:pPr>
                      <w:r>
                        <w:rPr/>
                      </w:r>
                    </w:p>
                  </w:txbxContent>
                </v:textbox>
                <w10:wrap type="none"/>
              </v:rect>
            </w:pict>
          </mc:Fallback>
        </mc:AlternateContent>
      </w:r>
    </w:p>
    <w:p>
      <w:pPr>
        <w:pStyle w:val="TextBody"/>
        <w:bidi w:val="0"/>
        <w:spacing w:lineRule="auto" w:line="288" w:before="0" w:after="160"/>
        <w:jc w:val="left"/>
        <w:rPr/>
      </w:pPr>
      <w:hyperlink w:anchor="i52a648c4f0e449f7bc3c2044827c8f0d_7">
        <w:r>
          <w:rPr>
            <w:rStyle w:val="InternetLink"/>
            <w:rFonts w:ascii="Expensify Neue;sans-serif" w:hAnsi="Expensify Neue;sans-serif"/>
            <w:b/>
            <w:color w:val="0000FF"/>
            <w:sz w:val="20"/>
            <w:u w:val="single"/>
          </w:rPr>
          <w:t>Table of Contents</w:t>
        </w:r>
      </w:hyperlink>
    </w:p>
    <w:p>
      <w:pPr>
        <w:pStyle w:val="TextBody"/>
        <w:bidi w:val="0"/>
        <w:spacing w:lineRule="auto" w:line="288" w:before="0" w:after="160"/>
        <w:jc w:val="left"/>
        <w:rPr>
          <w:rFonts w:ascii="Expensify Neue;sans-serif" w:hAnsi="Expensify Neue;sans-serif"/>
          <w:b/>
          <w:color w:val="002E22"/>
          <w:sz w:val="32"/>
        </w:rPr>
      </w:pPr>
      <w:r>
        <w:rPr>
          <w:rFonts w:ascii="Expensify Neue;sans-serif" w:hAnsi="Expensify Neue;sans-serif"/>
          <w:b/>
          <w:color w:val="002E22"/>
          <w:sz w:val="32"/>
        </w:rPr>
        <w:t>Liquidity and Capital Resources</w:t>
      </w:r>
    </w:p>
    <w:p>
      <w:pPr>
        <w:pStyle w:val="TextBody"/>
        <w:bidi w:val="0"/>
        <w:spacing w:lineRule="auto" w:line="288" w:before="0" w:after="160"/>
        <w:jc w:val="left"/>
        <w:rPr>
          <w:rFonts w:ascii="Expensify Neue;sans-serif" w:hAnsi="Expensify Neue;sans-serif"/>
          <w:b w:val="false"/>
          <w:color w:val="000000"/>
          <w:sz w:val="20"/>
        </w:rPr>
      </w:pPr>
      <w:r>
        <w:rPr>
          <w:rFonts w:ascii="Expensify Neue;sans-serif" w:hAnsi="Expensify Neue;sans-serif"/>
          <w:b w:val="false"/>
          <w:color w:val="000000"/>
          <w:sz w:val="20"/>
        </w:rPr>
        <w:t xml:space="preserve">Since our inception, we have financed our operations primarily through our cash flow from operations, sales of our equity securities and borrowings under our credit facilities. As of March 31, 2025, we had $59.6 million in cash and cash equivalents, with no outstanding indebtedness and $24.0 million of capacity available for additional borrowings under our revolving line of credit. </w:t>
      </w:r>
    </w:p>
    <w:p>
      <w:pPr>
        <w:pStyle w:val="TextBody"/>
        <w:bidi w:val="0"/>
        <w:spacing w:lineRule="auto" w:line="288" w:before="0" w:after="160"/>
        <w:jc w:val="left"/>
        <w:rPr>
          <w:rFonts w:ascii="Expensify Neue;sans-serif" w:hAnsi="Expensify Neue;sans-serif"/>
          <w:b w:val="false"/>
          <w:color w:val="000000"/>
          <w:sz w:val="20"/>
        </w:rPr>
      </w:pPr>
      <w:r>
        <w:rPr>
          <w:rFonts w:ascii="Expensify Neue;sans-serif" w:hAnsi="Expensify Neue;sans-serif"/>
          <w:b w:val="false"/>
          <w:color w:val="000000"/>
          <w:sz w:val="20"/>
        </w:rPr>
        <w:t>Our future capital requirements will depend on many factors, including revenue growth and costs incurred to support growth in our business and our need to respond to business opportunities, challenges or unforeseen circumstances. We believe that our existing cash resources will be sufficient to finance our continued operations and growth strategy for the next 12 months and for the foreseeable future.</w:t>
      </w:r>
    </w:p>
    <w:p>
      <w:pPr>
        <w:pStyle w:val="TextBody"/>
        <w:bidi w:val="0"/>
        <w:spacing w:lineRule="auto" w:line="288" w:before="0" w:after="160"/>
        <w:jc w:val="left"/>
        <w:rPr>
          <w:rFonts w:ascii="Expensify Neue;sans-serif" w:hAnsi="Expensify Neue;sans-serif"/>
          <w:b/>
          <w:color w:val="03D47C"/>
          <w:sz w:val="20"/>
        </w:rPr>
      </w:pPr>
      <w:r>
        <w:rPr>
          <w:rFonts w:ascii="Expensify Neue;sans-serif" w:hAnsi="Expensify Neue;sans-serif"/>
          <w:b/>
          <w:color w:val="03D47C"/>
          <w:sz w:val="20"/>
        </w:rPr>
        <w:t>CASH FLOWS</w:t>
      </w:r>
    </w:p>
    <w:p>
      <w:pPr>
        <w:pStyle w:val="TextBody"/>
        <w:bidi w:val="0"/>
        <w:spacing w:lineRule="auto" w:line="288" w:before="0" w:after="160"/>
        <w:jc w:val="left"/>
        <w:rPr>
          <w:rFonts w:ascii="Expensify Neue;sans-serif" w:hAnsi="Expensify Neue;sans-serif"/>
          <w:b w:val="false"/>
          <w:color w:val="000000"/>
          <w:sz w:val="20"/>
        </w:rPr>
      </w:pPr>
      <w:r>
        <w:rPr>
          <w:rFonts w:ascii="Expensify Neue;sans-serif" w:hAnsi="Expensify Neue;sans-serif"/>
          <w:b w:val="false"/>
          <w:color w:val="000000"/>
          <w:sz w:val="20"/>
        </w:rPr>
        <w:t>The following table summarizes our cash flows for the periods indicated:</w:t>
      </w:r>
    </w:p>
    <w:tbl>
      <w:tblPr>
        <w:tblW w:w="9551" w:type="dxa"/>
        <w:jc w:val="left"/>
        <w:tblInd w:w="0" w:type="dxa"/>
        <w:tblLayout w:type="fixed"/>
        <w:tblCellMar>
          <w:top w:w="28" w:type="dxa"/>
          <w:left w:w="28" w:type="dxa"/>
          <w:bottom w:w="28" w:type="dxa"/>
          <w:right w:w="28" w:type="dxa"/>
        </w:tblCellMar>
      </w:tblPr>
      <w:tblGrid>
        <w:gridCol w:w="2230"/>
        <w:gridCol w:w="1954"/>
        <w:gridCol w:w="1966"/>
        <w:gridCol w:w="284"/>
        <w:gridCol w:w="888"/>
        <w:gridCol w:w="137"/>
        <w:gridCol w:w="137"/>
        <w:gridCol w:w="137"/>
        <w:gridCol w:w="137"/>
        <w:gridCol w:w="284"/>
        <w:gridCol w:w="888"/>
        <w:gridCol w:w="137"/>
        <w:gridCol w:w="109"/>
        <w:gridCol w:w="109"/>
        <w:gridCol w:w="154"/>
      </w:tblGrid>
      <w:tr>
        <w:trPr/>
        <w:tc>
          <w:tcPr>
            <w:tcW w:w="2230" w:type="dxa"/>
            <w:tcBorders/>
            <w:vAlign w:val="center"/>
          </w:tcPr>
          <w:p>
            <w:pPr>
              <w:pStyle w:val="TableContents"/>
              <w:bidi w:val="0"/>
              <w:spacing w:before="0" w:after="283"/>
              <w:jc w:val="left"/>
              <w:rPr>
                <w:sz w:val="4"/>
                <w:szCs w:val="4"/>
              </w:rPr>
            </w:pPr>
            <w:r>
              <w:rPr>
                <w:sz w:val="4"/>
                <w:szCs w:val="4"/>
              </w:rPr>
            </w:r>
          </w:p>
        </w:tc>
        <w:tc>
          <w:tcPr>
            <w:tcW w:w="1954" w:type="dxa"/>
            <w:tcBorders/>
            <w:vAlign w:val="center"/>
          </w:tcPr>
          <w:p>
            <w:pPr>
              <w:pStyle w:val="TableContents"/>
              <w:bidi w:val="0"/>
              <w:spacing w:before="0" w:after="283"/>
              <w:jc w:val="left"/>
              <w:rPr>
                <w:sz w:val="4"/>
                <w:szCs w:val="4"/>
              </w:rPr>
            </w:pPr>
            <w:r>
              <w:rPr>
                <w:sz w:val="4"/>
                <w:szCs w:val="4"/>
              </w:rPr>
            </w:r>
          </w:p>
        </w:tc>
        <w:tc>
          <w:tcPr>
            <w:tcW w:w="1966" w:type="dxa"/>
            <w:tcBorders/>
            <w:vAlign w:val="center"/>
          </w:tcPr>
          <w:p>
            <w:pPr>
              <w:pStyle w:val="TableContents"/>
              <w:bidi w:val="0"/>
              <w:spacing w:before="0" w:after="283"/>
              <w:jc w:val="left"/>
              <w:rPr>
                <w:sz w:val="4"/>
                <w:szCs w:val="4"/>
              </w:rPr>
            </w:pPr>
            <w:r>
              <w:rPr>
                <w:sz w:val="4"/>
                <w:szCs w:val="4"/>
              </w:rPr>
            </w:r>
          </w:p>
        </w:tc>
        <w:tc>
          <w:tcPr>
            <w:tcW w:w="284" w:type="dxa"/>
            <w:tcBorders/>
            <w:vAlign w:val="center"/>
          </w:tcPr>
          <w:p>
            <w:pPr>
              <w:pStyle w:val="TableContents"/>
              <w:bidi w:val="0"/>
              <w:spacing w:before="0" w:after="283"/>
              <w:jc w:val="left"/>
              <w:rPr>
                <w:sz w:val="4"/>
                <w:szCs w:val="4"/>
              </w:rPr>
            </w:pPr>
            <w:r>
              <w:rPr>
                <w:sz w:val="4"/>
                <w:szCs w:val="4"/>
              </w:rPr>
            </w:r>
          </w:p>
        </w:tc>
        <w:tc>
          <w:tcPr>
            <w:tcW w:w="888" w:type="dxa"/>
            <w:tcBorders/>
            <w:vAlign w:val="center"/>
          </w:tcPr>
          <w:p>
            <w:pPr>
              <w:pStyle w:val="TableContents"/>
              <w:bidi w:val="0"/>
              <w:spacing w:before="0" w:after="283"/>
              <w:jc w:val="left"/>
              <w:rPr>
                <w:sz w:val="4"/>
                <w:szCs w:val="4"/>
              </w:rPr>
            </w:pPr>
            <w:r>
              <w:rPr>
                <w:sz w:val="4"/>
                <w:szCs w:val="4"/>
              </w:rPr>
            </w:r>
          </w:p>
        </w:tc>
        <w:tc>
          <w:tcPr>
            <w:tcW w:w="137" w:type="dxa"/>
            <w:tcBorders/>
            <w:vAlign w:val="center"/>
          </w:tcPr>
          <w:p>
            <w:pPr>
              <w:pStyle w:val="TableContents"/>
              <w:bidi w:val="0"/>
              <w:spacing w:before="0" w:after="283"/>
              <w:jc w:val="left"/>
              <w:rPr>
                <w:sz w:val="4"/>
                <w:szCs w:val="4"/>
              </w:rPr>
            </w:pPr>
            <w:r>
              <w:rPr>
                <w:sz w:val="4"/>
                <w:szCs w:val="4"/>
              </w:rPr>
            </w:r>
          </w:p>
        </w:tc>
        <w:tc>
          <w:tcPr>
            <w:tcW w:w="137" w:type="dxa"/>
            <w:tcBorders/>
            <w:vAlign w:val="center"/>
          </w:tcPr>
          <w:p>
            <w:pPr>
              <w:pStyle w:val="TableContents"/>
              <w:bidi w:val="0"/>
              <w:spacing w:before="0" w:after="283"/>
              <w:jc w:val="left"/>
              <w:rPr>
                <w:sz w:val="4"/>
                <w:szCs w:val="4"/>
              </w:rPr>
            </w:pPr>
            <w:r>
              <w:rPr>
                <w:sz w:val="4"/>
                <w:szCs w:val="4"/>
              </w:rPr>
            </w:r>
          </w:p>
        </w:tc>
        <w:tc>
          <w:tcPr>
            <w:tcW w:w="137" w:type="dxa"/>
            <w:tcBorders/>
            <w:vAlign w:val="center"/>
          </w:tcPr>
          <w:p>
            <w:pPr>
              <w:pStyle w:val="TableContents"/>
              <w:bidi w:val="0"/>
              <w:spacing w:before="0" w:after="283"/>
              <w:jc w:val="left"/>
              <w:rPr>
                <w:sz w:val="4"/>
                <w:szCs w:val="4"/>
              </w:rPr>
            </w:pPr>
            <w:r>
              <w:rPr>
                <w:sz w:val="4"/>
                <w:szCs w:val="4"/>
              </w:rPr>
            </w:r>
          </w:p>
        </w:tc>
        <w:tc>
          <w:tcPr>
            <w:tcW w:w="137" w:type="dxa"/>
            <w:tcBorders/>
            <w:vAlign w:val="center"/>
          </w:tcPr>
          <w:p>
            <w:pPr>
              <w:pStyle w:val="TableContents"/>
              <w:bidi w:val="0"/>
              <w:spacing w:before="0" w:after="283"/>
              <w:jc w:val="left"/>
              <w:rPr>
                <w:sz w:val="4"/>
                <w:szCs w:val="4"/>
              </w:rPr>
            </w:pPr>
            <w:r>
              <w:rPr>
                <w:sz w:val="4"/>
                <w:szCs w:val="4"/>
              </w:rPr>
            </w:r>
          </w:p>
        </w:tc>
        <w:tc>
          <w:tcPr>
            <w:tcW w:w="284" w:type="dxa"/>
            <w:tcBorders/>
            <w:vAlign w:val="center"/>
          </w:tcPr>
          <w:p>
            <w:pPr>
              <w:pStyle w:val="TableContents"/>
              <w:bidi w:val="0"/>
              <w:spacing w:before="0" w:after="283"/>
              <w:jc w:val="left"/>
              <w:rPr>
                <w:sz w:val="4"/>
                <w:szCs w:val="4"/>
              </w:rPr>
            </w:pPr>
            <w:r>
              <w:rPr>
                <w:sz w:val="4"/>
                <w:szCs w:val="4"/>
              </w:rPr>
            </w:r>
          </w:p>
        </w:tc>
        <w:tc>
          <w:tcPr>
            <w:tcW w:w="888" w:type="dxa"/>
            <w:tcBorders/>
            <w:vAlign w:val="center"/>
          </w:tcPr>
          <w:p>
            <w:pPr>
              <w:pStyle w:val="TableContents"/>
              <w:bidi w:val="0"/>
              <w:spacing w:before="0" w:after="283"/>
              <w:jc w:val="left"/>
              <w:rPr>
                <w:sz w:val="4"/>
                <w:szCs w:val="4"/>
              </w:rPr>
            </w:pPr>
            <w:r>
              <w:rPr>
                <w:sz w:val="4"/>
                <w:szCs w:val="4"/>
              </w:rPr>
            </w:r>
          </w:p>
        </w:tc>
        <w:tc>
          <w:tcPr>
            <w:tcW w:w="13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150" w:type="dxa"/>
            <w:gridSpan w:val="3"/>
            <w:tcBorders>
              <w:top w:val="single" w:sz="1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29" w:type="dxa"/>
            <w:gridSpan w:val="9"/>
            <w:tcBorders>
              <w:top w:val="single" w:sz="16"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Expensify Neue;sans-serif" w:hAnsi="Expensify Neue;sans-serif"/>
                <w:b/>
                <w:color w:val="000000"/>
                <w:sz w:val="16"/>
              </w:rPr>
            </w:pPr>
            <w:r>
              <w:rPr>
                <w:rFonts w:ascii="Expensify Neue;sans-serif" w:hAnsi="Expensify Neue;sans-serif"/>
                <w:b/>
                <w:color w:val="000000"/>
                <w:sz w:val="16"/>
              </w:rPr>
              <w:t>Three Months Ended March 31,</w:t>
            </w:r>
          </w:p>
        </w:tc>
        <w:tc>
          <w:tcPr>
            <w:tcW w:w="372" w:type="dxa"/>
            <w:gridSpan w:val="3"/>
            <w:tcBorders>
              <w:top w:val="single" w:sz="1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5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Expensify Neue;sans-serif" w:hAnsi="Expensify Neue;sans-serif"/>
                <w:b/>
                <w:color w:val="000000"/>
                <w:sz w:val="16"/>
              </w:rPr>
            </w:pPr>
            <w:r>
              <w:rPr>
                <w:rFonts w:ascii="Expensify Neue;sans-serif" w:hAnsi="Expensify Neue;sans-serif"/>
                <w:b/>
                <w:color w:val="000000"/>
                <w:sz w:val="16"/>
              </w:rPr>
              <w:t>2025</w:t>
            </w:r>
          </w:p>
        </w:tc>
        <w:tc>
          <w:tcPr>
            <w:tcW w:w="41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9"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Expensify Neue;sans-serif" w:hAnsi="Expensify Neue;sans-serif"/>
                <w:b/>
                <w:color w:val="000000"/>
                <w:sz w:val="16"/>
              </w:rPr>
            </w:pPr>
            <w:r>
              <w:rPr>
                <w:rFonts w:ascii="Expensify Neue;sans-serif" w:hAnsi="Expensify Neue;sans-serif"/>
                <w:b/>
                <w:color w:val="000000"/>
                <w:sz w:val="16"/>
              </w:rPr>
              <w:t>2024</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5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01" w:type="dxa"/>
            <w:gridSpan w:val="1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ind w:left="0" w:right="0" w:hanging="180"/>
              <w:jc w:val="center"/>
              <w:rPr>
                <w:rFonts w:ascii="Expensify Neue;sans-serif" w:hAnsi="Expensify Neue;sans-serif"/>
                <w:b/>
                <w:color w:val="000000"/>
                <w:sz w:val="16"/>
              </w:rPr>
            </w:pPr>
            <w:r>
              <w:rPr>
                <w:rFonts w:ascii="Expensify Neue;sans-serif" w:hAnsi="Expensify Neue;sans-serif"/>
                <w:b/>
                <w:color w:val="000000"/>
                <w:sz w:val="16"/>
              </w:rPr>
              <w:t>(in thousands)</w:t>
            </w:r>
          </w:p>
        </w:tc>
      </w:tr>
      <w:tr>
        <w:trPr/>
        <w:tc>
          <w:tcPr>
            <w:tcW w:w="615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Expensify Neue;sans-serif" w:hAnsi="Expensify Neue;sans-serif"/>
                <w:b w:val="false"/>
                <w:color w:val="000000"/>
                <w:sz w:val="20"/>
              </w:rPr>
            </w:pPr>
            <w:r>
              <w:rPr>
                <w:rFonts w:ascii="Expensify Neue;sans-serif" w:hAnsi="Expensify Neue;sans-serif"/>
                <w:b w:val="false"/>
                <w:color w:val="000000"/>
                <w:sz w:val="20"/>
              </w:rPr>
              <w:t>Net cash provided by operating activities</w:t>
            </w:r>
          </w:p>
        </w:tc>
        <w:tc>
          <w:tcPr>
            <w:tcW w:w="284"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Expensify Neue;sans-serif" w:hAnsi="Expensify Neue;sans-serif"/>
                <w:b w:val="false"/>
                <w:color w:val="000000"/>
                <w:sz w:val="20"/>
              </w:rPr>
            </w:pPr>
            <w:r>
              <w:rPr>
                <w:rFonts w:ascii="Expensify Neue;sans-serif" w:hAnsi="Expensify Neue;sans-serif"/>
                <w:b w:val="false"/>
                <w:color w:val="000000"/>
                <w:sz w:val="20"/>
              </w:rPr>
              <w:t>$</w:t>
            </w:r>
          </w:p>
        </w:tc>
        <w:tc>
          <w:tcPr>
            <w:tcW w:w="88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Expensify Neue;sans-serif" w:hAnsi="Expensify Neue;sans-serif"/>
                <w:b w:val="false"/>
                <w:color w:val="000000"/>
                <w:sz w:val="20"/>
              </w:rPr>
            </w:pPr>
            <w:r>
              <w:rPr>
                <w:rFonts w:ascii="Expensify Neue;sans-serif" w:hAnsi="Expensify Neue;sans-serif"/>
                <w:b w:val="false"/>
                <w:color w:val="000000"/>
                <w:sz w:val="20"/>
              </w:rPr>
              <w:t>4,805 </w:t>
            </w:r>
          </w:p>
        </w:tc>
        <w:tc>
          <w:tcPr>
            <w:tcW w:w="13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4"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Expensify Neue;sans-serif" w:hAnsi="Expensify Neue;sans-serif"/>
                <w:b w:val="false"/>
                <w:color w:val="000000"/>
                <w:sz w:val="20"/>
              </w:rPr>
            </w:pPr>
            <w:r>
              <w:rPr>
                <w:rFonts w:ascii="Expensify Neue;sans-serif" w:hAnsi="Expensify Neue;sans-serif"/>
                <w:b w:val="false"/>
                <w:color w:val="000000"/>
                <w:sz w:val="20"/>
              </w:rPr>
              <w:t>$</w:t>
            </w:r>
          </w:p>
        </w:tc>
        <w:tc>
          <w:tcPr>
            <w:tcW w:w="88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Expensify Neue;sans-serif" w:hAnsi="Expensify Neue;sans-serif"/>
                <w:b w:val="false"/>
                <w:color w:val="000000"/>
                <w:sz w:val="20"/>
              </w:rPr>
            </w:pPr>
            <w:r>
              <w:rPr>
                <w:rFonts w:ascii="Expensify Neue;sans-serif" w:hAnsi="Expensify Neue;sans-serif"/>
                <w:b w:val="false"/>
                <w:color w:val="000000"/>
                <w:sz w:val="20"/>
              </w:rPr>
              <w:t>3,471 </w:t>
            </w:r>
          </w:p>
        </w:tc>
        <w:tc>
          <w:tcPr>
            <w:tcW w:w="13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5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Expensify Neue;sans-serif" w:hAnsi="Expensify Neue;sans-serif"/>
                <w:b w:val="false"/>
                <w:color w:val="000000"/>
                <w:sz w:val="20"/>
              </w:rPr>
            </w:pPr>
            <w:r>
              <w:rPr>
                <w:rFonts w:ascii="Expensify Neue;sans-serif" w:hAnsi="Expensify Neue;sans-serif"/>
                <w:b w:val="false"/>
                <w:color w:val="000000"/>
                <w:sz w:val="20"/>
              </w:rPr>
              <w:t>Net cash used in investing activities</w:t>
            </w:r>
          </w:p>
        </w:tc>
        <w:tc>
          <w:tcPr>
            <w:tcW w:w="11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Expensify Neue;sans-serif" w:hAnsi="Expensify Neue;sans-serif"/>
                <w:b w:val="false"/>
                <w:color w:val="000000"/>
                <w:sz w:val="20"/>
              </w:rPr>
            </w:pPr>
            <w:r>
              <w:rPr>
                <w:rFonts w:ascii="Expensify Neue;sans-serif" w:hAnsi="Expensify Neue;sans-serif"/>
                <w:b w:val="false"/>
                <w:color w:val="000000"/>
                <w:sz w:val="20"/>
              </w:rPr>
              <w:t>(498)</w:t>
            </w:r>
          </w:p>
        </w:tc>
        <w:tc>
          <w:tcPr>
            <w:tcW w:w="13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Expensify Neue;sans-serif" w:hAnsi="Expensify Neue;sans-serif"/>
                <w:b w:val="false"/>
                <w:color w:val="000000"/>
                <w:sz w:val="20"/>
              </w:rPr>
            </w:pPr>
            <w:r>
              <w:rPr>
                <w:rFonts w:ascii="Expensify Neue;sans-serif" w:hAnsi="Expensify Neue;sans-serif"/>
                <w:b w:val="false"/>
                <w:color w:val="000000"/>
                <w:sz w:val="20"/>
              </w:rPr>
              <w:t>(2,829)</w:t>
            </w:r>
          </w:p>
        </w:tc>
        <w:tc>
          <w:tcPr>
            <w:tcW w:w="13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615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Expensify Neue;sans-serif" w:hAnsi="Expensify Neue;sans-serif"/>
                <w:b w:val="false"/>
                <w:color w:val="000000"/>
                <w:sz w:val="20"/>
              </w:rPr>
            </w:pPr>
            <w:r>
              <w:rPr>
                <w:rFonts w:ascii="Expensify Neue;sans-serif" w:hAnsi="Expensify Neue;sans-serif"/>
                <w:b w:val="false"/>
                <w:color w:val="000000"/>
                <w:sz w:val="20"/>
              </w:rPr>
              <w:t>Net cash provided by financing activities</w:t>
            </w:r>
          </w:p>
        </w:tc>
        <w:tc>
          <w:tcPr>
            <w:tcW w:w="117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Expensify Neue;sans-serif" w:hAnsi="Expensify Neue;sans-serif"/>
                <w:b w:val="false"/>
                <w:color w:val="000000"/>
                <w:sz w:val="20"/>
              </w:rPr>
            </w:pPr>
            <w:r>
              <w:rPr>
                <w:rFonts w:ascii="Expensify Neue;sans-serif" w:hAnsi="Expensify Neue;sans-serif"/>
                <w:b w:val="false"/>
                <w:color w:val="000000"/>
                <w:sz w:val="20"/>
              </w:rPr>
              <w:t>1,208 </w:t>
            </w:r>
          </w:p>
        </w:tc>
        <w:tc>
          <w:tcPr>
            <w:tcW w:w="13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Expensify Neue;sans-serif" w:hAnsi="Expensify Neue;sans-serif"/>
                <w:b w:val="false"/>
                <w:color w:val="000000"/>
                <w:sz w:val="20"/>
              </w:rPr>
            </w:pPr>
            <w:r>
              <w:rPr>
                <w:rFonts w:ascii="Expensify Neue;sans-serif" w:hAnsi="Expensify Neue;sans-serif"/>
                <w:b w:val="false"/>
                <w:color w:val="000000"/>
                <w:sz w:val="20"/>
              </w:rPr>
              <w:t>845 </w:t>
            </w:r>
          </w:p>
        </w:tc>
        <w:tc>
          <w:tcPr>
            <w:tcW w:w="13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615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Expensify Neue;sans-serif" w:hAnsi="Expensify Neue;sans-serif"/>
                <w:b w:val="false"/>
                <w:color w:val="000000"/>
                <w:sz w:val="20"/>
              </w:rPr>
            </w:pPr>
            <w:r>
              <w:rPr>
                <w:rFonts w:ascii="Expensify Neue;sans-serif" w:hAnsi="Expensify Neue;sans-serif"/>
                <w:b w:val="false"/>
                <w:color w:val="000000"/>
                <w:sz w:val="20"/>
              </w:rPr>
              <w:t>Net increase in cash and cash equivalents and restricted cash</w:t>
            </w:r>
          </w:p>
        </w:tc>
        <w:tc>
          <w:tcPr>
            <w:tcW w:w="284"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Expensify Neue;sans-serif" w:hAnsi="Expensify Neue;sans-serif"/>
                <w:b w:val="false"/>
                <w:color w:val="000000"/>
                <w:sz w:val="20"/>
              </w:rPr>
            </w:pPr>
            <w:r>
              <w:rPr>
                <w:rFonts w:ascii="Expensify Neue;sans-serif" w:hAnsi="Expensify Neue;sans-serif"/>
                <w:b w:val="false"/>
                <w:color w:val="000000"/>
                <w:sz w:val="20"/>
              </w:rPr>
              <w:t>$</w:t>
            </w:r>
          </w:p>
        </w:tc>
        <w:tc>
          <w:tcPr>
            <w:tcW w:w="888"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Expensify Neue;sans-serif" w:hAnsi="Expensify Neue;sans-serif"/>
                <w:b w:val="false"/>
                <w:color w:val="000000"/>
                <w:sz w:val="20"/>
              </w:rPr>
            </w:pPr>
            <w:r>
              <w:rPr>
                <w:rFonts w:ascii="Expensify Neue;sans-serif" w:hAnsi="Expensify Neue;sans-serif"/>
                <w:b w:val="false"/>
                <w:color w:val="000000"/>
                <w:sz w:val="20"/>
              </w:rPr>
              <w:t>5,515 </w:t>
            </w:r>
          </w:p>
        </w:tc>
        <w:tc>
          <w:tcPr>
            <w:tcW w:w="137"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4"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Expensify Neue;sans-serif" w:hAnsi="Expensify Neue;sans-serif"/>
                <w:b w:val="false"/>
                <w:color w:val="000000"/>
                <w:sz w:val="20"/>
              </w:rPr>
            </w:pPr>
            <w:r>
              <w:rPr>
                <w:rFonts w:ascii="Expensify Neue;sans-serif" w:hAnsi="Expensify Neue;sans-serif"/>
                <w:b w:val="false"/>
                <w:color w:val="000000"/>
                <w:sz w:val="20"/>
              </w:rPr>
              <w:t>$</w:t>
            </w:r>
          </w:p>
        </w:tc>
        <w:tc>
          <w:tcPr>
            <w:tcW w:w="888"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Expensify Neue;sans-serif" w:hAnsi="Expensify Neue;sans-serif"/>
                <w:b w:val="false"/>
                <w:color w:val="000000"/>
                <w:sz w:val="20"/>
              </w:rPr>
            </w:pPr>
            <w:r>
              <w:rPr>
                <w:rFonts w:ascii="Expensify Neue;sans-serif" w:hAnsi="Expensify Neue;sans-serif"/>
                <w:b w:val="false"/>
                <w:color w:val="000000"/>
                <w:sz w:val="20"/>
              </w:rPr>
              <w:t>1,487 </w:t>
            </w:r>
          </w:p>
        </w:tc>
        <w:tc>
          <w:tcPr>
            <w:tcW w:w="137"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50"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309" w:type="dxa"/>
            <w:gridSpan w:val="3"/>
            <w:tcBorders>
              <w:top w:val="double" w:sz="8"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411"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309" w:type="dxa"/>
            <w:gridSpan w:val="3"/>
            <w:tcBorders>
              <w:top w:val="double" w:sz="8"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160"/>
        <w:jc w:val="left"/>
        <w:rPr>
          <w:rFonts w:ascii="Expensify Neue;sans-serif" w:hAnsi="Expensify Neue;sans-serif"/>
          <w:b/>
          <w:color w:val="03D47C"/>
          <w:sz w:val="20"/>
        </w:rPr>
      </w:pPr>
      <w:r>
        <w:rPr>
          <w:rFonts w:ascii="Expensify Neue;sans-serif" w:hAnsi="Expensify Neue;sans-serif"/>
          <w:b/>
          <w:color w:val="03D47C"/>
          <w:sz w:val="20"/>
        </w:rPr>
        <w:t>CASH FLOWS FROM OPERATING ACTIVITIES</w:t>
      </w:r>
    </w:p>
    <w:p>
      <w:pPr>
        <w:pStyle w:val="TextBody"/>
        <w:bidi w:val="0"/>
        <w:spacing w:lineRule="auto" w:line="288" w:before="0" w:after="160"/>
        <w:jc w:val="left"/>
        <w:rPr>
          <w:rFonts w:ascii="Expensify Neue;sans-serif" w:hAnsi="Expensify Neue;sans-serif"/>
          <w:b w:val="false"/>
          <w:color w:val="000000"/>
          <w:sz w:val="20"/>
        </w:rPr>
      </w:pPr>
      <w:r>
        <w:rPr>
          <w:rFonts w:ascii="Expensify Neue;sans-serif" w:hAnsi="Expensify Neue;sans-serif"/>
          <w:b w:val="false"/>
          <w:color w:val="000000"/>
          <w:sz w:val="20"/>
        </w:rPr>
        <w:t>Net cash provided by operating activities was $4.8 million for the three months ended March 31, 2025 compared to $3.5 million for the same period in 2024. The increase was primarily due to an increase in interchange revenue driven by the increased adoption and spend captured from members using the Expensify Card, a decrease in advertising spend, and a decrease in SmartScan costs, partially offset by a decrease in subscription revenue.</w:t>
      </w:r>
    </w:p>
    <w:p>
      <w:pPr>
        <w:pStyle w:val="TextBody"/>
        <w:bidi w:val="0"/>
        <w:spacing w:lineRule="auto" w:line="288" w:before="0" w:after="160"/>
        <w:jc w:val="left"/>
        <w:rPr>
          <w:rFonts w:ascii="Expensify Neue;sans-serif" w:hAnsi="Expensify Neue;sans-serif"/>
          <w:b/>
          <w:color w:val="03D47C"/>
          <w:sz w:val="20"/>
        </w:rPr>
      </w:pPr>
      <w:r>
        <w:rPr>
          <w:rFonts w:ascii="Expensify Neue;sans-serif" w:hAnsi="Expensify Neue;sans-serif"/>
          <w:b/>
          <w:color w:val="03D47C"/>
          <w:sz w:val="20"/>
        </w:rPr>
        <w:t>CASH FLOWS FROM INVESTING ACTIVITIES</w:t>
      </w:r>
    </w:p>
    <w:p>
      <w:pPr>
        <w:pStyle w:val="TextBody"/>
        <w:bidi w:val="0"/>
        <w:spacing w:lineRule="auto" w:line="288" w:before="0" w:after="160"/>
        <w:jc w:val="left"/>
        <w:rPr>
          <w:rFonts w:ascii="Expensify Neue;sans-serif" w:hAnsi="Expensify Neue;sans-serif"/>
          <w:b w:val="false"/>
          <w:color w:val="000000"/>
          <w:sz w:val="20"/>
        </w:rPr>
      </w:pPr>
      <w:r>
        <w:rPr>
          <w:rFonts w:ascii="Expensify Neue;sans-serif" w:hAnsi="Expensify Neue;sans-serif"/>
          <w:b w:val="false"/>
          <w:color w:val="000000"/>
          <w:sz w:val="20"/>
        </w:rPr>
        <w:t>Net cash used in investing activities was $0.5 million for the three months ended March 31, 2025, primarily consisting of software development costs.</w:t>
      </w:r>
    </w:p>
    <w:p>
      <w:pPr>
        <w:pStyle w:val="TextBody"/>
        <w:bidi w:val="0"/>
        <w:spacing w:lineRule="auto" w:line="288" w:before="0" w:after="160"/>
        <w:jc w:val="left"/>
        <w:rPr>
          <w:rFonts w:ascii="Expensify Neue;sans-serif" w:hAnsi="Expensify Neue;sans-serif"/>
          <w:b w:val="false"/>
          <w:color w:val="000000"/>
          <w:sz w:val="20"/>
        </w:rPr>
      </w:pPr>
      <w:r>
        <w:rPr>
          <w:rFonts w:ascii="Expensify Neue;sans-serif" w:hAnsi="Expensify Neue;sans-serif"/>
          <w:b w:val="false"/>
          <w:color w:val="000000"/>
          <w:sz w:val="20"/>
        </w:rPr>
        <w:t>Net cash used in investing activities decreased for the three months ended March 31, 2025 compared to the same period in 2024, primarily due to a decrease in employee and external contributor software development costs.</w:t>
      </w:r>
    </w:p>
    <w:p>
      <w:pPr>
        <w:pStyle w:val="TextBody"/>
        <w:bidi w:val="0"/>
        <w:spacing w:lineRule="auto" w:line="288" w:before="0" w:after="160"/>
        <w:jc w:val="left"/>
        <w:rPr>
          <w:rFonts w:ascii="Expensify Neue;sans-serif" w:hAnsi="Expensify Neue;sans-serif"/>
          <w:b/>
          <w:color w:val="03D47C"/>
          <w:sz w:val="20"/>
        </w:rPr>
      </w:pPr>
      <w:r>
        <w:rPr>
          <w:rFonts w:ascii="Expensify Neue;sans-serif" w:hAnsi="Expensify Neue;sans-serif"/>
          <w:b/>
          <w:color w:val="03D47C"/>
          <w:sz w:val="20"/>
        </w:rPr>
        <w:t>CASH FLOWS FROM FINANCING ACTIVITIES</w:t>
      </w:r>
    </w:p>
    <w:p>
      <w:pPr>
        <w:pStyle w:val="TextBody"/>
        <w:bidi w:val="0"/>
        <w:spacing w:lineRule="auto" w:line="288" w:before="0" w:after="160"/>
        <w:jc w:val="left"/>
        <w:rPr>
          <w:rFonts w:ascii="Expensify Neue;sans-serif" w:hAnsi="Expensify Neue;sans-serif"/>
          <w:b w:val="false"/>
          <w:color w:val="000000"/>
          <w:sz w:val="20"/>
        </w:rPr>
      </w:pPr>
      <w:r>
        <w:rPr>
          <w:rFonts w:ascii="Expensify Neue;sans-serif" w:hAnsi="Expensify Neue;sans-serif"/>
          <w:b w:val="false"/>
          <w:color w:val="000000"/>
          <w:sz w:val="20"/>
        </w:rPr>
        <w:t>Net cash provided by financing activities was $1.2 million for the three months ended March 31, 2025, primarily consisting of proceeds from common stock purchased under our 2021 Stock Purchase and Matching Plan ("Matching Plan").</w:t>
      </w:r>
    </w:p>
    <w:p>
      <w:pPr>
        <w:pStyle w:val="TextBody"/>
        <w:bidi w:val="0"/>
        <w:spacing w:lineRule="auto" w:line="288" w:before="0" w:after="160"/>
        <w:jc w:val="left"/>
        <w:rPr>
          <w:rFonts w:ascii="Expensify Neue;sans-serif" w:hAnsi="Expensify Neue;sans-serif"/>
          <w:b w:val="false"/>
          <w:color w:val="000000"/>
          <w:sz w:val="20"/>
        </w:rPr>
      </w:pPr>
      <w:r>
        <w:rPr>
          <w:rFonts w:ascii="Expensify Neue;sans-serif" w:hAnsi="Expensify Neue;sans-serif"/>
          <w:b w:val="false"/>
          <w:color w:val="000000"/>
          <w:sz w:val="20"/>
        </w:rPr>
        <w:t>During the three months ended March 31, 2024, net cash provided by financing activities primarily consisted of proceeds from common stock purchased under the Matching Plan.</w:t>
      </w:r>
    </w:p>
    <w:p>
      <w:pPr>
        <w:pStyle w:val="TextBody"/>
        <w:bidi w:val="0"/>
        <w:spacing w:lineRule="auto" w:line="288" w:before="0" w:after="160"/>
        <w:jc w:val="left"/>
        <w:rPr>
          <w:rFonts w:ascii="Expensify Neue;sans-serif" w:hAnsi="Expensify Neue;sans-serif"/>
          <w:b/>
          <w:color w:val="03D47C"/>
          <w:sz w:val="20"/>
        </w:rPr>
      </w:pPr>
      <w:r>
        <w:rPr>
          <w:rFonts w:ascii="Expensify Neue;sans-serif" w:hAnsi="Expensify Neue;sans-serif"/>
          <w:b/>
          <w:color w:val="03D47C"/>
          <w:sz w:val="20"/>
        </w:rPr>
        <w:t>SHARE REPURCHASE PROGRAM</w:t>
      </w:r>
    </w:p>
    <w:p>
      <w:pPr>
        <w:pStyle w:val="TextBody"/>
        <w:bidi w:val="0"/>
        <w:spacing w:lineRule="auto" w:line="288" w:before="0" w:after="160"/>
        <w:jc w:val="left"/>
        <w:rPr>
          <w:rFonts w:ascii="Expensify Neue;sans-serif" w:hAnsi="Expensify Neue;sans-serif"/>
          <w:b w:val="false"/>
          <w:color w:val="000000"/>
          <w:sz w:val="20"/>
        </w:rPr>
      </w:pPr>
      <w:r>
        <w:rPr>
          <w:rFonts w:ascii="Expensify Neue;sans-serif" w:hAnsi="Expensify Neue;sans-serif"/>
          <w:b w:val="false"/>
          <w:color w:val="000000"/>
          <w:sz w:val="20"/>
        </w:rPr>
        <w:t xml:space="preserve">In May 2022, the Executive Committee of our Board of Directors (the “Executive Committee”) approved a share repurchase program with authorization to purchase up to $50.0 million of shares of Class A common stock (“2022 Share Repurchase Program”). The 2022 Share Repurchase Program was scheduled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5">
                <wp:simplePos x="0" y="0"/>
                <wp:positionH relativeFrom="character">
                  <wp:align>left</wp:align>
                </wp:positionH>
                <wp:positionV relativeFrom="line">
                  <wp:posOffset>635</wp:posOffset>
                </wp:positionV>
                <wp:extent cx="6480175" cy="599440"/>
                <wp:effectExtent l="0" t="0" r="0" b="0"/>
                <wp:wrapNone/>
                <wp:docPr id="34" name="Frame33"/>
                <a:graphic xmlns:a="http://schemas.openxmlformats.org/drawingml/2006/main">
                  <a:graphicData uri="http://schemas.microsoft.com/office/word/2010/wordprocessingShape">
                    <wps:wsp>
                      <wps:cNvSpPr txBox="1"/>
                      <wps:spPr>
                        <a:xfrm>
                          <a:off x="0" y="0"/>
                          <a:ext cx="6480175" cy="599440"/>
                        </a:xfrm>
                        <a:prstGeom prst="rect"/>
                        <a:solidFill>
                          <a:srgbClr val="FFFFFF"/>
                        </a:solidFill>
                      </wps:spPr>
                      <wps:txbx>
                        <w:txbxContent>
                          <w:tbl>
                            <w:tblPr>
                              <w:tblW w:w="406" w:type="dxa"/>
                              <w:jc w:val="center"/>
                              <w:tblInd w:w="0" w:type="dxa"/>
                              <w:tblLayout w:type="fixed"/>
                              <w:tblCellMar>
                                <w:top w:w="28" w:type="dxa"/>
                                <w:left w:w="28" w:type="dxa"/>
                                <w:bottom w:w="28" w:type="dxa"/>
                                <w:right w:w="28" w:type="dxa"/>
                              </w:tblCellMar>
                            </w:tblPr>
                            <w:tblGrid>
                              <w:gridCol w:w="130"/>
                              <w:gridCol w:w="114"/>
                              <w:gridCol w:w="162"/>
                            </w:tblGrid>
                            <w:tr>
                              <w:trPr/>
                              <w:tc>
                                <w:tcPr>
                                  <w:tcW w:w="130"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rPr/>
                              <w:tc>
                                <w:tcPr>
                                  <w:tcW w:w="406"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0"/>
                                    <w:jc w:val="center"/>
                                    <w:rPr>
                                      <w:rFonts w:ascii="Expensify Neue;sans-serif" w:hAnsi="Expensify Neue;sans-serif"/>
                                      <w:b w:val="false"/>
                                      <w:color w:val="000000"/>
                                      <w:sz w:val="20"/>
                                    </w:rPr>
                                  </w:pPr>
                                  <w:r>
                                    <w:rPr>
                                      <w:rFonts w:ascii="Expensify Neue;sans-serif" w:hAnsi="Expensify Neue;sans-serif"/>
                                      <w:b w:val="false"/>
                                      <w:color w:val="000000"/>
                                      <w:sz w:val="20"/>
                                    </w:rPr>
                                    <w:t>28</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7.2pt;mso-wrap-distance-left:0pt;mso-wrap-distance-right:0pt;mso-wrap-distance-top:0pt;mso-wrap-distance-bottom:0pt;margin-top:0pt;mso-position-vertical:top;mso-position-vertical-relative:text;margin-left:0pt;mso-position-horizontal:left;mso-position-horizontal-relative:text">
                <v:textbox>
                  <w:txbxContent>
                    <w:tbl>
                      <w:tblPr>
                        <w:tblW w:w="406" w:type="dxa"/>
                        <w:jc w:val="center"/>
                        <w:tblInd w:w="0" w:type="dxa"/>
                        <w:tblLayout w:type="fixed"/>
                        <w:tblCellMar>
                          <w:top w:w="28" w:type="dxa"/>
                          <w:left w:w="28" w:type="dxa"/>
                          <w:bottom w:w="28" w:type="dxa"/>
                          <w:right w:w="28" w:type="dxa"/>
                        </w:tblCellMar>
                      </w:tblPr>
                      <w:tblGrid>
                        <w:gridCol w:w="130"/>
                        <w:gridCol w:w="114"/>
                        <w:gridCol w:w="162"/>
                      </w:tblGrid>
                      <w:tr>
                        <w:trPr/>
                        <w:tc>
                          <w:tcPr>
                            <w:tcW w:w="130"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rPr/>
                        <w:tc>
                          <w:tcPr>
                            <w:tcW w:w="406"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0"/>
                              <w:jc w:val="center"/>
                              <w:rPr>
                                <w:rFonts w:ascii="Expensify Neue;sans-serif" w:hAnsi="Expensify Neue;sans-serif"/>
                                <w:b w:val="false"/>
                                <w:color w:val="000000"/>
                                <w:sz w:val="20"/>
                              </w:rPr>
                            </w:pPr>
                            <w:r>
                              <w:rPr>
                                <w:rFonts w:ascii="Expensify Neue;sans-serif" w:hAnsi="Expensify Neue;sans-serif"/>
                                <w:b w:val="false"/>
                                <w:color w:val="000000"/>
                                <w:sz w:val="20"/>
                              </w:rPr>
                              <w:t>28</w:t>
                            </w:r>
                          </w:p>
                        </w:tc>
                      </w:tr>
                    </w:tbl>
                    <w:p>
                      <w:pPr>
                        <w:pStyle w:val="TextBody"/>
                        <w:bidi w:val="0"/>
                        <w:spacing w:before="0" w:after="283"/>
                        <w:jc w:val="left"/>
                        <w:rPr/>
                      </w:pPr>
                      <w:r>
                        <w:rPr/>
                      </w:r>
                    </w:p>
                  </w:txbxContent>
                </v:textbox>
                <w10:wrap type="none"/>
              </v:rect>
            </w:pict>
          </mc:Fallback>
        </mc:AlternateContent>
      </w:r>
    </w:p>
    <w:p>
      <w:pPr>
        <w:pStyle w:val="TextBody"/>
        <w:bidi w:val="0"/>
        <w:spacing w:lineRule="auto" w:line="288" w:before="0" w:after="160"/>
        <w:jc w:val="left"/>
        <w:rPr/>
      </w:pPr>
      <w:hyperlink w:anchor="i52a648c4f0e449f7bc3c2044827c8f0d_7">
        <w:r>
          <w:rPr>
            <w:rStyle w:val="InternetLink"/>
            <w:rFonts w:ascii="Expensify Neue;sans-serif" w:hAnsi="Expensify Neue;sans-serif"/>
            <w:b/>
            <w:color w:val="0000FF"/>
            <w:sz w:val="20"/>
            <w:u w:val="single"/>
          </w:rPr>
          <w:t>Table of Contents</w:t>
        </w:r>
      </w:hyperlink>
    </w:p>
    <w:p>
      <w:pPr>
        <w:pStyle w:val="TextBody"/>
        <w:bidi w:val="0"/>
        <w:spacing w:lineRule="auto" w:line="288" w:before="0" w:after="160"/>
        <w:jc w:val="left"/>
        <w:rPr>
          <w:rFonts w:ascii="Expensify Neue;sans-serif" w:hAnsi="Expensify Neue;sans-serif"/>
          <w:b w:val="false"/>
          <w:color w:val="000000"/>
          <w:sz w:val="20"/>
        </w:rPr>
      </w:pPr>
      <w:r>
        <w:rPr>
          <w:rFonts w:ascii="Expensify Neue;sans-serif" w:hAnsi="Expensify Neue;sans-serif"/>
          <w:b w:val="false"/>
          <w:color w:val="000000"/>
          <w:sz w:val="20"/>
        </w:rPr>
        <w:t>to expire on March 31, 2025. On February 25, 2025, the Executive Committee approved a new share repurchase program with authorization to purchase up to $50.0 million of shares of Class A common stock ("2025 Share Repurchase Program") that replaced the 2022 Share Repurchase Program. Pursuant to the 2025 Share Repurchase Program, we may repurchase shares from time to time through open market purchases, in privately negotiated transactions or by other means, including the use of trading plans intended to qualify under Rule 10b5-1 of the Exchange Act, in accordance with applicable securities laws and other restrictions. The actual timing, manner, price and total amount of future repurchases will depend on a variety of factors, including business, economic and market conditions, corporate and regulatory requirements, prevailing stock prices, restrictions under the terms of loan agreements and other considerations. The 2025 Share Repurchase Program does not obligate us to acquire any particular amount of Class A common stock, and the program may be suspended or terminated by us at any time at our discretion without prior notice. As of March 31, 2025, the Company had $50.0 million remaining under the 2025 Share Repurchase Program, not including amounts used for net share settlement of vested equity incentive awards. See Note 8 to our condensed consolidated financial statements included elsewhere in this Quarterly Report on Form 10-Q for further information.</w:t>
      </w:r>
    </w:p>
    <w:p>
      <w:pPr>
        <w:pStyle w:val="TextBody"/>
        <w:bidi w:val="0"/>
        <w:spacing w:lineRule="auto" w:line="288" w:before="0" w:after="160"/>
        <w:jc w:val="left"/>
        <w:rPr>
          <w:rFonts w:ascii="Expensify Neue;sans-serif" w:hAnsi="Expensify Neue;sans-serif"/>
          <w:b/>
          <w:color w:val="03D47C"/>
          <w:sz w:val="20"/>
        </w:rPr>
      </w:pPr>
      <w:r>
        <w:rPr>
          <w:rFonts w:ascii="Expensify Neue;sans-serif" w:hAnsi="Expensify Neue;sans-serif"/>
          <w:b/>
          <w:color w:val="03D47C"/>
          <w:sz w:val="20"/>
        </w:rPr>
        <w:t>CREDIT FACILITIES</w:t>
      </w:r>
    </w:p>
    <w:p>
      <w:pPr>
        <w:pStyle w:val="TextBody"/>
        <w:bidi w:val="0"/>
        <w:spacing w:lineRule="auto" w:line="288" w:before="0" w:after="160"/>
        <w:jc w:val="left"/>
        <w:rPr>
          <w:rFonts w:ascii="Expensify Neue;sans-serif" w:hAnsi="Expensify Neue;sans-serif"/>
          <w:b/>
          <w:i/>
          <w:color w:val="000000"/>
          <w:sz w:val="20"/>
        </w:rPr>
      </w:pPr>
      <w:r>
        <w:rPr>
          <w:rFonts w:ascii="Expensify Neue;sans-serif" w:hAnsi="Expensify Neue;sans-serif"/>
          <w:b/>
          <w:i/>
          <w:color w:val="000000"/>
          <w:sz w:val="20"/>
        </w:rPr>
        <w:t>Amortizing Term Mortgage</w:t>
      </w:r>
    </w:p>
    <w:p>
      <w:pPr>
        <w:pStyle w:val="TextBody"/>
        <w:bidi w:val="0"/>
        <w:spacing w:lineRule="auto" w:line="288" w:before="0" w:after="160"/>
        <w:jc w:val="left"/>
        <w:rPr/>
      </w:pPr>
      <w:r>
        <w:rPr>
          <w:rFonts w:ascii="Expensify Neue;sans-serif" w:hAnsi="Expensify Neue;sans-serif"/>
          <w:b w:val="false"/>
          <w:color w:val="000000"/>
          <w:sz w:val="20"/>
        </w:rPr>
        <w:t xml:space="preserve">In August 2019, we entered into an $8.3 million amortizing term mortgage agreement with CIBC for our commercial building located in Portland, Oregon. The agreement required principal and interest payments due each month over a five-year period. Interest accrued at a fixed rate of 5.00% per year until August 2024, at which point the remaining outstanding principal balance on the amortizing term mortgage was due in full. The borrowings were secured by the building. On August 29, 2024, we repaid in full the then-outstanding balance of $7.6 million and an immaterial amount of accrued interest and terminated the associated mortgage agreement with CIBC and secured promissory note. </w:t>
      </w:r>
      <w:r>
        <w:rPr>
          <w:rFonts w:ascii="Expensify Neue;sans-serif" w:hAnsi="Expensify Neue;sans-serif"/>
          <w:b w:val="false"/>
          <w:color w:val="000000"/>
          <w:sz w:val="20"/>
          <w:shd w:fill="FFFFFF" w:val="clear"/>
        </w:rPr>
        <w:t xml:space="preserve">See Note 4 to our condensed consolidated financial statements included elsewhere in this Quarterly Report on Form 10-Q for further information. </w:t>
      </w:r>
    </w:p>
    <w:p>
      <w:pPr>
        <w:pStyle w:val="TextBody"/>
        <w:bidi w:val="0"/>
        <w:spacing w:lineRule="auto" w:line="288" w:before="0" w:after="160"/>
        <w:jc w:val="left"/>
        <w:rPr>
          <w:rFonts w:ascii="Expensify Neue;sans-serif" w:hAnsi="Expensify Neue;sans-serif"/>
          <w:b/>
          <w:i/>
          <w:color w:val="000000"/>
          <w:sz w:val="20"/>
        </w:rPr>
      </w:pPr>
      <w:r>
        <w:rPr>
          <w:rFonts w:ascii="Expensify Neue;sans-serif" w:hAnsi="Expensify Neue;sans-serif"/>
          <w:b/>
          <w:i/>
          <w:color w:val="000000"/>
          <w:sz w:val="20"/>
        </w:rPr>
        <w:t>Loan and Security Agreement</w:t>
      </w:r>
    </w:p>
    <w:p>
      <w:pPr>
        <w:pStyle w:val="TextBody"/>
        <w:bidi w:val="0"/>
        <w:spacing w:lineRule="auto" w:line="288" w:before="0" w:after="160"/>
        <w:jc w:val="left"/>
        <w:rPr>
          <w:rFonts w:ascii="Expensify Neue;sans-serif" w:hAnsi="Expensify Neue;sans-serif"/>
          <w:b w:val="false"/>
          <w:color w:val="000000"/>
          <w:sz w:val="20"/>
        </w:rPr>
      </w:pPr>
      <w:r>
        <w:rPr>
          <w:rFonts w:ascii="Expensify Neue;sans-serif" w:hAnsi="Expensify Neue;sans-serif"/>
          <w:b w:val="false"/>
          <w:color w:val="000000"/>
          <w:sz w:val="20"/>
        </w:rPr>
        <w:t xml:space="preserve">In February 2024, we entered into a Second Amended and Restated Loan and Security Agreement (as amended by the amendments described below, and as may be further amended from time to time, the "2024 Amended Loan and Security Agreement") with CIBC. The 2024 Amended Loan and Security Agreement provides for a $25.0 million revolving credit facility that expires in September 2025. Borrowings under the revolving line of credit accrue interest at CIBC’s reference rate plus 1.00% and are secured by substantially all of our assets. </w:t>
      </w:r>
    </w:p>
    <w:p>
      <w:pPr>
        <w:pStyle w:val="TextBody"/>
        <w:bidi w:val="0"/>
        <w:spacing w:lineRule="auto" w:line="288" w:before="0" w:after="160"/>
        <w:jc w:val="left"/>
        <w:rPr>
          <w:rFonts w:ascii="Expensify Neue;sans-serif" w:hAnsi="Expensify Neue;sans-serif"/>
          <w:b w:val="false"/>
          <w:color w:val="000000"/>
          <w:sz w:val="20"/>
        </w:rPr>
      </w:pPr>
      <w:r>
        <w:rPr>
          <w:rFonts w:ascii="Expensify Neue;sans-serif" w:hAnsi="Expensify Neue;sans-serif"/>
          <w:b w:val="false"/>
          <w:color w:val="000000"/>
          <w:sz w:val="20"/>
        </w:rPr>
        <w:t xml:space="preserve">In April 2024, we entered into an irrevocable standby letter of credit (the "Letter of Credit") issued under the 2024 Amended Loan and Security Agreement to reduce cash collateral requirements in connection with the Updated Card Program. The Letter of Credit was issued in the amount of $1.0 million for the benefit of Bancorp and was set to expire on March 20, 2025. The Letter of Credit was renewed on February 28, 2025 and now expires on March 20, 2026. No amounts had been drawn on the Letter of Credit as of March 31, 2025. </w:t>
      </w:r>
    </w:p>
    <w:p>
      <w:pPr>
        <w:pStyle w:val="TextBody"/>
        <w:bidi w:val="0"/>
        <w:spacing w:lineRule="auto" w:line="288" w:before="0" w:after="160"/>
        <w:jc w:val="left"/>
        <w:rPr>
          <w:rFonts w:ascii="Expensify Neue;sans-serif" w:hAnsi="Expensify Neue;sans-serif"/>
          <w:b w:val="false"/>
          <w:color w:val="000000"/>
          <w:sz w:val="20"/>
        </w:rPr>
      </w:pPr>
      <w:r>
        <w:rPr>
          <w:rFonts w:ascii="Expensify Neue;sans-serif" w:hAnsi="Expensify Neue;sans-serif"/>
          <w:b w:val="false"/>
          <w:color w:val="000000"/>
          <w:sz w:val="20"/>
        </w:rPr>
        <w:t>In May 2024, we entered into a First Amendment to the 2024 Amended Loan and Security Agreement, which amended the covenant restricting the amount of repurchases of common stock to allow for certain additional repurchase activity and provided a waiver for our non-compliance during prior periods with the previous version of such covenant.</w:t>
      </w:r>
    </w:p>
    <w:p>
      <w:pPr>
        <w:pStyle w:val="TextBody"/>
        <w:bidi w:val="0"/>
        <w:spacing w:lineRule="auto" w:line="288" w:before="0" w:after="160"/>
        <w:jc w:val="left"/>
        <w:rPr>
          <w:rFonts w:ascii="Expensify Neue;sans-serif" w:hAnsi="Expensify Neue;sans-serif"/>
          <w:b w:val="false"/>
          <w:color w:val="000000"/>
          <w:sz w:val="20"/>
        </w:rPr>
      </w:pPr>
      <w:r>
        <w:rPr>
          <w:rFonts w:ascii="Expensify Neue;sans-serif" w:hAnsi="Expensify Neue;sans-serif"/>
          <w:b w:val="false"/>
          <w:color w:val="000000"/>
          <w:sz w:val="20"/>
        </w:rPr>
        <w:t>The then-outstanding balance of $15.0 million and an immaterial amount of accrued interest on the revolving line of credit were repaid in full on July 10, 2024.</w:t>
      </w:r>
    </w:p>
    <w:p>
      <w:pPr>
        <w:pStyle w:val="TextBody"/>
        <w:bidi w:val="0"/>
        <w:spacing w:lineRule="auto" w:line="288" w:before="0" w:after="160"/>
        <w:jc w:val="left"/>
        <w:rPr>
          <w:rFonts w:ascii="Expensify Neue;sans-serif" w:hAnsi="Expensify Neue;sans-serif"/>
          <w:b w:val="false"/>
          <w:color w:val="000000"/>
          <w:sz w:val="20"/>
          <w:shd w:fill="FFFFFF" w:val="clear"/>
        </w:rPr>
      </w:pPr>
      <w:r>
        <w:rPr>
          <w:rFonts w:ascii="Expensify Neue;sans-serif" w:hAnsi="Expensify Neue;sans-serif"/>
          <w:b w:val="false"/>
          <w:color w:val="000000"/>
          <w:sz w:val="20"/>
          <w:shd w:fill="FFFFFF" w:val="clear"/>
        </w:rPr>
        <w:t xml:space="preserve">In August 2024, we entered into a Second Amendment to the 2024 Amended Loan and Security Agreement, which permits our wholly-owned subsidiary, 401 SW 5th Ave LLC, to remain an excluded subsidiary provided that the subsidiary does not engage in any operations or activities except to maintain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6">
                <wp:simplePos x="0" y="0"/>
                <wp:positionH relativeFrom="character">
                  <wp:align>left</wp:align>
                </wp:positionH>
                <wp:positionV relativeFrom="line">
                  <wp:posOffset>635</wp:posOffset>
                </wp:positionV>
                <wp:extent cx="6480175" cy="599440"/>
                <wp:effectExtent l="0" t="0" r="0" b="0"/>
                <wp:wrapNone/>
                <wp:docPr id="35" name="Frame34"/>
                <a:graphic xmlns:a="http://schemas.openxmlformats.org/drawingml/2006/main">
                  <a:graphicData uri="http://schemas.microsoft.com/office/word/2010/wordprocessingShape">
                    <wps:wsp>
                      <wps:cNvSpPr txBox="1"/>
                      <wps:spPr>
                        <a:xfrm>
                          <a:off x="0" y="0"/>
                          <a:ext cx="6480175" cy="599440"/>
                        </a:xfrm>
                        <a:prstGeom prst="rect"/>
                        <a:solidFill>
                          <a:srgbClr val="FFFFFF"/>
                        </a:solidFill>
                      </wps:spPr>
                      <wps:txbx>
                        <w:txbxContent>
                          <w:tbl>
                            <w:tblPr>
                              <w:tblW w:w="406" w:type="dxa"/>
                              <w:jc w:val="center"/>
                              <w:tblInd w:w="0" w:type="dxa"/>
                              <w:tblLayout w:type="fixed"/>
                              <w:tblCellMar>
                                <w:top w:w="28" w:type="dxa"/>
                                <w:left w:w="28" w:type="dxa"/>
                                <w:bottom w:w="28" w:type="dxa"/>
                                <w:right w:w="28" w:type="dxa"/>
                              </w:tblCellMar>
                            </w:tblPr>
                            <w:tblGrid>
                              <w:gridCol w:w="130"/>
                              <w:gridCol w:w="114"/>
                              <w:gridCol w:w="162"/>
                            </w:tblGrid>
                            <w:tr>
                              <w:trPr/>
                              <w:tc>
                                <w:tcPr>
                                  <w:tcW w:w="130"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rPr/>
                              <w:tc>
                                <w:tcPr>
                                  <w:tcW w:w="406"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0"/>
                                    <w:jc w:val="center"/>
                                    <w:rPr>
                                      <w:rFonts w:ascii="Expensify Neue;sans-serif" w:hAnsi="Expensify Neue;sans-serif"/>
                                      <w:b w:val="false"/>
                                      <w:color w:val="000000"/>
                                      <w:sz w:val="20"/>
                                    </w:rPr>
                                  </w:pPr>
                                  <w:r>
                                    <w:rPr>
                                      <w:rFonts w:ascii="Expensify Neue;sans-serif" w:hAnsi="Expensify Neue;sans-serif"/>
                                      <w:b w:val="false"/>
                                      <w:color w:val="000000"/>
                                      <w:sz w:val="20"/>
                                    </w:rPr>
                                    <w:t>29</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7.2pt;mso-wrap-distance-left:0pt;mso-wrap-distance-right:0pt;mso-wrap-distance-top:0pt;mso-wrap-distance-bottom:0pt;margin-top:0pt;mso-position-vertical:top;mso-position-vertical-relative:text;margin-left:0pt;mso-position-horizontal:left;mso-position-horizontal-relative:text">
                <v:textbox>
                  <w:txbxContent>
                    <w:tbl>
                      <w:tblPr>
                        <w:tblW w:w="406" w:type="dxa"/>
                        <w:jc w:val="center"/>
                        <w:tblInd w:w="0" w:type="dxa"/>
                        <w:tblLayout w:type="fixed"/>
                        <w:tblCellMar>
                          <w:top w:w="28" w:type="dxa"/>
                          <w:left w:w="28" w:type="dxa"/>
                          <w:bottom w:w="28" w:type="dxa"/>
                          <w:right w:w="28" w:type="dxa"/>
                        </w:tblCellMar>
                      </w:tblPr>
                      <w:tblGrid>
                        <w:gridCol w:w="130"/>
                        <w:gridCol w:w="114"/>
                        <w:gridCol w:w="162"/>
                      </w:tblGrid>
                      <w:tr>
                        <w:trPr/>
                        <w:tc>
                          <w:tcPr>
                            <w:tcW w:w="130"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rPr/>
                        <w:tc>
                          <w:tcPr>
                            <w:tcW w:w="406"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0"/>
                              <w:jc w:val="center"/>
                              <w:rPr>
                                <w:rFonts w:ascii="Expensify Neue;sans-serif" w:hAnsi="Expensify Neue;sans-serif"/>
                                <w:b w:val="false"/>
                                <w:color w:val="000000"/>
                                <w:sz w:val="20"/>
                              </w:rPr>
                            </w:pPr>
                            <w:r>
                              <w:rPr>
                                <w:rFonts w:ascii="Expensify Neue;sans-serif" w:hAnsi="Expensify Neue;sans-serif"/>
                                <w:b w:val="false"/>
                                <w:color w:val="000000"/>
                                <w:sz w:val="20"/>
                              </w:rPr>
                              <w:t>29</w:t>
                            </w:r>
                          </w:p>
                        </w:tc>
                      </w:tr>
                    </w:tbl>
                    <w:p>
                      <w:pPr>
                        <w:pStyle w:val="TextBody"/>
                        <w:bidi w:val="0"/>
                        <w:spacing w:before="0" w:after="283"/>
                        <w:jc w:val="left"/>
                        <w:rPr/>
                      </w:pPr>
                      <w:r>
                        <w:rPr/>
                      </w:r>
                    </w:p>
                  </w:txbxContent>
                </v:textbox>
                <w10:wrap type="none"/>
              </v:rect>
            </w:pict>
          </mc:Fallback>
        </mc:AlternateContent>
      </w:r>
    </w:p>
    <w:p>
      <w:pPr>
        <w:pStyle w:val="TextBody"/>
        <w:bidi w:val="0"/>
        <w:spacing w:lineRule="auto" w:line="288" w:before="0" w:after="160"/>
        <w:jc w:val="left"/>
        <w:rPr/>
      </w:pPr>
      <w:hyperlink w:anchor="i52a648c4f0e449f7bc3c2044827c8f0d_7">
        <w:r>
          <w:rPr>
            <w:rStyle w:val="InternetLink"/>
            <w:rFonts w:ascii="Expensify Neue;sans-serif" w:hAnsi="Expensify Neue;sans-serif"/>
            <w:b/>
            <w:color w:val="0000FF"/>
            <w:sz w:val="20"/>
            <w:u w:val="single"/>
          </w:rPr>
          <w:t>Table of Contents</w:t>
        </w:r>
      </w:hyperlink>
    </w:p>
    <w:p>
      <w:pPr>
        <w:pStyle w:val="TextBody"/>
        <w:bidi w:val="0"/>
        <w:spacing w:lineRule="auto" w:line="288" w:before="0" w:after="160"/>
        <w:jc w:val="left"/>
        <w:rPr>
          <w:rFonts w:ascii="Expensify Neue;sans-serif" w:hAnsi="Expensify Neue;sans-serif"/>
          <w:b w:val="false"/>
          <w:color w:val="000000"/>
          <w:sz w:val="20"/>
          <w:shd w:fill="FFFFFF" w:val="clear"/>
        </w:rPr>
      </w:pPr>
      <w:r>
        <w:rPr>
          <w:rFonts w:ascii="Expensify Neue;sans-serif" w:hAnsi="Expensify Neue;sans-serif"/>
          <w:b w:val="false"/>
          <w:color w:val="000000"/>
          <w:sz w:val="20"/>
          <w:shd w:fill="FFFFFF" w:val="clear"/>
        </w:rPr>
        <w:t>legal existence and ownership of the real property or any related activities thereto, does not hold assets other than real estate assets, and does not incur any indebtedness except for intercompany liabilities permitted under the agreement or grant any liens.</w:t>
      </w:r>
    </w:p>
    <w:p>
      <w:pPr>
        <w:pStyle w:val="TextBody"/>
        <w:bidi w:val="0"/>
        <w:spacing w:lineRule="auto" w:line="288" w:before="0" w:after="160"/>
        <w:jc w:val="left"/>
        <w:rPr>
          <w:rFonts w:ascii="Expensify Neue;sans-serif" w:hAnsi="Expensify Neue;sans-serif"/>
          <w:b w:val="false"/>
          <w:color w:val="000000"/>
          <w:sz w:val="20"/>
        </w:rPr>
      </w:pPr>
      <w:r>
        <w:rPr>
          <w:rFonts w:ascii="Expensify Neue;sans-serif" w:hAnsi="Expensify Neue;sans-serif"/>
          <w:b w:val="false"/>
          <w:color w:val="000000"/>
          <w:sz w:val="20"/>
        </w:rPr>
        <w:t>In February 2025, we entered into a Third Amendment to the 2024 Amended Loan and Security Agreement, which amended the covenant restricting the amount of repurchases of common stock, which includes net share settlements of stock-based awards, to allow for certain additional net share settlement activity.</w:t>
      </w:r>
    </w:p>
    <w:p>
      <w:pPr>
        <w:pStyle w:val="TextBody"/>
        <w:bidi w:val="0"/>
        <w:spacing w:lineRule="auto" w:line="288" w:before="0" w:after="160"/>
        <w:jc w:val="left"/>
        <w:rPr>
          <w:rFonts w:ascii="Expensify Neue;sans-serif" w:hAnsi="Expensify Neue;sans-serif"/>
          <w:b/>
          <w:i/>
          <w:color w:val="000000"/>
          <w:sz w:val="20"/>
        </w:rPr>
      </w:pPr>
      <w:r>
        <w:rPr>
          <w:rFonts w:ascii="Expensify Neue;sans-serif" w:hAnsi="Expensify Neue;sans-serif"/>
          <w:b/>
          <w:i/>
          <w:color w:val="000000"/>
          <w:sz w:val="20"/>
        </w:rPr>
        <w:t>Certain Covenants</w:t>
      </w:r>
    </w:p>
    <w:p>
      <w:pPr>
        <w:pStyle w:val="TextBody"/>
        <w:bidi w:val="0"/>
        <w:spacing w:lineRule="auto" w:line="288" w:before="0" w:after="160"/>
        <w:jc w:val="left"/>
        <w:rPr>
          <w:rFonts w:ascii="Expensify Neue;sans-serif" w:hAnsi="Expensify Neue;sans-serif"/>
          <w:b w:val="false"/>
          <w:color w:val="000000"/>
          <w:sz w:val="20"/>
        </w:rPr>
      </w:pPr>
      <w:r>
        <w:rPr>
          <w:rFonts w:ascii="Expensify Neue;sans-serif" w:hAnsi="Expensify Neue;sans-serif"/>
          <w:b w:val="false"/>
          <w:color w:val="000000"/>
          <w:sz w:val="20"/>
        </w:rPr>
        <w:t xml:space="preserve">We are subject to customary covenants under the 2024 Amended Loan and Security Agreement, which, unless waived by CIBC, restrict our and our subsidiaries' ability to, among other things, incur additional indebtedness, create or incur liens, permit a change of control, merge or consolidate with other companies, sell or transfer assets, pay dividends or make distributions, make acquisitions, investments or loans, or payments and prepayments of subordinated indebtedness, subject to certain exceptions. We must also maintain certain financial covenants including a total EBITDA net leverage ratio, as defined in the 2024 Amended Loan and Security Agreement, tested each quarter, not to exceed 2.50 to 1.00 from the quarter ended March 31, 2025 and each quarter thereafter. </w:t>
      </w:r>
    </w:p>
    <w:p>
      <w:pPr>
        <w:pStyle w:val="TextBody"/>
        <w:bidi w:val="0"/>
        <w:spacing w:lineRule="auto" w:line="288" w:before="0" w:after="160"/>
        <w:jc w:val="left"/>
        <w:rPr>
          <w:rFonts w:ascii="Expensify Neue;sans-serif" w:hAnsi="Expensify Neue;sans-serif"/>
          <w:b w:val="false"/>
          <w:color w:val="000000"/>
          <w:sz w:val="20"/>
        </w:rPr>
      </w:pPr>
      <w:r>
        <w:rPr>
          <w:rFonts w:ascii="Expensify Neue;sans-serif" w:hAnsi="Expensify Neue;sans-serif"/>
          <w:b w:val="false"/>
          <w:color w:val="000000"/>
          <w:sz w:val="20"/>
        </w:rPr>
        <w:t>If we fail to perform our obligations under these and other covenants, CIBC’s credit commitments could be terminated and any outstanding borrowings, together with accrued interest, under the credit or loan agreements could be declared immediately due and payable.</w:t>
      </w:r>
    </w:p>
    <w:p>
      <w:pPr>
        <w:pStyle w:val="TextBody"/>
        <w:bidi w:val="0"/>
        <w:spacing w:lineRule="auto" w:line="288" w:before="0" w:after="160"/>
        <w:jc w:val="left"/>
        <w:rPr>
          <w:rFonts w:ascii="Expensify Neue;sans-serif" w:hAnsi="Expensify Neue;sans-serif"/>
          <w:b w:val="false"/>
          <w:color w:val="000000"/>
          <w:sz w:val="20"/>
        </w:rPr>
      </w:pPr>
      <w:r>
        <w:rPr>
          <w:rFonts w:ascii="Expensify Neue;sans-serif" w:hAnsi="Expensify Neue;sans-serif"/>
          <w:b w:val="false"/>
          <w:color w:val="000000"/>
          <w:sz w:val="20"/>
        </w:rPr>
        <w:t>As of March 31, 2025, we were in compliance with all debt covenants.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60"/>
        <w:jc w:val="left"/>
        <w:rPr>
          <w:rFonts w:ascii="Expensify Neue;sans-serif" w:hAnsi="Expensify Neue;sans-serif"/>
          <w:b/>
          <w:color w:val="002E22"/>
          <w:sz w:val="32"/>
        </w:rPr>
      </w:pPr>
      <w:r>
        <w:rPr>
          <w:rFonts w:ascii="Expensify Neue;sans-serif" w:hAnsi="Expensify Neue;sans-serif"/>
          <w:b/>
          <w:color w:val="002E22"/>
          <w:sz w:val="32"/>
        </w:rPr>
        <w:t>Key Business Metrics and Non-GAAP Financial Measures</w:t>
      </w:r>
    </w:p>
    <w:p>
      <w:pPr>
        <w:pStyle w:val="TextBody"/>
        <w:bidi w:val="0"/>
        <w:spacing w:lineRule="auto" w:line="288" w:before="0" w:after="160"/>
        <w:jc w:val="left"/>
        <w:rPr>
          <w:rFonts w:ascii="Expensify Neue;sans-serif" w:hAnsi="Expensify Neue;sans-serif"/>
          <w:b w:val="false"/>
          <w:color w:val="000000"/>
          <w:sz w:val="20"/>
        </w:rPr>
      </w:pPr>
      <w:r>
        <w:rPr>
          <w:rFonts w:ascii="Expensify Neue;sans-serif" w:hAnsi="Expensify Neue;sans-serif"/>
          <w:b w:val="false"/>
          <w:color w:val="000000"/>
          <w:sz w:val="20"/>
        </w:rPr>
        <w:t>We supplement the reporting of our financial information determined under U.S. generally accepted accounting principles ("GAAP") with certain business metrics and non-GAAP financial measures which we regularly review to evaluate our business, measure our performance, identify trends affecting our business, formulate business plans and make strategic decisions. Accordingly, we believe that these key business metrics and non-GAAP financial measures provide useful information to investors and others in understanding and evaluating our results of operations in the same manner as our management team. These key business metrics and non-GAAP financial measures are presented for supplemental informational purposes only, should not be considered a substitute for our financial information presented in accordance with GAAP and may be different from similarly titled metrics or measures presented by other companies.</w:t>
      </w:r>
    </w:p>
    <w:p>
      <w:pPr>
        <w:pStyle w:val="TextBody"/>
        <w:bidi w:val="0"/>
        <w:spacing w:lineRule="auto" w:line="288" w:before="0" w:after="160"/>
        <w:jc w:val="left"/>
        <w:rPr>
          <w:rFonts w:ascii="Expensify Neue;sans-serif" w:hAnsi="Expensify Neue;sans-serif"/>
          <w:b/>
          <w:color w:val="03D47C"/>
          <w:sz w:val="20"/>
        </w:rPr>
      </w:pPr>
      <w:r>
        <w:rPr>
          <w:rFonts w:ascii="Expensify Neue;sans-serif" w:hAnsi="Expensify Neue;sans-serif"/>
          <w:b/>
          <w:color w:val="03D47C"/>
          <w:sz w:val="20"/>
        </w:rPr>
        <w:t>KEY BUSINESS METRICS</w:t>
      </w:r>
    </w:p>
    <w:p>
      <w:pPr>
        <w:pStyle w:val="TextBody"/>
        <w:bidi w:val="0"/>
        <w:spacing w:lineRule="auto" w:line="288" w:before="0" w:after="160"/>
        <w:jc w:val="left"/>
        <w:rPr>
          <w:rFonts w:ascii="Expensify Neue;sans-serif" w:hAnsi="Expensify Neue;sans-serif"/>
          <w:b/>
          <w:i/>
          <w:color w:val="000000"/>
          <w:sz w:val="20"/>
        </w:rPr>
      </w:pPr>
      <w:r>
        <w:rPr>
          <w:rFonts w:ascii="Expensify Neue;sans-serif" w:hAnsi="Expensify Neue;sans-serif"/>
          <w:b/>
          <w:i/>
          <w:color w:val="000000"/>
          <w:sz w:val="20"/>
        </w:rPr>
        <w:t>Paid Members</w:t>
      </w:r>
    </w:p>
    <w:p>
      <w:pPr>
        <w:pStyle w:val="TextBody"/>
        <w:bidi w:val="0"/>
        <w:spacing w:lineRule="auto" w:line="288" w:before="0" w:after="160"/>
        <w:jc w:val="left"/>
        <w:rPr/>
      </w:pPr>
      <w:r>
        <w:rPr>
          <w:rFonts w:ascii="Expensify Neue;sans-serif" w:hAnsi="Expensify Neue;sans-serif"/>
          <w:b w:val="false"/>
          <w:color w:val="000000"/>
          <w:sz w:val="20"/>
        </w:rPr>
        <w:t xml:space="preserve">We believe that our ability to increase the number of paid members on our platform drives our success as a business. Our customers pay for subscriptions on behalf of employees and contractors who use the platform, whom we refer to as paid members. We define paid members as the average number of users (employees, contractors, volunteers, team members, etc.) who are billed on </w:t>
      </w:r>
      <w:r>
        <w:rPr>
          <w:rFonts w:ascii="Expensify Neue;sans-serif" w:hAnsi="Expensify Neue;sans-serif"/>
          <w:b w:val="false"/>
          <w:i/>
          <w:color w:val="000000"/>
          <w:sz w:val="20"/>
        </w:rPr>
        <w:t>Collect</w:t>
      </w:r>
      <w:r>
        <w:rPr>
          <w:color w:val="000000"/>
        </w:rPr>
        <w:t xml:space="preserve"> </w:t>
      </w:r>
      <w:r>
        <w:rPr>
          <w:rFonts w:ascii="Expensify Neue;sans-serif" w:hAnsi="Expensify Neue;sans-serif"/>
          <w:b w:val="false"/>
          <w:color w:val="000000"/>
          <w:sz w:val="20"/>
        </w:rPr>
        <w:t xml:space="preserve">or </w:t>
      </w:r>
      <w:r>
        <w:rPr>
          <w:rFonts w:ascii="Expensify Neue;sans-serif" w:hAnsi="Expensify Neue;sans-serif"/>
          <w:b w:val="false"/>
          <w:i/>
          <w:color w:val="000000"/>
          <w:sz w:val="20"/>
        </w:rPr>
        <w:t>Control</w:t>
      </w:r>
      <w:r>
        <w:rPr>
          <w:color w:val="000000"/>
        </w:rPr>
        <w:t xml:space="preserve"> </w:t>
      </w:r>
      <w:r>
        <w:rPr>
          <w:rFonts w:ascii="Expensify Neue;sans-serif" w:hAnsi="Expensify Neue;sans-serif"/>
          <w:b w:val="false"/>
          <w:color w:val="000000"/>
          <w:sz w:val="20"/>
        </w:rPr>
        <w:t>plans during any particular quarter. For small and medium businesses or sole proprietors with only one employee, the business owner may also be the only paid member.</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7">
                <wp:simplePos x="0" y="0"/>
                <wp:positionH relativeFrom="character">
                  <wp:align>left</wp:align>
                </wp:positionH>
                <wp:positionV relativeFrom="line">
                  <wp:posOffset>635</wp:posOffset>
                </wp:positionV>
                <wp:extent cx="6480175" cy="599440"/>
                <wp:effectExtent l="0" t="0" r="0" b="0"/>
                <wp:wrapNone/>
                <wp:docPr id="36" name="Frame35"/>
                <a:graphic xmlns:a="http://schemas.openxmlformats.org/drawingml/2006/main">
                  <a:graphicData uri="http://schemas.microsoft.com/office/word/2010/wordprocessingShape">
                    <wps:wsp>
                      <wps:cNvSpPr txBox="1"/>
                      <wps:spPr>
                        <a:xfrm>
                          <a:off x="0" y="0"/>
                          <a:ext cx="6480175" cy="599440"/>
                        </a:xfrm>
                        <a:prstGeom prst="rect"/>
                        <a:solidFill>
                          <a:srgbClr val="FFFFFF"/>
                        </a:solidFill>
                      </wps:spPr>
                      <wps:txbx>
                        <w:txbxContent>
                          <w:tbl>
                            <w:tblPr>
                              <w:tblW w:w="406" w:type="dxa"/>
                              <w:jc w:val="center"/>
                              <w:tblInd w:w="0" w:type="dxa"/>
                              <w:tblLayout w:type="fixed"/>
                              <w:tblCellMar>
                                <w:top w:w="28" w:type="dxa"/>
                                <w:left w:w="28" w:type="dxa"/>
                                <w:bottom w:w="28" w:type="dxa"/>
                                <w:right w:w="28" w:type="dxa"/>
                              </w:tblCellMar>
                            </w:tblPr>
                            <w:tblGrid>
                              <w:gridCol w:w="130"/>
                              <w:gridCol w:w="114"/>
                              <w:gridCol w:w="162"/>
                            </w:tblGrid>
                            <w:tr>
                              <w:trPr/>
                              <w:tc>
                                <w:tcPr>
                                  <w:tcW w:w="130"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rPr/>
                              <w:tc>
                                <w:tcPr>
                                  <w:tcW w:w="406"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0"/>
                                    <w:jc w:val="center"/>
                                    <w:rPr>
                                      <w:rFonts w:ascii="Expensify Neue;sans-serif" w:hAnsi="Expensify Neue;sans-serif"/>
                                      <w:b w:val="false"/>
                                      <w:color w:val="000000"/>
                                      <w:sz w:val="20"/>
                                    </w:rPr>
                                  </w:pPr>
                                  <w:r>
                                    <w:rPr>
                                      <w:rFonts w:ascii="Expensify Neue;sans-serif" w:hAnsi="Expensify Neue;sans-serif"/>
                                      <w:b w:val="false"/>
                                      <w:color w:val="000000"/>
                                      <w:sz w:val="20"/>
                                    </w:rPr>
                                    <w:t>30</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7.2pt;mso-wrap-distance-left:0pt;mso-wrap-distance-right:0pt;mso-wrap-distance-top:0pt;mso-wrap-distance-bottom:0pt;margin-top:0pt;mso-position-vertical:top;mso-position-vertical-relative:text;margin-left:0pt;mso-position-horizontal:left;mso-position-horizontal-relative:text">
                <v:textbox>
                  <w:txbxContent>
                    <w:tbl>
                      <w:tblPr>
                        <w:tblW w:w="406" w:type="dxa"/>
                        <w:jc w:val="center"/>
                        <w:tblInd w:w="0" w:type="dxa"/>
                        <w:tblLayout w:type="fixed"/>
                        <w:tblCellMar>
                          <w:top w:w="28" w:type="dxa"/>
                          <w:left w:w="28" w:type="dxa"/>
                          <w:bottom w:w="28" w:type="dxa"/>
                          <w:right w:w="28" w:type="dxa"/>
                        </w:tblCellMar>
                      </w:tblPr>
                      <w:tblGrid>
                        <w:gridCol w:w="130"/>
                        <w:gridCol w:w="114"/>
                        <w:gridCol w:w="162"/>
                      </w:tblGrid>
                      <w:tr>
                        <w:trPr/>
                        <w:tc>
                          <w:tcPr>
                            <w:tcW w:w="130"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rPr/>
                        <w:tc>
                          <w:tcPr>
                            <w:tcW w:w="406"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0"/>
                              <w:jc w:val="center"/>
                              <w:rPr>
                                <w:rFonts w:ascii="Expensify Neue;sans-serif" w:hAnsi="Expensify Neue;sans-serif"/>
                                <w:b w:val="false"/>
                                <w:color w:val="000000"/>
                                <w:sz w:val="20"/>
                              </w:rPr>
                            </w:pPr>
                            <w:r>
                              <w:rPr>
                                <w:rFonts w:ascii="Expensify Neue;sans-serif" w:hAnsi="Expensify Neue;sans-serif"/>
                                <w:b w:val="false"/>
                                <w:color w:val="000000"/>
                                <w:sz w:val="20"/>
                              </w:rPr>
                              <w:t>30</w:t>
                            </w:r>
                          </w:p>
                        </w:tc>
                      </w:tr>
                    </w:tbl>
                    <w:p>
                      <w:pPr>
                        <w:pStyle w:val="TextBody"/>
                        <w:bidi w:val="0"/>
                        <w:spacing w:before="0" w:after="283"/>
                        <w:jc w:val="left"/>
                        <w:rPr/>
                      </w:pPr>
                      <w:r>
                        <w:rPr/>
                      </w:r>
                    </w:p>
                  </w:txbxContent>
                </v:textbox>
                <w10:wrap type="none"/>
              </v:rect>
            </w:pict>
          </mc:Fallback>
        </mc:AlternateContent>
      </w:r>
    </w:p>
    <w:p>
      <w:pPr>
        <w:pStyle w:val="TextBody"/>
        <w:bidi w:val="0"/>
        <w:spacing w:lineRule="auto" w:line="288" w:before="0" w:after="160"/>
        <w:jc w:val="left"/>
        <w:rPr/>
      </w:pPr>
      <w:hyperlink w:anchor="i52a648c4f0e449f7bc3c2044827c8f0d_7">
        <w:r>
          <w:rPr>
            <w:rStyle w:val="InternetLink"/>
            <w:rFonts w:ascii="Expensify Neue;sans-serif" w:hAnsi="Expensify Neue;sans-serif"/>
            <w:b/>
            <w:color w:val="0000FF"/>
            <w:sz w:val="20"/>
            <w:u w:val="single"/>
          </w:rPr>
          <w:t>Table of Contents</w:t>
        </w:r>
      </w:hyperlink>
    </w:p>
    <w:p>
      <w:pPr>
        <w:pStyle w:val="TextBody"/>
        <w:bidi w:val="0"/>
        <w:spacing w:lineRule="auto" w:line="288" w:before="0" w:after="160"/>
        <w:jc w:val="left"/>
        <w:rPr>
          <w:rFonts w:ascii="Expensify Neue;sans-serif" w:hAnsi="Expensify Neue;sans-serif"/>
          <w:b w:val="false"/>
          <w:color w:val="000000"/>
          <w:sz w:val="20"/>
        </w:rPr>
      </w:pPr>
      <w:r>
        <w:rPr>
          <w:rFonts w:ascii="Expensify Neue;sans-serif" w:hAnsi="Expensify Neue;sans-serif"/>
          <w:b w:val="false"/>
          <w:color w:val="000000"/>
          <w:sz w:val="20"/>
        </w:rPr>
        <w:t>The following table sets forth the average number of paid members for each of the periods presented (in thousands):</w:t>
      </w:r>
    </w:p>
    <w:tbl>
      <w:tblPr>
        <w:tblW w:w="3837" w:type="dxa"/>
        <w:jc w:val="left"/>
        <w:tblInd w:w="0" w:type="dxa"/>
        <w:tblLayout w:type="fixed"/>
        <w:tblCellMar>
          <w:top w:w="28" w:type="dxa"/>
          <w:left w:w="28" w:type="dxa"/>
          <w:bottom w:w="28" w:type="dxa"/>
          <w:right w:w="28" w:type="dxa"/>
        </w:tblCellMar>
      </w:tblPr>
      <w:tblGrid>
        <w:gridCol w:w="744"/>
        <w:gridCol w:w="654"/>
        <w:gridCol w:w="657"/>
        <w:gridCol w:w="109"/>
        <w:gridCol w:w="109"/>
        <w:gridCol w:w="109"/>
        <w:gridCol w:w="426"/>
        <w:gridCol w:w="426"/>
        <w:gridCol w:w="603"/>
      </w:tblGrid>
      <w:tr>
        <w:trPr/>
        <w:tc>
          <w:tcPr>
            <w:tcW w:w="744" w:type="dxa"/>
            <w:tcBorders/>
            <w:vAlign w:val="center"/>
          </w:tcPr>
          <w:p>
            <w:pPr>
              <w:pStyle w:val="TableContents"/>
              <w:bidi w:val="0"/>
              <w:spacing w:before="0" w:after="283"/>
              <w:jc w:val="left"/>
              <w:rPr>
                <w:sz w:val="4"/>
                <w:szCs w:val="4"/>
              </w:rPr>
            </w:pPr>
            <w:r>
              <w:rPr>
                <w:sz w:val="4"/>
                <w:szCs w:val="4"/>
              </w:rPr>
            </w:r>
          </w:p>
        </w:tc>
        <w:tc>
          <w:tcPr>
            <w:tcW w:w="654" w:type="dxa"/>
            <w:tcBorders/>
            <w:vAlign w:val="center"/>
          </w:tcPr>
          <w:p>
            <w:pPr>
              <w:pStyle w:val="TableContents"/>
              <w:bidi w:val="0"/>
              <w:spacing w:before="0" w:after="283"/>
              <w:jc w:val="left"/>
              <w:rPr>
                <w:sz w:val="4"/>
                <w:szCs w:val="4"/>
              </w:rPr>
            </w:pPr>
            <w:r>
              <w:rPr>
                <w:sz w:val="4"/>
                <w:szCs w:val="4"/>
              </w:rPr>
            </w:r>
          </w:p>
        </w:tc>
        <w:tc>
          <w:tcPr>
            <w:tcW w:w="65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26" w:type="dxa"/>
            <w:tcBorders/>
            <w:vAlign w:val="center"/>
          </w:tcPr>
          <w:p>
            <w:pPr>
              <w:pStyle w:val="TableContents"/>
              <w:bidi w:val="0"/>
              <w:spacing w:before="0" w:after="283"/>
              <w:jc w:val="left"/>
              <w:rPr>
                <w:sz w:val="4"/>
                <w:szCs w:val="4"/>
              </w:rPr>
            </w:pPr>
            <w:r>
              <w:rPr>
                <w:sz w:val="4"/>
                <w:szCs w:val="4"/>
              </w:rPr>
            </w:r>
          </w:p>
        </w:tc>
        <w:tc>
          <w:tcPr>
            <w:tcW w:w="426" w:type="dxa"/>
            <w:tcBorders/>
            <w:vAlign w:val="center"/>
          </w:tcPr>
          <w:p>
            <w:pPr>
              <w:pStyle w:val="TableContents"/>
              <w:bidi w:val="0"/>
              <w:spacing w:before="0" w:after="283"/>
              <w:jc w:val="left"/>
              <w:rPr>
                <w:sz w:val="4"/>
                <w:szCs w:val="4"/>
              </w:rPr>
            </w:pPr>
            <w:r>
              <w:rPr>
                <w:sz w:val="4"/>
                <w:szCs w:val="4"/>
              </w:rPr>
            </w:r>
          </w:p>
        </w:tc>
        <w:tc>
          <w:tcPr>
            <w:tcW w:w="603" w:type="dxa"/>
            <w:tcBorders/>
            <w:vAlign w:val="center"/>
          </w:tcPr>
          <w:p>
            <w:pPr>
              <w:pStyle w:val="TableContents"/>
              <w:bidi w:val="0"/>
              <w:spacing w:before="0" w:after="283"/>
              <w:jc w:val="left"/>
              <w:rPr>
                <w:sz w:val="4"/>
                <w:szCs w:val="4"/>
              </w:rPr>
            </w:pPr>
            <w:r>
              <w:rPr>
                <w:sz w:val="4"/>
                <w:szCs w:val="4"/>
              </w:rPr>
            </w:r>
          </w:p>
        </w:tc>
      </w:tr>
      <w:tr>
        <w:trPr/>
        <w:tc>
          <w:tcPr>
            <w:tcW w:w="2055" w:type="dxa"/>
            <w:gridSpan w:val="3"/>
            <w:tcBorders>
              <w:top w:val="single" w:sz="16"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Expensify Neue;sans-serif" w:hAnsi="Expensify Neue;sans-serif"/>
                <w:b/>
                <w:color w:val="000000"/>
                <w:sz w:val="16"/>
              </w:rPr>
            </w:pPr>
            <w:r>
              <w:rPr>
                <w:rFonts w:ascii="Expensify Neue;sans-serif" w:hAnsi="Expensify Neue;sans-serif"/>
                <w:b/>
                <w:color w:val="000000"/>
                <w:sz w:val="16"/>
              </w:rPr>
              <w:t>Three Months Ended</w:t>
            </w:r>
          </w:p>
        </w:tc>
        <w:tc>
          <w:tcPr>
            <w:tcW w:w="327" w:type="dxa"/>
            <w:gridSpan w:val="3"/>
            <w:tcBorders>
              <w:top w:val="single" w:sz="1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5" w:type="dxa"/>
            <w:gridSpan w:val="3"/>
            <w:tcBorders>
              <w:top w:val="single" w:sz="16"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Expensify Neue;sans-serif" w:hAnsi="Expensify Neue;sans-serif"/>
                <w:b/>
                <w:color w:val="000000"/>
                <w:sz w:val="16"/>
              </w:rPr>
            </w:pPr>
            <w:r>
              <w:rPr>
                <w:rFonts w:ascii="Expensify Neue;sans-serif" w:hAnsi="Expensify Neue;sans-serif"/>
                <w:b/>
                <w:color w:val="000000"/>
                <w:sz w:val="16"/>
              </w:rPr>
              <w:t>Paid members</w:t>
            </w:r>
          </w:p>
        </w:tc>
      </w:tr>
      <w:tr>
        <w:trPr/>
        <w:tc>
          <w:tcPr>
            <w:tcW w:w="2055"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0"/>
              <w:jc w:val="left"/>
              <w:rPr>
                <w:rFonts w:ascii="Expensify Neue;sans-serif" w:hAnsi="Expensify Neue;sans-serif"/>
                <w:b w:val="false"/>
                <w:color w:val="000000"/>
                <w:sz w:val="20"/>
              </w:rPr>
            </w:pPr>
            <w:r>
              <w:rPr>
                <w:rFonts w:ascii="Expensify Neue;sans-serif" w:hAnsi="Expensify Neue;sans-serif"/>
                <w:b w:val="false"/>
                <w:color w:val="000000"/>
                <w:sz w:val="20"/>
              </w:rPr>
              <w:t>March 31, 2025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5"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Expensify Neue;sans-serif" w:hAnsi="Expensify Neue;sans-serif"/>
                <w:b w:val="false"/>
                <w:color w:val="000000"/>
                <w:sz w:val="20"/>
              </w:rPr>
            </w:pPr>
            <w:r>
              <w:rPr>
                <w:rFonts w:ascii="Expensify Neue;sans-serif" w:hAnsi="Expensify Neue;sans-serif"/>
                <w:b w:val="false"/>
                <w:color w:val="000000"/>
                <w:sz w:val="20"/>
              </w:rPr>
              <w:t>657</w:t>
            </w:r>
          </w:p>
        </w:tc>
      </w:tr>
      <w:tr>
        <w:trPr/>
        <w:tc>
          <w:tcPr>
            <w:tcW w:w="205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Expensify Neue;sans-serif" w:hAnsi="Expensify Neue;sans-serif"/>
                <w:b w:val="false"/>
                <w:color w:val="000000"/>
                <w:sz w:val="20"/>
              </w:rPr>
            </w:pPr>
            <w:r>
              <w:rPr>
                <w:rFonts w:ascii="Expensify Neue;sans-serif" w:hAnsi="Expensify Neue;sans-serif"/>
                <w:b w:val="false"/>
                <w:color w:val="000000"/>
                <w:sz w:val="20"/>
              </w:rPr>
              <w:t>March 31, 2024</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Expensify Neue;sans-serif" w:hAnsi="Expensify Neue;sans-serif"/>
                <w:b w:val="false"/>
                <w:color w:val="000000"/>
                <w:sz w:val="20"/>
              </w:rPr>
            </w:pPr>
            <w:r>
              <w:rPr>
                <w:rFonts w:ascii="Expensify Neue;sans-serif" w:hAnsi="Expensify Neue;sans-serif"/>
                <w:b w:val="false"/>
                <w:color w:val="000000"/>
                <w:sz w:val="20"/>
              </w:rPr>
              <w:t>688</w:t>
            </w:r>
          </w:p>
        </w:tc>
      </w:tr>
      <w:tr>
        <w:trPr/>
        <w:tc>
          <w:tcPr>
            <w:tcW w:w="2055"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455"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160"/>
        <w:jc w:val="left"/>
        <w:rPr>
          <w:rFonts w:ascii="Expensify Neue;sans-serif" w:hAnsi="Expensify Neue;sans-serif"/>
          <w:b/>
          <w:color w:val="03D47C"/>
          <w:sz w:val="20"/>
        </w:rPr>
      </w:pPr>
      <w:r>
        <w:rPr>
          <w:rFonts w:ascii="Expensify Neue;sans-serif" w:hAnsi="Expensify Neue;sans-serif"/>
          <w:b/>
          <w:color w:val="03D47C"/>
          <w:sz w:val="20"/>
        </w:rPr>
        <w:t>NON-GAAP FINANCIAL MEASURES</w:t>
      </w:r>
    </w:p>
    <w:p>
      <w:pPr>
        <w:pStyle w:val="TextBody"/>
        <w:bidi w:val="0"/>
        <w:spacing w:lineRule="auto" w:line="288" w:before="0" w:after="160"/>
        <w:jc w:val="left"/>
        <w:rPr>
          <w:rFonts w:ascii="Expensify Neue;sans-serif" w:hAnsi="Expensify Neue;sans-serif"/>
          <w:b/>
          <w:i/>
          <w:color w:val="000000"/>
          <w:sz w:val="20"/>
        </w:rPr>
      </w:pPr>
      <w:r>
        <w:rPr>
          <w:rFonts w:ascii="Expensify Neue;sans-serif" w:hAnsi="Expensify Neue;sans-serif"/>
          <w:b/>
          <w:i/>
          <w:color w:val="000000"/>
          <w:sz w:val="20"/>
        </w:rPr>
        <w:t>Limitations of Non-GAAP Financial Measures</w:t>
      </w:r>
    </w:p>
    <w:p>
      <w:pPr>
        <w:pStyle w:val="TextBody"/>
        <w:bidi w:val="0"/>
        <w:spacing w:lineRule="auto" w:line="288" w:before="0" w:after="160"/>
        <w:jc w:val="left"/>
        <w:rPr>
          <w:rFonts w:ascii="Expensify Neue;sans-serif" w:hAnsi="Expensify Neue;sans-serif"/>
          <w:b w:val="false"/>
          <w:color w:val="000000"/>
          <w:sz w:val="20"/>
        </w:rPr>
      </w:pPr>
      <w:r>
        <w:rPr>
          <w:rFonts w:ascii="Expensify Neue;sans-serif" w:hAnsi="Expensify Neue;sans-serif"/>
          <w:b w:val="false"/>
          <w:color w:val="000000"/>
          <w:sz w:val="20"/>
        </w:rPr>
        <w:t>Non-GAAP financial measures have limitations as analytical tools and should not be considered in isolation or as substitutes for financial information presented under GAAP. There are a number of limitations related to the use of non-GAAP financial measures versus comparable financial measures determined under GAAP. For example, other companies in our industry may calculate these non-GAAP financial measures differently or may use other measures to evaluate their performance. All of these limitations could reduce the usefulness of these non-GAAP financial measures as analytical tools. Investors are encouraged to review the related GAAP financial measures and the reconciliations of these non-GAAP financial measures to their most directly comparable GAAP financial measures and to not rely on any single financial measure to evaluate our business.</w:t>
      </w:r>
    </w:p>
    <w:p>
      <w:pPr>
        <w:pStyle w:val="TextBody"/>
        <w:bidi w:val="0"/>
        <w:spacing w:lineRule="auto" w:line="288" w:before="0" w:after="160"/>
        <w:jc w:val="left"/>
        <w:rPr>
          <w:rFonts w:ascii="Expensify Neue;sans-serif" w:hAnsi="Expensify Neue;sans-serif"/>
          <w:b/>
          <w:i/>
          <w:color w:val="000000"/>
          <w:sz w:val="20"/>
        </w:rPr>
      </w:pPr>
      <w:r>
        <w:rPr>
          <w:rFonts w:ascii="Expensify Neue;sans-serif" w:hAnsi="Expensify Neue;sans-serif"/>
          <w:b/>
          <w:i/>
          <w:color w:val="000000"/>
          <w:sz w:val="20"/>
        </w:rPr>
        <w:t>Adjusted EBITDA and Adjusted EBITDA Margin</w:t>
      </w:r>
    </w:p>
    <w:p>
      <w:pPr>
        <w:pStyle w:val="TextBody"/>
        <w:bidi w:val="0"/>
        <w:spacing w:lineRule="auto" w:line="288" w:before="0" w:after="160"/>
        <w:jc w:val="left"/>
        <w:rPr>
          <w:rFonts w:ascii="Expensify Neue;sans-serif" w:hAnsi="Expensify Neue;sans-serif"/>
          <w:b w:val="false"/>
          <w:color w:val="000000"/>
          <w:sz w:val="20"/>
        </w:rPr>
      </w:pPr>
      <w:r>
        <w:rPr>
          <w:rFonts w:ascii="Expensify Neue;sans-serif" w:hAnsi="Expensify Neue;sans-serif"/>
          <w:b w:val="false"/>
          <w:color w:val="000000"/>
          <w:sz w:val="20"/>
        </w:rPr>
        <w:t>We define adjusted EBITDA as net loss excluding provision for income taxes, other income (expenses), net, depreciation and amortization and stock-based compensation expense. We define adjusted EBITDA margin as adjusted EBITDA divided by total revenue for the same period. We are focused on profitable growth and we consider adjusted EBITDA to be an important measure because it helps illustrate underlying trends in our business that could otherwise be masked by the effect of the income or expenses that are not indicative of the core operating performance of our business.</w:t>
      </w:r>
    </w:p>
    <w:tbl>
      <w:tblPr>
        <w:tblW w:w="5968" w:type="dxa"/>
        <w:jc w:val="left"/>
        <w:tblInd w:w="0" w:type="dxa"/>
        <w:tblLayout w:type="fixed"/>
        <w:tblCellMar>
          <w:top w:w="28" w:type="dxa"/>
          <w:left w:w="28" w:type="dxa"/>
          <w:bottom w:w="28" w:type="dxa"/>
          <w:right w:w="28" w:type="dxa"/>
        </w:tblCellMar>
      </w:tblPr>
      <w:tblGrid>
        <w:gridCol w:w="906"/>
        <w:gridCol w:w="798"/>
        <w:gridCol w:w="801"/>
        <w:gridCol w:w="278"/>
        <w:gridCol w:w="872"/>
        <w:gridCol w:w="353"/>
        <w:gridCol w:w="134"/>
        <w:gridCol w:w="134"/>
        <w:gridCol w:w="134"/>
        <w:gridCol w:w="278"/>
        <w:gridCol w:w="872"/>
        <w:gridCol w:w="408"/>
      </w:tblGrid>
      <w:tr>
        <w:trPr/>
        <w:tc>
          <w:tcPr>
            <w:tcW w:w="906" w:type="dxa"/>
            <w:tcBorders/>
            <w:vAlign w:val="center"/>
          </w:tcPr>
          <w:p>
            <w:pPr>
              <w:pStyle w:val="TableContents"/>
              <w:bidi w:val="0"/>
              <w:spacing w:before="0" w:after="283"/>
              <w:jc w:val="left"/>
              <w:rPr>
                <w:sz w:val="4"/>
                <w:szCs w:val="4"/>
              </w:rPr>
            </w:pPr>
            <w:r>
              <w:rPr>
                <w:sz w:val="4"/>
                <w:szCs w:val="4"/>
              </w:rPr>
            </w:r>
          </w:p>
        </w:tc>
        <w:tc>
          <w:tcPr>
            <w:tcW w:w="798" w:type="dxa"/>
            <w:tcBorders/>
            <w:vAlign w:val="center"/>
          </w:tcPr>
          <w:p>
            <w:pPr>
              <w:pStyle w:val="TableContents"/>
              <w:bidi w:val="0"/>
              <w:spacing w:before="0" w:after="283"/>
              <w:jc w:val="left"/>
              <w:rPr>
                <w:sz w:val="4"/>
                <w:szCs w:val="4"/>
              </w:rPr>
            </w:pPr>
            <w:r>
              <w:rPr>
                <w:sz w:val="4"/>
                <w:szCs w:val="4"/>
              </w:rPr>
            </w:r>
          </w:p>
        </w:tc>
        <w:tc>
          <w:tcPr>
            <w:tcW w:w="801" w:type="dxa"/>
            <w:tcBorders/>
            <w:vAlign w:val="center"/>
          </w:tcPr>
          <w:p>
            <w:pPr>
              <w:pStyle w:val="TableContents"/>
              <w:bidi w:val="0"/>
              <w:spacing w:before="0" w:after="283"/>
              <w:jc w:val="left"/>
              <w:rPr>
                <w:sz w:val="4"/>
                <w:szCs w:val="4"/>
              </w:rPr>
            </w:pPr>
            <w:r>
              <w:rPr>
                <w:sz w:val="4"/>
                <w:szCs w:val="4"/>
              </w:rPr>
            </w:r>
          </w:p>
        </w:tc>
        <w:tc>
          <w:tcPr>
            <w:tcW w:w="278" w:type="dxa"/>
            <w:tcBorders/>
            <w:vAlign w:val="center"/>
          </w:tcPr>
          <w:p>
            <w:pPr>
              <w:pStyle w:val="TableContents"/>
              <w:bidi w:val="0"/>
              <w:spacing w:before="0" w:after="283"/>
              <w:jc w:val="left"/>
              <w:rPr>
                <w:sz w:val="4"/>
                <w:szCs w:val="4"/>
              </w:rPr>
            </w:pPr>
            <w:r>
              <w:rPr>
                <w:sz w:val="4"/>
                <w:szCs w:val="4"/>
              </w:rPr>
            </w:r>
          </w:p>
        </w:tc>
        <w:tc>
          <w:tcPr>
            <w:tcW w:w="872" w:type="dxa"/>
            <w:tcBorders/>
            <w:vAlign w:val="center"/>
          </w:tcPr>
          <w:p>
            <w:pPr>
              <w:pStyle w:val="TableContents"/>
              <w:bidi w:val="0"/>
              <w:spacing w:before="0" w:after="283"/>
              <w:jc w:val="left"/>
              <w:rPr>
                <w:sz w:val="4"/>
                <w:szCs w:val="4"/>
              </w:rPr>
            </w:pPr>
            <w:r>
              <w:rPr>
                <w:sz w:val="4"/>
                <w:szCs w:val="4"/>
              </w:rPr>
            </w:r>
          </w:p>
        </w:tc>
        <w:tc>
          <w:tcPr>
            <w:tcW w:w="353"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278" w:type="dxa"/>
            <w:tcBorders/>
            <w:vAlign w:val="center"/>
          </w:tcPr>
          <w:p>
            <w:pPr>
              <w:pStyle w:val="TableContents"/>
              <w:bidi w:val="0"/>
              <w:spacing w:before="0" w:after="283"/>
              <w:jc w:val="left"/>
              <w:rPr>
                <w:sz w:val="4"/>
                <w:szCs w:val="4"/>
              </w:rPr>
            </w:pPr>
            <w:r>
              <w:rPr>
                <w:sz w:val="4"/>
                <w:szCs w:val="4"/>
              </w:rPr>
            </w:r>
          </w:p>
        </w:tc>
        <w:tc>
          <w:tcPr>
            <w:tcW w:w="872" w:type="dxa"/>
            <w:tcBorders/>
            <w:vAlign w:val="center"/>
          </w:tcPr>
          <w:p>
            <w:pPr>
              <w:pStyle w:val="TableContents"/>
              <w:bidi w:val="0"/>
              <w:spacing w:before="0" w:after="283"/>
              <w:jc w:val="left"/>
              <w:rPr>
                <w:sz w:val="4"/>
                <w:szCs w:val="4"/>
              </w:rPr>
            </w:pPr>
            <w:r>
              <w:rPr>
                <w:sz w:val="4"/>
                <w:szCs w:val="4"/>
              </w:rPr>
            </w:r>
          </w:p>
        </w:tc>
        <w:tc>
          <w:tcPr>
            <w:tcW w:w="408" w:type="dxa"/>
            <w:tcBorders/>
            <w:vAlign w:val="center"/>
          </w:tcPr>
          <w:p>
            <w:pPr>
              <w:pStyle w:val="TableContents"/>
              <w:bidi w:val="0"/>
              <w:spacing w:before="0" w:after="283"/>
              <w:jc w:val="left"/>
              <w:rPr>
                <w:sz w:val="4"/>
                <w:szCs w:val="4"/>
              </w:rPr>
            </w:pPr>
            <w:r>
              <w:rPr>
                <w:sz w:val="4"/>
                <w:szCs w:val="4"/>
              </w:rPr>
            </w:r>
          </w:p>
        </w:tc>
      </w:tr>
      <w:tr>
        <w:trPr/>
        <w:tc>
          <w:tcPr>
            <w:tcW w:w="2505" w:type="dxa"/>
            <w:gridSpan w:val="3"/>
            <w:tcBorders>
              <w:top w:val="single" w:sz="1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63" w:type="dxa"/>
            <w:gridSpan w:val="9"/>
            <w:tcBorders>
              <w:top w:val="single" w:sz="16"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Expensify Neue;sans-serif" w:hAnsi="Expensify Neue;sans-serif"/>
                <w:b/>
                <w:color w:val="000000"/>
                <w:sz w:val="16"/>
              </w:rPr>
            </w:pPr>
            <w:r>
              <w:rPr>
                <w:rFonts w:ascii="Expensify Neue;sans-serif" w:hAnsi="Expensify Neue;sans-serif"/>
                <w:b/>
                <w:color w:val="000000"/>
                <w:sz w:val="16"/>
              </w:rPr>
              <w:t>Three Months Ended March 31,</w:t>
            </w:r>
          </w:p>
        </w:tc>
      </w:tr>
      <w:tr>
        <w:trPr/>
        <w:tc>
          <w:tcPr>
            <w:tcW w:w="250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Expensify Neue;sans-serif" w:hAnsi="Expensify Neue;sans-serif"/>
                <w:b/>
                <w:color w:val="000000"/>
                <w:sz w:val="16"/>
              </w:rPr>
            </w:pPr>
            <w:r>
              <w:rPr>
                <w:rFonts w:ascii="Expensify Neue;sans-serif" w:hAnsi="Expensify Neue;sans-serif"/>
                <w:b/>
                <w:color w:val="000000"/>
                <w:sz w:val="16"/>
              </w:rPr>
              <w:t>2025</w:t>
            </w:r>
          </w:p>
        </w:tc>
        <w:tc>
          <w:tcPr>
            <w:tcW w:w="402"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58"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Expensify Neue;sans-serif" w:hAnsi="Expensify Neue;sans-serif"/>
                <w:b/>
                <w:color w:val="000000"/>
                <w:sz w:val="16"/>
              </w:rPr>
            </w:pPr>
            <w:r>
              <w:rPr>
                <w:rFonts w:ascii="Expensify Neue;sans-serif" w:hAnsi="Expensify Neue;sans-serif"/>
                <w:b/>
                <w:color w:val="000000"/>
                <w:sz w:val="16"/>
              </w:rPr>
              <w:t>2024</w:t>
            </w:r>
          </w:p>
        </w:tc>
      </w:tr>
      <w:tr>
        <w:trPr/>
        <w:tc>
          <w:tcPr>
            <w:tcW w:w="250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63"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Expensify Neue;sans-serif" w:hAnsi="Expensify Neue;sans-serif"/>
                <w:b/>
                <w:color w:val="000000"/>
                <w:sz w:val="16"/>
              </w:rPr>
            </w:pPr>
            <w:r>
              <w:rPr>
                <w:rFonts w:ascii="Expensify Neue;sans-serif" w:hAnsi="Expensify Neue;sans-serif"/>
                <w:b/>
                <w:color w:val="000000"/>
                <w:sz w:val="16"/>
              </w:rPr>
              <w:t>(in thousands, except percentages)</w:t>
            </w:r>
          </w:p>
        </w:tc>
      </w:tr>
      <w:tr>
        <w:trPr/>
        <w:tc>
          <w:tcPr>
            <w:tcW w:w="250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Expensify Neue;sans-serif" w:hAnsi="Expensify Neue;sans-serif"/>
                <w:b w:val="false"/>
                <w:color w:val="000000"/>
                <w:sz w:val="20"/>
              </w:rPr>
            </w:pPr>
            <w:r>
              <w:rPr>
                <w:rFonts w:ascii="Expensify Neue;sans-serif" w:hAnsi="Expensify Neue;sans-serif"/>
                <w:b w:val="false"/>
                <w:color w:val="000000"/>
                <w:sz w:val="20"/>
              </w:rPr>
              <w:t>Adjusted EBITDA</w:t>
            </w:r>
          </w:p>
        </w:tc>
        <w:tc>
          <w:tcPr>
            <w:tcW w:w="278"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Expensify Neue;sans-serif" w:hAnsi="Expensify Neue;sans-serif"/>
                <w:b w:val="false"/>
                <w:color w:val="000000"/>
                <w:sz w:val="20"/>
              </w:rPr>
            </w:pPr>
            <w:r>
              <w:rPr>
                <w:rFonts w:ascii="Expensify Neue;sans-serif" w:hAnsi="Expensify Neue;sans-serif"/>
                <w:b w:val="false"/>
                <w:color w:val="000000"/>
                <w:sz w:val="20"/>
              </w:rPr>
              <w:t>$</w:t>
            </w:r>
          </w:p>
        </w:tc>
        <w:tc>
          <w:tcPr>
            <w:tcW w:w="87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Expensify Neue;sans-serif" w:hAnsi="Expensify Neue;sans-serif"/>
                <w:b w:val="false"/>
                <w:color w:val="000000"/>
                <w:sz w:val="20"/>
              </w:rPr>
            </w:pPr>
            <w:r>
              <w:rPr>
                <w:rFonts w:ascii="Expensify Neue;sans-serif" w:hAnsi="Expensify Neue;sans-serif"/>
                <w:b w:val="false"/>
                <w:color w:val="000000"/>
                <w:sz w:val="20"/>
              </w:rPr>
              <w:t>8,446 </w:t>
            </w:r>
          </w:p>
        </w:tc>
        <w:tc>
          <w:tcPr>
            <w:tcW w:w="35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8"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Expensify Neue;sans-serif" w:hAnsi="Expensify Neue;sans-serif"/>
                <w:b w:val="false"/>
                <w:color w:val="000000"/>
                <w:sz w:val="20"/>
              </w:rPr>
            </w:pPr>
            <w:r>
              <w:rPr>
                <w:rFonts w:ascii="Expensify Neue;sans-serif" w:hAnsi="Expensify Neue;sans-serif"/>
                <w:b w:val="false"/>
                <w:color w:val="000000"/>
                <w:sz w:val="20"/>
              </w:rPr>
              <w:t>$</w:t>
            </w:r>
          </w:p>
        </w:tc>
        <w:tc>
          <w:tcPr>
            <w:tcW w:w="87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Expensify Neue;sans-serif" w:hAnsi="Expensify Neue;sans-serif"/>
                <w:b w:val="false"/>
                <w:color w:val="000000"/>
                <w:sz w:val="20"/>
              </w:rPr>
            </w:pPr>
            <w:r>
              <w:rPr>
                <w:rFonts w:ascii="Expensify Neue;sans-serif" w:hAnsi="Expensify Neue;sans-serif"/>
                <w:b w:val="false"/>
                <w:color w:val="000000"/>
                <w:sz w:val="20"/>
              </w:rPr>
              <w:t>7,114 </w:t>
            </w:r>
          </w:p>
        </w:tc>
        <w:tc>
          <w:tcPr>
            <w:tcW w:w="40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0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Expensify Neue;sans-serif" w:hAnsi="Expensify Neue;sans-serif"/>
                <w:b w:val="false"/>
                <w:color w:val="000000"/>
                <w:sz w:val="20"/>
              </w:rPr>
            </w:pPr>
            <w:r>
              <w:rPr>
                <w:rFonts w:ascii="Expensify Neue;sans-serif" w:hAnsi="Expensify Neue;sans-serif"/>
                <w:b w:val="false"/>
                <w:color w:val="000000"/>
                <w:sz w:val="20"/>
              </w:rPr>
              <w:t>Adjusted EBITDA margin</w:t>
            </w:r>
          </w:p>
        </w:tc>
        <w:tc>
          <w:tcPr>
            <w:tcW w:w="115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Expensify Neue;sans-serif" w:hAnsi="Expensify Neue;sans-serif"/>
                <w:b w:val="false"/>
                <w:color w:val="000000"/>
                <w:sz w:val="20"/>
              </w:rPr>
            </w:pPr>
            <w:r>
              <w:rPr>
                <w:rFonts w:ascii="Expensify Neue;sans-serif" w:hAnsi="Expensify Neue;sans-serif"/>
                <w:b w:val="false"/>
                <w:color w:val="000000"/>
                <w:sz w:val="20"/>
              </w:rPr>
              <w:t>23 </w:t>
            </w:r>
          </w:p>
        </w:tc>
        <w:tc>
          <w:tcPr>
            <w:tcW w:w="35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Expensify Neue;sans-serif" w:hAnsi="Expensify Neue;sans-serif"/>
                <w:b w:val="false"/>
                <w:color w:val="000000"/>
                <w:sz w:val="20"/>
              </w:rPr>
            </w:pPr>
            <w:r>
              <w:rPr>
                <w:rFonts w:ascii="Expensify Neue;sans-serif" w:hAnsi="Expensify Neue;sans-serif"/>
                <w:b w:val="false"/>
                <w:color w:val="000000"/>
                <w:sz w:val="20"/>
              </w:rPr>
              <w:t>%</w:t>
            </w:r>
          </w:p>
        </w:tc>
        <w:tc>
          <w:tcPr>
            <w:tcW w:w="40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Expensify Neue;sans-serif" w:hAnsi="Expensify Neue;sans-serif"/>
                <w:b w:val="false"/>
                <w:color w:val="000000"/>
                <w:sz w:val="20"/>
              </w:rPr>
            </w:pPr>
            <w:r>
              <w:rPr>
                <w:rFonts w:ascii="Expensify Neue;sans-serif" w:hAnsi="Expensify Neue;sans-serif"/>
                <w:b w:val="false"/>
                <w:color w:val="000000"/>
                <w:sz w:val="20"/>
              </w:rPr>
              <w:t>21 </w:t>
            </w:r>
          </w:p>
        </w:tc>
        <w:tc>
          <w:tcPr>
            <w:tcW w:w="40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Expensify Neue;sans-serif" w:hAnsi="Expensify Neue;sans-serif"/>
                <w:b w:val="false"/>
                <w:color w:val="000000"/>
                <w:sz w:val="20"/>
              </w:rPr>
            </w:pPr>
            <w:r>
              <w:rPr>
                <w:rFonts w:ascii="Expensify Neue;sans-serif" w:hAnsi="Expensify Neue;sans-serif"/>
                <w:b w:val="false"/>
                <w:color w:val="000000"/>
                <w:sz w:val="20"/>
              </w:rPr>
              <w:t>%</w:t>
            </w:r>
          </w:p>
        </w:tc>
      </w:tr>
      <w:tr>
        <w:trPr/>
        <w:tc>
          <w:tcPr>
            <w:tcW w:w="2505"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503"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402"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558"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160"/>
        <w:jc w:val="left"/>
        <w:rPr>
          <w:rFonts w:ascii="Expensify Neue;sans-serif" w:hAnsi="Expensify Neue;sans-serif"/>
          <w:b/>
          <w:i/>
          <w:color w:val="000000"/>
          <w:sz w:val="20"/>
        </w:rPr>
      </w:pPr>
      <w:r>
        <w:rPr>
          <w:rFonts w:ascii="Expensify Neue;sans-serif" w:hAnsi="Expensify Neue;sans-serif"/>
          <w:b/>
          <w:i/>
          <w:color w:val="000000"/>
          <w:sz w:val="20"/>
        </w:rPr>
        <w:t>Non-GAAP Net Income and Non-GAAP Net Income Margin</w:t>
      </w:r>
    </w:p>
    <w:p>
      <w:pPr>
        <w:pStyle w:val="TextBody"/>
        <w:bidi w:val="0"/>
        <w:spacing w:lineRule="auto" w:line="288" w:before="0" w:after="160"/>
        <w:jc w:val="left"/>
        <w:rPr>
          <w:rFonts w:ascii="Expensify Neue;sans-serif" w:hAnsi="Expensify Neue;sans-serif"/>
          <w:b w:val="false"/>
          <w:color w:val="000000"/>
          <w:sz w:val="20"/>
        </w:rPr>
      </w:pPr>
      <w:r>
        <w:rPr>
          <w:rFonts w:ascii="Expensify Neue;sans-serif" w:hAnsi="Expensify Neue;sans-serif"/>
          <w:b w:val="false"/>
          <w:color w:val="000000"/>
          <w:sz w:val="20"/>
        </w:rPr>
        <w:t>We define non-GAAP net income as net loss excluding stock-based compensation expense. We define non-GAAP net income margin as non-GAAP net income divided by total revenue for the same period. We are focused on profitable growth and we consider non-GAAP net income to be an important measure because it helps illustrate underlying trends in our business that could otherwise be masked by the effect of stock-based compensation expense, which is not considered indicative of the core operating performance of our business.</w:t>
      </w:r>
    </w:p>
    <w:tbl>
      <w:tblPr>
        <w:tblW w:w="6493" w:type="dxa"/>
        <w:jc w:val="left"/>
        <w:tblInd w:w="0" w:type="dxa"/>
        <w:tblLayout w:type="fixed"/>
        <w:tblCellMar>
          <w:top w:w="28" w:type="dxa"/>
          <w:left w:w="28" w:type="dxa"/>
          <w:bottom w:w="28" w:type="dxa"/>
          <w:right w:w="28" w:type="dxa"/>
        </w:tblCellMar>
      </w:tblPr>
      <w:tblGrid>
        <w:gridCol w:w="1098"/>
        <w:gridCol w:w="963"/>
        <w:gridCol w:w="969"/>
        <w:gridCol w:w="278"/>
        <w:gridCol w:w="872"/>
        <w:gridCol w:w="353"/>
        <w:gridCol w:w="134"/>
        <w:gridCol w:w="134"/>
        <w:gridCol w:w="134"/>
        <w:gridCol w:w="278"/>
        <w:gridCol w:w="872"/>
        <w:gridCol w:w="408"/>
      </w:tblGrid>
      <w:tr>
        <w:trPr/>
        <w:tc>
          <w:tcPr>
            <w:tcW w:w="1098" w:type="dxa"/>
            <w:tcBorders/>
            <w:vAlign w:val="center"/>
          </w:tcPr>
          <w:p>
            <w:pPr>
              <w:pStyle w:val="TableContents"/>
              <w:bidi w:val="0"/>
              <w:spacing w:before="0" w:after="283"/>
              <w:jc w:val="left"/>
              <w:rPr>
                <w:sz w:val="4"/>
                <w:szCs w:val="4"/>
              </w:rPr>
            </w:pPr>
            <w:r>
              <w:rPr>
                <w:sz w:val="4"/>
                <w:szCs w:val="4"/>
              </w:rPr>
            </w:r>
          </w:p>
        </w:tc>
        <w:tc>
          <w:tcPr>
            <w:tcW w:w="963" w:type="dxa"/>
            <w:tcBorders/>
            <w:vAlign w:val="center"/>
          </w:tcPr>
          <w:p>
            <w:pPr>
              <w:pStyle w:val="TableContents"/>
              <w:bidi w:val="0"/>
              <w:spacing w:before="0" w:after="283"/>
              <w:jc w:val="left"/>
              <w:rPr>
                <w:sz w:val="4"/>
                <w:szCs w:val="4"/>
              </w:rPr>
            </w:pPr>
            <w:r>
              <w:rPr>
                <w:sz w:val="4"/>
                <w:szCs w:val="4"/>
              </w:rPr>
            </w:r>
          </w:p>
        </w:tc>
        <w:tc>
          <w:tcPr>
            <w:tcW w:w="969" w:type="dxa"/>
            <w:tcBorders/>
            <w:vAlign w:val="center"/>
          </w:tcPr>
          <w:p>
            <w:pPr>
              <w:pStyle w:val="TableContents"/>
              <w:bidi w:val="0"/>
              <w:spacing w:before="0" w:after="283"/>
              <w:jc w:val="left"/>
              <w:rPr>
                <w:sz w:val="4"/>
                <w:szCs w:val="4"/>
              </w:rPr>
            </w:pPr>
            <w:r>
              <w:rPr>
                <w:sz w:val="4"/>
                <w:szCs w:val="4"/>
              </w:rPr>
            </w:r>
          </w:p>
        </w:tc>
        <w:tc>
          <w:tcPr>
            <w:tcW w:w="278" w:type="dxa"/>
            <w:tcBorders/>
            <w:vAlign w:val="center"/>
          </w:tcPr>
          <w:p>
            <w:pPr>
              <w:pStyle w:val="TableContents"/>
              <w:bidi w:val="0"/>
              <w:spacing w:before="0" w:after="283"/>
              <w:jc w:val="left"/>
              <w:rPr>
                <w:sz w:val="4"/>
                <w:szCs w:val="4"/>
              </w:rPr>
            </w:pPr>
            <w:r>
              <w:rPr>
                <w:sz w:val="4"/>
                <w:szCs w:val="4"/>
              </w:rPr>
            </w:r>
          </w:p>
        </w:tc>
        <w:tc>
          <w:tcPr>
            <w:tcW w:w="872" w:type="dxa"/>
            <w:tcBorders/>
            <w:vAlign w:val="center"/>
          </w:tcPr>
          <w:p>
            <w:pPr>
              <w:pStyle w:val="TableContents"/>
              <w:bidi w:val="0"/>
              <w:spacing w:before="0" w:after="283"/>
              <w:jc w:val="left"/>
              <w:rPr>
                <w:sz w:val="4"/>
                <w:szCs w:val="4"/>
              </w:rPr>
            </w:pPr>
            <w:r>
              <w:rPr>
                <w:sz w:val="4"/>
                <w:szCs w:val="4"/>
              </w:rPr>
            </w:r>
          </w:p>
        </w:tc>
        <w:tc>
          <w:tcPr>
            <w:tcW w:w="353"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278" w:type="dxa"/>
            <w:tcBorders/>
            <w:vAlign w:val="center"/>
          </w:tcPr>
          <w:p>
            <w:pPr>
              <w:pStyle w:val="TableContents"/>
              <w:bidi w:val="0"/>
              <w:spacing w:before="0" w:after="283"/>
              <w:jc w:val="left"/>
              <w:rPr>
                <w:sz w:val="4"/>
                <w:szCs w:val="4"/>
              </w:rPr>
            </w:pPr>
            <w:r>
              <w:rPr>
                <w:sz w:val="4"/>
                <w:szCs w:val="4"/>
              </w:rPr>
            </w:r>
          </w:p>
        </w:tc>
        <w:tc>
          <w:tcPr>
            <w:tcW w:w="872" w:type="dxa"/>
            <w:tcBorders/>
            <w:vAlign w:val="center"/>
          </w:tcPr>
          <w:p>
            <w:pPr>
              <w:pStyle w:val="TableContents"/>
              <w:bidi w:val="0"/>
              <w:spacing w:before="0" w:after="283"/>
              <w:jc w:val="left"/>
              <w:rPr>
                <w:sz w:val="4"/>
                <w:szCs w:val="4"/>
              </w:rPr>
            </w:pPr>
            <w:r>
              <w:rPr>
                <w:sz w:val="4"/>
                <w:szCs w:val="4"/>
              </w:rPr>
            </w:r>
          </w:p>
        </w:tc>
        <w:tc>
          <w:tcPr>
            <w:tcW w:w="408" w:type="dxa"/>
            <w:tcBorders/>
            <w:vAlign w:val="center"/>
          </w:tcPr>
          <w:p>
            <w:pPr>
              <w:pStyle w:val="TableContents"/>
              <w:bidi w:val="0"/>
              <w:spacing w:before="0" w:after="283"/>
              <w:jc w:val="left"/>
              <w:rPr>
                <w:sz w:val="4"/>
                <w:szCs w:val="4"/>
              </w:rPr>
            </w:pPr>
            <w:r>
              <w:rPr>
                <w:sz w:val="4"/>
                <w:szCs w:val="4"/>
              </w:rPr>
            </w:r>
          </w:p>
        </w:tc>
      </w:tr>
      <w:tr>
        <w:trPr/>
        <w:tc>
          <w:tcPr>
            <w:tcW w:w="3030" w:type="dxa"/>
            <w:gridSpan w:val="3"/>
            <w:tcBorders>
              <w:top w:val="single" w:sz="1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63" w:type="dxa"/>
            <w:gridSpan w:val="9"/>
            <w:tcBorders>
              <w:top w:val="single" w:sz="16"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Expensify Neue;sans-serif" w:hAnsi="Expensify Neue;sans-serif"/>
                <w:b/>
                <w:color w:val="000000"/>
                <w:sz w:val="16"/>
              </w:rPr>
            </w:pPr>
            <w:r>
              <w:rPr>
                <w:rFonts w:ascii="Expensify Neue;sans-serif" w:hAnsi="Expensify Neue;sans-serif"/>
                <w:b/>
                <w:color w:val="000000"/>
                <w:sz w:val="16"/>
              </w:rPr>
              <w:t>Three Months Ended March 31,</w:t>
            </w:r>
          </w:p>
        </w:tc>
      </w:tr>
      <w:tr>
        <w:trPr/>
        <w:tc>
          <w:tcPr>
            <w:tcW w:w="30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Expensify Neue;sans-serif" w:hAnsi="Expensify Neue;sans-serif"/>
                <w:b/>
                <w:color w:val="000000"/>
                <w:sz w:val="16"/>
              </w:rPr>
            </w:pPr>
            <w:r>
              <w:rPr>
                <w:rFonts w:ascii="Expensify Neue;sans-serif" w:hAnsi="Expensify Neue;sans-serif"/>
                <w:b/>
                <w:color w:val="000000"/>
                <w:sz w:val="16"/>
              </w:rPr>
              <w:t>2025</w:t>
            </w:r>
          </w:p>
        </w:tc>
        <w:tc>
          <w:tcPr>
            <w:tcW w:w="402"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58"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Expensify Neue;sans-serif" w:hAnsi="Expensify Neue;sans-serif"/>
                <w:b/>
                <w:color w:val="000000"/>
                <w:sz w:val="16"/>
              </w:rPr>
            </w:pPr>
            <w:r>
              <w:rPr>
                <w:rFonts w:ascii="Expensify Neue;sans-serif" w:hAnsi="Expensify Neue;sans-serif"/>
                <w:b/>
                <w:color w:val="000000"/>
                <w:sz w:val="16"/>
              </w:rPr>
              <w:t>2024</w:t>
            </w:r>
          </w:p>
        </w:tc>
      </w:tr>
      <w:tr>
        <w:trPr/>
        <w:tc>
          <w:tcPr>
            <w:tcW w:w="30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63"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Expensify Neue;sans-serif" w:hAnsi="Expensify Neue;sans-serif"/>
                <w:b/>
                <w:color w:val="000000"/>
                <w:sz w:val="16"/>
              </w:rPr>
            </w:pPr>
            <w:r>
              <w:rPr>
                <w:rFonts w:ascii="Expensify Neue;sans-serif" w:hAnsi="Expensify Neue;sans-serif"/>
                <w:b/>
                <w:color w:val="000000"/>
                <w:sz w:val="16"/>
              </w:rPr>
              <w:t>(in thousands, except percentages)</w:t>
            </w:r>
          </w:p>
        </w:tc>
      </w:tr>
      <w:tr>
        <w:trPr/>
        <w:tc>
          <w:tcPr>
            <w:tcW w:w="303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Expensify Neue;sans-serif" w:hAnsi="Expensify Neue;sans-serif"/>
                <w:b w:val="false"/>
                <w:color w:val="000000"/>
                <w:sz w:val="20"/>
              </w:rPr>
            </w:pPr>
            <w:r>
              <w:rPr>
                <w:rFonts w:ascii="Expensify Neue;sans-serif" w:hAnsi="Expensify Neue;sans-serif"/>
                <w:b w:val="false"/>
                <w:color w:val="000000"/>
                <w:sz w:val="20"/>
              </w:rPr>
              <w:t>Non-GAAP net income</w:t>
            </w:r>
          </w:p>
        </w:tc>
        <w:tc>
          <w:tcPr>
            <w:tcW w:w="278"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Expensify Neue;sans-serif" w:hAnsi="Expensify Neue;sans-serif"/>
                <w:b w:val="false"/>
                <w:color w:val="000000"/>
                <w:sz w:val="20"/>
              </w:rPr>
            </w:pPr>
            <w:r>
              <w:rPr>
                <w:rFonts w:ascii="Expensify Neue;sans-serif" w:hAnsi="Expensify Neue;sans-serif"/>
                <w:b w:val="false"/>
                <w:color w:val="000000"/>
                <w:sz w:val="20"/>
              </w:rPr>
              <w:t>$</w:t>
            </w:r>
          </w:p>
        </w:tc>
        <w:tc>
          <w:tcPr>
            <w:tcW w:w="87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Expensify Neue;sans-serif" w:hAnsi="Expensify Neue;sans-serif"/>
                <w:b w:val="false"/>
                <w:color w:val="000000"/>
                <w:sz w:val="20"/>
              </w:rPr>
            </w:pPr>
            <w:r>
              <w:rPr>
                <w:rFonts w:ascii="Expensify Neue;sans-serif" w:hAnsi="Expensify Neue;sans-serif"/>
                <w:b w:val="false"/>
                <w:color w:val="000000"/>
                <w:sz w:val="20"/>
              </w:rPr>
              <w:t>4,821 </w:t>
            </w:r>
          </w:p>
        </w:tc>
        <w:tc>
          <w:tcPr>
            <w:tcW w:w="35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8"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Expensify Neue;sans-serif" w:hAnsi="Expensify Neue;sans-serif"/>
                <w:b w:val="false"/>
                <w:color w:val="000000"/>
                <w:sz w:val="20"/>
              </w:rPr>
            </w:pPr>
            <w:r>
              <w:rPr>
                <w:rFonts w:ascii="Expensify Neue;sans-serif" w:hAnsi="Expensify Neue;sans-serif"/>
                <w:b w:val="false"/>
                <w:color w:val="000000"/>
                <w:sz w:val="20"/>
              </w:rPr>
              <w:t>$</w:t>
            </w:r>
          </w:p>
        </w:tc>
        <w:tc>
          <w:tcPr>
            <w:tcW w:w="87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Expensify Neue;sans-serif" w:hAnsi="Expensify Neue;sans-serif"/>
                <w:b w:val="false"/>
                <w:color w:val="000000"/>
                <w:sz w:val="20"/>
              </w:rPr>
            </w:pPr>
            <w:r>
              <w:rPr>
                <w:rFonts w:ascii="Expensify Neue;sans-serif" w:hAnsi="Expensify Neue;sans-serif"/>
                <w:b w:val="false"/>
                <w:color w:val="000000"/>
                <w:sz w:val="20"/>
              </w:rPr>
              <w:t>3,743 </w:t>
            </w:r>
          </w:p>
        </w:tc>
        <w:tc>
          <w:tcPr>
            <w:tcW w:w="40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3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Expensify Neue;sans-serif" w:hAnsi="Expensify Neue;sans-serif"/>
                <w:b w:val="false"/>
                <w:color w:val="000000"/>
                <w:sz w:val="20"/>
              </w:rPr>
            </w:pPr>
            <w:r>
              <w:rPr>
                <w:rFonts w:ascii="Expensify Neue;sans-serif" w:hAnsi="Expensify Neue;sans-serif"/>
                <w:b w:val="false"/>
                <w:color w:val="000000"/>
                <w:sz w:val="20"/>
              </w:rPr>
              <w:t>Non-GAAP net income margin</w:t>
            </w:r>
          </w:p>
        </w:tc>
        <w:tc>
          <w:tcPr>
            <w:tcW w:w="115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Expensify Neue;sans-serif" w:hAnsi="Expensify Neue;sans-serif"/>
                <w:b w:val="false"/>
                <w:color w:val="000000"/>
                <w:sz w:val="20"/>
              </w:rPr>
            </w:pPr>
            <w:r>
              <w:rPr>
                <w:rFonts w:ascii="Expensify Neue;sans-serif" w:hAnsi="Expensify Neue;sans-serif"/>
                <w:b w:val="false"/>
                <w:color w:val="000000"/>
                <w:sz w:val="20"/>
              </w:rPr>
              <w:t>13 </w:t>
            </w:r>
          </w:p>
        </w:tc>
        <w:tc>
          <w:tcPr>
            <w:tcW w:w="35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Expensify Neue;sans-serif" w:hAnsi="Expensify Neue;sans-serif"/>
                <w:b w:val="false"/>
                <w:color w:val="000000"/>
                <w:sz w:val="20"/>
              </w:rPr>
            </w:pPr>
            <w:r>
              <w:rPr>
                <w:rFonts w:ascii="Expensify Neue;sans-serif" w:hAnsi="Expensify Neue;sans-serif"/>
                <w:b w:val="false"/>
                <w:color w:val="000000"/>
                <w:sz w:val="20"/>
              </w:rPr>
              <w:t>%</w:t>
            </w:r>
          </w:p>
        </w:tc>
        <w:tc>
          <w:tcPr>
            <w:tcW w:w="40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Expensify Neue;sans-serif" w:hAnsi="Expensify Neue;sans-serif"/>
                <w:b w:val="false"/>
                <w:color w:val="000000"/>
                <w:sz w:val="20"/>
              </w:rPr>
            </w:pPr>
            <w:r>
              <w:rPr>
                <w:rFonts w:ascii="Expensify Neue;sans-serif" w:hAnsi="Expensify Neue;sans-serif"/>
                <w:b w:val="false"/>
                <w:color w:val="000000"/>
                <w:sz w:val="20"/>
              </w:rPr>
              <w:t>11 </w:t>
            </w:r>
          </w:p>
        </w:tc>
        <w:tc>
          <w:tcPr>
            <w:tcW w:w="40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Expensify Neue;sans-serif" w:hAnsi="Expensify Neue;sans-serif"/>
                <w:b w:val="false"/>
                <w:color w:val="000000"/>
                <w:sz w:val="20"/>
              </w:rPr>
            </w:pPr>
            <w:r>
              <w:rPr>
                <w:rFonts w:ascii="Expensify Neue;sans-serif" w:hAnsi="Expensify Neue;sans-serif"/>
                <w:b w:val="false"/>
                <w:color w:val="000000"/>
                <w:sz w:val="20"/>
              </w:rPr>
              <w:t>%</w:t>
            </w:r>
          </w:p>
        </w:tc>
      </w:tr>
      <w:tr>
        <w:trPr/>
        <w:tc>
          <w:tcPr>
            <w:tcW w:w="3030"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503"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402"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558"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8">
                <wp:simplePos x="0" y="0"/>
                <wp:positionH relativeFrom="character">
                  <wp:align>left</wp:align>
                </wp:positionH>
                <wp:positionV relativeFrom="line">
                  <wp:posOffset>635</wp:posOffset>
                </wp:positionV>
                <wp:extent cx="6480175" cy="599440"/>
                <wp:effectExtent l="0" t="0" r="0" b="0"/>
                <wp:wrapNone/>
                <wp:docPr id="37" name="Frame36"/>
                <a:graphic xmlns:a="http://schemas.openxmlformats.org/drawingml/2006/main">
                  <a:graphicData uri="http://schemas.microsoft.com/office/word/2010/wordprocessingShape">
                    <wps:wsp>
                      <wps:cNvSpPr txBox="1"/>
                      <wps:spPr>
                        <a:xfrm>
                          <a:off x="0" y="0"/>
                          <a:ext cx="6480175" cy="599440"/>
                        </a:xfrm>
                        <a:prstGeom prst="rect"/>
                        <a:solidFill>
                          <a:srgbClr val="FFFFFF"/>
                        </a:solidFill>
                      </wps:spPr>
                      <wps:txbx>
                        <w:txbxContent>
                          <w:tbl>
                            <w:tblPr>
                              <w:tblW w:w="406" w:type="dxa"/>
                              <w:jc w:val="center"/>
                              <w:tblInd w:w="0" w:type="dxa"/>
                              <w:tblLayout w:type="fixed"/>
                              <w:tblCellMar>
                                <w:top w:w="28" w:type="dxa"/>
                                <w:left w:w="28" w:type="dxa"/>
                                <w:bottom w:w="28" w:type="dxa"/>
                                <w:right w:w="28" w:type="dxa"/>
                              </w:tblCellMar>
                            </w:tblPr>
                            <w:tblGrid>
                              <w:gridCol w:w="130"/>
                              <w:gridCol w:w="114"/>
                              <w:gridCol w:w="162"/>
                            </w:tblGrid>
                            <w:tr>
                              <w:trPr/>
                              <w:tc>
                                <w:tcPr>
                                  <w:tcW w:w="130"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rPr/>
                              <w:tc>
                                <w:tcPr>
                                  <w:tcW w:w="406"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0"/>
                                    <w:jc w:val="center"/>
                                    <w:rPr>
                                      <w:rFonts w:ascii="Expensify Neue;sans-serif" w:hAnsi="Expensify Neue;sans-serif"/>
                                      <w:b w:val="false"/>
                                      <w:color w:val="000000"/>
                                      <w:sz w:val="20"/>
                                    </w:rPr>
                                  </w:pPr>
                                  <w:r>
                                    <w:rPr>
                                      <w:rFonts w:ascii="Expensify Neue;sans-serif" w:hAnsi="Expensify Neue;sans-serif"/>
                                      <w:b w:val="false"/>
                                      <w:color w:val="000000"/>
                                      <w:sz w:val="20"/>
                                    </w:rPr>
                                    <w:t>31</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7.2pt;mso-wrap-distance-left:0pt;mso-wrap-distance-right:0pt;mso-wrap-distance-top:0pt;mso-wrap-distance-bottom:0pt;margin-top:0pt;mso-position-vertical:top;mso-position-vertical-relative:text;margin-left:0pt;mso-position-horizontal:left;mso-position-horizontal-relative:text">
                <v:textbox>
                  <w:txbxContent>
                    <w:tbl>
                      <w:tblPr>
                        <w:tblW w:w="406" w:type="dxa"/>
                        <w:jc w:val="center"/>
                        <w:tblInd w:w="0" w:type="dxa"/>
                        <w:tblLayout w:type="fixed"/>
                        <w:tblCellMar>
                          <w:top w:w="28" w:type="dxa"/>
                          <w:left w:w="28" w:type="dxa"/>
                          <w:bottom w:w="28" w:type="dxa"/>
                          <w:right w:w="28" w:type="dxa"/>
                        </w:tblCellMar>
                      </w:tblPr>
                      <w:tblGrid>
                        <w:gridCol w:w="130"/>
                        <w:gridCol w:w="114"/>
                        <w:gridCol w:w="162"/>
                      </w:tblGrid>
                      <w:tr>
                        <w:trPr/>
                        <w:tc>
                          <w:tcPr>
                            <w:tcW w:w="130"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rPr/>
                        <w:tc>
                          <w:tcPr>
                            <w:tcW w:w="406"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0"/>
                              <w:jc w:val="center"/>
                              <w:rPr>
                                <w:rFonts w:ascii="Expensify Neue;sans-serif" w:hAnsi="Expensify Neue;sans-serif"/>
                                <w:b w:val="false"/>
                                <w:color w:val="000000"/>
                                <w:sz w:val="20"/>
                              </w:rPr>
                            </w:pPr>
                            <w:r>
                              <w:rPr>
                                <w:rFonts w:ascii="Expensify Neue;sans-serif" w:hAnsi="Expensify Neue;sans-serif"/>
                                <w:b w:val="false"/>
                                <w:color w:val="000000"/>
                                <w:sz w:val="20"/>
                              </w:rPr>
                              <w:t>31</w:t>
                            </w:r>
                          </w:p>
                        </w:tc>
                      </w:tr>
                    </w:tbl>
                    <w:p>
                      <w:pPr>
                        <w:pStyle w:val="TextBody"/>
                        <w:bidi w:val="0"/>
                        <w:spacing w:before="0" w:after="283"/>
                        <w:jc w:val="left"/>
                        <w:rPr/>
                      </w:pPr>
                      <w:r>
                        <w:rPr/>
                      </w:r>
                    </w:p>
                  </w:txbxContent>
                </v:textbox>
                <w10:wrap type="none"/>
              </v:rect>
            </w:pict>
          </mc:Fallback>
        </mc:AlternateContent>
      </w:r>
    </w:p>
    <w:p>
      <w:pPr>
        <w:pStyle w:val="TextBody"/>
        <w:bidi w:val="0"/>
        <w:spacing w:lineRule="auto" w:line="288" w:before="0" w:after="160"/>
        <w:jc w:val="left"/>
        <w:rPr/>
      </w:pPr>
      <w:hyperlink w:anchor="i52a648c4f0e449f7bc3c2044827c8f0d_7">
        <w:r>
          <w:rPr>
            <w:rStyle w:val="InternetLink"/>
            <w:rFonts w:ascii="Expensify Neue;sans-serif" w:hAnsi="Expensify Neue;sans-serif"/>
            <w:b/>
            <w:color w:val="0000FF"/>
            <w:sz w:val="20"/>
            <w:u w:val="single"/>
          </w:rPr>
          <w:t>Table of Contents</w:t>
        </w:r>
      </w:hyperlink>
    </w:p>
    <w:p>
      <w:pPr>
        <w:pStyle w:val="TextBody"/>
        <w:bidi w:val="0"/>
        <w:spacing w:lineRule="auto" w:line="288" w:before="0" w:after="160"/>
        <w:jc w:val="left"/>
        <w:rPr>
          <w:rFonts w:ascii="Expensify Neue;sans-serif" w:hAnsi="Expensify Neue;sans-serif"/>
          <w:b/>
          <w:i/>
          <w:color w:val="000000"/>
          <w:sz w:val="20"/>
        </w:rPr>
      </w:pPr>
      <w:r>
        <w:rPr>
          <w:rFonts w:ascii="Expensify Neue;sans-serif" w:hAnsi="Expensify Neue;sans-serif"/>
          <w:b/>
          <w:i/>
          <w:color w:val="000000"/>
          <w:sz w:val="20"/>
        </w:rPr>
        <w:t>Free Cash Flow and Free Cash Flow Margin</w:t>
      </w:r>
    </w:p>
    <w:p>
      <w:pPr>
        <w:pStyle w:val="TextBody"/>
        <w:bidi w:val="0"/>
        <w:spacing w:lineRule="auto" w:line="288" w:before="0" w:after="160"/>
        <w:jc w:val="left"/>
        <w:rPr>
          <w:rFonts w:ascii="Expensify Neue;sans-serif" w:hAnsi="Expensify Neue;sans-serif"/>
          <w:b w:val="false"/>
          <w:color w:val="000000"/>
          <w:sz w:val="20"/>
        </w:rPr>
      </w:pPr>
      <w:r>
        <w:rPr>
          <w:rFonts w:ascii="Expensify Neue;sans-serif" w:hAnsi="Expensify Neue;sans-serif"/>
          <w:b w:val="false"/>
          <w:color w:val="000000"/>
          <w:sz w:val="20"/>
        </w:rPr>
        <w:t>We define free cash flow as net cash provided by operating activities excluding changes in settlement assets and liabilities, which represent funds held for customers and customer funds in transit, respectively, reduced by the purchases of property and equipment and software development costs. We define free cash flow margin as free cash flow divided by total revenue for the same period.</w:t>
      </w:r>
    </w:p>
    <w:tbl>
      <w:tblPr>
        <w:tblW w:w="5727" w:type="dxa"/>
        <w:jc w:val="left"/>
        <w:tblInd w:w="0" w:type="dxa"/>
        <w:tblLayout w:type="fixed"/>
        <w:tblCellMar>
          <w:top w:w="28" w:type="dxa"/>
          <w:left w:w="28" w:type="dxa"/>
          <w:bottom w:w="28" w:type="dxa"/>
          <w:right w:w="28" w:type="dxa"/>
        </w:tblCellMar>
      </w:tblPr>
      <w:tblGrid>
        <w:gridCol w:w="821"/>
        <w:gridCol w:w="718"/>
        <w:gridCol w:w="725"/>
        <w:gridCol w:w="278"/>
        <w:gridCol w:w="872"/>
        <w:gridCol w:w="353"/>
        <w:gridCol w:w="134"/>
        <w:gridCol w:w="134"/>
        <w:gridCol w:w="134"/>
        <w:gridCol w:w="278"/>
        <w:gridCol w:w="872"/>
        <w:gridCol w:w="408"/>
      </w:tblGrid>
      <w:tr>
        <w:trPr/>
        <w:tc>
          <w:tcPr>
            <w:tcW w:w="821" w:type="dxa"/>
            <w:tcBorders/>
            <w:vAlign w:val="center"/>
          </w:tcPr>
          <w:p>
            <w:pPr>
              <w:pStyle w:val="TableContents"/>
              <w:bidi w:val="0"/>
              <w:spacing w:before="0" w:after="283"/>
              <w:jc w:val="left"/>
              <w:rPr>
                <w:sz w:val="4"/>
                <w:szCs w:val="4"/>
              </w:rPr>
            </w:pPr>
            <w:r>
              <w:rPr>
                <w:sz w:val="4"/>
                <w:szCs w:val="4"/>
              </w:rPr>
            </w:r>
          </w:p>
        </w:tc>
        <w:tc>
          <w:tcPr>
            <w:tcW w:w="718" w:type="dxa"/>
            <w:tcBorders/>
            <w:vAlign w:val="center"/>
          </w:tcPr>
          <w:p>
            <w:pPr>
              <w:pStyle w:val="TableContents"/>
              <w:bidi w:val="0"/>
              <w:spacing w:before="0" w:after="283"/>
              <w:jc w:val="left"/>
              <w:rPr>
                <w:sz w:val="4"/>
                <w:szCs w:val="4"/>
              </w:rPr>
            </w:pPr>
            <w:r>
              <w:rPr>
                <w:sz w:val="4"/>
                <w:szCs w:val="4"/>
              </w:rPr>
            </w:r>
          </w:p>
        </w:tc>
        <w:tc>
          <w:tcPr>
            <w:tcW w:w="725" w:type="dxa"/>
            <w:tcBorders/>
            <w:vAlign w:val="center"/>
          </w:tcPr>
          <w:p>
            <w:pPr>
              <w:pStyle w:val="TableContents"/>
              <w:bidi w:val="0"/>
              <w:spacing w:before="0" w:after="283"/>
              <w:jc w:val="left"/>
              <w:rPr>
                <w:sz w:val="4"/>
                <w:szCs w:val="4"/>
              </w:rPr>
            </w:pPr>
            <w:r>
              <w:rPr>
                <w:sz w:val="4"/>
                <w:szCs w:val="4"/>
              </w:rPr>
            </w:r>
          </w:p>
        </w:tc>
        <w:tc>
          <w:tcPr>
            <w:tcW w:w="278" w:type="dxa"/>
            <w:tcBorders/>
            <w:vAlign w:val="center"/>
          </w:tcPr>
          <w:p>
            <w:pPr>
              <w:pStyle w:val="TableContents"/>
              <w:bidi w:val="0"/>
              <w:spacing w:before="0" w:after="283"/>
              <w:jc w:val="left"/>
              <w:rPr>
                <w:sz w:val="4"/>
                <w:szCs w:val="4"/>
              </w:rPr>
            </w:pPr>
            <w:r>
              <w:rPr>
                <w:sz w:val="4"/>
                <w:szCs w:val="4"/>
              </w:rPr>
            </w:r>
          </w:p>
        </w:tc>
        <w:tc>
          <w:tcPr>
            <w:tcW w:w="872" w:type="dxa"/>
            <w:tcBorders/>
            <w:vAlign w:val="center"/>
          </w:tcPr>
          <w:p>
            <w:pPr>
              <w:pStyle w:val="TableContents"/>
              <w:bidi w:val="0"/>
              <w:spacing w:before="0" w:after="283"/>
              <w:jc w:val="left"/>
              <w:rPr>
                <w:sz w:val="4"/>
                <w:szCs w:val="4"/>
              </w:rPr>
            </w:pPr>
            <w:r>
              <w:rPr>
                <w:sz w:val="4"/>
                <w:szCs w:val="4"/>
              </w:rPr>
            </w:r>
          </w:p>
        </w:tc>
        <w:tc>
          <w:tcPr>
            <w:tcW w:w="353"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278" w:type="dxa"/>
            <w:tcBorders/>
            <w:vAlign w:val="center"/>
          </w:tcPr>
          <w:p>
            <w:pPr>
              <w:pStyle w:val="TableContents"/>
              <w:bidi w:val="0"/>
              <w:spacing w:before="0" w:after="283"/>
              <w:jc w:val="left"/>
              <w:rPr>
                <w:sz w:val="4"/>
                <w:szCs w:val="4"/>
              </w:rPr>
            </w:pPr>
            <w:r>
              <w:rPr>
                <w:sz w:val="4"/>
                <w:szCs w:val="4"/>
              </w:rPr>
            </w:r>
          </w:p>
        </w:tc>
        <w:tc>
          <w:tcPr>
            <w:tcW w:w="872" w:type="dxa"/>
            <w:tcBorders/>
            <w:vAlign w:val="center"/>
          </w:tcPr>
          <w:p>
            <w:pPr>
              <w:pStyle w:val="TableContents"/>
              <w:bidi w:val="0"/>
              <w:spacing w:before="0" w:after="283"/>
              <w:jc w:val="left"/>
              <w:rPr>
                <w:sz w:val="4"/>
                <w:szCs w:val="4"/>
              </w:rPr>
            </w:pPr>
            <w:r>
              <w:rPr>
                <w:sz w:val="4"/>
                <w:szCs w:val="4"/>
              </w:rPr>
            </w:r>
          </w:p>
        </w:tc>
        <w:tc>
          <w:tcPr>
            <w:tcW w:w="408" w:type="dxa"/>
            <w:tcBorders/>
            <w:vAlign w:val="center"/>
          </w:tcPr>
          <w:p>
            <w:pPr>
              <w:pStyle w:val="TableContents"/>
              <w:bidi w:val="0"/>
              <w:spacing w:before="0" w:after="283"/>
              <w:jc w:val="left"/>
              <w:rPr>
                <w:sz w:val="4"/>
                <w:szCs w:val="4"/>
              </w:rPr>
            </w:pPr>
            <w:r>
              <w:rPr>
                <w:sz w:val="4"/>
                <w:szCs w:val="4"/>
              </w:rPr>
            </w:r>
          </w:p>
        </w:tc>
      </w:tr>
      <w:tr>
        <w:trPr/>
        <w:tc>
          <w:tcPr>
            <w:tcW w:w="2264" w:type="dxa"/>
            <w:gridSpan w:val="3"/>
            <w:tcBorders>
              <w:top w:val="single" w:sz="1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63" w:type="dxa"/>
            <w:gridSpan w:val="9"/>
            <w:tcBorders>
              <w:top w:val="single" w:sz="16"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Expensify Neue;sans-serif" w:hAnsi="Expensify Neue;sans-serif"/>
                <w:b/>
                <w:color w:val="000000"/>
                <w:sz w:val="16"/>
              </w:rPr>
            </w:pPr>
            <w:r>
              <w:rPr>
                <w:rFonts w:ascii="Expensify Neue;sans-serif" w:hAnsi="Expensify Neue;sans-serif"/>
                <w:b/>
                <w:color w:val="000000"/>
                <w:sz w:val="16"/>
              </w:rPr>
              <w:t>Three Months Ended March 31,</w:t>
            </w:r>
          </w:p>
        </w:tc>
      </w:tr>
      <w:tr>
        <w:trPr/>
        <w:tc>
          <w:tcPr>
            <w:tcW w:w="226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Expensify Neue;sans-serif" w:hAnsi="Expensify Neue;sans-serif"/>
                <w:b/>
                <w:color w:val="000000"/>
                <w:sz w:val="16"/>
              </w:rPr>
            </w:pPr>
            <w:r>
              <w:rPr>
                <w:rFonts w:ascii="Expensify Neue;sans-serif" w:hAnsi="Expensify Neue;sans-serif"/>
                <w:b/>
                <w:color w:val="000000"/>
                <w:sz w:val="16"/>
              </w:rPr>
              <w:t>2025</w:t>
            </w:r>
          </w:p>
        </w:tc>
        <w:tc>
          <w:tcPr>
            <w:tcW w:w="402"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58"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Expensify Neue;sans-serif" w:hAnsi="Expensify Neue;sans-serif"/>
                <w:b/>
                <w:color w:val="000000"/>
                <w:sz w:val="16"/>
              </w:rPr>
            </w:pPr>
            <w:r>
              <w:rPr>
                <w:rFonts w:ascii="Expensify Neue;sans-serif" w:hAnsi="Expensify Neue;sans-serif"/>
                <w:b/>
                <w:color w:val="000000"/>
                <w:sz w:val="16"/>
              </w:rPr>
              <w:t>2024</w:t>
            </w:r>
          </w:p>
        </w:tc>
      </w:tr>
      <w:tr>
        <w:trPr/>
        <w:tc>
          <w:tcPr>
            <w:tcW w:w="226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63"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Expensify Neue;sans-serif" w:hAnsi="Expensify Neue;sans-serif"/>
                <w:b/>
                <w:color w:val="000000"/>
                <w:sz w:val="16"/>
              </w:rPr>
            </w:pPr>
            <w:r>
              <w:rPr>
                <w:rFonts w:ascii="Expensify Neue;sans-serif" w:hAnsi="Expensify Neue;sans-serif"/>
                <w:b/>
                <w:color w:val="000000"/>
                <w:sz w:val="16"/>
              </w:rPr>
              <w:t>(in thousands, except percentages)</w:t>
            </w:r>
          </w:p>
        </w:tc>
      </w:tr>
      <w:tr>
        <w:trPr/>
        <w:tc>
          <w:tcPr>
            <w:tcW w:w="226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Expensify Neue;sans-serif" w:hAnsi="Expensify Neue;sans-serif"/>
                <w:b w:val="false"/>
                <w:color w:val="000000"/>
                <w:sz w:val="20"/>
              </w:rPr>
            </w:pPr>
            <w:r>
              <w:rPr>
                <w:rFonts w:ascii="Expensify Neue;sans-serif" w:hAnsi="Expensify Neue;sans-serif"/>
                <w:b w:val="false"/>
                <w:color w:val="000000"/>
                <w:sz w:val="20"/>
              </w:rPr>
              <w:t>Free cash flow</w:t>
            </w:r>
          </w:p>
        </w:tc>
        <w:tc>
          <w:tcPr>
            <w:tcW w:w="278"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Expensify Neue;sans-serif" w:hAnsi="Expensify Neue;sans-serif"/>
                <w:b w:val="false"/>
                <w:color w:val="000000"/>
                <w:sz w:val="20"/>
              </w:rPr>
            </w:pPr>
            <w:r>
              <w:rPr>
                <w:rFonts w:ascii="Expensify Neue;sans-serif" w:hAnsi="Expensify Neue;sans-serif"/>
                <w:b w:val="false"/>
                <w:color w:val="000000"/>
                <w:sz w:val="20"/>
              </w:rPr>
              <w:t>$</w:t>
            </w:r>
          </w:p>
        </w:tc>
        <w:tc>
          <w:tcPr>
            <w:tcW w:w="87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Expensify Neue;sans-serif" w:hAnsi="Expensify Neue;sans-serif"/>
                <w:b w:val="false"/>
                <w:color w:val="000000"/>
                <w:sz w:val="20"/>
              </w:rPr>
            </w:pPr>
            <w:r>
              <w:rPr>
                <w:rFonts w:ascii="Expensify Neue;sans-serif" w:hAnsi="Expensify Neue;sans-serif"/>
                <w:b w:val="false"/>
                <w:color w:val="000000"/>
                <w:sz w:val="20"/>
              </w:rPr>
              <w:t>9,104 </w:t>
            </w:r>
          </w:p>
        </w:tc>
        <w:tc>
          <w:tcPr>
            <w:tcW w:w="35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8"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Expensify Neue;sans-serif" w:hAnsi="Expensify Neue;sans-serif"/>
                <w:b w:val="false"/>
                <w:color w:val="000000"/>
                <w:sz w:val="20"/>
              </w:rPr>
            </w:pPr>
            <w:r>
              <w:rPr>
                <w:rFonts w:ascii="Expensify Neue;sans-serif" w:hAnsi="Expensify Neue;sans-serif"/>
                <w:b w:val="false"/>
                <w:color w:val="000000"/>
                <w:sz w:val="20"/>
              </w:rPr>
              <w:t>$</w:t>
            </w:r>
          </w:p>
        </w:tc>
        <w:tc>
          <w:tcPr>
            <w:tcW w:w="87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Expensify Neue;sans-serif" w:hAnsi="Expensify Neue;sans-serif"/>
                <w:b w:val="false"/>
                <w:color w:val="000000"/>
                <w:sz w:val="20"/>
              </w:rPr>
            </w:pPr>
            <w:r>
              <w:rPr>
                <w:rFonts w:ascii="Expensify Neue;sans-serif" w:hAnsi="Expensify Neue;sans-serif"/>
                <w:b w:val="false"/>
                <w:color w:val="000000"/>
                <w:sz w:val="20"/>
              </w:rPr>
              <w:t>5,192 </w:t>
            </w:r>
          </w:p>
        </w:tc>
        <w:tc>
          <w:tcPr>
            <w:tcW w:w="40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6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Expensify Neue;sans-serif" w:hAnsi="Expensify Neue;sans-serif"/>
                <w:b w:val="false"/>
                <w:color w:val="000000"/>
                <w:sz w:val="20"/>
              </w:rPr>
            </w:pPr>
            <w:r>
              <w:rPr>
                <w:rFonts w:ascii="Expensify Neue;sans-serif" w:hAnsi="Expensify Neue;sans-serif"/>
                <w:b w:val="false"/>
                <w:color w:val="000000"/>
                <w:sz w:val="20"/>
              </w:rPr>
              <w:t>Free cash flow margin</w:t>
            </w:r>
          </w:p>
        </w:tc>
        <w:tc>
          <w:tcPr>
            <w:tcW w:w="115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Expensify Neue;sans-serif" w:hAnsi="Expensify Neue;sans-serif"/>
                <w:b w:val="false"/>
                <w:color w:val="000000"/>
                <w:sz w:val="20"/>
              </w:rPr>
            </w:pPr>
            <w:r>
              <w:rPr>
                <w:rFonts w:ascii="Expensify Neue;sans-serif" w:hAnsi="Expensify Neue;sans-serif"/>
                <w:b w:val="false"/>
                <w:color w:val="000000"/>
                <w:sz w:val="20"/>
              </w:rPr>
              <w:t>25.2 </w:t>
            </w:r>
          </w:p>
        </w:tc>
        <w:tc>
          <w:tcPr>
            <w:tcW w:w="35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Expensify Neue;sans-serif" w:hAnsi="Expensify Neue;sans-serif"/>
                <w:b w:val="false"/>
                <w:color w:val="000000"/>
                <w:sz w:val="20"/>
              </w:rPr>
            </w:pPr>
            <w:r>
              <w:rPr>
                <w:rFonts w:ascii="Expensify Neue;sans-serif" w:hAnsi="Expensify Neue;sans-serif"/>
                <w:b w:val="false"/>
                <w:color w:val="000000"/>
                <w:sz w:val="20"/>
              </w:rPr>
              <w:t>%</w:t>
            </w:r>
          </w:p>
        </w:tc>
        <w:tc>
          <w:tcPr>
            <w:tcW w:w="40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Expensify Neue;sans-serif" w:hAnsi="Expensify Neue;sans-serif"/>
                <w:b w:val="false"/>
                <w:color w:val="000000"/>
                <w:sz w:val="20"/>
              </w:rPr>
            </w:pPr>
            <w:r>
              <w:rPr>
                <w:rFonts w:ascii="Expensify Neue;sans-serif" w:hAnsi="Expensify Neue;sans-serif"/>
                <w:b w:val="false"/>
                <w:color w:val="000000"/>
                <w:sz w:val="20"/>
              </w:rPr>
              <w:t>15.5 </w:t>
            </w:r>
          </w:p>
        </w:tc>
        <w:tc>
          <w:tcPr>
            <w:tcW w:w="40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Expensify Neue;sans-serif" w:hAnsi="Expensify Neue;sans-serif"/>
                <w:b w:val="false"/>
                <w:color w:val="000000"/>
                <w:sz w:val="20"/>
              </w:rPr>
            </w:pPr>
            <w:r>
              <w:rPr>
                <w:rFonts w:ascii="Expensify Neue;sans-serif" w:hAnsi="Expensify Neue;sans-serif"/>
                <w:b w:val="false"/>
                <w:color w:val="000000"/>
                <w:sz w:val="20"/>
              </w:rPr>
              <w:t>%</w:t>
            </w:r>
          </w:p>
        </w:tc>
      </w:tr>
      <w:tr>
        <w:trPr/>
        <w:tc>
          <w:tcPr>
            <w:tcW w:w="2264"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503"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402"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558"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160"/>
        <w:jc w:val="left"/>
        <w:rPr>
          <w:rFonts w:ascii="Expensify Neue;sans-serif" w:hAnsi="Expensify Neue;sans-serif"/>
          <w:b/>
          <w:i/>
          <w:color w:val="000000"/>
          <w:sz w:val="20"/>
        </w:rPr>
      </w:pPr>
      <w:r>
        <w:rPr>
          <w:rFonts w:ascii="Expensify Neue;sans-serif" w:hAnsi="Expensify Neue;sans-serif"/>
          <w:b/>
          <w:i/>
          <w:color w:val="000000"/>
          <w:sz w:val="20"/>
        </w:rPr>
        <w:t>Reconciliations of Non-GAAP Financial Measures</w:t>
      </w:r>
    </w:p>
    <w:p>
      <w:pPr>
        <w:pStyle w:val="TextBody"/>
        <w:bidi w:val="0"/>
        <w:spacing w:lineRule="auto" w:line="288" w:before="0" w:after="160"/>
        <w:jc w:val="left"/>
        <w:rPr>
          <w:rFonts w:ascii="Expensify Neue;sans-serif" w:hAnsi="Expensify Neue;sans-serif"/>
          <w:b w:val="false"/>
          <w:color w:val="000000"/>
          <w:sz w:val="20"/>
        </w:rPr>
      </w:pPr>
      <w:r>
        <w:rPr>
          <w:rFonts w:ascii="Expensify Neue;sans-serif" w:hAnsi="Expensify Neue;sans-serif"/>
          <w:b w:val="false"/>
          <w:color w:val="000000"/>
          <w:sz w:val="20"/>
        </w:rPr>
        <w:t>The following tables reconcile the most directly comparable GAAP financial measure to each of these non-GAAP financial measures.</w:t>
      </w:r>
    </w:p>
    <w:p>
      <w:pPr>
        <w:pStyle w:val="TextBody"/>
        <w:bidi w:val="0"/>
        <w:spacing w:lineRule="auto" w:line="288" w:before="0" w:after="160"/>
        <w:jc w:val="left"/>
        <w:rPr>
          <w:rFonts w:ascii="Expensify Neue;sans-serif" w:hAnsi="Expensify Neue;sans-serif"/>
          <w:b w:val="false"/>
          <w:i/>
          <w:color w:val="000000"/>
          <w:sz w:val="20"/>
        </w:rPr>
      </w:pPr>
      <w:r>
        <w:rPr>
          <w:rFonts w:ascii="Expensify Neue;sans-serif" w:hAnsi="Expensify Neue;sans-serif"/>
          <w:b w:val="false"/>
          <w:i/>
          <w:color w:val="000000"/>
          <w:sz w:val="20"/>
        </w:rPr>
        <w:t>Adjusted EBITDA and Adjusted EBITDA Margin</w:t>
      </w:r>
    </w:p>
    <w:tbl>
      <w:tblPr>
        <w:tblW w:w="7106" w:type="dxa"/>
        <w:jc w:val="left"/>
        <w:tblInd w:w="0" w:type="dxa"/>
        <w:tblLayout w:type="fixed"/>
        <w:tblCellMar>
          <w:top w:w="28" w:type="dxa"/>
          <w:left w:w="28" w:type="dxa"/>
          <w:bottom w:w="28" w:type="dxa"/>
          <w:right w:w="28" w:type="dxa"/>
        </w:tblCellMar>
      </w:tblPr>
      <w:tblGrid>
        <w:gridCol w:w="1320"/>
        <w:gridCol w:w="1156"/>
        <w:gridCol w:w="1168"/>
        <w:gridCol w:w="261"/>
        <w:gridCol w:w="924"/>
        <w:gridCol w:w="331"/>
        <w:gridCol w:w="126"/>
        <w:gridCol w:w="126"/>
        <w:gridCol w:w="126"/>
        <w:gridCol w:w="261"/>
        <w:gridCol w:w="924"/>
        <w:gridCol w:w="383"/>
      </w:tblGrid>
      <w:tr>
        <w:trPr/>
        <w:tc>
          <w:tcPr>
            <w:tcW w:w="1320" w:type="dxa"/>
            <w:tcBorders/>
            <w:vAlign w:val="center"/>
          </w:tcPr>
          <w:p>
            <w:pPr>
              <w:pStyle w:val="TableContents"/>
              <w:bidi w:val="0"/>
              <w:spacing w:before="0" w:after="283"/>
              <w:jc w:val="left"/>
              <w:rPr>
                <w:sz w:val="4"/>
                <w:szCs w:val="4"/>
              </w:rPr>
            </w:pPr>
            <w:r>
              <w:rPr>
                <w:sz w:val="4"/>
                <w:szCs w:val="4"/>
              </w:rPr>
            </w:r>
          </w:p>
        </w:tc>
        <w:tc>
          <w:tcPr>
            <w:tcW w:w="1156" w:type="dxa"/>
            <w:tcBorders/>
            <w:vAlign w:val="center"/>
          </w:tcPr>
          <w:p>
            <w:pPr>
              <w:pStyle w:val="TableContents"/>
              <w:bidi w:val="0"/>
              <w:spacing w:before="0" w:after="283"/>
              <w:jc w:val="left"/>
              <w:rPr>
                <w:sz w:val="4"/>
                <w:szCs w:val="4"/>
              </w:rPr>
            </w:pPr>
            <w:r>
              <w:rPr>
                <w:sz w:val="4"/>
                <w:szCs w:val="4"/>
              </w:rPr>
            </w:r>
          </w:p>
        </w:tc>
        <w:tc>
          <w:tcPr>
            <w:tcW w:w="1168" w:type="dxa"/>
            <w:tcBorders/>
            <w:vAlign w:val="center"/>
          </w:tcPr>
          <w:p>
            <w:pPr>
              <w:pStyle w:val="TableContents"/>
              <w:bidi w:val="0"/>
              <w:spacing w:before="0" w:after="283"/>
              <w:jc w:val="left"/>
              <w:rPr>
                <w:sz w:val="4"/>
                <w:szCs w:val="4"/>
              </w:rPr>
            </w:pPr>
            <w:r>
              <w:rPr>
                <w:sz w:val="4"/>
                <w:szCs w:val="4"/>
              </w:rPr>
            </w:r>
          </w:p>
        </w:tc>
        <w:tc>
          <w:tcPr>
            <w:tcW w:w="261" w:type="dxa"/>
            <w:tcBorders/>
            <w:vAlign w:val="center"/>
          </w:tcPr>
          <w:p>
            <w:pPr>
              <w:pStyle w:val="TableContents"/>
              <w:bidi w:val="0"/>
              <w:spacing w:before="0" w:after="283"/>
              <w:jc w:val="left"/>
              <w:rPr>
                <w:sz w:val="4"/>
                <w:szCs w:val="4"/>
              </w:rPr>
            </w:pPr>
            <w:r>
              <w:rPr>
                <w:sz w:val="4"/>
                <w:szCs w:val="4"/>
              </w:rPr>
            </w:r>
          </w:p>
        </w:tc>
        <w:tc>
          <w:tcPr>
            <w:tcW w:w="924" w:type="dxa"/>
            <w:tcBorders/>
            <w:vAlign w:val="center"/>
          </w:tcPr>
          <w:p>
            <w:pPr>
              <w:pStyle w:val="TableContents"/>
              <w:bidi w:val="0"/>
              <w:spacing w:before="0" w:after="283"/>
              <w:jc w:val="left"/>
              <w:rPr>
                <w:sz w:val="4"/>
                <w:szCs w:val="4"/>
              </w:rPr>
            </w:pPr>
            <w:r>
              <w:rPr>
                <w:sz w:val="4"/>
                <w:szCs w:val="4"/>
              </w:rPr>
            </w:r>
          </w:p>
        </w:tc>
        <w:tc>
          <w:tcPr>
            <w:tcW w:w="331" w:type="dxa"/>
            <w:tcBorders/>
            <w:vAlign w:val="center"/>
          </w:tcPr>
          <w:p>
            <w:pPr>
              <w:pStyle w:val="TableContents"/>
              <w:bidi w:val="0"/>
              <w:spacing w:before="0" w:after="283"/>
              <w:jc w:val="left"/>
              <w:rPr>
                <w:sz w:val="4"/>
                <w:szCs w:val="4"/>
              </w:rPr>
            </w:pPr>
            <w:r>
              <w:rPr>
                <w:sz w:val="4"/>
                <w:szCs w:val="4"/>
              </w:rPr>
            </w:r>
          </w:p>
        </w:tc>
        <w:tc>
          <w:tcPr>
            <w:tcW w:w="126" w:type="dxa"/>
            <w:tcBorders/>
            <w:vAlign w:val="center"/>
          </w:tcPr>
          <w:p>
            <w:pPr>
              <w:pStyle w:val="TableContents"/>
              <w:bidi w:val="0"/>
              <w:spacing w:before="0" w:after="283"/>
              <w:jc w:val="left"/>
              <w:rPr>
                <w:sz w:val="4"/>
                <w:szCs w:val="4"/>
              </w:rPr>
            </w:pPr>
            <w:r>
              <w:rPr>
                <w:sz w:val="4"/>
                <w:szCs w:val="4"/>
              </w:rPr>
            </w:r>
          </w:p>
        </w:tc>
        <w:tc>
          <w:tcPr>
            <w:tcW w:w="126" w:type="dxa"/>
            <w:tcBorders/>
            <w:vAlign w:val="center"/>
          </w:tcPr>
          <w:p>
            <w:pPr>
              <w:pStyle w:val="TableContents"/>
              <w:bidi w:val="0"/>
              <w:spacing w:before="0" w:after="283"/>
              <w:jc w:val="left"/>
              <w:rPr>
                <w:sz w:val="4"/>
                <w:szCs w:val="4"/>
              </w:rPr>
            </w:pPr>
            <w:r>
              <w:rPr>
                <w:sz w:val="4"/>
                <w:szCs w:val="4"/>
              </w:rPr>
            </w:r>
          </w:p>
        </w:tc>
        <w:tc>
          <w:tcPr>
            <w:tcW w:w="126" w:type="dxa"/>
            <w:tcBorders/>
            <w:vAlign w:val="center"/>
          </w:tcPr>
          <w:p>
            <w:pPr>
              <w:pStyle w:val="TableContents"/>
              <w:bidi w:val="0"/>
              <w:spacing w:before="0" w:after="283"/>
              <w:jc w:val="left"/>
              <w:rPr>
                <w:sz w:val="4"/>
                <w:szCs w:val="4"/>
              </w:rPr>
            </w:pPr>
            <w:r>
              <w:rPr>
                <w:sz w:val="4"/>
                <w:szCs w:val="4"/>
              </w:rPr>
            </w:r>
          </w:p>
        </w:tc>
        <w:tc>
          <w:tcPr>
            <w:tcW w:w="261" w:type="dxa"/>
            <w:tcBorders/>
            <w:vAlign w:val="center"/>
          </w:tcPr>
          <w:p>
            <w:pPr>
              <w:pStyle w:val="TableContents"/>
              <w:bidi w:val="0"/>
              <w:spacing w:before="0" w:after="283"/>
              <w:jc w:val="left"/>
              <w:rPr>
                <w:sz w:val="4"/>
                <w:szCs w:val="4"/>
              </w:rPr>
            </w:pPr>
            <w:r>
              <w:rPr>
                <w:sz w:val="4"/>
                <w:szCs w:val="4"/>
              </w:rPr>
            </w:r>
          </w:p>
        </w:tc>
        <w:tc>
          <w:tcPr>
            <w:tcW w:w="924" w:type="dxa"/>
            <w:tcBorders/>
            <w:vAlign w:val="center"/>
          </w:tcPr>
          <w:p>
            <w:pPr>
              <w:pStyle w:val="TableContents"/>
              <w:bidi w:val="0"/>
              <w:spacing w:before="0" w:after="283"/>
              <w:jc w:val="left"/>
              <w:rPr>
                <w:sz w:val="4"/>
                <w:szCs w:val="4"/>
              </w:rPr>
            </w:pPr>
            <w:r>
              <w:rPr>
                <w:sz w:val="4"/>
                <w:szCs w:val="4"/>
              </w:rPr>
            </w:r>
          </w:p>
        </w:tc>
        <w:tc>
          <w:tcPr>
            <w:tcW w:w="383" w:type="dxa"/>
            <w:tcBorders/>
            <w:vAlign w:val="center"/>
          </w:tcPr>
          <w:p>
            <w:pPr>
              <w:pStyle w:val="TableContents"/>
              <w:bidi w:val="0"/>
              <w:spacing w:before="0" w:after="283"/>
              <w:jc w:val="left"/>
              <w:rPr>
                <w:sz w:val="4"/>
                <w:szCs w:val="4"/>
              </w:rPr>
            </w:pPr>
            <w:r>
              <w:rPr>
                <w:sz w:val="4"/>
                <w:szCs w:val="4"/>
              </w:rPr>
            </w:r>
          </w:p>
        </w:tc>
      </w:tr>
      <w:tr>
        <w:trPr/>
        <w:tc>
          <w:tcPr>
            <w:tcW w:w="3644" w:type="dxa"/>
            <w:gridSpan w:val="3"/>
            <w:tcBorders>
              <w:top w:val="single" w:sz="1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62" w:type="dxa"/>
            <w:gridSpan w:val="9"/>
            <w:tcBorders>
              <w:top w:val="single" w:sz="16"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Expensify Neue;sans-serif" w:hAnsi="Expensify Neue;sans-serif"/>
                <w:b/>
                <w:color w:val="000000"/>
                <w:sz w:val="16"/>
              </w:rPr>
            </w:pPr>
            <w:r>
              <w:rPr>
                <w:rFonts w:ascii="Expensify Neue;sans-serif" w:hAnsi="Expensify Neue;sans-serif"/>
                <w:b/>
                <w:color w:val="000000"/>
                <w:sz w:val="16"/>
              </w:rPr>
              <w:t>Three Months Ended March 31,</w:t>
            </w:r>
          </w:p>
        </w:tc>
      </w:tr>
      <w:tr>
        <w:trPr/>
        <w:tc>
          <w:tcPr>
            <w:tcW w:w="36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Expensify Neue;sans-serif" w:hAnsi="Expensify Neue;sans-serif"/>
                <w:b/>
                <w:color w:val="000000"/>
                <w:sz w:val="16"/>
              </w:rPr>
            </w:pPr>
            <w:r>
              <w:rPr>
                <w:rFonts w:ascii="Expensify Neue;sans-serif" w:hAnsi="Expensify Neue;sans-serif"/>
                <w:b/>
                <w:color w:val="000000"/>
                <w:sz w:val="16"/>
              </w:rPr>
              <w:t>2025</w:t>
            </w:r>
          </w:p>
        </w:tc>
        <w:tc>
          <w:tcPr>
            <w:tcW w:w="378"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68"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Expensify Neue;sans-serif" w:hAnsi="Expensify Neue;sans-serif"/>
                <w:b/>
                <w:color w:val="000000"/>
                <w:sz w:val="16"/>
              </w:rPr>
            </w:pPr>
            <w:r>
              <w:rPr>
                <w:rFonts w:ascii="Expensify Neue;sans-serif" w:hAnsi="Expensify Neue;sans-serif"/>
                <w:b/>
                <w:color w:val="000000"/>
                <w:sz w:val="16"/>
              </w:rPr>
              <w:t>2024</w:t>
            </w:r>
          </w:p>
        </w:tc>
      </w:tr>
      <w:tr>
        <w:trPr/>
        <w:tc>
          <w:tcPr>
            <w:tcW w:w="36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62"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Expensify Neue;sans-serif" w:hAnsi="Expensify Neue;sans-serif"/>
                <w:b/>
                <w:color w:val="000000"/>
                <w:sz w:val="16"/>
              </w:rPr>
            </w:pPr>
            <w:r>
              <w:rPr>
                <w:rFonts w:ascii="Expensify Neue;sans-serif" w:hAnsi="Expensify Neue;sans-serif"/>
                <w:b/>
                <w:color w:val="000000"/>
                <w:sz w:val="16"/>
              </w:rPr>
              <w:t>(in thousands, except percentages)</w:t>
            </w:r>
          </w:p>
        </w:tc>
      </w:tr>
      <w:tr>
        <w:trPr/>
        <w:tc>
          <w:tcPr>
            <w:tcW w:w="364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Expensify Neue;sans-serif" w:hAnsi="Expensify Neue;sans-serif"/>
                <w:b w:val="false"/>
                <w:color w:val="000000"/>
                <w:sz w:val="20"/>
              </w:rPr>
            </w:pPr>
            <w:r>
              <w:rPr>
                <w:rFonts w:ascii="Expensify Neue;sans-serif" w:hAnsi="Expensify Neue;sans-serif"/>
                <w:b w:val="false"/>
                <w:color w:val="000000"/>
                <w:sz w:val="20"/>
              </w:rPr>
              <w:t>Net loss</w:t>
            </w:r>
          </w:p>
        </w:tc>
        <w:tc>
          <w:tcPr>
            <w:tcW w:w="26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Expensify Neue;sans-serif" w:hAnsi="Expensify Neue;sans-serif"/>
                <w:b w:val="false"/>
                <w:color w:val="000000"/>
                <w:sz w:val="20"/>
              </w:rPr>
            </w:pPr>
            <w:r>
              <w:rPr>
                <w:rFonts w:ascii="Expensify Neue;sans-serif" w:hAnsi="Expensify Neue;sans-serif"/>
                <w:b w:val="false"/>
                <w:color w:val="000000"/>
                <w:sz w:val="20"/>
              </w:rPr>
              <w:t>$</w:t>
            </w:r>
          </w:p>
        </w:tc>
        <w:tc>
          <w:tcPr>
            <w:tcW w:w="924"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Expensify Neue;sans-serif" w:hAnsi="Expensify Neue;sans-serif"/>
                <w:b w:val="false"/>
                <w:color w:val="000000"/>
                <w:sz w:val="20"/>
              </w:rPr>
            </w:pPr>
            <w:r>
              <w:rPr>
                <w:rFonts w:ascii="Expensify Neue;sans-serif" w:hAnsi="Expensify Neue;sans-serif"/>
                <w:b w:val="false"/>
                <w:color w:val="000000"/>
                <w:sz w:val="20"/>
              </w:rPr>
              <w:t>(3,169)</w:t>
            </w:r>
          </w:p>
        </w:tc>
        <w:tc>
          <w:tcPr>
            <w:tcW w:w="33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Expensify Neue;sans-serif" w:hAnsi="Expensify Neue;sans-serif"/>
                <w:b w:val="false"/>
                <w:color w:val="000000"/>
                <w:sz w:val="20"/>
              </w:rPr>
            </w:pPr>
            <w:r>
              <w:rPr>
                <w:rFonts w:ascii="Expensify Neue;sans-serif" w:hAnsi="Expensify Neue;sans-serif"/>
                <w:b w:val="false"/>
                <w:color w:val="000000"/>
                <w:sz w:val="20"/>
              </w:rPr>
              <w:t>$</w:t>
            </w:r>
          </w:p>
        </w:tc>
        <w:tc>
          <w:tcPr>
            <w:tcW w:w="924"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Expensify Neue;sans-serif" w:hAnsi="Expensify Neue;sans-serif"/>
                <w:b w:val="false"/>
                <w:color w:val="000000"/>
                <w:sz w:val="20"/>
              </w:rPr>
            </w:pPr>
            <w:r>
              <w:rPr>
                <w:rFonts w:ascii="Expensify Neue;sans-serif" w:hAnsi="Expensify Neue;sans-serif"/>
                <w:b w:val="false"/>
                <w:color w:val="000000"/>
                <w:sz w:val="20"/>
              </w:rPr>
              <w:t>(3,781)</w:t>
            </w:r>
          </w:p>
        </w:tc>
        <w:tc>
          <w:tcPr>
            <w:tcW w:w="38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4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Expensify Neue;sans-serif" w:hAnsi="Expensify Neue;sans-serif"/>
                <w:b w:val="false"/>
                <w:color w:val="000000"/>
                <w:sz w:val="20"/>
              </w:rPr>
            </w:pPr>
            <w:r>
              <w:rPr>
                <w:rFonts w:ascii="Expensify Neue;sans-serif" w:hAnsi="Expensify Neue;sans-serif"/>
                <w:b w:val="false"/>
                <w:color w:val="000000"/>
                <w:sz w:val="20"/>
              </w:rPr>
              <w:t>Net loss margin</w:t>
            </w:r>
          </w:p>
        </w:tc>
        <w:tc>
          <w:tcPr>
            <w:tcW w:w="118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Expensify Neue;sans-serif" w:hAnsi="Expensify Neue;sans-serif"/>
                <w:b w:val="false"/>
                <w:color w:val="000000"/>
                <w:sz w:val="20"/>
              </w:rPr>
            </w:pPr>
            <w:r>
              <w:rPr>
                <w:rFonts w:ascii="Expensify Neue;sans-serif" w:hAnsi="Expensify Neue;sans-serif"/>
                <w:b w:val="false"/>
                <w:color w:val="000000"/>
                <w:sz w:val="20"/>
              </w:rPr>
              <w:t>(9)</w:t>
            </w:r>
          </w:p>
        </w:tc>
        <w:tc>
          <w:tcPr>
            <w:tcW w:w="33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Expensify Neue;sans-serif" w:hAnsi="Expensify Neue;sans-serif"/>
                <w:b w:val="false"/>
                <w:color w:val="000000"/>
                <w:sz w:val="20"/>
              </w:rPr>
            </w:pPr>
            <w:r>
              <w:rPr>
                <w:rFonts w:ascii="Expensify Neue;sans-serif" w:hAnsi="Expensify Neue;sans-serif"/>
                <w:b w:val="false"/>
                <w:color w:val="000000"/>
                <w:sz w:val="20"/>
              </w:rPr>
              <w:t>%</w:t>
            </w:r>
          </w:p>
        </w:tc>
        <w:tc>
          <w:tcPr>
            <w:tcW w:w="37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Expensify Neue;sans-serif" w:hAnsi="Expensify Neue;sans-serif"/>
                <w:b w:val="false"/>
                <w:color w:val="000000"/>
                <w:sz w:val="20"/>
              </w:rPr>
            </w:pPr>
            <w:r>
              <w:rPr>
                <w:rFonts w:ascii="Expensify Neue;sans-serif" w:hAnsi="Expensify Neue;sans-serif"/>
                <w:b w:val="false"/>
                <w:color w:val="000000"/>
                <w:sz w:val="20"/>
              </w:rPr>
              <w:t>(11)</w:t>
            </w:r>
          </w:p>
        </w:tc>
        <w:tc>
          <w:tcPr>
            <w:tcW w:w="38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Expensify Neue;sans-serif" w:hAnsi="Expensify Neue;sans-serif"/>
                <w:b w:val="false"/>
                <w:color w:val="000000"/>
                <w:sz w:val="20"/>
              </w:rPr>
            </w:pPr>
            <w:r>
              <w:rPr>
                <w:rFonts w:ascii="Expensify Neue;sans-serif" w:hAnsi="Expensify Neue;sans-serif"/>
                <w:b w:val="false"/>
                <w:color w:val="000000"/>
                <w:sz w:val="20"/>
              </w:rPr>
              <w:t>%</w:t>
            </w:r>
          </w:p>
        </w:tc>
      </w:tr>
      <w:tr>
        <w:trPr/>
        <w:tc>
          <w:tcPr>
            <w:tcW w:w="364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Expensify Neue;sans-serif" w:hAnsi="Expensify Neue;sans-serif"/>
                <w:b w:val="false"/>
                <w:color w:val="000000"/>
                <w:sz w:val="20"/>
              </w:rPr>
            </w:pPr>
            <w:r>
              <w:rPr>
                <w:rFonts w:ascii="Expensify Neue;sans-serif" w:hAnsi="Expensify Neue;sans-serif"/>
                <w:b w:val="false"/>
                <w:color w:val="000000"/>
                <w:sz w:val="20"/>
              </w:rPr>
              <w:t>Add:</w:t>
            </w:r>
          </w:p>
        </w:tc>
        <w:tc>
          <w:tcPr>
            <w:tcW w:w="151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6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4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Expensify Neue;sans-serif" w:hAnsi="Expensify Neue;sans-serif"/>
                <w:b w:val="false"/>
                <w:color w:val="000000"/>
                <w:sz w:val="20"/>
              </w:rPr>
            </w:pPr>
            <w:r>
              <w:rPr>
                <w:rFonts w:ascii="Expensify Neue;sans-serif" w:hAnsi="Expensify Neue;sans-serif"/>
                <w:b w:val="false"/>
                <w:color w:val="000000"/>
                <w:sz w:val="20"/>
              </w:rPr>
              <w:t>Provision for income taxes</w:t>
            </w:r>
          </w:p>
        </w:tc>
        <w:tc>
          <w:tcPr>
            <w:tcW w:w="118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Expensify Neue;sans-serif" w:hAnsi="Expensify Neue;sans-serif"/>
                <w:b w:val="false"/>
                <w:color w:val="000000"/>
                <w:sz w:val="20"/>
              </w:rPr>
            </w:pPr>
            <w:r>
              <w:rPr>
                <w:rFonts w:ascii="Expensify Neue;sans-serif" w:hAnsi="Expensify Neue;sans-serif"/>
                <w:b w:val="false"/>
                <w:color w:val="000000"/>
                <w:sz w:val="20"/>
              </w:rPr>
              <w:t>2,006 </w:t>
            </w:r>
          </w:p>
        </w:tc>
        <w:tc>
          <w:tcPr>
            <w:tcW w:w="3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Expensify Neue;sans-serif" w:hAnsi="Expensify Neue;sans-serif"/>
                <w:b w:val="false"/>
                <w:color w:val="000000"/>
                <w:sz w:val="20"/>
              </w:rPr>
            </w:pPr>
            <w:r>
              <w:rPr>
                <w:rFonts w:ascii="Expensify Neue;sans-serif" w:hAnsi="Expensify Neue;sans-serif"/>
                <w:b w:val="false"/>
                <w:color w:val="000000"/>
                <w:sz w:val="20"/>
              </w:rPr>
              <w:t>1,034 </w:t>
            </w:r>
          </w:p>
        </w:tc>
        <w:tc>
          <w:tcPr>
            <w:tcW w:w="38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4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Expensify Neue;sans-serif" w:hAnsi="Expensify Neue;sans-serif"/>
                <w:b w:val="false"/>
                <w:color w:val="000000"/>
                <w:sz w:val="20"/>
              </w:rPr>
            </w:pPr>
            <w:r>
              <w:rPr>
                <w:rFonts w:ascii="Expensify Neue;sans-serif" w:hAnsi="Expensify Neue;sans-serif"/>
                <w:b w:val="false"/>
                <w:color w:val="000000"/>
                <w:sz w:val="20"/>
              </w:rPr>
              <w:t>Other (income) expenses, net</w:t>
            </w:r>
          </w:p>
        </w:tc>
        <w:tc>
          <w:tcPr>
            <w:tcW w:w="118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Expensify Neue;sans-serif" w:hAnsi="Expensify Neue;sans-serif"/>
                <w:b w:val="false"/>
                <w:color w:val="000000"/>
                <w:sz w:val="20"/>
              </w:rPr>
            </w:pPr>
            <w:r>
              <w:rPr>
                <w:rFonts w:ascii="Expensify Neue;sans-serif" w:hAnsi="Expensify Neue;sans-serif"/>
                <w:b w:val="false"/>
                <w:color w:val="000000"/>
                <w:sz w:val="20"/>
              </w:rPr>
              <w:t>(324)</w:t>
            </w:r>
          </w:p>
        </w:tc>
        <w:tc>
          <w:tcPr>
            <w:tcW w:w="33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Expensify Neue;sans-serif" w:hAnsi="Expensify Neue;sans-serif"/>
                <w:b w:val="false"/>
                <w:color w:val="000000"/>
                <w:sz w:val="20"/>
              </w:rPr>
            </w:pPr>
            <w:r>
              <w:rPr>
                <w:rFonts w:ascii="Expensify Neue;sans-serif" w:hAnsi="Expensify Neue;sans-serif"/>
                <w:b w:val="false"/>
                <w:color w:val="000000"/>
                <w:sz w:val="20"/>
              </w:rPr>
              <w:t>954 </w:t>
            </w:r>
          </w:p>
        </w:tc>
        <w:tc>
          <w:tcPr>
            <w:tcW w:w="38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4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Expensify Neue;sans-serif" w:hAnsi="Expensify Neue;sans-serif"/>
                <w:b w:val="false"/>
                <w:color w:val="000000"/>
                <w:sz w:val="20"/>
              </w:rPr>
            </w:pPr>
            <w:r>
              <w:rPr>
                <w:rFonts w:ascii="Expensify Neue;sans-serif" w:hAnsi="Expensify Neue;sans-serif"/>
                <w:b w:val="false"/>
                <w:color w:val="000000"/>
                <w:sz w:val="20"/>
              </w:rPr>
              <w:t>Depreciation and amortization</w:t>
            </w:r>
          </w:p>
        </w:tc>
        <w:tc>
          <w:tcPr>
            <w:tcW w:w="118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Expensify Neue;sans-serif" w:hAnsi="Expensify Neue;sans-serif"/>
                <w:b w:val="false"/>
                <w:color w:val="000000"/>
                <w:sz w:val="20"/>
              </w:rPr>
            </w:pPr>
            <w:r>
              <w:rPr>
                <w:rFonts w:ascii="Expensify Neue;sans-serif" w:hAnsi="Expensify Neue;sans-serif"/>
                <w:b w:val="false"/>
                <w:color w:val="000000"/>
                <w:sz w:val="20"/>
              </w:rPr>
              <w:t>1,943 </w:t>
            </w:r>
          </w:p>
        </w:tc>
        <w:tc>
          <w:tcPr>
            <w:tcW w:w="3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Expensify Neue;sans-serif" w:hAnsi="Expensify Neue;sans-serif"/>
                <w:b w:val="false"/>
                <w:color w:val="000000"/>
                <w:sz w:val="20"/>
              </w:rPr>
            </w:pPr>
            <w:r>
              <w:rPr>
                <w:rFonts w:ascii="Expensify Neue;sans-serif" w:hAnsi="Expensify Neue;sans-serif"/>
                <w:b w:val="false"/>
                <w:color w:val="000000"/>
                <w:sz w:val="20"/>
              </w:rPr>
              <w:t>1,383 </w:t>
            </w:r>
          </w:p>
        </w:tc>
        <w:tc>
          <w:tcPr>
            <w:tcW w:w="38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4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Expensify Neue;sans-serif" w:hAnsi="Expensify Neue;sans-serif"/>
                <w:b w:val="false"/>
                <w:color w:val="000000"/>
                <w:sz w:val="20"/>
              </w:rPr>
            </w:pPr>
            <w:r>
              <w:rPr>
                <w:rFonts w:ascii="Expensify Neue;sans-serif" w:hAnsi="Expensify Neue;sans-serif"/>
                <w:b w:val="false"/>
                <w:color w:val="000000"/>
                <w:sz w:val="20"/>
              </w:rPr>
              <w:t>Stock-based compensation expense</w:t>
            </w:r>
          </w:p>
        </w:tc>
        <w:tc>
          <w:tcPr>
            <w:tcW w:w="118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Expensify Neue;sans-serif" w:hAnsi="Expensify Neue;sans-serif"/>
                <w:b w:val="false"/>
                <w:color w:val="000000"/>
                <w:sz w:val="20"/>
              </w:rPr>
            </w:pPr>
            <w:r>
              <w:rPr>
                <w:rFonts w:ascii="Expensify Neue;sans-serif" w:hAnsi="Expensify Neue;sans-serif"/>
                <w:b w:val="false"/>
                <w:color w:val="000000"/>
                <w:sz w:val="20"/>
              </w:rPr>
              <w:t>7,990 </w:t>
            </w:r>
          </w:p>
        </w:tc>
        <w:tc>
          <w:tcPr>
            <w:tcW w:w="33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Expensify Neue;sans-serif" w:hAnsi="Expensify Neue;sans-serif"/>
                <w:b w:val="false"/>
                <w:color w:val="000000"/>
                <w:sz w:val="20"/>
              </w:rPr>
            </w:pPr>
            <w:r>
              <w:rPr>
                <w:rFonts w:ascii="Expensify Neue;sans-serif" w:hAnsi="Expensify Neue;sans-serif"/>
                <w:b w:val="false"/>
                <w:color w:val="000000"/>
                <w:sz w:val="20"/>
              </w:rPr>
              <w:t>7,524 </w:t>
            </w:r>
          </w:p>
        </w:tc>
        <w:tc>
          <w:tcPr>
            <w:tcW w:w="38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4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Expensify Neue;sans-serif" w:hAnsi="Expensify Neue;sans-serif"/>
                <w:b w:val="false"/>
                <w:color w:val="000000"/>
                <w:sz w:val="20"/>
              </w:rPr>
            </w:pPr>
            <w:r>
              <w:rPr>
                <w:rFonts w:ascii="Expensify Neue;sans-serif" w:hAnsi="Expensify Neue;sans-serif"/>
                <w:b w:val="false"/>
                <w:color w:val="000000"/>
                <w:sz w:val="20"/>
              </w:rPr>
              <w:t>Adjusted EBITDA</w:t>
            </w:r>
          </w:p>
        </w:tc>
        <w:tc>
          <w:tcPr>
            <w:tcW w:w="26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Expensify Neue;sans-serif" w:hAnsi="Expensify Neue;sans-serif"/>
                <w:b w:val="false"/>
                <w:color w:val="000000"/>
                <w:sz w:val="20"/>
              </w:rPr>
            </w:pPr>
            <w:r>
              <w:rPr>
                <w:rFonts w:ascii="Expensify Neue;sans-serif" w:hAnsi="Expensify Neue;sans-serif"/>
                <w:b w:val="false"/>
                <w:color w:val="000000"/>
                <w:sz w:val="20"/>
              </w:rPr>
              <w:t>$</w:t>
            </w:r>
          </w:p>
        </w:tc>
        <w:tc>
          <w:tcPr>
            <w:tcW w:w="924"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Expensify Neue;sans-serif" w:hAnsi="Expensify Neue;sans-serif"/>
                <w:b w:val="false"/>
                <w:color w:val="000000"/>
                <w:sz w:val="20"/>
              </w:rPr>
            </w:pPr>
            <w:r>
              <w:rPr>
                <w:rFonts w:ascii="Expensify Neue;sans-serif" w:hAnsi="Expensify Neue;sans-serif"/>
                <w:b w:val="false"/>
                <w:color w:val="000000"/>
                <w:sz w:val="20"/>
              </w:rPr>
              <w:t>8,446 </w:t>
            </w:r>
          </w:p>
        </w:tc>
        <w:tc>
          <w:tcPr>
            <w:tcW w:w="33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Expensify Neue;sans-serif" w:hAnsi="Expensify Neue;sans-serif"/>
                <w:b w:val="false"/>
                <w:color w:val="000000"/>
                <w:sz w:val="20"/>
              </w:rPr>
            </w:pPr>
            <w:r>
              <w:rPr>
                <w:rFonts w:ascii="Expensify Neue;sans-serif" w:hAnsi="Expensify Neue;sans-serif"/>
                <w:b w:val="false"/>
                <w:color w:val="000000"/>
                <w:sz w:val="20"/>
              </w:rPr>
              <w:t>$</w:t>
            </w:r>
          </w:p>
        </w:tc>
        <w:tc>
          <w:tcPr>
            <w:tcW w:w="924"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Expensify Neue;sans-serif" w:hAnsi="Expensify Neue;sans-serif"/>
                <w:b w:val="false"/>
                <w:color w:val="000000"/>
                <w:sz w:val="20"/>
              </w:rPr>
            </w:pPr>
            <w:r>
              <w:rPr>
                <w:rFonts w:ascii="Expensify Neue;sans-serif" w:hAnsi="Expensify Neue;sans-serif"/>
                <w:b w:val="false"/>
                <w:color w:val="000000"/>
                <w:sz w:val="20"/>
              </w:rPr>
              <w:t>7,114 </w:t>
            </w:r>
          </w:p>
        </w:tc>
        <w:tc>
          <w:tcPr>
            <w:tcW w:w="383"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4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Expensify Neue;sans-serif" w:hAnsi="Expensify Neue;sans-serif"/>
                <w:b w:val="false"/>
                <w:color w:val="000000"/>
                <w:sz w:val="20"/>
              </w:rPr>
            </w:pPr>
            <w:r>
              <w:rPr>
                <w:rFonts w:ascii="Expensify Neue;sans-serif" w:hAnsi="Expensify Neue;sans-serif"/>
                <w:b w:val="false"/>
                <w:color w:val="000000"/>
                <w:sz w:val="20"/>
              </w:rPr>
              <w:t>Adjusted EBITDA margin</w:t>
            </w:r>
          </w:p>
        </w:tc>
        <w:tc>
          <w:tcPr>
            <w:tcW w:w="1185" w:type="dxa"/>
            <w:gridSpan w:val="2"/>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Expensify Neue;sans-serif" w:hAnsi="Expensify Neue;sans-serif"/>
                <w:b w:val="false"/>
                <w:color w:val="000000"/>
                <w:sz w:val="20"/>
              </w:rPr>
            </w:pPr>
            <w:r>
              <w:rPr>
                <w:rFonts w:ascii="Expensify Neue;sans-serif" w:hAnsi="Expensify Neue;sans-serif"/>
                <w:b w:val="false"/>
                <w:color w:val="000000"/>
                <w:sz w:val="20"/>
              </w:rPr>
              <w:t>23 </w:t>
            </w:r>
          </w:p>
        </w:tc>
        <w:tc>
          <w:tcPr>
            <w:tcW w:w="331"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Expensify Neue;sans-serif" w:hAnsi="Expensify Neue;sans-serif"/>
                <w:b w:val="false"/>
                <w:color w:val="000000"/>
                <w:sz w:val="20"/>
              </w:rPr>
            </w:pPr>
            <w:r>
              <w:rPr>
                <w:rFonts w:ascii="Expensify Neue;sans-serif" w:hAnsi="Expensify Neue;sans-serif"/>
                <w:b w:val="false"/>
                <w:color w:val="000000"/>
                <w:sz w:val="20"/>
              </w:rPr>
              <w:t>%</w:t>
            </w:r>
          </w:p>
        </w:tc>
        <w:tc>
          <w:tcPr>
            <w:tcW w:w="37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5" w:type="dxa"/>
            <w:gridSpan w:val="2"/>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Expensify Neue;sans-serif" w:hAnsi="Expensify Neue;sans-serif"/>
                <w:b w:val="false"/>
                <w:color w:val="000000"/>
                <w:sz w:val="20"/>
              </w:rPr>
            </w:pPr>
            <w:r>
              <w:rPr>
                <w:rFonts w:ascii="Expensify Neue;sans-serif" w:hAnsi="Expensify Neue;sans-serif"/>
                <w:b w:val="false"/>
                <w:color w:val="000000"/>
                <w:sz w:val="20"/>
              </w:rPr>
              <w:t>21 </w:t>
            </w:r>
          </w:p>
        </w:tc>
        <w:tc>
          <w:tcPr>
            <w:tcW w:w="383"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Expensify Neue;sans-serif" w:hAnsi="Expensify Neue;sans-serif"/>
                <w:b w:val="false"/>
                <w:color w:val="000000"/>
                <w:sz w:val="20"/>
              </w:rPr>
            </w:pPr>
            <w:r>
              <w:rPr>
                <w:rFonts w:ascii="Expensify Neue;sans-serif" w:hAnsi="Expensify Neue;sans-serif"/>
                <w:b w:val="false"/>
                <w:color w:val="000000"/>
                <w:sz w:val="20"/>
              </w:rPr>
              <w:t>%</w:t>
            </w:r>
          </w:p>
        </w:tc>
      </w:tr>
      <w:tr>
        <w:trPr/>
        <w:tc>
          <w:tcPr>
            <w:tcW w:w="3644"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516"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78"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568"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160"/>
        <w:jc w:val="left"/>
        <w:rPr>
          <w:rFonts w:ascii="Expensify Neue;sans-serif" w:hAnsi="Expensify Neue;sans-serif"/>
          <w:b w:val="false"/>
          <w:i/>
          <w:color w:val="000000"/>
          <w:sz w:val="20"/>
        </w:rPr>
      </w:pPr>
      <w:r>
        <w:rPr>
          <w:rFonts w:ascii="Expensify Neue;sans-serif" w:hAnsi="Expensify Neue;sans-serif"/>
          <w:b w:val="false"/>
          <w:i/>
          <w:color w:val="000000"/>
          <w:sz w:val="20"/>
        </w:rPr>
        <w:t>Non-GAAP Net Income and Non-GAAP Net Income Margin</w:t>
      </w:r>
    </w:p>
    <w:tbl>
      <w:tblPr>
        <w:tblW w:w="7107" w:type="dxa"/>
        <w:jc w:val="left"/>
        <w:tblInd w:w="0" w:type="dxa"/>
        <w:tblLayout w:type="fixed"/>
        <w:tblCellMar>
          <w:top w:w="28" w:type="dxa"/>
          <w:left w:w="28" w:type="dxa"/>
          <w:bottom w:w="28" w:type="dxa"/>
          <w:right w:w="28" w:type="dxa"/>
        </w:tblCellMar>
      </w:tblPr>
      <w:tblGrid>
        <w:gridCol w:w="1320"/>
        <w:gridCol w:w="1156"/>
        <w:gridCol w:w="1169"/>
        <w:gridCol w:w="261"/>
        <w:gridCol w:w="924"/>
        <w:gridCol w:w="331"/>
        <w:gridCol w:w="126"/>
        <w:gridCol w:w="126"/>
        <w:gridCol w:w="126"/>
        <w:gridCol w:w="261"/>
        <w:gridCol w:w="924"/>
        <w:gridCol w:w="383"/>
      </w:tblGrid>
      <w:tr>
        <w:trPr/>
        <w:tc>
          <w:tcPr>
            <w:tcW w:w="1320" w:type="dxa"/>
            <w:tcBorders/>
            <w:vAlign w:val="center"/>
          </w:tcPr>
          <w:p>
            <w:pPr>
              <w:pStyle w:val="TableContents"/>
              <w:bidi w:val="0"/>
              <w:spacing w:before="0" w:after="283"/>
              <w:jc w:val="left"/>
              <w:rPr>
                <w:sz w:val="4"/>
                <w:szCs w:val="4"/>
              </w:rPr>
            </w:pPr>
            <w:r>
              <w:rPr>
                <w:sz w:val="4"/>
                <w:szCs w:val="4"/>
              </w:rPr>
            </w:r>
          </w:p>
        </w:tc>
        <w:tc>
          <w:tcPr>
            <w:tcW w:w="1156" w:type="dxa"/>
            <w:tcBorders/>
            <w:vAlign w:val="center"/>
          </w:tcPr>
          <w:p>
            <w:pPr>
              <w:pStyle w:val="TableContents"/>
              <w:bidi w:val="0"/>
              <w:spacing w:before="0" w:after="283"/>
              <w:jc w:val="left"/>
              <w:rPr>
                <w:sz w:val="4"/>
                <w:szCs w:val="4"/>
              </w:rPr>
            </w:pPr>
            <w:r>
              <w:rPr>
                <w:sz w:val="4"/>
                <w:szCs w:val="4"/>
              </w:rPr>
            </w:r>
          </w:p>
        </w:tc>
        <w:tc>
          <w:tcPr>
            <w:tcW w:w="1169" w:type="dxa"/>
            <w:tcBorders/>
            <w:vAlign w:val="center"/>
          </w:tcPr>
          <w:p>
            <w:pPr>
              <w:pStyle w:val="TableContents"/>
              <w:bidi w:val="0"/>
              <w:spacing w:before="0" w:after="283"/>
              <w:jc w:val="left"/>
              <w:rPr>
                <w:sz w:val="4"/>
                <w:szCs w:val="4"/>
              </w:rPr>
            </w:pPr>
            <w:r>
              <w:rPr>
                <w:sz w:val="4"/>
                <w:szCs w:val="4"/>
              </w:rPr>
            </w:r>
          </w:p>
        </w:tc>
        <w:tc>
          <w:tcPr>
            <w:tcW w:w="261" w:type="dxa"/>
            <w:tcBorders/>
            <w:vAlign w:val="center"/>
          </w:tcPr>
          <w:p>
            <w:pPr>
              <w:pStyle w:val="TableContents"/>
              <w:bidi w:val="0"/>
              <w:spacing w:before="0" w:after="283"/>
              <w:jc w:val="left"/>
              <w:rPr>
                <w:sz w:val="4"/>
                <w:szCs w:val="4"/>
              </w:rPr>
            </w:pPr>
            <w:r>
              <w:rPr>
                <w:sz w:val="4"/>
                <w:szCs w:val="4"/>
              </w:rPr>
            </w:r>
          </w:p>
        </w:tc>
        <w:tc>
          <w:tcPr>
            <w:tcW w:w="924" w:type="dxa"/>
            <w:tcBorders/>
            <w:vAlign w:val="center"/>
          </w:tcPr>
          <w:p>
            <w:pPr>
              <w:pStyle w:val="TableContents"/>
              <w:bidi w:val="0"/>
              <w:spacing w:before="0" w:after="283"/>
              <w:jc w:val="left"/>
              <w:rPr>
                <w:sz w:val="4"/>
                <w:szCs w:val="4"/>
              </w:rPr>
            </w:pPr>
            <w:r>
              <w:rPr>
                <w:sz w:val="4"/>
                <w:szCs w:val="4"/>
              </w:rPr>
            </w:r>
          </w:p>
        </w:tc>
        <w:tc>
          <w:tcPr>
            <w:tcW w:w="331" w:type="dxa"/>
            <w:tcBorders/>
            <w:vAlign w:val="center"/>
          </w:tcPr>
          <w:p>
            <w:pPr>
              <w:pStyle w:val="TableContents"/>
              <w:bidi w:val="0"/>
              <w:spacing w:before="0" w:after="283"/>
              <w:jc w:val="left"/>
              <w:rPr>
                <w:sz w:val="4"/>
                <w:szCs w:val="4"/>
              </w:rPr>
            </w:pPr>
            <w:r>
              <w:rPr>
                <w:sz w:val="4"/>
                <w:szCs w:val="4"/>
              </w:rPr>
            </w:r>
          </w:p>
        </w:tc>
        <w:tc>
          <w:tcPr>
            <w:tcW w:w="126" w:type="dxa"/>
            <w:tcBorders/>
            <w:vAlign w:val="center"/>
          </w:tcPr>
          <w:p>
            <w:pPr>
              <w:pStyle w:val="TableContents"/>
              <w:bidi w:val="0"/>
              <w:spacing w:before="0" w:after="283"/>
              <w:jc w:val="left"/>
              <w:rPr>
                <w:sz w:val="4"/>
                <w:szCs w:val="4"/>
              </w:rPr>
            </w:pPr>
            <w:r>
              <w:rPr>
                <w:sz w:val="4"/>
                <w:szCs w:val="4"/>
              </w:rPr>
            </w:r>
          </w:p>
        </w:tc>
        <w:tc>
          <w:tcPr>
            <w:tcW w:w="126" w:type="dxa"/>
            <w:tcBorders/>
            <w:vAlign w:val="center"/>
          </w:tcPr>
          <w:p>
            <w:pPr>
              <w:pStyle w:val="TableContents"/>
              <w:bidi w:val="0"/>
              <w:spacing w:before="0" w:after="283"/>
              <w:jc w:val="left"/>
              <w:rPr>
                <w:sz w:val="4"/>
                <w:szCs w:val="4"/>
              </w:rPr>
            </w:pPr>
            <w:r>
              <w:rPr>
                <w:sz w:val="4"/>
                <w:szCs w:val="4"/>
              </w:rPr>
            </w:r>
          </w:p>
        </w:tc>
        <w:tc>
          <w:tcPr>
            <w:tcW w:w="126" w:type="dxa"/>
            <w:tcBorders/>
            <w:vAlign w:val="center"/>
          </w:tcPr>
          <w:p>
            <w:pPr>
              <w:pStyle w:val="TableContents"/>
              <w:bidi w:val="0"/>
              <w:spacing w:before="0" w:after="283"/>
              <w:jc w:val="left"/>
              <w:rPr>
                <w:sz w:val="4"/>
                <w:szCs w:val="4"/>
              </w:rPr>
            </w:pPr>
            <w:r>
              <w:rPr>
                <w:sz w:val="4"/>
                <w:szCs w:val="4"/>
              </w:rPr>
            </w:r>
          </w:p>
        </w:tc>
        <w:tc>
          <w:tcPr>
            <w:tcW w:w="261" w:type="dxa"/>
            <w:tcBorders/>
            <w:vAlign w:val="center"/>
          </w:tcPr>
          <w:p>
            <w:pPr>
              <w:pStyle w:val="TableContents"/>
              <w:bidi w:val="0"/>
              <w:spacing w:before="0" w:after="283"/>
              <w:jc w:val="left"/>
              <w:rPr>
                <w:sz w:val="4"/>
                <w:szCs w:val="4"/>
              </w:rPr>
            </w:pPr>
            <w:r>
              <w:rPr>
                <w:sz w:val="4"/>
                <w:szCs w:val="4"/>
              </w:rPr>
            </w:r>
          </w:p>
        </w:tc>
        <w:tc>
          <w:tcPr>
            <w:tcW w:w="924" w:type="dxa"/>
            <w:tcBorders/>
            <w:vAlign w:val="center"/>
          </w:tcPr>
          <w:p>
            <w:pPr>
              <w:pStyle w:val="TableContents"/>
              <w:bidi w:val="0"/>
              <w:spacing w:before="0" w:after="283"/>
              <w:jc w:val="left"/>
              <w:rPr>
                <w:sz w:val="4"/>
                <w:szCs w:val="4"/>
              </w:rPr>
            </w:pPr>
            <w:r>
              <w:rPr>
                <w:sz w:val="4"/>
                <w:szCs w:val="4"/>
              </w:rPr>
            </w:r>
          </w:p>
        </w:tc>
        <w:tc>
          <w:tcPr>
            <w:tcW w:w="383" w:type="dxa"/>
            <w:tcBorders/>
            <w:vAlign w:val="center"/>
          </w:tcPr>
          <w:p>
            <w:pPr>
              <w:pStyle w:val="TableContents"/>
              <w:bidi w:val="0"/>
              <w:spacing w:before="0" w:after="283"/>
              <w:jc w:val="left"/>
              <w:rPr>
                <w:sz w:val="4"/>
                <w:szCs w:val="4"/>
              </w:rPr>
            </w:pPr>
            <w:r>
              <w:rPr>
                <w:sz w:val="4"/>
                <w:szCs w:val="4"/>
              </w:rPr>
            </w:r>
          </w:p>
        </w:tc>
      </w:tr>
      <w:tr>
        <w:trPr/>
        <w:tc>
          <w:tcPr>
            <w:tcW w:w="3645" w:type="dxa"/>
            <w:gridSpan w:val="3"/>
            <w:tcBorders>
              <w:top w:val="single" w:sz="1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62" w:type="dxa"/>
            <w:gridSpan w:val="9"/>
            <w:tcBorders>
              <w:top w:val="single" w:sz="16"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Expensify Neue;sans-serif" w:hAnsi="Expensify Neue;sans-serif"/>
                <w:b/>
                <w:color w:val="000000"/>
                <w:sz w:val="16"/>
              </w:rPr>
            </w:pPr>
            <w:r>
              <w:rPr>
                <w:rFonts w:ascii="Expensify Neue;sans-serif" w:hAnsi="Expensify Neue;sans-serif"/>
                <w:b/>
                <w:color w:val="000000"/>
                <w:sz w:val="16"/>
              </w:rPr>
              <w:t>Three Months Ended March 31,</w:t>
            </w:r>
          </w:p>
        </w:tc>
      </w:tr>
      <w:tr>
        <w:trPr/>
        <w:tc>
          <w:tcPr>
            <w:tcW w:w="36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Expensify Neue;sans-serif" w:hAnsi="Expensify Neue;sans-serif"/>
                <w:b/>
                <w:color w:val="000000"/>
                <w:sz w:val="16"/>
              </w:rPr>
            </w:pPr>
            <w:r>
              <w:rPr>
                <w:rFonts w:ascii="Expensify Neue;sans-serif" w:hAnsi="Expensify Neue;sans-serif"/>
                <w:b/>
                <w:color w:val="000000"/>
                <w:sz w:val="16"/>
              </w:rPr>
              <w:t>2025</w:t>
            </w:r>
          </w:p>
        </w:tc>
        <w:tc>
          <w:tcPr>
            <w:tcW w:w="378"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68"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Expensify Neue;sans-serif" w:hAnsi="Expensify Neue;sans-serif"/>
                <w:b/>
                <w:color w:val="000000"/>
                <w:sz w:val="16"/>
              </w:rPr>
            </w:pPr>
            <w:r>
              <w:rPr>
                <w:rFonts w:ascii="Expensify Neue;sans-serif" w:hAnsi="Expensify Neue;sans-serif"/>
                <w:b/>
                <w:color w:val="000000"/>
                <w:sz w:val="16"/>
              </w:rPr>
              <w:t>2024</w:t>
            </w:r>
          </w:p>
        </w:tc>
      </w:tr>
      <w:tr>
        <w:trPr/>
        <w:tc>
          <w:tcPr>
            <w:tcW w:w="36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62"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Expensify Neue;sans-serif" w:hAnsi="Expensify Neue;sans-serif"/>
                <w:b/>
                <w:color w:val="000000"/>
                <w:sz w:val="16"/>
              </w:rPr>
            </w:pPr>
            <w:r>
              <w:rPr>
                <w:rFonts w:ascii="Expensify Neue;sans-serif" w:hAnsi="Expensify Neue;sans-serif"/>
                <w:b/>
                <w:color w:val="000000"/>
                <w:sz w:val="16"/>
              </w:rPr>
              <w:t>(in thousands, except percentages)</w:t>
            </w:r>
          </w:p>
        </w:tc>
      </w:tr>
      <w:tr>
        <w:trPr/>
        <w:tc>
          <w:tcPr>
            <w:tcW w:w="364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Expensify Neue;sans-serif" w:hAnsi="Expensify Neue;sans-serif"/>
                <w:b w:val="false"/>
                <w:color w:val="000000"/>
                <w:sz w:val="20"/>
              </w:rPr>
            </w:pPr>
            <w:r>
              <w:rPr>
                <w:rFonts w:ascii="Expensify Neue;sans-serif" w:hAnsi="Expensify Neue;sans-serif"/>
                <w:b w:val="false"/>
                <w:color w:val="000000"/>
                <w:sz w:val="20"/>
              </w:rPr>
              <w:t>Net loss</w:t>
            </w:r>
          </w:p>
        </w:tc>
        <w:tc>
          <w:tcPr>
            <w:tcW w:w="26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Expensify Neue;sans-serif" w:hAnsi="Expensify Neue;sans-serif"/>
                <w:b w:val="false"/>
                <w:color w:val="000000"/>
                <w:sz w:val="20"/>
              </w:rPr>
            </w:pPr>
            <w:r>
              <w:rPr>
                <w:rFonts w:ascii="Expensify Neue;sans-serif" w:hAnsi="Expensify Neue;sans-serif"/>
                <w:b w:val="false"/>
                <w:color w:val="000000"/>
                <w:sz w:val="20"/>
              </w:rPr>
              <w:t>$</w:t>
            </w:r>
          </w:p>
        </w:tc>
        <w:tc>
          <w:tcPr>
            <w:tcW w:w="924"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Expensify Neue;sans-serif" w:hAnsi="Expensify Neue;sans-serif"/>
                <w:b w:val="false"/>
                <w:color w:val="000000"/>
                <w:sz w:val="20"/>
              </w:rPr>
            </w:pPr>
            <w:r>
              <w:rPr>
                <w:rFonts w:ascii="Expensify Neue;sans-serif" w:hAnsi="Expensify Neue;sans-serif"/>
                <w:b w:val="false"/>
                <w:color w:val="000000"/>
                <w:sz w:val="20"/>
              </w:rPr>
              <w:t>(3,169)</w:t>
            </w:r>
          </w:p>
        </w:tc>
        <w:tc>
          <w:tcPr>
            <w:tcW w:w="33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Expensify Neue;sans-serif" w:hAnsi="Expensify Neue;sans-serif"/>
                <w:b w:val="false"/>
                <w:color w:val="000000"/>
                <w:sz w:val="20"/>
              </w:rPr>
            </w:pPr>
            <w:r>
              <w:rPr>
                <w:rFonts w:ascii="Expensify Neue;sans-serif" w:hAnsi="Expensify Neue;sans-serif"/>
                <w:b w:val="false"/>
                <w:color w:val="000000"/>
                <w:sz w:val="20"/>
              </w:rPr>
              <w:t>$</w:t>
            </w:r>
          </w:p>
        </w:tc>
        <w:tc>
          <w:tcPr>
            <w:tcW w:w="924"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Expensify Neue;sans-serif" w:hAnsi="Expensify Neue;sans-serif"/>
                <w:b w:val="false"/>
                <w:color w:val="000000"/>
                <w:sz w:val="20"/>
              </w:rPr>
            </w:pPr>
            <w:r>
              <w:rPr>
                <w:rFonts w:ascii="Expensify Neue;sans-serif" w:hAnsi="Expensify Neue;sans-serif"/>
                <w:b w:val="false"/>
                <w:color w:val="000000"/>
                <w:sz w:val="20"/>
              </w:rPr>
              <w:t>(3,781)</w:t>
            </w:r>
          </w:p>
        </w:tc>
        <w:tc>
          <w:tcPr>
            <w:tcW w:w="38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4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Expensify Neue;sans-serif" w:hAnsi="Expensify Neue;sans-serif"/>
                <w:b w:val="false"/>
                <w:color w:val="000000"/>
                <w:sz w:val="20"/>
              </w:rPr>
            </w:pPr>
            <w:r>
              <w:rPr>
                <w:rFonts w:ascii="Expensify Neue;sans-serif" w:hAnsi="Expensify Neue;sans-serif"/>
                <w:b w:val="false"/>
                <w:color w:val="000000"/>
                <w:sz w:val="20"/>
              </w:rPr>
              <w:t>Net loss margin</w:t>
            </w:r>
          </w:p>
        </w:tc>
        <w:tc>
          <w:tcPr>
            <w:tcW w:w="118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Expensify Neue;sans-serif" w:hAnsi="Expensify Neue;sans-serif"/>
                <w:b w:val="false"/>
                <w:color w:val="000000"/>
                <w:sz w:val="20"/>
              </w:rPr>
            </w:pPr>
            <w:r>
              <w:rPr>
                <w:rFonts w:ascii="Expensify Neue;sans-serif" w:hAnsi="Expensify Neue;sans-serif"/>
                <w:b w:val="false"/>
                <w:color w:val="000000"/>
                <w:sz w:val="20"/>
              </w:rPr>
              <w:t>(9)</w:t>
            </w:r>
          </w:p>
        </w:tc>
        <w:tc>
          <w:tcPr>
            <w:tcW w:w="33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Expensify Neue;sans-serif" w:hAnsi="Expensify Neue;sans-serif"/>
                <w:b w:val="false"/>
                <w:color w:val="000000"/>
                <w:sz w:val="20"/>
              </w:rPr>
            </w:pPr>
            <w:r>
              <w:rPr>
                <w:rFonts w:ascii="Expensify Neue;sans-serif" w:hAnsi="Expensify Neue;sans-serif"/>
                <w:b w:val="false"/>
                <w:color w:val="000000"/>
                <w:sz w:val="20"/>
              </w:rPr>
              <w:t>%</w:t>
            </w:r>
          </w:p>
        </w:tc>
        <w:tc>
          <w:tcPr>
            <w:tcW w:w="37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Expensify Neue;sans-serif" w:hAnsi="Expensify Neue;sans-serif"/>
                <w:b w:val="false"/>
                <w:color w:val="000000"/>
                <w:sz w:val="20"/>
              </w:rPr>
            </w:pPr>
            <w:r>
              <w:rPr>
                <w:rFonts w:ascii="Expensify Neue;sans-serif" w:hAnsi="Expensify Neue;sans-serif"/>
                <w:b w:val="false"/>
                <w:color w:val="000000"/>
                <w:sz w:val="20"/>
              </w:rPr>
              <w:t>(11)</w:t>
            </w:r>
          </w:p>
        </w:tc>
        <w:tc>
          <w:tcPr>
            <w:tcW w:w="38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Expensify Neue;sans-serif" w:hAnsi="Expensify Neue;sans-serif"/>
                <w:b w:val="false"/>
                <w:color w:val="000000"/>
                <w:sz w:val="20"/>
              </w:rPr>
            </w:pPr>
            <w:r>
              <w:rPr>
                <w:rFonts w:ascii="Expensify Neue;sans-serif" w:hAnsi="Expensify Neue;sans-serif"/>
                <w:b w:val="false"/>
                <w:color w:val="000000"/>
                <w:sz w:val="20"/>
              </w:rPr>
              <w:t>%</w:t>
            </w:r>
          </w:p>
        </w:tc>
      </w:tr>
      <w:tr>
        <w:trPr/>
        <w:tc>
          <w:tcPr>
            <w:tcW w:w="364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Expensify Neue;sans-serif" w:hAnsi="Expensify Neue;sans-serif"/>
                <w:b w:val="false"/>
                <w:color w:val="000000"/>
                <w:sz w:val="20"/>
              </w:rPr>
            </w:pPr>
            <w:r>
              <w:rPr>
                <w:rFonts w:ascii="Expensify Neue;sans-serif" w:hAnsi="Expensify Neue;sans-serif"/>
                <w:b w:val="false"/>
                <w:color w:val="000000"/>
                <w:sz w:val="20"/>
              </w:rPr>
              <w:t>Add:</w:t>
            </w:r>
          </w:p>
        </w:tc>
        <w:tc>
          <w:tcPr>
            <w:tcW w:w="151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6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4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Expensify Neue;sans-serif" w:hAnsi="Expensify Neue;sans-serif"/>
                <w:b w:val="false"/>
                <w:color w:val="000000"/>
                <w:sz w:val="20"/>
              </w:rPr>
            </w:pPr>
            <w:r>
              <w:rPr>
                <w:rFonts w:ascii="Expensify Neue;sans-serif" w:hAnsi="Expensify Neue;sans-serif"/>
                <w:b w:val="false"/>
                <w:color w:val="000000"/>
                <w:sz w:val="20"/>
              </w:rPr>
              <w:t>Stock-based compensation expense</w:t>
            </w:r>
          </w:p>
        </w:tc>
        <w:tc>
          <w:tcPr>
            <w:tcW w:w="118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Expensify Neue;sans-serif" w:hAnsi="Expensify Neue;sans-serif"/>
                <w:b w:val="false"/>
                <w:color w:val="000000"/>
                <w:sz w:val="20"/>
              </w:rPr>
            </w:pPr>
            <w:r>
              <w:rPr>
                <w:rFonts w:ascii="Expensify Neue;sans-serif" w:hAnsi="Expensify Neue;sans-serif"/>
                <w:b w:val="false"/>
                <w:color w:val="000000"/>
                <w:sz w:val="20"/>
              </w:rPr>
              <w:t>7,990 </w:t>
            </w:r>
          </w:p>
        </w:tc>
        <w:tc>
          <w:tcPr>
            <w:tcW w:w="3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Expensify Neue;sans-serif" w:hAnsi="Expensify Neue;sans-serif"/>
                <w:b w:val="false"/>
                <w:color w:val="000000"/>
                <w:sz w:val="20"/>
              </w:rPr>
            </w:pPr>
            <w:r>
              <w:rPr>
                <w:rFonts w:ascii="Expensify Neue;sans-serif" w:hAnsi="Expensify Neue;sans-serif"/>
                <w:b w:val="false"/>
                <w:color w:val="000000"/>
                <w:sz w:val="20"/>
              </w:rPr>
              <w:t>7,524 </w:t>
            </w:r>
          </w:p>
        </w:tc>
        <w:tc>
          <w:tcPr>
            <w:tcW w:w="38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4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Expensify Neue;sans-serif" w:hAnsi="Expensify Neue;sans-serif"/>
                <w:b w:val="false"/>
                <w:color w:val="000000"/>
                <w:sz w:val="20"/>
              </w:rPr>
            </w:pPr>
            <w:r>
              <w:rPr>
                <w:rFonts w:ascii="Expensify Neue;sans-serif" w:hAnsi="Expensify Neue;sans-serif"/>
                <w:b w:val="false"/>
                <w:color w:val="000000"/>
                <w:sz w:val="20"/>
              </w:rPr>
              <w:t>Non-GAAP net income</w:t>
            </w:r>
          </w:p>
        </w:tc>
        <w:tc>
          <w:tcPr>
            <w:tcW w:w="26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Expensify Neue;sans-serif" w:hAnsi="Expensify Neue;sans-serif"/>
                <w:b w:val="false"/>
                <w:color w:val="000000"/>
                <w:sz w:val="20"/>
              </w:rPr>
            </w:pPr>
            <w:r>
              <w:rPr>
                <w:rFonts w:ascii="Expensify Neue;sans-serif" w:hAnsi="Expensify Neue;sans-serif"/>
                <w:b w:val="false"/>
                <w:color w:val="000000"/>
                <w:sz w:val="20"/>
              </w:rPr>
              <w:t>$</w:t>
            </w:r>
          </w:p>
        </w:tc>
        <w:tc>
          <w:tcPr>
            <w:tcW w:w="92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Expensify Neue;sans-serif" w:hAnsi="Expensify Neue;sans-serif"/>
                <w:b w:val="false"/>
                <w:color w:val="000000"/>
                <w:sz w:val="20"/>
              </w:rPr>
            </w:pPr>
            <w:r>
              <w:rPr>
                <w:rFonts w:ascii="Expensify Neue;sans-serif" w:hAnsi="Expensify Neue;sans-serif"/>
                <w:b w:val="false"/>
                <w:color w:val="000000"/>
                <w:sz w:val="20"/>
              </w:rPr>
              <w:t>4,821 </w:t>
            </w:r>
          </w:p>
        </w:tc>
        <w:tc>
          <w:tcPr>
            <w:tcW w:w="33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Expensify Neue;sans-serif" w:hAnsi="Expensify Neue;sans-serif"/>
                <w:b w:val="false"/>
                <w:color w:val="000000"/>
                <w:sz w:val="20"/>
              </w:rPr>
            </w:pPr>
            <w:r>
              <w:rPr>
                <w:rFonts w:ascii="Expensify Neue;sans-serif" w:hAnsi="Expensify Neue;sans-serif"/>
                <w:b w:val="false"/>
                <w:color w:val="000000"/>
                <w:sz w:val="20"/>
              </w:rPr>
              <w:t>$</w:t>
            </w:r>
          </w:p>
        </w:tc>
        <w:tc>
          <w:tcPr>
            <w:tcW w:w="92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Expensify Neue;sans-serif" w:hAnsi="Expensify Neue;sans-serif"/>
                <w:b w:val="false"/>
                <w:color w:val="000000"/>
                <w:sz w:val="20"/>
              </w:rPr>
            </w:pPr>
            <w:r>
              <w:rPr>
                <w:rFonts w:ascii="Expensify Neue;sans-serif" w:hAnsi="Expensify Neue;sans-serif"/>
                <w:b w:val="false"/>
                <w:color w:val="000000"/>
                <w:sz w:val="20"/>
              </w:rPr>
              <w:t>3,743 </w:t>
            </w:r>
          </w:p>
        </w:tc>
        <w:tc>
          <w:tcPr>
            <w:tcW w:w="38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4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Expensify Neue;sans-serif" w:hAnsi="Expensify Neue;sans-serif"/>
                <w:b w:val="false"/>
                <w:color w:val="000000"/>
                <w:sz w:val="20"/>
              </w:rPr>
            </w:pPr>
            <w:r>
              <w:rPr>
                <w:rFonts w:ascii="Expensify Neue;sans-serif" w:hAnsi="Expensify Neue;sans-serif"/>
                <w:b w:val="false"/>
                <w:color w:val="000000"/>
                <w:sz w:val="20"/>
              </w:rPr>
              <w:t>Non-GAAP net income margin</w:t>
            </w:r>
          </w:p>
        </w:tc>
        <w:tc>
          <w:tcPr>
            <w:tcW w:w="1185" w:type="dxa"/>
            <w:gridSpan w:val="2"/>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Expensify Neue;sans-serif" w:hAnsi="Expensify Neue;sans-serif"/>
                <w:b w:val="false"/>
                <w:color w:val="000000"/>
                <w:sz w:val="20"/>
              </w:rPr>
            </w:pPr>
            <w:r>
              <w:rPr>
                <w:rFonts w:ascii="Expensify Neue;sans-serif" w:hAnsi="Expensify Neue;sans-serif"/>
                <w:b w:val="false"/>
                <w:color w:val="000000"/>
                <w:sz w:val="20"/>
              </w:rPr>
              <w:t>13 </w:t>
            </w:r>
          </w:p>
        </w:tc>
        <w:tc>
          <w:tcPr>
            <w:tcW w:w="331"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Expensify Neue;sans-serif" w:hAnsi="Expensify Neue;sans-serif"/>
                <w:b w:val="false"/>
                <w:color w:val="000000"/>
                <w:sz w:val="20"/>
              </w:rPr>
            </w:pPr>
            <w:r>
              <w:rPr>
                <w:rFonts w:ascii="Expensify Neue;sans-serif" w:hAnsi="Expensify Neue;sans-serif"/>
                <w:b w:val="false"/>
                <w:color w:val="000000"/>
                <w:sz w:val="20"/>
              </w:rPr>
              <w:t>%</w:t>
            </w:r>
          </w:p>
        </w:tc>
        <w:tc>
          <w:tcPr>
            <w:tcW w:w="37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5" w:type="dxa"/>
            <w:gridSpan w:val="2"/>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Expensify Neue;sans-serif" w:hAnsi="Expensify Neue;sans-serif"/>
                <w:b w:val="false"/>
                <w:color w:val="000000"/>
                <w:sz w:val="20"/>
              </w:rPr>
            </w:pPr>
            <w:r>
              <w:rPr>
                <w:rFonts w:ascii="Expensify Neue;sans-serif" w:hAnsi="Expensify Neue;sans-serif"/>
                <w:b w:val="false"/>
                <w:color w:val="000000"/>
                <w:sz w:val="20"/>
              </w:rPr>
              <w:t>11 </w:t>
            </w:r>
          </w:p>
        </w:tc>
        <w:tc>
          <w:tcPr>
            <w:tcW w:w="383"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Expensify Neue;sans-serif" w:hAnsi="Expensify Neue;sans-serif"/>
                <w:b w:val="false"/>
                <w:color w:val="000000"/>
                <w:sz w:val="20"/>
              </w:rPr>
            </w:pPr>
            <w:r>
              <w:rPr>
                <w:rFonts w:ascii="Expensify Neue;sans-serif" w:hAnsi="Expensify Neue;sans-serif"/>
                <w:b w:val="false"/>
                <w:color w:val="000000"/>
                <w:sz w:val="20"/>
              </w:rPr>
              <w:t>%</w:t>
            </w:r>
          </w:p>
        </w:tc>
      </w:tr>
      <w:tr>
        <w:trPr/>
        <w:tc>
          <w:tcPr>
            <w:tcW w:w="3645"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516"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78"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568"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9">
                <wp:simplePos x="0" y="0"/>
                <wp:positionH relativeFrom="character">
                  <wp:align>left</wp:align>
                </wp:positionH>
                <wp:positionV relativeFrom="line">
                  <wp:posOffset>635</wp:posOffset>
                </wp:positionV>
                <wp:extent cx="6480175" cy="599440"/>
                <wp:effectExtent l="0" t="0" r="0" b="0"/>
                <wp:wrapNone/>
                <wp:docPr id="38" name="Frame37"/>
                <a:graphic xmlns:a="http://schemas.openxmlformats.org/drawingml/2006/main">
                  <a:graphicData uri="http://schemas.microsoft.com/office/word/2010/wordprocessingShape">
                    <wps:wsp>
                      <wps:cNvSpPr txBox="1"/>
                      <wps:spPr>
                        <a:xfrm>
                          <a:off x="0" y="0"/>
                          <a:ext cx="6480175" cy="599440"/>
                        </a:xfrm>
                        <a:prstGeom prst="rect"/>
                        <a:solidFill>
                          <a:srgbClr val="FFFFFF"/>
                        </a:solidFill>
                      </wps:spPr>
                      <wps:txbx>
                        <w:txbxContent>
                          <w:tbl>
                            <w:tblPr>
                              <w:tblW w:w="406" w:type="dxa"/>
                              <w:jc w:val="center"/>
                              <w:tblInd w:w="0" w:type="dxa"/>
                              <w:tblLayout w:type="fixed"/>
                              <w:tblCellMar>
                                <w:top w:w="28" w:type="dxa"/>
                                <w:left w:w="28" w:type="dxa"/>
                                <w:bottom w:w="28" w:type="dxa"/>
                                <w:right w:w="28" w:type="dxa"/>
                              </w:tblCellMar>
                            </w:tblPr>
                            <w:tblGrid>
                              <w:gridCol w:w="130"/>
                              <w:gridCol w:w="114"/>
                              <w:gridCol w:w="162"/>
                            </w:tblGrid>
                            <w:tr>
                              <w:trPr/>
                              <w:tc>
                                <w:tcPr>
                                  <w:tcW w:w="130"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rPr/>
                              <w:tc>
                                <w:tcPr>
                                  <w:tcW w:w="406"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0"/>
                                    <w:jc w:val="center"/>
                                    <w:rPr>
                                      <w:rFonts w:ascii="Expensify Neue;sans-serif" w:hAnsi="Expensify Neue;sans-serif"/>
                                      <w:b w:val="false"/>
                                      <w:color w:val="000000"/>
                                      <w:sz w:val="20"/>
                                    </w:rPr>
                                  </w:pPr>
                                  <w:r>
                                    <w:rPr>
                                      <w:rFonts w:ascii="Expensify Neue;sans-serif" w:hAnsi="Expensify Neue;sans-serif"/>
                                      <w:b w:val="false"/>
                                      <w:color w:val="000000"/>
                                      <w:sz w:val="20"/>
                                    </w:rPr>
                                    <w:t>32</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7.2pt;mso-wrap-distance-left:0pt;mso-wrap-distance-right:0pt;mso-wrap-distance-top:0pt;mso-wrap-distance-bottom:0pt;margin-top:0pt;mso-position-vertical:top;mso-position-vertical-relative:text;margin-left:0pt;mso-position-horizontal:left;mso-position-horizontal-relative:text">
                <v:textbox>
                  <w:txbxContent>
                    <w:tbl>
                      <w:tblPr>
                        <w:tblW w:w="406" w:type="dxa"/>
                        <w:jc w:val="center"/>
                        <w:tblInd w:w="0" w:type="dxa"/>
                        <w:tblLayout w:type="fixed"/>
                        <w:tblCellMar>
                          <w:top w:w="28" w:type="dxa"/>
                          <w:left w:w="28" w:type="dxa"/>
                          <w:bottom w:w="28" w:type="dxa"/>
                          <w:right w:w="28" w:type="dxa"/>
                        </w:tblCellMar>
                      </w:tblPr>
                      <w:tblGrid>
                        <w:gridCol w:w="130"/>
                        <w:gridCol w:w="114"/>
                        <w:gridCol w:w="162"/>
                      </w:tblGrid>
                      <w:tr>
                        <w:trPr/>
                        <w:tc>
                          <w:tcPr>
                            <w:tcW w:w="130"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rPr/>
                        <w:tc>
                          <w:tcPr>
                            <w:tcW w:w="406"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0"/>
                              <w:jc w:val="center"/>
                              <w:rPr>
                                <w:rFonts w:ascii="Expensify Neue;sans-serif" w:hAnsi="Expensify Neue;sans-serif"/>
                                <w:b w:val="false"/>
                                <w:color w:val="000000"/>
                                <w:sz w:val="20"/>
                              </w:rPr>
                            </w:pPr>
                            <w:r>
                              <w:rPr>
                                <w:rFonts w:ascii="Expensify Neue;sans-serif" w:hAnsi="Expensify Neue;sans-serif"/>
                                <w:b w:val="false"/>
                                <w:color w:val="000000"/>
                                <w:sz w:val="20"/>
                              </w:rPr>
                              <w:t>32</w:t>
                            </w:r>
                          </w:p>
                        </w:tc>
                      </w:tr>
                    </w:tbl>
                    <w:p>
                      <w:pPr>
                        <w:pStyle w:val="TextBody"/>
                        <w:bidi w:val="0"/>
                        <w:spacing w:before="0" w:after="283"/>
                        <w:jc w:val="left"/>
                        <w:rPr/>
                      </w:pPr>
                      <w:r>
                        <w:rPr/>
                      </w:r>
                    </w:p>
                  </w:txbxContent>
                </v:textbox>
                <w10:wrap type="none"/>
              </v:rect>
            </w:pict>
          </mc:Fallback>
        </mc:AlternateContent>
      </w:r>
    </w:p>
    <w:p>
      <w:pPr>
        <w:pStyle w:val="TextBody"/>
        <w:bidi w:val="0"/>
        <w:spacing w:lineRule="auto" w:line="288" w:before="0" w:after="160"/>
        <w:jc w:val="left"/>
        <w:rPr/>
      </w:pPr>
      <w:hyperlink w:anchor="i52a648c4f0e449f7bc3c2044827c8f0d_7">
        <w:r>
          <w:rPr>
            <w:rStyle w:val="InternetLink"/>
            <w:rFonts w:ascii="Expensify Neue;sans-serif" w:hAnsi="Expensify Neue;sans-serif"/>
            <w:b/>
            <w:color w:val="0000FF"/>
            <w:sz w:val="20"/>
            <w:u w:val="single"/>
          </w:rPr>
          <w:t>Table of Contents</w:t>
        </w:r>
      </w:hyperlink>
    </w:p>
    <w:p>
      <w:pPr>
        <w:pStyle w:val="TextBody"/>
        <w:bidi w:val="0"/>
        <w:spacing w:lineRule="auto" w:line="288" w:before="0" w:after="160"/>
        <w:jc w:val="left"/>
        <w:rPr>
          <w:rFonts w:ascii="Expensify Neue;sans-serif" w:hAnsi="Expensify Neue;sans-serif"/>
          <w:b w:val="false"/>
          <w:i/>
          <w:color w:val="000000"/>
          <w:sz w:val="20"/>
        </w:rPr>
      </w:pPr>
      <w:r>
        <w:rPr>
          <w:rFonts w:ascii="Expensify Neue;sans-serif" w:hAnsi="Expensify Neue;sans-serif"/>
          <w:b w:val="false"/>
          <w:i/>
          <w:color w:val="000000"/>
          <w:sz w:val="20"/>
        </w:rPr>
        <w:t>Free Cash Flow and Free Cash Flow Margin</w:t>
      </w:r>
    </w:p>
    <w:tbl>
      <w:tblPr>
        <w:tblW w:w="8983" w:type="dxa"/>
        <w:jc w:val="left"/>
        <w:tblInd w:w="0" w:type="dxa"/>
        <w:tblLayout w:type="fixed"/>
        <w:tblCellMar>
          <w:top w:w="28" w:type="dxa"/>
          <w:left w:w="28" w:type="dxa"/>
          <w:bottom w:w="28" w:type="dxa"/>
          <w:right w:w="28" w:type="dxa"/>
        </w:tblCellMar>
      </w:tblPr>
      <w:tblGrid>
        <w:gridCol w:w="2002"/>
        <w:gridCol w:w="1754"/>
        <w:gridCol w:w="1764"/>
        <w:gridCol w:w="278"/>
        <w:gridCol w:w="872"/>
        <w:gridCol w:w="353"/>
        <w:gridCol w:w="134"/>
        <w:gridCol w:w="134"/>
        <w:gridCol w:w="134"/>
        <w:gridCol w:w="278"/>
        <w:gridCol w:w="872"/>
        <w:gridCol w:w="408"/>
      </w:tblGrid>
      <w:tr>
        <w:trPr/>
        <w:tc>
          <w:tcPr>
            <w:tcW w:w="2002" w:type="dxa"/>
            <w:tcBorders/>
            <w:vAlign w:val="center"/>
          </w:tcPr>
          <w:p>
            <w:pPr>
              <w:pStyle w:val="TableContents"/>
              <w:bidi w:val="0"/>
              <w:spacing w:before="0" w:after="283"/>
              <w:jc w:val="left"/>
              <w:rPr>
                <w:sz w:val="4"/>
                <w:szCs w:val="4"/>
              </w:rPr>
            </w:pPr>
            <w:r>
              <w:rPr>
                <w:sz w:val="4"/>
                <w:szCs w:val="4"/>
              </w:rPr>
            </w:r>
          </w:p>
        </w:tc>
        <w:tc>
          <w:tcPr>
            <w:tcW w:w="1754" w:type="dxa"/>
            <w:tcBorders/>
            <w:vAlign w:val="center"/>
          </w:tcPr>
          <w:p>
            <w:pPr>
              <w:pStyle w:val="TableContents"/>
              <w:bidi w:val="0"/>
              <w:spacing w:before="0" w:after="283"/>
              <w:jc w:val="left"/>
              <w:rPr>
                <w:sz w:val="4"/>
                <w:szCs w:val="4"/>
              </w:rPr>
            </w:pPr>
            <w:r>
              <w:rPr>
                <w:sz w:val="4"/>
                <w:szCs w:val="4"/>
              </w:rPr>
            </w:r>
          </w:p>
        </w:tc>
        <w:tc>
          <w:tcPr>
            <w:tcW w:w="1764" w:type="dxa"/>
            <w:tcBorders/>
            <w:vAlign w:val="center"/>
          </w:tcPr>
          <w:p>
            <w:pPr>
              <w:pStyle w:val="TableContents"/>
              <w:bidi w:val="0"/>
              <w:spacing w:before="0" w:after="283"/>
              <w:jc w:val="left"/>
              <w:rPr>
                <w:sz w:val="4"/>
                <w:szCs w:val="4"/>
              </w:rPr>
            </w:pPr>
            <w:r>
              <w:rPr>
                <w:sz w:val="4"/>
                <w:szCs w:val="4"/>
              </w:rPr>
            </w:r>
          </w:p>
        </w:tc>
        <w:tc>
          <w:tcPr>
            <w:tcW w:w="278" w:type="dxa"/>
            <w:tcBorders/>
            <w:vAlign w:val="center"/>
          </w:tcPr>
          <w:p>
            <w:pPr>
              <w:pStyle w:val="TableContents"/>
              <w:bidi w:val="0"/>
              <w:spacing w:before="0" w:after="283"/>
              <w:jc w:val="left"/>
              <w:rPr>
                <w:sz w:val="4"/>
                <w:szCs w:val="4"/>
              </w:rPr>
            </w:pPr>
            <w:r>
              <w:rPr>
                <w:sz w:val="4"/>
                <w:szCs w:val="4"/>
              </w:rPr>
            </w:r>
          </w:p>
        </w:tc>
        <w:tc>
          <w:tcPr>
            <w:tcW w:w="872" w:type="dxa"/>
            <w:tcBorders/>
            <w:vAlign w:val="center"/>
          </w:tcPr>
          <w:p>
            <w:pPr>
              <w:pStyle w:val="TableContents"/>
              <w:bidi w:val="0"/>
              <w:spacing w:before="0" w:after="283"/>
              <w:jc w:val="left"/>
              <w:rPr>
                <w:sz w:val="4"/>
                <w:szCs w:val="4"/>
              </w:rPr>
            </w:pPr>
            <w:r>
              <w:rPr>
                <w:sz w:val="4"/>
                <w:szCs w:val="4"/>
              </w:rPr>
            </w:r>
          </w:p>
        </w:tc>
        <w:tc>
          <w:tcPr>
            <w:tcW w:w="353"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278" w:type="dxa"/>
            <w:tcBorders/>
            <w:vAlign w:val="center"/>
          </w:tcPr>
          <w:p>
            <w:pPr>
              <w:pStyle w:val="TableContents"/>
              <w:bidi w:val="0"/>
              <w:spacing w:before="0" w:after="283"/>
              <w:jc w:val="left"/>
              <w:rPr>
                <w:sz w:val="4"/>
                <w:szCs w:val="4"/>
              </w:rPr>
            </w:pPr>
            <w:r>
              <w:rPr>
                <w:sz w:val="4"/>
                <w:szCs w:val="4"/>
              </w:rPr>
            </w:r>
          </w:p>
        </w:tc>
        <w:tc>
          <w:tcPr>
            <w:tcW w:w="872" w:type="dxa"/>
            <w:tcBorders/>
            <w:vAlign w:val="center"/>
          </w:tcPr>
          <w:p>
            <w:pPr>
              <w:pStyle w:val="TableContents"/>
              <w:bidi w:val="0"/>
              <w:spacing w:before="0" w:after="283"/>
              <w:jc w:val="left"/>
              <w:rPr>
                <w:sz w:val="4"/>
                <w:szCs w:val="4"/>
              </w:rPr>
            </w:pPr>
            <w:r>
              <w:rPr>
                <w:sz w:val="4"/>
                <w:szCs w:val="4"/>
              </w:rPr>
            </w:r>
          </w:p>
        </w:tc>
        <w:tc>
          <w:tcPr>
            <w:tcW w:w="408" w:type="dxa"/>
            <w:tcBorders/>
            <w:vAlign w:val="center"/>
          </w:tcPr>
          <w:p>
            <w:pPr>
              <w:pStyle w:val="TableContents"/>
              <w:bidi w:val="0"/>
              <w:spacing w:before="0" w:after="283"/>
              <w:jc w:val="left"/>
              <w:rPr>
                <w:sz w:val="4"/>
                <w:szCs w:val="4"/>
              </w:rPr>
            </w:pPr>
            <w:r>
              <w:rPr>
                <w:sz w:val="4"/>
                <w:szCs w:val="4"/>
              </w:rPr>
            </w:r>
          </w:p>
        </w:tc>
      </w:tr>
      <w:tr>
        <w:trPr/>
        <w:tc>
          <w:tcPr>
            <w:tcW w:w="5520" w:type="dxa"/>
            <w:gridSpan w:val="3"/>
            <w:tcBorders>
              <w:top w:val="single" w:sz="1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63" w:type="dxa"/>
            <w:gridSpan w:val="9"/>
            <w:tcBorders>
              <w:top w:val="single" w:sz="16"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Expensify Neue;sans-serif" w:hAnsi="Expensify Neue;sans-serif"/>
                <w:b/>
                <w:color w:val="000000"/>
                <w:sz w:val="16"/>
              </w:rPr>
            </w:pPr>
            <w:r>
              <w:rPr>
                <w:rFonts w:ascii="Expensify Neue;sans-serif" w:hAnsi="Expensify Neue;sans-serif"/>
                <w:b/>
                <w:color w:val="000000"/>
                <w:sz w:val="16"/>
              </w:rPr>
              <w:t>Three Months Ended March 31,</w:t>
            </w:r>
          </w:p>
        </w:tc>
      </w:tr>
      <w:tr>
        <w:trPr/>
        <w:tc>
          <w:tcPr>
            <w:tcW w:w="552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Expensify Neue;sans-serif" w:hAnsi="Expensify Neue;sans-serif"/>
                <w:b/>
                <w:color w:val="000000"/>
                <w:sz w:val="16"/>
              </w:rPr>
            </w:pPr>
            <w:r>
              <w:rPr>
                <w:rFonts w:ascii="Expensify Neue;sans-serif" w:hAnsi="Expensify Neue;sans-serif"/>
                <w:b/>
                <w:color w:val="000000"/>
                <w:sz w:val="16"/>
              </w:rPr>
              <w:t>2025</w:t>
            </w:r>
          </w:p>
        </w:tc>
        <w:tc>
          <w:tcPr>
            <w:tcW w:w="402"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58"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Expensify Neue;sans-serif" w:hAnsi="Expensify Neue;sans-serif"/>
                <w:b/>
                <w:color w:val="000000"/>
                <w:sz w:val="16"/>
              </w:rPr>
            </w:pPr>
            <w:r>
              <w:rPr>
                <w:rFonts w:ascii="Expensify Neue;sans-serif" w:hAnsi="Expensify Neue;sans-serif"/>
                <w:b/>
                <w:color w:val="000000"/>
                <w:sz w:val="16"/>
              </w:rPr>
              <w:t>2024</w:t>
            </w:r>
          </w:p>
        </w:tc>
      </w:tr>
      <w:tr>
        <w:trPr/>
        <w:tc>
          <w:tcPr>
            <w:tcW w:w="552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63"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Expensify Neue;sans-serif" w:hAnsi="Expensify Neue;sans-serif"/>
                <w:b/>
                <w:color w:val="000000"/>
                <w:sz w:val="16"/>
              </w:rPr>
            </w:pPr>
            <w:r>
              <w:rPr>
                <w:rFonts w:ascii="Expensify Neue;sans-serif" w:hAnsi="Expensify Neue;sans-serif"/>
                <w:b/>
                <w:color w:val="000000"/>
                <w:sz w:val="16"/>
              </w:rPr>
              <w:t>(in thousands, except percentages)</w:t>
            </w:r>
          </w:p>
        </w:tc>
      </w:tr>
      <w:tr>
        <w:trPr/>
        <w:tc>
          <w:tcPr>
            <w:tcW w:w="552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Expensify Neue;sans-serif" w:hAnsi="Expensify Neue;sans-serif"/>
                <w:b w:val="false"/>
                <w:color w:val="000000"/>
                <w:sz w:val="20"/>
              </w:rPr>
            </w:pPr>
            <w:r>
              <w:rPr>
                <w:rFonts w:ascii="Expensify Neue;sans-serif" w:hAnsi="Expensify Neue;sans-serif"/>
                <w:b w:val="false"/>
                <w:color w:val="000000"/>
                <w:sz w:val="20"/>
              </w:rPr>
              <w:t>Net cash provided by operating activities</w:t>
            </w:r>
          </w:p>
        </w:tc>
        <w:tc>
          <w:tcPr>
            <w:tcW w:w="278"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Expensify Neue;sans-serif" w:hAnsi="Expensify Neue;sans-serif"/>
                <w:b w:val="false"/>
                <w:color w:val="000000"/>
                <w:sz w:val="20"/>
              </w:rPr>
            </w:pPr>
            <w:r>
              <w:rPr>
                <w:rFonts w:ascii="Expensify Neue;sans-serif" w:hAnsi="Expensify Neue;sans-serif"/>
                <w:b w:val="false"/>
                <w:color w:val="000000"/>
                <w:sz w:val="20"/>
              </w:rPr>
              <w:t>$</w:t>
            </w:r>
          </w:p>
        </w:tc>
        <w:tc>
          <w:tcPr>
            <w:tcW w:w="87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Expensify Neue;sans-serif" w:hAnsi="Expensify Neue;sans-serif"/>
                <w:b w:val="false"/>
                <w:color w:val="000000"/>
                <w:sz w:val="20"/>
              </w:rPr>
            </w:pPr>
            <w:r>
              <w:rPr>
                <w:rFonts w:ascii="Expensify Neue;sans-serif" w:hAnsi="Expensify Neue;sans-serif"/>
                <w:b w:val="false"/>
                <w:color w:val="000000"/>
                <w:sz w:val="20"/>
              </w:rPr>
              <w:t>4,805 </w:t>
            </w:r>
          </w:p>
        </w:tc>
        <w:tc>
          <w:tcPr>
            <w:tcW w:w="35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8"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Expensify Neue;sans-serif" w:hAnsi="Expensify Neue;sans-serif"/>
                <w:b w:val="false"/>
                <w:color w:val="000000"/>
                <w:sz w:val="20"/>
              </w:rPr>
            </w:pPr>
            <w:r>
              <w:rPr>
                <w:rFonts w:ascii="Expensify Neue;sans-serif" w:hAnsi="Expensify Neue;sans-serif"/>
                <w:b w:val="false"/>
                <w:color w:val="000000"/>
                <w:sz w:val="20"/>
              </w:rPr>
              <w:t>$</w:t>
            </w:r>
          </w:p>
        </w:tc>
        <w:tc>
          <w:tcPr>
            <w:tcW w:w="87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Expensify Neue;sans-serif" w:hAnsi="Expensify Neue;sans-serif"/>
                <w:b w:val="false"/>
                <w:color w:val="000000"/>
                <w:sz w:val="20"/>
              </w:rPr>
            </w:pPr>
            <w:r>
              <w:rPr>
                <w:rFonts w:ascii="Expensify Neue;sans-serif" w:hAnsi="Expensify Neue;sans-serif"/>
                <w:b w:val="false"/>
                <w:color w:val="000000"/>
                <w:sz w:val="20"/>
              </w:rPr>
              <w:t>3,471 </w:t>
            </w:r>
          </w:p>
        </w:tc>
        <w:tc>
          <w:tcPr>
            <w:tcW w:w="40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2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Expensify Neue;sans-serif" w:hAnsi="Expensify Neue;sans-serif"/>
                <w:b w:val="false"/>
                <w:color w:val="000000"/>
                <w:sz w:val="20"/>
              </w:rPr>
            </w:pPr>
            <w:r>
              <w:rPr>
                <w:rFonts w:ascii="Expensify Neue;sans-serif" w:hAnsi="Expensify Neue;sans-serif"/>
                <w:b w:val="false"/>
                <w:color w:val="000000"/>
                <w:sz w:val="20"/>
              </w:rPr>
              <w:t>Operating cash flow margin</w:t>
            </w:r>
          </w:p>
        </w:tc>
        <w:tc>
          <w:tcPr>
            <w:tcW w:w="115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Expensify Neue;sans-serif" w:hAnsi="Expensify Neue;sans-serif"/>
                <w:b w:val="false"/>
                <w:color w:val="000000"/>
                <w:sz w:val="20"/>
              </w:rPr>
            </w:pPr>
            <w:r>
              <w:rPr>
                <w:rFonts w:ascii="Expensify Neue;sans-serif" w:hAnsi="Expensify Neue;sans-serif"/>
                <w:b w:val="false"/>
                <w:color w:val="000000"/>
                <w:sz w:val="20"/>
              </w:rPr>
              <w:t>13 </w:t>
            </w:r>
          </w:p>
        </w:tc>
        <w:tc>
          <w:tcPr>
            <w:tcW w:w="35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Expensify Neue;sans-serif" w:hAnsi="Expensify Neue;sans-serif"/>
                <w:b w:val="false"/>
                <w:color w:val="000000"/>
                <w:sz w:val="20"/>
              </w:rPr>
            </w:pPr>
            <w:r>
              <w:rPr>
                <w:rFonts w:ascii="Expensify Neue;sans-serif" w:hAnsi="Expensify Neue;sans-serif"/>
                <w:b w:val="false"/>
                <w:color w:val="000000"/>
                <w:sz w:val="20"/>
              </w:rPr>
              <w:t>%</w:t>
            </w:r>
          </w:p>
        </w:tc>
        <w:tc>
          <w:tcPr>
            <w:tcW w:w="40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Expensify Neue;sans-serif" w:hAnsi="Expensify Neue;sans-serif"/>
                <w:b w:val="false"/>
                <w:color w:val="000000"/>
                <w:sz w:val="20"/>
              </w:rPr>
            </w:pPr>
            <w:r>
              <w:rPr>
                <w:rFonts w:ascii="Expensify Neue;sans-serif" w:hAnsi="Expensify Neue;sans-serif"/>
                <w:b w:val="false"/>
                <w:color w:val="000000"/>
                <w:sz w:val="20"/>
              </w:rPr>
              <w:t>10 </w:t>
            </w:r>
          </w:p>
        </w:tc>
        <w:tc>
          <w:tcPr>
            <w:tcW w:w="40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Expensify Neue;sans-serif" w:hAnsi="Expensify Neue;sans-serif"/>
                <w:b w:val="false"/>
                <w:color w:val="000000"/>
                <w:sz w:val="20"/>
              </w:rPr>
            </w:pPr>
            <w:r>
              <w:rPr>
                <w:rFonts w:ascii="Expensify Neue;sans-serif" w:hAnsi="Expensify Neue;sans-serif"/>
                <w:b w:val="false"/>
                <w:color w:val="000000"/>
                <w:sz w:val="20"/>
              </w:rPr>
              <w:t>%</w:t>
            </w:r>
          </w:p>
        </w:tc>
      </w:tr>
      <w:tr>
        <w:trPr/>
        <w:tc>
          <w:tcPr>
            <w:tcW w:w="552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Expensify Neue;sans-serif" w:hAnsi="Expensify Neue;sans-serif"/>
                <w:b w:val="false"/>
                <w:color w:val="000000"/>
                <w:sz w:val="20"/>
              </w:rPr>
            </w:pPr>
            <w:r>
              <w:rPr>
                <w:rFonts w:ascii="Expensify Neue;sans-serif" w:hAnsi="Expensify Neue;sans-serif"/>
                <w:b w:val="false"/>
                <w:color w:val="000000"/>
                <w:sz w:val="20"/>
              </w:rPr>
              <w:t>(Increase) decrease in changes in assets and liabilities:</w:t>
            </w:r>
          </w:p>
        </w:tc>
        <w:tc>
          <w:tcPr>
            <w:tcW w:w="150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5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2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Expensify Neue;sans-serif" w:hAnsi="Expensify Neue;sans-serif"/>
                <w:b w:val="false"/>
                <w:color w:val="000000"/>
                <w:sz w:val="20"/>
              </w:rPr>
            </w:pPr>
            <w:r>
              <w:rPr>
                <w:rFonts w:ascii="Expensify Neue;sans-serif" w:hAnsi="Expensify Neue;sans-serif"/>
                <w:b w:val="false"/>
                <w:color w:val="000000"/>
                <w:sz w:val="20"/>
              </w:rPr>
              <w:t>Settlement assets, net</w:t>
            </w:r>
          </w:p>
        </w:tc>
        <w:tc>
          <w:tcPr>
            <w:tcW w:w="115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Expensify Neue;sans-serif" w:hAnsi="Expensify Neue;sans-serif"/>
                <w:b w:val="false"/>
                <w:color w:val="000000"/>
                <w:sz w:val="20"/>
              </w:rPr>
            </w:pPr>
            <w:r>
              <w:rPr>
                <w:rFonts w:ascii="Expensify Neue;sans-serif" w:hAnsi="Expensify Neue;sans-serif"/>
                <w:b w:val="false"/>
                <w:color w:val="000000"/>
                <w:sz w:val="20"/>
              </w:rPr>
              <w:t>12,217 </w:t>
            </w:r>
          </w:p>
        </w:tc>
        <w:tc>
          <w:tcPr>
            <w:tcW w:w="35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Expensify Neue;sans-serif" w:hAnsi="Expensify Neue;sans-serif"/>
                <w:b w:val="false"/>
                <w:color w:val="000000"/>
                <w:sz w:val="20"/>
              </w:rPr>
            </w:pPr>
            <w:r>
              <w:rPr>
                <w:rFonts w:ascii="Expensify Neue;sans-serif" w:hAnsi="Expensify Neue;sans-serif"/>
                <w:b w:val="false"/>
                <w:color w:val="000000"/>
                <w:sz w:val="20"/>
              </w:rPr>
              <w:t>6,120 </w:t>
            </w:r>
          </w:p>
        </w:tc>
        <w:tc>
          <w:tcPr>
            <w:tcW w:w="40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2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Expensify Neue;sans-serif" w:hAnsi="Expensify Neue;sans-serif"/>
                <w:b w:val="false"/>
                <w:color w:val="000000"/>
                <w:sz w:val="20"/>
              </w:rPr>
            </w:pPr>
            <w:r>
              <w:rPr>
                <w:rFonts w:ascii="Expensify Neue;sans-serif" w:hAnsi="Expensify Neue;sans-serif"/>
                <w:b w:val="false"/>
                <w:color w:val="000000"/>
                <w:sz w:val="20"/>
              </w:rPr>
              <w:t>Settlement liabilities</w:t>
            </w:r>
          </w:p>
        </w:tc>
        <w:tc>
          <w:tcPr>
            <w:tcW w:w="115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Expensify Neue;sans-serif" w:hAnsi="Expensify Neue;sans-serif"/>
                <w:b w:val="false"/>
                <w:color w:val="000000"/>
                <w:sz w:val="20"/>
              </w:rPr>
            </w:pPr>
            <w:r>
              <w:rPr>
                <w:rFonts w:ascii="Expensify Neue;sans-serif" w:hAnsi="Expensify Neue;sans-serif"/>
                <w:b w:val="false"/>
                <w:color w:val="000000"/>
                <w:sz w:val="20"/>
              </w:rPr>
              <w:t>(7,420)</w:t>
            </w:r>
          </w:p>
        </w:tc>
        <w:tc>
          <w:tcPr>
            <w:tcW w:w="35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Expensify Neue;sans-serif" w:hAnsi="Expensify Neue;sans-serif"/>
                <w:b w:val="false"/>
                <w:color w:val="000000"/>
                <w:sz w:val="20"/>
              </w:rPr>
            </w:pPr>
            <w:r>
              <w:rPr>
                <w:rFonts w:ascii="Expensify Neue;sans-serif" w:hAnsi="Expensify Neue;sans-serif"/>
                <w:b w:val="false"/>
                <w:color w:val="000000"/>
                <w:sz w:val="20"/>
              </w:rPr>
              <w:t>(1,570)</w:t>
            </w:r>
          </w:p>
        </w:tc>
        <w:tc>
          <w:tcPr>
            <w:tcW w:w="40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2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Expensify Neue;sans-serif" w:hAnsi="Expensify Neue;sans-serif"/>
                <w:b w:val="false"/>
                <w:color w:val="000000"/>
                <w:sz w:val="20"/>
              </w:rPr>
            </w:pPr>
            <w:r>
              <w:rPr>
                <w:rFonts w:ascii="Expensify Neue;sans-serif" w:hAnsi="Expensify Neue;sans-serif"/>
                <w:b w:val="false"/>
                <w:color w:val="000000"/>
                <w:sz w:val="20"/>
              </w:rPr>
              <w:t>Less:</w:t>
            </w:r>
          </w:p>
        </w:tc>
        <w:tc>
          <w:tcPr>
            <w:tcW w:w="150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5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2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Expensify Neue;sans-serif" w:hAnsi="Expensify Neue;sans-serif"/>
                <w:b w:val="false"/>
                <w:color w:val="000000"/>
                <w:sz w:val="20"/>
              </w:rPr>
            </w:pPr>
            <w:r>
              <w:rPr>
                <w:rFonts w:ascii="Expensify Neue;sans-serif" w:hAnsi="Expensify Neue;sans-serif"/>
                <w:b w:val="false"/>
                <w:color w:val="000000"/>
                <w:sz w:val="20"/>
              </w:rPr>
              <w:t>Software development costs</w:t>
            </w:r>
          </w:p>
        </w:tc>
        <w:tc>
          <w:tcPr>
            <w:tcW w:w="115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Expensify Neue;sans-serif" w:hAnsi="Expensify Neue;sans-serif"/>
                <w:b w:val="false"/>
                <w:color w:val="000000"/>
                <w:sz w:val="20"/>
              </w:rPr>
            </w:pPr>
            <w:r>
              <w:rPr>
                <w:rFonts w:ascii="Expensify Neue;sans-serif" w:hAnsi="Expensify Neue;sans-serif"/>
                <w:b w:val="false"/>
                <w:color w:val="000000"/>
                <w:sz w:val="20"/>
              </w:rPr>
              <w:t>(498)</w:t>
            </w:r>
          </w:p>
        </w:tc>
        <w:tc>
          <w:tcPr>
            <w:tcW w:w="35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Expensify Neue;sans-serif" w:hAnsi="Expensify Neue;sans-serif"/>
                <w:b w:val="false"/>
                <w:color w:val="000000"/>
                <w:sz w:val="20"/>
              </w:rPr>
            </w:pPr>
            <w:r>
              <w:rPr>
                <w:rFonts w:ascii="Expensify Neue;sans-serif" w:hAnsi="Expensify Neue;sans-serif"/>
                <w:b w:val="false"/>
                <w:color w:val="000000"/>
                <w:sz w:val="20"/>
              </w:rPr>
              <w:t>(2,829)</w:t>
            </w:r>
          </w:p>
        </w:tc>
        <w:tc>
          <w:tcPr>
            <w:tcW w:w="40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2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Expensify Neue;sans-serif" w:hAnsi="Expensify Neue;sans-serif"/>
                <w:b w:val="false"/>
                <w:color w:val="000000"/>
                <w:sz w:val="20"/>
              </w:rPr>
            </w:pPr>
            <w:r>
              <w:rPr>
                <w:rFonts w:ascii="Expensify Neue;sans-serif" w:hAnsi="Expensify Neue;sans-serif"/>
                <w:b w:val="false"/>
                <w:color w:val="000000"/>
                <w:sz w:val="20"/>
              </w:rPr>
              <w:t>Free cash flow</w:t>
            </w:r>
          </w:p>
        </w:tc>
        <w:tc>
          <w:tcPr>
            <w:tcW w:w="278"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Expensify Neue;sans-serif" w:hAnsi="Expensify Neue;sans-serif"/>
                <w:b w:val="false"/>
                <w:color w:val="000000"/>
                <w:sz w:val="20"/>
              </w:rPr>
            </w:pPr>
            <w:r>
              <w:rPr>
                <w:rFonts w:ascii="Expensify Neue;sans-serif" w:hAnsi="Expensify Neue;sans-serif"/>
                <w:b w:val="false"/>
                <w:color w:val="000000"/>
                <w:sz w:val="20"/>
              </w:rPr>
              <w:t>$</w:t>
            </w:r>
          </w:p>
        </w:tc>
        <w:tc>
          <w:tcPr>
            <w:tcW w:w="872"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Expensify Neue;sans-serif" w:hAnsi="Expensify Neue;sans-serif"/>
                <w:b w:val="false"/>
                <w:color w:val="000000"/>
                <w:sz w:val="20"/>
              </w:rPr>
            </w:pPr>
            <w:r>
              <w:rPr>
                <w:rFonts w:ascii="Expensify Neue;sans-serif" w:hAnsi="Expensify Neue;sans-serif"/>
                <w:b w:val="false"/>
                <w:color w:val="000000"/>
                <w:sz w:val="20"/>
              </w:rPr>
              <w:t>9,104 </w:t>
            </w:r>
          </w:p>
        </w:tc>
        <w:tc>
          <w:tcPr>
            <w:tcW w:w="353"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8"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Expensify Neue;sans-serif" w:hAnsi="Expensify Neue;sans-serif"/>
                <w:b w:val="false"/>
                <w:color w:val="000000"/>
                <w:sz w:val="20"/>
              </w:rPr>
            </w:pPr>
            <w:r>
              <w:rPr>
                <w:rFonts w:ascii="Expensify Neue;sans-serif" w:hAnsi="Expensify Neue;sans-serif"/>
                <w:b w:val="false"/>
                <w:color w:val="000000"/>
                <w:sz w:val="20"/>
              </w:rPr>
              <w:t>$</w:t>
            </w:r>
          </w:p>
        </w:tc>
        <w:tc>
          <w:tcPr>
            <w:tcW w:w="872"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Expensify Neue;sans-serif" w:hAnsi="Expensify Neue;sans-serif"/>
                <w:b w:val="false"/>
                <w:color w:val="000000"/>
                <w:sz w:val="20"/>
              </w:rPr>
            </w:pPr>
            <w:r>
              <w:rPr>
                <w:rFonts w:ascii="Expensify Neue;sans-serif" w:hAnsi="Expensify Neue;sans-serif"/>
                <w:b w:val="false"/>
                <w:color w:val="000000"/>
                <w:sz w:val="20"/>
              </w:rPr>
              <w:t>5,192 </w:t>
            </w:r>
          </w:p>
        </w:tc>
        <w:tc>
          <w:tcPr>
            <w:tcW w:w="408"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2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Expensify Neue;sans-serif" w:hAnsi="Expensify Neue;sans-serif"/>
                <w:b w:val="false"/>
                <w:color w:val="000000"/>
                <w:sz w:val="20"/>
              </w:rPr>
            </w:pPr>
            <w:r>
              <w:rPr>
                <w:rFonts w:ascii="Expensify Neue;sans-serif" w:hAnsi="Expensify Neue;sans-serif"/>
                <w:b w:val="false"/>
                <w:color w:val="000000"/>
                <w:sz w:val="20"/>
              </w:rPr>
              <w:t>Free cash flow margin</w:t>
            </w:r>
          </w:p>
        </w:tc>
        <w:tc>
          <w:tcPr>
            <w:tcW w:w="1150" w:type="dxa"/>
            <w:gridSpan w:val="2"/>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Expensify Neue;sans-serif" w:hAnsi="Expensify Neue;sans-serif"/>
                <w:b w:val="false"/>
                <w:color w:val="000000"/>
                <w:sz w:val="20"/>
              </w:rPr>
            </w:pPr>
            <w:r>
              <w:rPr>
                <w:rFonts w:ascii="Expensify Neue;sans-serif" w:hAnsi="Expensify Neue;sans-serif"/>
                <w:b w:val="false"/>
                <w:color w:val="000000"/>
                <w:sz w:val="20"/>
              </w:rPr>
              <w:t>25 </w:t>
            </w:r>
          </w:p>
        </w:tc>
        <w:tc>
          <w:tcPr>
            <w:tcW w:w="353"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Expensify Neue;sans-serif" w:hAnsi="Expensify Neue;sans-serif"/>
                <w:b w:val="false"/>
                <w:color w:val="000000"/>
                <w:sz w:val="20"/>
              </w:rPr>
            </w:pPr>
            <w:r>
              <w:rPr>
                <w:rFonts w:ascii="Expensify Neue;sans-serif" w:hAnsi="Expensify Neue;sans-serif"/>
                <w:b w:val="false"/>
                <w:color w:val="000000"/>
                <w:sz w:val="20"/>
              </w:rPr>
              <w:t>%</w:t>
            </w:r>
          </w:p>
        </w:tc>
        <w:tc>
          <w:tcPr>
            <w:tcW w:w="40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0" w:type="dxa"/>
            <w:gridSpan w:val="2"/>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Expensify Neue;sans-serif" w:hAnsi="Expensify Neue;sans-serif"/>
                <w:b w:val="false"/>
                <w:color w:val="000000"/>
                <w:sz w:val="20"/>
              </w:rPr>
            </w:pPr>
            <w:r>
              <w:rPr>
                <w:rFonts w:ascii="Expensify Neue;sans-serif" w:hAnsi="Expensify Neue;sans-serif"/>
                <w:b w:val="false"/>
                <w:color w:val="000000"/>
                <w:sz w:val="20"/>
              </w:rPr>
              <w:t>15 </w:t>
            </w:r>
          </w:p>
        </w:tc>
        <w:tc>
          <w:tcPr>
            <w:tcW w:w="408"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Expensify Neue;sans-serif" w:hAnsi="Expensify Neue;sans-serif"/>
                <w:b w:val="false"/>
                <w:color w:val="000000"/>
                <w:sz w:val="20"/>
              </w:rPr>
            </w:pPr>
            <w:r>
              <w:rPr>
                <w:rFonts w:ascii="Expensify Neue;sans-serif" w:hAnsi="Expensify Neue;sans-serif"/>
                <w:b w:val="false"/>
                <w:color w:val="000000"/>
                <w:sz w:val="20"/>
              </w:rPr>
              <w:t>%</w:t>
            </w:r>
          </w:p>
        </w:tc>
      </w:tr>
      <w:tr>
        <w:trPr/>
        <w:tc>
          <w:tcPr>
            <w:tcW w:w="5520"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503"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402"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558"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60"/>
        <w:jc w:val="left"/>
        <w:rPr>
          <w:rFonts w:ascii="Expensify Neue;sans-serif" w:hAnsi="Expensify Neue;sans-serif"/>
          <w:b/>
          <w:color w:val="002E22"/>
          <w:sz w:val="32"/>
        </w:rPr>
      </w:pPr>
      <w:r>
        <w:rPr>
          <w:rFonts w:ascii="Expensify Neue;sans-serif" w:hAnsi="Expensify Neue;sans-serif"/>
          <w:b/>
          <w:color w:val="002E22"/>
          <w:sz w:val="32"/>
        </w:rPr>
        <w:t>Contractual Obligations and Commitments</w:t>
      </w:r>
    </w:p>
    <w:p>
      <w:pPr>
        <w:pStyle w:val="TextBody"/>
        <w:bidi w:val="0"/>
        <w:spacing w:lineRule="auto" w:line="288" w:before="0" w:after="160"/>
        <w:jc w:val="left"/>
        <w:rPr>
          <w:rFonts w:ascii="Expensify Neue;sans-serif" w:hAnsi="Expensify Neue;sans-serif"/>
          <w:b w:val="false"/>
          <w:color w:val="000000"/>
          <w:sz w:val="20"/>
        </w:rPr>
      </w:pPr>
      <w:r>
        <w:rPr>
          <w:rFonts w:ascii="Expensify Neue;sans-serif" w:hAnsi="Expensify Neue;sans-serif"/>
          <w:b w:val="false"/>
          <w:color w:val="000000"/>
          <w:sz w:val="20"/>
        </w:rPr>
        <w:t>As of March 31, 2025, there have been no material changes in our contractual obligations and commitments as disclosed in our 2024 Annual Report.</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60"/>
        <w:jc w:val="left"/>
        <w:rPr>
          <w:rFonts w:ascii="Expensify Neue;sans-serif" w:hAnsi="Expensify Neue;sans-serif"/>
          <w:b/>
          <w:color w:val="002E22"/>
          <w:sz w:val="32"/>
        </w:rPr>
      </w:pPr>
      <w:r>
        <w:rPr>
          <w:rFonts w:ascii="Expensify Neue;sans-serif" w:hAnsi="Expensify Neue;sans-serif"/>
          <w:b/>
          <w:color w:val="002E22"/>
          <w:sz w:val="32"/>
        </w:rPr>
        <w:t xml:space="preserve">Indemnification Agreements </w:t>
      </w:r>
    </w:p>
    <w:p>
      <w:pPr>
        <w:pStyle w:val="TextBody"/>
        <w:bidi w:val="0"/>
        <w:spacing w:lineRule="auto" w:line="288" w:before="0" w:after="160"/>
        <w:jc w:val="left"/>
        <w:rPr>
          <w:rFonts w:ascii="Expensify Neue;sans-serif" w:hAnsi="Expensify Neue;sans-serif"/>
          <w:b w:val="false"/>
          <w:color w:val="000000"/>
          <w:sz w:val="20"/>
        </w:rPr>
      </w:pPr>
      <w:r>
        <w:rPr>
          <w:rFonts w:ascii="Expensify Neue;sans-serif" w:hAnsi="Expensify Neue;sans-serif"/>
          <w:b w:val="false"/>
          <w:color w:val="000000"/>
          <w:sz w:val="20"/>
        </w:rPr>
        <w:t>In the ordinary course of business, we enter into agreements of varying scope and terms whereby we agree to indemnify customers, issuing banks, card networks, vendors and other parties with respect to certain matters, including, but not limited to, losses arising out of the breach of such agreements, services to be provided by us or from intellectual property infringement claims made by third parties. In addition, we have entered into indemnification agreements with our directors and certain officers and employees that will require us, among other things, to indemnify them against certain liabilities that may arise by reason of their status or service as directors, officers or employees. No demands have been made upon us to provide indemnification under such agreements and there are no claims that we are aware of that could have a material effect on our Condensed Consolidated Balance Sheets, Condensed Consolidated Statements of Operations, Condensed Consolidated Statements of Changes in Stockholders’ Equity, or Condensed Consolidated Statements of Cash Flows.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60"/>
        <w:jc w:val="left"/>
        <w:rPr>
          <w:rFonts w:ascii="Expensify Neue;sans-serif" w:hAnsi="Expensify Neue;sans-serif"/>
          <w:b/>
          <w:color w:val="002E22"/>
          <w:sz w:val="32"/>
        </w:rPr>
      </w:pPr>
      <w:r>
        <w:rPr>
          <w:rFonts w:ascii="Expensify Neue;sans-serif" w:hAnsi="Expensify Neue;sans-serif"/>
          <w:b/>
          <w:color w:val="002E22"/>
          <w:sz w:val="32"/>
        </w:rPr>
        <w:t>Off-Balance Sheet Arrangements</w:t>
      </w:r>
    </w:p>
    <w:p>
      <w:pPr>
        <w:pStyle w:val="TextBody"/>
        <w:bidi w:val="0"/>
        <w:spacing w:lineRule="auto" w:line="288" w:before="0" w:after="160"/>
        <w:jc w:val="left"/>
        <w:rPr>
          <w:rFonts w:ascii="Expensify Neue;sans-serif" w:hAnsi="Expensify Neue;sans-serif"/>
          <w:b w:val="false"/>
          <w:color w:val="000000"/>
          <w:sz w:val="20"/>
        </w:rPr>
      </w:pPr>
      <w:r>
        <w:rPr>
          <w:rFonts w:ascii="Expensify Neue;sans-serif" w:hAnsi="Expensify Neue;sans-serif"/>
          <w:b w:val="false"/>
          <w:color w:val="000000"/>
          <w:sz w:val="20"/>
        </w:rPr>
        <w:t>During the periods presented, we did not have, and we do not currently have, any off-balance sheet financing arrangements or any relationships with unconsolidated entities or financial partnerships, including entities sometimes referred to as structured finance or special purpose entities, that were established for the purpose of facilitating off-balance sheet arrangements or other contractually narrow or limited purposes.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0">
                <wp:simplePos x="0" y="0"/>
                <wp:positionH relativeFrom="character">
                  <wp:align>left</wp:align>
                </wp:positionH>
                <wp:positionV relativeFrom="line">
                  <wp:posOffset>635</wp:posOffset>
                </wp:positionV>
                <wp:extent cx="6480175" cy="599440"/>
                <wp:effectExtent l="0" t="0" r="0" b="0"/>
                <wp:wrapNone/>
                <wp:docPr id="39" name="Frame38"/>
                <a:graphic xmlns:a="http://schemas.openxmlformats.org/drawingml/2006/main">
                  <a:graphicData uri="http://schemas.microsoft.com/office/word/2010/wordprocessingShape">
                    <wps:wsp>
                      <wps:cNvSpPr txBox="1"/>
                      <wps:spPr>
                        <a:xfrm>
                          <a:off x="0" y="0"/>
                          <a:ext cx="6480175" cy="599440"/>
                        </a:xfrm>
                        <a:prstGeom prst="rect"/>
                        <a:solidFill>
                          <a:srgbClr val="FFFFFF"/>
                        </a:solidFill>
                      </wps:spPr>
                      <wps:txbx>
                        <w:txbxContent>
                          <w:tbl>
                            <w:tblPr>
                              <w:tblW w:w="406" w:type="dxa"/>
                              <w:jc w:val="center"/>
                              <w:tblInd w:w="0" w:type="dxa"/>
                              <w:tblLayout w:type="fixed"/>
                              <w:tblCellMar>
                                <w:top w:w="28" w:type="dxa"/>
                                <w:left w:w="28" w:type="dxa"/>
                                <w:bottom w:w="28" w:type="dxa"/>
                                <w:right w:w="28" w:type="dxa"/>
                              </w:tblCellMar>
                            </w:tblPr>
                            <w:tblGrid>
                              <w:gridCol w:w="130"/>
                              <w:gridCol w:w="114"/>
                              <w:gridCol w:w="162"/>
                            </w:tblGrid>
                            <w:tr>
                              <w:trPr/>
                              <w:tc>
                                <w:tcPr>
                                  <w:tcW w:w="130"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rPr/>
                              <w:tc>
                                <w:tcPr>
                                  <w:tcW w:w="406"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0"/>
                                    <w:jc w:val="center"/>
                                    <w:rPr>
                                      <w:rFonts w:ascii="Expensify Neue;sans-serif" w:hAnsi="Expensify Neue;sans-serif"/>
                                      <w:b w:val="false"/>
                                      <w:color w:val="000000"/>
                                      <w:sz w:val="20"/>
                                    </w:rPr>
                                  </w:pPr>
                                  <w:r>
                                    <w:rPr>
                                      <w:rFonts w:ascii="Expensify Neue;sans-serif" w:hAnsi="Expensify Neue;sans-serif"/>
                                      <w:b w:val="false"/>
                                      <w:color w:val="000000"/>
                                      <w:sz w:val="20"/>
                                    </w:rPr>
                                    <w:t>33</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7.2pt;mso-wrap-distance-left:0pt;mso-wrap-distance-right:0pt;mso-wrap-distance-top:0pt;mso-wrap-distance-bottom:0pt;margin-top:0pt;mso-position-vertical:top;mso-position-vertical-relative:text;margin-left:0pt;mso-position-horizontal:left;mso-position-horizontal-relative:text">
                <v:textbox>
                  <w:txbxContent>
                    <w:tbl>
                      <w:tblPr>
                        <w:tblW w:w="406" w:type="dxa"/>
                        <w:jc w:val="center"/>
                        <w:tblInd w:w="0" w:type="dxa"/>
                        <w:tblLayout w:type="fixed"/>
                        <w:tblCellMar>
                          <w:top w:w="28" w:type="dxa"/>
                          <w:left w:w="28" w:type="dxa"/>
                          <w:bottom w:w="28" w:type="dxa"/>
                          <w:right w:w="28" w:type="dxa"/>
                        </w:tblCellMar>
                      </w:tblPr>
                      <w:tblGrid>
                        <w:gridCol w:w="130"/>
                        <w:gridCol w:w="114"/>
                        <w:gridCol w:w="162"/>
                      </w:tblGrid>
                      <w:tr>
                        <w:trPr/>
                        <w:tc>
                          <w:tcPr>
                            <w:tcW w:w="130"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rPr/>
                        <w:tc>
                          <w:tcPr>
                            <w:tcW w:w="406"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0"/>
                              <w:jc w:val="center"/>
                              <w:rPr>
                                <w:rFonts w:ascii="Expensify Neue;sans-serif" w:hAnsi="Expensify Neue;sans-serif"/>
                                <w:b w:val="false"/>
                                <w:color w:val="000000"/>
                                <w:sz w:val="20"/>
                              </w:rPr>
                            </w:pPr>
                            <w:r>
                              <w:rPr>
                                <w:rFonts w:ascii="Expensify Neue;sans-serif" w:hAnsi="Expensify Neue;sans-serif"/>
                                <w:b w:val="false"/>
                                <w:color w:val="000000"/>
                                <w:sz w:val="20"/>
                              </w:rPr>
                              <w:t>33</w:t>
                            </w:r>
                          </w:p>
                        </w:tc>
                      </w:tr>
                    </w:tbl>
                    <w:p>
                      <w:pPr>
                        <w:pStyle w:val="TextBody"/>
                        <w:bidi w:val="0"/>
                        <w:spacing w:before="0" w:after="283"/>
                        <w:jc w:val="left"/>
                        <w:rPr/>
                      </w:pPr>
                      <w:r>
                        <w:rPr/>
                      </w:r>
                    </w:p>
                  </w:txbxContent>
                </v:textbox>
                <w10:wrap type="none"/>
              </v:rect>
            </w:pict>
          </mc:Fallback>
        </mc:AlternateContent>
      </w:r>
    </w:p>
    <w:p>
      <w:pPr>
        <w:pStyle w:val="TextBody"/>
        <w:bidi w:val="0"/>
        <w:spacing w:lineRule="auto" w:line="288" w:before="0" w:after="160"/>
        <w:jc w:val="left"/>
        <w:rPr/>
      </w:pPr>
      <w:hyperlink w:anchor="i52a648c4f0e449f7bc3c2044827c8f0d_7">
        <w:r>
          <w:rPr>
            <w:rStyle w:val="InternetLink"/>
            <w:rFonts w:ascii="Expensify Neue;sans-serif" w:hAnsi="Expensify Neue;sans-serif"/>
            <w:b/>
            <w:color w:val="0000FF"/>
            <w:sz w:val="20"/>
            <w:u w:val="single"/>
          </w:rPr>
          <w:t>Table of Contents</w:t>
        </w:r>
      </w:hyperlink>
    </w:p>
    <w:p>
      <w:pPr>
        <w:pStyle w:val="TextBody"/>
        <w:bidi w:val="0"/>
        <w:spacing w:lineRule="auto" w:line="288" w:before="0" w:after="160"/>
        <w:jc w:val="left"/>
        <w:rPr>
          <w:rFonts w:ascii="Expensify Neue;sans-serif" w:hAnsi="Expensify Neue;sans-serif"/>
          <w:b/>
          <w:color w:val="002E22"/>
          <w:sz w:val="32"/>
        </w:rPr>
      </w:pPr>
      <w:r>
        <w:rPr>
          <w:rFonts w:ascii="Expensify Neue;sans-serif" w:hAnsi="Expensify Neue;sans-serif"/>
          <w:b/>
          <w:color w:val="002E22"/>
          <w:sz w:val="32"/>
        </w:rPr>
        <w:t>Critical Accounting Policies and Estimates</w:t>
      </w:r>
    </w:p>
    <w:p>
      <w:pPr>
        <w:pStyle w:val="TextBody"/>
        <w:bidi w:val="0"/>
        <w:spacing w:lineRule="auto" w:line="288" w:before="0" w:after="160"/>
        <w:jc w:val="left"/>
        <w:rPr>
          <w:rFonts w:ascii="Expensify Neue;sans-serif" w:hAnsi="Expensify Neue;sans-serif"/>
          <w:b w:val="false"/>
          <w:color w:val="000000"/>
          <w:sz w:val="20"/>
        </w:rPr>
      </w:pPr>
      <w:r>
        <w:rPr>
          <w:rFonts w:ascii="Expensify Neue;sans-serif" w:hAnsi="Expensify Neue;sans-serif"/>
          <w:b w:val="false"/>
          <w:color w:val="000000"/>
          <w:sz w:val="20"/>
        </w:rPr>
        <w:t xml:space="preserve">Our condensed consolidated financial statements included elsewhere herein have been prepared in accordance with GAAP. The preparation of our condensed consolidated financial statements requires us to make estimates and judgments that affect our reported amounts of assets, liabilities, revenues and expenses. We base our estimates on historical experience and on various other assumptions that we believe are reasonable under the circumstances. Actual results may differ from these estimates under different assumptions or conditions. </w:t>
      </w:r>
    </w:p>
    <w:p>
      <w:pPr>
        <w:pStyle w:val="TextBody"/>
        <w:bidi w:val="0"/>
        <w:spacing w:lineRule="auto" w:line="288" w:before="0" w:after="160"/>
        <w:jc w:val="left"/>
        <w:rPr>
          <w:rFonts w:ascii="Expensify Neue;sans-serif" w:hAnsi="Expensify Neue;sans-serif"/>
          <w:b w:val="false"/>
          <w:color w:val="000000"/>
          <w:sz w:val="20"/>
        </w:rPr>
      </w:pPr>
      <w:r>
        <w:rPr>
          <w:rFonts w:ascii="Expensify Neue;sans-serif" w:hAnsi="Expensify Neue;sans-serif"/>
          <w:b w:val="false"/>
          <w:color w:val="000000"/>
          <w:sz w:val="20"/>
        </w:rPr>
        <w:t>There have been no material changes to our critical accounting policies and estimates as compared to those described in Part II, Item 7. “Management’s Discussion and Analysis of Financial Condition and Results of Operations” included in our 2024 Annual Report.</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60"/>
        <w:jc w:val="left"/>
        <w:rPr/>
      </w:pPr>
      <w:r>
        <w:rPr>
          <w:rFonts w:ascii="Expensify Neue;sans-serif" w:hAnsi="Expensify Neue;sans-serif"/>
          <w:b/>
          <w:color w:val="002E22"/>
          <w:sz w:val="32"/>
        </w:rPr>
        <w:t>Recent Accounting Pronouncements</w:t>
      </w:r>
      <w:r>
        <w:rPr>
          <w:color w:val="000000"/>
        </w:rPr>
        <w:t xml:space="preserve"> </w:t>
      </w:r>
    </w:p>
    <w:p>
      <w:pPr>
        <w:pStyle w:val="TextBody"/>
        <w:bidi w:val="0"/>
        <w:spacing w:lineRule="auto" w:line="288" w:before="0" w:after="160"/>
        <w:jc w:val="left"/>
        <w:rPr>
          <w:rFonts w:ascii="Expensify Neue;sans-serif" w:hAnsi="Expensify Neue;sans-serif"/>
          <w:b w:val="false"/>
          <w:color w:val="000000"/>
          <w:sz w:val="20"/>
        </w:rPr>
      </w:pPr>
      <w:r>
        <w:rPr>
          <w:rFonts w:ascii="Expensify Neue;sans-serif" w:hAnsi="Expensify Neue;sans-serif"/>
          <w:b w:val="false"/>
          <w:color w:val="000000"/>
          <w:sz w:val="20"/>
        </w:rPr>
        <w:t>See Note 1 to our condensed consolidated financial statements included elsewhere in this Quarterly Report on Form 10-Q for recently issued accounting pronouncements not yet adopted as of the date of this Quarterly Report.</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60"/>
        <w:jc w:val="left"/>
        <w:rPr>
          <w:rFonts w:ascii="Expensify Neue;sans-serif" w:hAnsi="Expensify Neue;sans-serif"/>
          <w:b/>
          <w:color w:val="002E22"/>
          <w:sz w:val="32"/>
        </w:rPr>
      </w:pPr>
      <w:r>
        <w:rPr>
          <w:rFonts w:ascii="Expensify Neue;sans-serif" w:hAnsi="Expensify Neue;sans-serif"/>
          <w:b/>
          <w:color w:val="002E22"/>
          <w:sz w:val="32"/>
        </w:rPr>
        <w:t>Item 3. Quantitative and Qualitative Disclosures About Market Risk</w:t>
      </w:r>
    </w:p>
    <w:p>
      <w:pPr>
        <w:pStyle w:val="TextBody"/>
        <w:bidi w:val="0"/>
        <w:spacing w:lineRule="auto" w:line="288" w:before="0" w:after="160"/>
        <w:jc w:val="left"/>
        <w:rPr>
          <w:rFonts w:ascii="Expensify Neue;sans-serif" w:hAnsi="Expensify Neue;sans-serif"/>
          <w:b w:val="false"/>
          <w:color w:val="000000"/>
          <w:sz w:val="20"/>
        </w:rPr>
      </w:pPr>
      <w:r>
        <w:rPr>
          <w:rFonts w:ascii="Expensify Neue;sans-serif" w:hAnsi="Expensify Neue;sans-serif"/>
          <w:b w:val="false"/>
          <w:color w:val="000000"/>
          <w:sz w:val="20"/>
        </w:rPr>
        <w:t>There have been no material changes in our market risk from the disclosure included under Part II, Item 7A. “Quantitative and Qualitative Disclosures About Market Risk” in our 2024 Annual Report.</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60"/>
        <w:jc w:val="left"/>
        <w:rPr>
          <w:rFonts w:ascii="Expensify Neue;sans-serif" w:hAnsi="Expensify Neue;sans-serif"/>
          <w:b/>
          <w:color w:val="002E22"/>
          <w:sz w:val="32"/>
        </w:rPr>
      </w:pPr>
      <w:r>
        <w:rPr>
          <w:rFonts w:ascii="Expensify Neue;sans-serif" w:hAnsi="Expensify Neue;sans-serif"/>
          <w:b/>
          <w:color w:val="002E22"/>
          <w:sz w:val="32"/>
        </w:rPr>
        <w:t>Item 4. Controls and Procedures</w:t>
      </w:r>
    </w:p>
    <w:p>
      <w:pPr>
        <w:pStyle w:val="TextBody"/>
        <w:bidi w:val="0"/>
        <w:spacing w:lineRule="auto" w:line="288" w:before="0" w:after="160"/>
        <w:jc w:val="left"/>
        <w:rPr>
          <w:rFonts w:ascii="Expensify Neue;sans-serif" w:hAnsi="Expensify Neue;sans-serif"/>
          <w:b/>
          <w:color w:val="03D47C"/>
          <w:sz w:val="20"/>
        </w:rPr>
      </w:pPr>
      <w:r>
        <w:rPr>
          <w:rFonts w:ascii="Expensify Neue;sans-serif" w:hAnsi="Expensify Neue;sans-serif"/>
          <w:b/>
          <w:color w:val="03D47C"/>
          <w:sz w:val="20"/>
        </w:rPr>
        <w:t>EVALUATION OF DISCLOSURE CONTROLS AND PROCEDURES</w:t>
      </w:r>
    </w:p>
    <w:p>
      <w:pPr>
        <w:pStyle w:val="TextBody"/>
        <w:bidi w:val="0"/>
        <w:spacing w:lineRule="auto" w:line="288" w:before="0" w:after="160"/>
        <w:jc w:val="left"/>
        <w:rPr>
          <w:rFonts w:ascii="Expensify Neue;sans-serif" w:hAnsi="Expensify Neue;sans-serif"/>
          <w:b w:val="false"/>
          <w:color w:val="000000"/>
          <w:sz w:val="20"/>
        </w:rPr>
      </w:pPr>
      <w:r>
        <w:rPr>
          <w:rFonts w:ascii="Expensify Neue;sans-serif" w:hAnsi="Expensify Neue;sans-serif"/>
          <w:b w:val="false"/>
          <w:color w:val="000000"/>
          <w:sz w:val="20"/>
        </w:rPr>
        <w:t>Our management, with the participation of our chief executive officer and chief financial officer, has evaluated the effectiveness of our disclosure controls and procedures (as defined in Rules 13a-15(e) and 15d-15(e) under the Securities Exchange Act of 1934, as amended ("Exchange Act")), as of the end of the period covered by this Quarterly Report on Form 10-Q. Our disclosure controls and procedures are designed to provide reasonable assurance that information we are required to disclose in the reports we file or submit under the Exchange Act is accumulated and communicated to our management, including our chief executive officer and chief financial officer, as appropriate, to allow timely decisions regarding required disclosures, and is recorded, processed, summarized and reported within the time periods specified in the Securities and Exchange Commission ("SEC") rules and forms. Based on such evaluation, our chief executive officer and chief financial officer have concluded that as of March 31, 2025, our disclosure controls and procedures were effective at a reasonable assurance level.</w:t>
      </w:r>
    </w:p>
    <w:p>
      <w:pPr>
        <w:pStyle w:val="TextBody"/>
        <w:bidi w:val="0"/>
        <w:spacing w:lineRule="auto" w:line="288" w:before="0" w:after="160"/>
        <w:jc w:val="left"/>
        <w:rPr>
          <w:rFonts w:ascii="Expensify Neue;sans-serif" w:hAnsi="Expensify Neue;sans-serif"/>
          <w:b/>
          <w:color w:val="03D47C"/>
          <w:sz w:val="20"/>
        </w:rPr>
      </w:pPr>
      <w:r>
        <w:rPr>
          <w:rFonts w:ascii="Expensify Neue;sans-serif" w:hAnsi="Expensify Neue;sans-serif"/>
          <w:b/>
          <w:color w:val="03D47C"/>
          <w:sz w:val="20"/>
        </w:rPr>
        <w:t>CHANGES IN INTERNAL CONTROL OVER FINANCIAL REPORTING</w:t>
      </w:r>
    </w:p>
    <w:p>
      <w:pPr>
        <w:pStyle w:val="TextBody"/>
        <w:bidi w:val="0"/>
        <w:spacing w:lineRule="auto" w:line="288" w:before="0" w:after="160"/>
        <w:jc w:val="left"/>
        <w:rPr>
          <w:rFonts w:ascii="Expensify Neue;sans-serif" w:hAnsi="Expensify Neue;sans-serif"/>
          <w:b w:val="false"/>
          <w:color w:val="000000"/>
          <w:sz w:val="20"/>
        </w:rPr>
      </w:pPr>
      <w:r>
        <w:rPr>
          <w:rFonts w:ascii="Expensify Neue;sans-serif" w:hAnsi="Expensify Neue;sans-serif"/>
          <w:b w:val="false"/>
          <w:color w:val="000000"/>
          <w:sz w:val="20"/>
        </w:rPr>
        <w:t>There were no changes in our internal control over financial reporting identified in connection with the evaluation required by Rules 13a-15(d) and 15d-15(d) of the Exchange Act that occurred during the period covered by this Quarterly Report on Form 10-Q that has materially affected, or is reasonably likely to materially affect, our internal control over financial reporting.</w:t>
      </w:r>
    </w:p>
    <w:p>
      <w:pPr>
        <w:pStyle w:val="TextBody"/>
        <w:bidi w:val="0"/>
        <w:spacing w:lineRule="auto" w:line="288" w:before="0" w:after="160"/>
        <w:jc w:val="left"/>
        <w:rPr>
          <w:rFonts w:ascii="Expensify Neue;sans-serif" w:hAnsi="Expensify Neue;sans-serif"/>
          <w:b/>
          <w:color w:val="03D47C"/>
          <w:sz w:val="20"/>
        </w:rPr>
      </w:pPr>
      <w:r>
        <w:rPr>
          <w:rFonts w:ascii="Expensify Neue;sans-serif" w:hAnsi="Expensify Neue;sans-serif"/>
          <w:b/>
          <w:color w:val="03D47C"/>
          <w:sz w:val="20"/>
        </w:rPr>
        <w:t>LIMITATIONS OF EFFECTIVENESS OF CONTROLS AND PROCEDURES</w:t>
      </w:r>
    </w:p>
    <w:p>
      <w:pPr>
        <w:pStyle w:val="TextBody"/>
        <w:bidi w:val="0"/>
        <w:spacing w:lineRule="auto" w:line="288" w:before="0" w:after="160"/>
        <w:jc w:val="left"/>
        <w:rPr>
          <w:rFonts w:ascii="Expensify Neue;sans-serif" w:hAnsi="Expensify Neue;sans-serif"/>
          <w:b w:val="false"/>
          <w:color w:val="000000"/>
          <w:sz w:val="20"/>
        </w:rPr>
      </w:pPr>
      <w:r>
        <w:rPr>
          <w:rFonts w:ascii="Expensify Neue;sans-serif" w:hAnsi="Expensify Neue;sans-serif"/>
          <w:b w:val="false"/>
          <w:color w:val="000000"/>
          <w:sz w:val="20"/>
        </w:rPr>
        <w:t>In designing and evaluating our disclosure controls and procedures, management recognizes that any controls and procedures, no matter how well designed and operated, can provide only reasonable assurance of achieving their objectives and management necessarily applies its judgment in evaluating the cost-benefit relationship of possible controls and procedures.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1">
                <wp:simplePos x="0" y="0"/>
                <wp:positionH relativeFrom="character">
                  <wp:align>left</wp:align>
                </wp:positionH>
                <wp:positionV relativeFrom="line">
                  <wp:posOffset>635</wp:posOffset>
                </wp:positionV>
                <wp:extent cx="6480175" cy="599440"/>
                <wp:effectExtent l="0" t="0" r="0" b="0"/>
                <wp:wrapNone/>
                <wp:docPr id="40" name="Frame39"/>
                <a:graphic xmlns:a="http://schemas.openxmlformats.org/drawingml/2006/main">
                  <a:graphicData uri="http://schemas.microsoft.com/office/word/2010/wordprocessingShape">
                    <wps:wsp>
                      <wps:cNvSpPr txBox="1"/>
                      <wps:spPr>
                        <a:xfrm>
                          <a:off x="0" y="0"/>
                          <a:ext cx="6480175" cy="599440"/>
                        </a:xfrm>
                        <a:prstGeom prst="rect"/>
                        <a:solidFill>
                          <a:srgbClr val="FFFFFF"/>
                        </a:solidFill>
                      </wps:spPr>
                      <wps:txbx>
                        <w:txbxContent>
                          <w:tbl>
                            <w:tblPr>
                              <w:tblW w:w="406" w:type="dxa"/>
                              <w:jc w:val="center"/>
                              <w:tblInd w:w="0" w:type="dxa"/>
                              <w:tblLayout w:type="fixed"/>
                              <w:tblCellMar>
                                <w:top w:w="28" w:type="dxa"/>
                                <w:left w:w="28" w:type="dxa"/>
                                <w:bottom w:w="28" w:type="dxa"/>
                                <w:right w:w="28" w:type="dxa"/>
                              </w:tblCellMar>
                            </w:tblPr>
                            <w:tblGrid>
                              <w:gridCol w:w="130"/>
                              <w:gridCol w:w="114"/>
                              <w:gridCol w:w="162"/>
                            </w:tblGrid>
                            <w:tr>
                              <w:trPr/>
                              <w:tc>
                                <w:tcPr>
                                  <w:tcW w:w="130"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rPr/>
                              <w:tc>
                                <w:tcPr>
                                  <w:tcW w:w="406"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0"/>
                                    <w:jc w:val="center"/>
                                    <w:rPr>
                                      <w:rFonts w:ascii="Expensify Neue;sans-serif" w:hAnsi="Expensify Neue;sans-serif"/>
                                      <w:b w:val="false"/>
                                      <w:color w:val="000000"/>
                                      <w:sz w:val="20"/>
                                    </w:rPr>
                                  </w:pPr>
                                  <w:r>
                                    <w:rPr>
                                      <w:rFonts w:ascii="Expensify Neue;sans-serif" w:hAnsi="Expensify Neue;sans-serif"/>
                                      <w:b w:val="false"/>
                                      <w:color w:val="000000"/>
                                      <w:sz w:val="20"/>
                                    </w:rPr>
                                    <w:t>34</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7.2pt;mso-wrap-distance-left:0pt;mso-wrap-distance-right:0pt;mso-wrap-distance-top:0pt;mso-wrap-distance-bottom:0pt;margin-top:0pt;mso-position-vertical:top;mso-position-vertical-relative:text;margin-left:0pt;mso-position-horizontal:left;mso-position-horizontal-relative:text">
                <v:textbox>
                  <w:txbxContent>
                    <w:tbl>
                      <w:tblPr>
                        <w:tblW w:w="406" w:type="dxa"/>
                        <w:jc w:val="center"/>
                        <w:tblInd w:w="0" w:type="dxa"/>
                        <w:tblLayout w:type="fixed"/>
                        <w:tblCellMar>
                          <w:top w:w="28" w:type="dxa"/>
                          <w:left w:w="28" w:type="dxa"/>
                          <w:bottom w:w="28" w:type="dxa"/>
                          <w:right w:w="28" w:type="dxa"/>
                        </w:tblCellMar>
                      </w:tblPr>
                      <w:tblGrid>
                        <w:gridCol w:w="130"/>
                        <w:gridCol w:w="114"/>
                        <w:gridCol w:w="162"/>
                      </w:tblGrid>
                      <w:tr>
                        <w:trPr/>
                        <w:tc>
                          <w:tcPr>
                            <w:tcW w:w="130"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rPr/>
                        <w:tc>
                          <w:tcPr>
                            <w:tcW w:w="406"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0"/>
                              <w:jc w:val="center"/>
                              <w:rPr>
                                <w:rFonts w:ascii="Expensify Neue;sans-serif" w:hAnsi="Expensify Neue;sans-serif"/>
                                <w:b w:val="false"/>
                                <w:color w:val="000000"/>
                                <w:sz w:val="20"/>
                              </w:rPr>
                            </w:pPr>
                            <w:r>
                              <w:rPr>
                                <w:rFonts w:ascii="Expensify Neue;sans-serif" w:hAnsi="Expensify Neue;sans-serif"/>
                                <w:b w:val="false"/>
                                <w:color w:val="000000"/>
                                <w:sz w:val="20"/>
                              </w:rPr>
                              <w:t>34</w:t>
                            </w:r>
                          </w:p>
                        </w:tc>
                      </w:tr>
                    </w:tbl>
                    <w:p>
                      <w:pPr>
                        <w:pStyle w:val="TextBody"/>
                        <w:bidi w:val="0"/>
                        <w:spacing w:before="0" w:after="283"/>
                        <w:jc w:val="left"/>
                        <w:rPr/>
                      </w:pPr>
                      <w:r>
                        <w:rPr/>
                      </w:r>
                    </w:p>
                  </w:txbxContent>
                </v:textbox>
                <w10:wrap type="none"/>
              </v:rect>
            </w:pict>
          </mc:Fallback>
        </mc:AlternateContent>
      </w:r>
    </w:p>
    <w:p>
      <w:pPr>
        <w:pStyle w:val="TextBody"/>
        <w:bidi w:val="0"/>
        <w:spacing w:lineRule="auto" w:line="288" w:before="0" w:after="160"/>
        <w:jc w:val="left"/>
        <w:rPr/>
      </w:pPr>
      <w:hyperlink w:anchor="i52a648c4f0e449f7bc3c2044827c8f0d_7">
        <w:r>
          <w:rPr>
            <w:rStyle w:val="InternetLink"/>
            <w:rFonts w:ascii="Expensify Neue;sans-serif" w:hAnsi="Expensify Neue;sans-serif"/>
            <w:b/>
            <w:color w:val="0000FF"/>
            <w:sz w:val="20"/>
            <w:u w:val="single"/>
          </w:rPr>
          <w:t>Table of Contents</w:t>
        </w:r>
      </w:hyperlink>
    </w:p>
    <w:p>
      <w:pPr>
        <w:pStyle w:val="TextBody"/>
        <w:bidi w:val="0"/>
        <w:spacing w:lineRule="auto" w:line="288" w:before="0" w:after="320"/>
        <w:jc w:val="left"/>
        <w:rPr>
          <w:rFonts w:ascii="Expensify New Kansas Medium;sans-serif" w:hAnsi="Expensify New Kansas Medium;sans-serif"/>
          <w:b/>
          <w:color w:val="002E22"/>
          <w:sz w:val="36"/>
        </w:rPr>
      </w:pPr>
      <w:r>
        <w:rPr>
          <w:rFonts w:ascii="Expensify New Kansas Medium;sans-serif" w:hAnsi="Expensify New Kansas Medium;sans-serif"/>
          <w:b/>
          <w:color w:val="002E22"/>
          <w:sz w:val="36"/>
        </w:rPr>
        <w:t>Part II - Other Information</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60"/>
        <w:jc w:val="left"/>
        <w:rPr>
          <w:rFonts w:ascii="Expensify Neue;sans-serif" w:hAnsi="Expensify Neue;sans-serif"/>
          <w:b/>
          <w:color w:val="002E22"/>
          <w:sz w:val="32"/>
        </w:rPr>
      </w:pPr>
      <w:r>
        <w:rPr>
          <w:rFonts w:ascii="Expensify Neue;sans-serif" w:hAnsi="Expensify Neue;sans-serif"/>
          <w:b/>
          <w:color w:val="002E22"/>
          <w:sz w:val="32"/>
        </w:rPr>
        <w:t>Item 1. Legal Proceedings</w:t>
      </w:r>
    </w:p>
    <w:p>
      <w:pPr>
        <w:pStyle w:val="TextBody"/>
        <w:bidi w:val="0"/>
        <w:spacing w:lineRule="auto" w:line="288" w:before="0" w:after="160"/>
        <w:jc w:val="left"/>
        <w:rPr>
          <w:rFonts w:ascii="Expensify Neue;sans-serif" w:hAnsi="Expensify Neue;sans-serif"/>
          <w:b w:val="false"/>
          <w:color w:val="000000"/>
          <w:sz w:val="20"/>
        </w:rPr>
      </w:pPr>
      <w:r>
        <w:rPr>
          <w:rFonts w:ascii="Expensify Neue;sans-serif" w:hAnsi="Expensify Neue;sans-serif"/>
          <w:b w:val="false"/>
          <w:color w:val="000000"/>
          <w:sz w:val="20"/>
        </w:rPr>
        <w:t>On November 29, 2023, a putative securities class action (the “Putative Class Action”) was filed in the United States District Court for the District of Oregon captioned Wilhite v. Expensify, Inc., et al., Case No. 3:23-cv-01784-JR, naming us, two of our executive officers and two of our former directors as defendants (collectively, the “Defendants”). The lawsuit is purportedly brought on behalf of all those who purchase or acquired our stock pursuant or traceable to our initial public offering (“IPO”). The complaint alleges claims under Sections 11 and 15 of the Securities Act of 1933 based on allegedly false or misleading statements in the offering documents filed in connection with our IPO. The lawsuit seeks unspecified damages and other relief. On January 29, 2024, three shareholders moved to be appointed lead plaintiff in the Putative Class Action. The court appointed a lead plaintiff and lead counsel on March 11, 2024. Pursuant to the parties’ stipulation, the lead plaintiff’s amended complaint was filed May 10, 2024, naming six of our current board members as additional defendants (together with the Defendants, the “Amended Defendants”). Amended Defendants’ motion to dismiss the amended complaint was filed on July 9, 2024. The lead plaintiff’s opposition was filed on September 6, 2024, and the Amended Defendants’ reply was filed on October 18, 2024. On December 30, 2024, the magistrate judge issued findings and recommendation that the Amended Defendants’ motion to dismiss be granted in part and denied in part. The lead plaintiff and Amended Defendants each filed objections to the magistrate judge’s findings and recommendation on January 21, 2025, and responses to the objections on February 4, 2025. On March 24, 2025, the court adopted, with certain modifications, the magistrate judge's findings and recommendation. The defendants intend to deny the allegations of wrongdoing and vigorously defend against the claims in the Putative Class Action.</w:t>
      </w:r>
    </w:p>
    <w:p>
      <w:pPr>
        <w:pStyle w:val="TextBody"/>
        <w:bidi w:val="0"/>
        <w:spacing w:lineRule="auto" w:line="288" w:before="0" w:after="160"/>
        <w:jc w:val="left"/>
        <w:rPr>
          <w:rFonts w:ascii="Expensify Neue;sans-serif" w:hAnsi="Expensify Neue;sans-serif"/>
          <w:b w:val="false"/>
          <w:color w:val="000000"/>
          <w:sz w:val="20"/>
        </w:rPr>
      </w:pPr>
      <w:r>
        <w:rPr>
          <w:rFonts w:ascii="Expensify Neue;sans-serif" w:hAnsi="Expensify Neue;sans-serif"/>
          <w:b w:val="false"/>
          <w:color w:val="000000"/>
          <w:sz w:val="20"/>
        </w:rPr>
        <w:t>On May 9, 2024, a shareholder derivative lawsuit was filed in the United States District Court for the District of Oregon captioned O’Halloran v. Barrett, et al., Case No. 3:24-cv-00775 (the “O’Halloran Action”), purportedly on our behalf, naming us as nominal defendant, and all of our current board members and executive officers and two of our former directors as defendants (collectively, the “Derivative Defendants”). On August 14, 2024, the Court stayed the O’Halloran Action pending resolution of any and all motion(s) to dismiss the Putative Class Action.</w:t>
      </w:r>
    </w:p>
    <w:p>
      <w:pPr>
        <w:pStyle w:val="TextBody"/>
        <w:bidi w:val="0"/>
        <w:spacing w:lineRule="auto" w:line="288" w:before="0" w:after="160"/>
        <w:jc w:val="left"/>
        <w:rPr>
          <w:rFonts w:ascii="Expensify Neue;sans-serif" w:hAnsi="Expensify Neue;sans-serif"/>
          <w:b w:val="false"/>
          <w:color w:val="000000"/>
          <w:sz w:val="20"/>
        </w:rPr>
      </w:pPr>
      <w:r>
        <w:rPr>
          <w:rFonts w:ascii="Expensify Neue;sans-serif" w:hAnsi="Expensify Neue;sans-serif"/>
          <w:b w:val="false"/>
          <w:color w:val="000000"/>
          <w:sz w:val="20"/>
        </w:rPr>
        <w:t>On December 18, 2024, a shareholder derivative lawsuit was filed in the United States District Court for the District of Oregon captioned Da Silva v. Barrett, et al., Case No. 3:24-cv-02095 (the “Da Silva Action” and with the O’Halloran Action, the “Derivative Action”), purportedly on our behalf against the Derivative Defendants and asserting substantively the same claims as those asserted in the O’Halloran Action. On January 2, 2025, the parties to the Derivative Action filed a stipulation to consolidate the O’Halloran and Da Silva Actions and apply the stay entered in the O’Halloran Action to the Derivative Action. On February 10, 2025, the Court consolidated the O’Halloran and Da Silva Actions and applied the existing stay to the consolidated action under the caption In re Expensify, Inc. Derivative Litigation, Case No. 3:24-cv-00775-SI. The Derivative Defendants deny the allegations of wrongdoing and will continue to vigorously defend against the claims in the Derivative Action.</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2">
                <wp:simplePos x="0" y="0"/>
                <wp:positionH relativeFrom="character">
                  <wp:align>left</wp:align>
                </wp:positionH>
                <wp:positionV relativeFrom="line">
                  <wp:posOffset>635</wp:posOffset>
                </wp:positionV>
                <wp:extent cx="6480175" cy="599440"/>
                <wp:effectExtent l="0" t="0" r="0" b="0"/>
                <wp:wrapNone/>
                <wp:docPr id="41" name="Frame40"/>
                <a:graphic xmlns:a="http://schemas.openxmlformats.org/drawingml/2006/main">
                  <a:graphicData uri="http://schemas.microsoft.com/office/word/2010/wordprocessingShape">
                    <wps:wsp>
                      <wps:cNvSpPr txBox="1"/>
                      <wps:spPr>
                        <a:xfrm>
                          <a:off x="0" y="0"/>
                          <a:ext cx="6480175" cy="599440"/>
                        </a:xfrm>
                        <a:prstGeom prst="rect"/>
                        <a:solidFill>
                          <a:srgbClr val="FFFFFF"/>
                        </a:solidFill>
                      </wps:spPr>
                      <wps:txbx>
                        <w:txbxContent>
                          <w:tbl>
                            <w:tblPr>
                              <w:tblW w:w="406" w:type="dxa"/>
                              <w:jc w:val="center"/>
                              <w:tblInd w:w="0" w:type="dxa"/>
                              <w:tblLayout w:type="fixed"/>
                              <w:tblCellMar>
                                <w:top w:w="28" w:type="dxa"/>
                                <w:left w:w="28" w:type="dxa"/>
                                <w:bottom w:w="28" w:type="dxa"/>
                                <w:right w:w="28" w:type="dxa"/>
                              </w:tblCellMar>
                            </w:tblPr>
                            <w:tblGrid>
                              <w:gridCol w:w="130"/>
                              <w:gridCol w:w="114"/>
                              <w:gridCol w:w="162"/>
                            </w:tblGrid>
                            <w:tr>
                              <w:trPr/>
                              <w:tc>
                                <w:tcPr>
                                  <w:tcW w:w="130"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rPr/>
                              <w:tc>
                                <w:tcPr>
                                  <w:tcW w:w="406"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0"/>
                                    <w:jc w:val="center"/>
                                    <w:rPr>
                                      <w:rFonts w:ascii="Expensify Neue;sans-serif" w:hAnsi="Expensify Neue;sans-serif"/>
                                      <w:b w:val="false"/>
                                      <w:color w:val="000000"/>
                                      <w:sz w:val="20"/>
                                    </w:rPr>
                                  </w:pPr>
                                  <w:r>
                                    <w:rPr>
                                      <w:rFonts w:ascii="Expensify Neue;sans-serif" w:hAnsi="Expensify Neue;sans-serif"/>
                                      <w:b w:val="false"/>
                                      <w:color w:val="000000"/>
                                      <w:sz w:val="20"/>
                                    </w:rPr>
                                    <w:t>35</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7.2pt;mso-wrap-distance-left:0pt;mso-wrap-distance-right:0pt;mso-wrap-distance-top:0pt;mso-wrap-distance-bottom:0pt;margin-top:0pt;mso-position-vertical:top;mso-position-vertical-relative:text;margin-left:0pt;mso-position-horizontal:left;mso-position-horizontal-relative:text">
                <v:textbox>
                  <w:txbxContent>
                    <w:tbl>
                      <w:tblPr>
                        <w:tblW w:w="406" w:type="dxa"/>
                        <w:jc w:val="center"/>
                        <w:tblInd w:w="0" w:type="dxa"/>
                        <w:tblLayout w:type="fixed"/>
                        <w:tblCellMar>
                          <w:top w:w="28" w:type="dxa"/>
                          <w:left w:w="28" w:type="dxa"/>
                          <w:bottom w:w="28" w:type="dxa"/>
                          <w:right w:w="28" w:type="dxa"/>
                        </w:tblCellMar>
                      </w:tblPr>
                      <w:tblGrid>
                        <w:gridCol w:w="130"/>
                        <w:gridCol w:w="114"/>
                        <w:gridCol w:w="162"/>
                      </w:tblGrid>
                      <w:tr>
                        <w:trPr/>
                        <w:tc>
                          <w:tcPr>
                            <w:tcW w:w="130"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rPr/>
                        <w:tc>
                          <w:tcPr>
                            <w:tcW w:w="406"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0"/>
                              <w:jc w:val="center"/>
                              <w:rPr>
                                <w:rFonts w:ascii="Expensify Neue;sans-serif" w:hAnsi="Expensify Neue;sans-serif"/>
                                <w:b w:val="false"/>
                                <w:color w:val="000000"/>
                                <w:sz w:val="20"/>
                              </w:rPr>
                            </w:pPr>
                            <w:r>
                              <w:rPr>
                                <w:rFonts w:ascii="Expensify Neue;sans-serif" w:hAnsi="Expensify Neue;sans-serif"/>
                                <w:b w:val="false"/>
                                <w:color w:val="000000"/>
                                <w:sz w:val="20"/>
                              </w:rPr>
                              <w:t>35</w:t>
                            </w:r>
                          </w:p>
                        </w:tc>
                      </w:tr>
                    </w:tbl>
                    <w:p>
                      <w:pPr>
                        <w:pStyle w:val="TextBody"/>
                        <w:bidi w:val="0"/>
                        <w:spacing w:before="0" w:after="283"/>
                        <w:jc w:val="left"/>
                        <w:rPr/>
                      </w:pPr>
                      <w:r>
                        <w:rPr/>
                      </w:r>
                    </w:p>
                  </w:txbxContent>
                </v:textbox>
                <w10:wrap type="none"/>
              </v:rect>
            </w:pict>
          </mc:Fallback>
        </mc:AlternateContent>
      </w:r>
    </w:p>
    <w:p>
      <w:pPr>
        <w:pStyle w:val="TextBody"/>
        <w:bidi w:val="0"/>
        <w:spacing w:lineRule="auto" w:line="288" w:before="0" w:after="160"/>
        <w:jc w:val="left"/>
        <w:rPr/>
      </w:pPr>
      <w:hyperlink w:anchor="i52a648c4f0e449f7bc3c2044827c8f0d_7">
        <w:r>
          <w:rPr>
            <w:rStyle w:val="InternetLink"/>
            <w:rFonts w:ascii="Expensify Neue;sans-serif" w:hAnsi="Expensify Neue;sans-serif"/>
            <w:b/>
            <w:color w:val="0000FF"/>
            <w:sz w:val="20"/>
            <w:u w:val="single"/>
          </w:rPr>
          <w:t>Table of Contents</w:t>
        </w:r>
      </w:hyperlink>
    </w:p>
    <w:p>
      <w:pPr>
        <w:pStyle w:val="TextBody"/>
        <w:bidi w:val="0"/>
        <w:spacing w:lineRule="auto" w:line="288" w:before="0" w:after="160"/>
        <w:jc w:val="left"/>
        <w:rPr>
          <w:rFonts w:ascii="Expensify Neue;sans-serif" w:hAnsi="Expensify Neue;sans-serif"/>
          <w:b w:val="false"/>
          <w:color w:val="000000"/>
          <w:sz w:val="20"/>
        </w:rPr>
      </w:pPr>
      <w:r>
        <w:rPr>
          <w:rFonts w:ascii="Expensify Neue;sans-serif" w:hAnsi="Expensify Neue;sans-serif"/>
          <w:b w:val="false"/>
          <w:color w:val="000000"/>
          <w:sz w:val="20"/>
        </w:rPr>
        <w:t>In addition to the matter described above, from time to time, we are involved in various legal proceedings arising from the normal course of business activities. We are not presently a party to any litigation the outcome of which, we believe, if determined adversely to us, would individually or taken together have a material adverse effect on our business, operating results, cash flows or financial condition. We have received, and may in the future continue to receive, claims from third parties asserting, among other things, infringement of their intellectual property rights. Defending such proceedings is costly and can impose a significant burden on management and employees. We may receive unfavorable preliminary or interim rulings in the course of litigation, and there can be no assurances that favorable final outcomes will be obtained. The results of any current or future litigation cannot be predicted with certainty. Regardless of the outcome, any litigation can have an adverse impact on our company as a result of defense and settlement costs, the diversion of management resources, and other factors.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60"/>
        <w:jc w:val="left"/>
        <w:rPr>
          <w:rFonts w:ascii="Expensify Neue;sans-serif" w:hAnsi="Expensify Neue;sans-serif"/>
          <w:b/>
          <w:color w:val="002E22"/>
          <w:sz w:val="32"/>
        </w:rPr>
      </w:pPr>
      <w:r>
        <w:rPr>
          <w:rFonts w:ascii="Expensify Neue;sans-serif" w:hAnsi="Expensify Neue;sans-serif"/>
          <w:b/>
          <w:color w:val="002E22"/>
          <w:sz w:val="32"/>
        </w:rPr>
        <w:t>Item 1A. Risk Factors</w:t>
      </w:r>
    </w:p>
    <w:p>
      <w:pPr>
        <w:pStyle w:val="TextBody"/>
        <w:bidi w:val="0"/>
        <w:spacing w:lineRule="auto" w:line="288" w:before="0" w:after="160"/>
        <w:jc w:val="left"/>
        <w:rPr>
          <w:rFonts w:ascii="Expensify Neue;sans-serif" w:hAnsi="Expensify Neue;sans-serif"/>
          <w:b w:val="false"/>
          <w:color w:val="000000"/>
          <w:sz w:val="20"/>
        </w:rPr>
      </w:pPr>
      <w:r>
        <w:rPr>
          <w:rFonts w:ascii="Expensify Neue;sans-serif" w:hAnsi="Expensify Neue;sans-serif"/>
          <w:b w:val="false"/>
          <w:color w:val="000000"/>
          <w:sz w:val="20"/>
        </w:rPr>
        <w:t>In addition to the other information set forth in this Quarterly Report on Form 10-Q, including the section titled "Management's Discussion and Analysis of Financial Condition and Results of Operations" and our condensed consolidated financial statements and related notes, you should carefully read and consider the risks and uncertainties discussed below, together with the risk factors discussed in Part I, Item 1A. "Risk Factors," of our 2024 Annual Report (as updated and supplemented below and in our subsequent filings) and in the other documents that we file with the SEC.</w:t>
      </w:r>
    </w:p>
    <w:p>
      <w:pPr>
        <w:pStyle w:val="TextBody"/>
        <w:bidi w:val="0"/>
        <w:spacing w:lineRule="auto" w:line="288" w:before="0" w:after="160"/>
        <w:jc w:val="left"/>
        <w:rPr>
          <w:rFonts w:ascii="Expensify Neue;sans-serif" w:hAnsi="Expensify Neue;sans-serif"/>
          <w:b/>
          <w:i/>
          <w:color w:val="000000"/>
          <w:sz w:val="20"/>
        </w:rPr>
      </w:pPr>
      <w:r>
        <w:rPr>
          <w:rFonts w:ascii="Expensify Neue;sans-serif" w:hAnsi="Expensify Neue;sans-serif"/>
          <w:b/>
          <w:i/>
          <w:color w:val="000000"/>
          <w:sz w:val="20"/>
        </w:rPr>
        <w:t>We are subject to travel payments-related fraud risks.</w:t>
      </w:r>
    </w:p>
    <w:p>
      <w:pPr>
        <w:pStyle w:val="TextBody"/>
        <w:bidi w:val="0"/>
        <w:spacing w:lineRule="auto" w:line="288" w:before="0" w:after="160"/>
        <w:jc w:val="left"/>
        <w:rPr>
          <w:rFonts w:ascii="Expensify Neue;sans-serif" w:hAnsi="Expensify Neue;sans-serif"/>
          <w:b w:val="false"/>
          <w:color w:val="000000"/>
          <w:sz w:val="20"/>
        </w:rPr>
      </w:pPr>
      <w:r>
        <w:rPr>
          <w:rFonts w:ascii="Expensify Neue;sans-serif" w:hAnsi="Expensify Neue;sans-serif"/>
          <w:b w:val="false"/>
          <w:color w:val="000000"/>
          <w:sz w:val="20"/>
        </w:rPr>
        <w:t>Our results of operations and financial condition could be negatively affected by our unintentional acceptance of fraudulent travel bookings made using stolen credit and debit cards. We are sometimes held liable for accepting fraudulent bookings through our website or for accepting other bookings for which payment is subsequently disputed by our customers, both of which have lead, and in the future may lead to the reversal of payments received by our partners for such bookings (referred to as a “charge-back”). Our ability to detect and combat fraudulent schemes, which have become increasingly common and sophisticated, may be negatively impacted by the emergence and innovation of new technology platforms and our global expansion, including into markets with a history of elevated fraudulent activity. In addition, we have not broadly adopted certain protective capabilities across our platform, such as requiring mobile application-based multi-factor authentication or third-party identify verification, which could result in significantly increased fraudulent activity on our platform.</w:t>
      </w:r>
    </w:p>
    <w:p>
      <w:pPr>
        <w:pStyle w:val="TextBody"/>
        <w:bidi w:val="0"/>
        <w:spacing w:lineRule="auto" w:line="288" w:before="0" w:after="160"/>
        <w:jc w:val="left"/>
        <w:rPr>
          <w:rFonts w:ascii="Expensify Neue;sans-serif" w:hAnsi="Expensify Neue;sans-serif"/>
          <w:b w:val="false"/>
          <w:color w:val="000000"/>
          <w:sz w:val="20"/>
        </w:rPr>
      </w:pPr>
      <w:r>
        <w:rPr>
          <w:rFonts w:ascii="Expensify Neue;sans-serif" w:hAnsi="Expensify Neue;sans-serif"/>
          <w:b w:val="false"/>
          <w:color w:val="000000"/>
          <w:sz w:val="20"/>
        </w:rPr>
        <w:t>We depend on our travel partners to detect and prevent certain kinds of fraudulent bookings. If we or our partners are unable to effectively combat fraudulent bookings on our website or if we otherwise experience increased levels of charge-backs, our partners, and by extension we, may also be subject to significant fines and higher transaction fees, or payment card networks may revoke our partners' access to their networks, meaning they would be unable to continue to accept card payments for travel on our behalf, either of which could have a material adverse effect on our results of operations and financial condition.</w:t>
      </w:r>
    </w:p>
    <w:p>
      <w:pPr>
        <w:pStyle w:val="TextBody"/>
        <w:bidi w:val="0"/>
        <w:spacing w:lineRule="auto" w:line="288" w:before="0" w:after="160"/>
        <w:jc w:val="left"/>
        <w:rPr>
          <w:rFonts w:ascii="Expensify Neue;sans-serif" w:hAnsi="Expensify Neue;sans-serif"/>
          <w:b w:val="false"/>
          <w:color w:val="000000"/>
          <w:sz w:val="20"/>
        </w:rPr>
      </w:pPr>
      <w:r>
        <w:rPr>
          <w:rFonts w:ascii="Expensify Neue;sans-serif" w:hAnsi="Expensify Neue;sans-serif"/>
          <w:b w:val="false"/>
          <w:color w:val="000000"/>
          <w:sz w:val="20"/>
        </w:rPr>
        <w:t>The rapid evolution and increased adoption of AI technologies also increases the risk of fraudulent bookings. In addition to adversely affecting our business, results of operations and financial condition, any of the foregoing events could have a significant negative effect on the value of our brand, which could also in turn have a material adverse impact on our financial performance.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3">
                <wp:simplePos x="0" y="0"/>
                <wp:positionH relativeFrom="character">
                  <wp:align>left</wp:align>
                </wp:positionH>
                <wp:positionV relativeFrom="line">
                  <wp:posOffset>635</wp:posOffset>
                </wp:positionV>
                <wp:extent cx="6480175" cy="599440"/>
                <wp:effectExtent l="0" t="0" r="0" b="0"/>
                <wp:wrapNone/>
                <wp:docPr id="42" name="Frame41"/>
                <a:graphic xmlns:a="http://schemas.openxmlformats.org/drawingml/2006/main">
                  <a:graphicData uri="http://schemas.microsoft.com/office/word/2010/wordprocessingShape">
                    <wps:wsp>
                      <wps:cNvSpPr txBox="1"/>
                      <wps:spPr>
                        <a:xfrm>
                          <a:off x="0" y="0"/>
                          <a:ext cx="6480175" cy="599440"/>
                        </a:xfrm>
                        <a:prstGeom prst="rect"/>
                        <a:solidFill>
                          <a:srgbClr val="FFFFFF"/>
                        </a:solidFill>
                      </wps:spPr>
                      <wps:txbx>
                        <w:txbxContent>
                          <w:tbl>
                            <w:tblPr>
                              <w:tblW w:w="406" w:type="dxa"/>
                              <w:jc w:val="center"/>
                              <w:tblInd w:w="0" w:type="dxa"/>
                              <w:tblLayout w:type="fixed"/>
                              <w:tblCellMar>
                                <w:top w:w="28" w:type="dxa"/>
                                <w:left w:w="28" w:type="dxa"/>
                                <w:bottom w:w="28" w:type="dxa"/>
                                <w:right w:w="28" w:type="dxa"/>
                              </w:tblCellMar>
                            </w:tblPr>
                            <w:tblGrid>
                              <w:gridCol w:w="130"/>
                              <w:gridCol w:w="114"/>
                              <w:gridCol w:w="162"/>
                            </w:tblGrid>
                            <w:tr>
                              <w:trPr/>
                              <w:tc>
                                <w:tcPr>
                                  <w:tcW w:w="130"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rPr/>
                              <w:tc>
                                <w:tcPr>
                                  <w:tcW w:w="406"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0"/>
                                    <w:jc w:val="center"/>
                                    <w:rPr>
                                      <w:rFonts w:ascii="Expensify Neue;sans-serif" w:hAnsi="Expensify Neue;sans-serif"/>
                                      <w:b w:val="false"/>
                                      <w:color w:val="000000"/>
                                      <w:sz w:val="20"/>
                                    </w:rPr>
                                  </w:pPr>
                                  <w:r>
                                    <w:rPr>
                                      <w:rFonts w:ascii="Expensify Neue;sans-serif" w:hAnsi="Expensify Neue;sans-serif"/>
                                      <w:b w:val="false"/>
                                      <w:color w:val="000000"/>
                                      <w:sz w:val="20"/>
                                    </w:rPr>
                                    <w:t>36</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7.2pt;mso-wrap-distance-left:0pt;mso-wrap-distance-right:0pt;mso-wrap-distance-top:0pt;mso-wrap-distance-bottom:0pt;margin-top:0pt;mso-position-vertical:top;mso-position-vertical-relative:text;margin-left:0pt;mso-position-horizontal:left;mso-position-horizontal-relative:text">
                <v:textbox>
                  <w:txbxContent>
                    <w:tbl>
                      <w:tblPr>
                        <w:tblW w:w="406" w:type="dxa"/>
                        <w:jc w:val="center"/>
                        <w:tblInd w:w="0" w:type="dxa"/>
                        <w:tblLayout w:type="fixed"/>
                        <w:tblCellMar>
                          <w:top w:w="28" w:type="dxa"/>
                          <w:left w:w="28" w:type="dxa"/>
                          <w:bottom w:w="28" w:type="dxa"/>
                          <w:right w:w="28" w:type="dxa"/>
                        </w:tblCellMar>
                      </w:tblPr>
                      <w:tblGrid>
                        <w:gridCol w:w="130"/>
                        <w:gridCol w:w="114"/>
                        <w:gridCol w:w="162"/>
                      </w:tblGrid>
                      <w:tr>
                        <w:trPr/>
                        <w:tc>
                          <w:tcPr>
                            <w:tcW w:w="130"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rPr/>
                        <w:tc>
                          <w:tcPr>
                            <w:tcW w:w="406"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0"/>
                              <w:jc w:val="center"/>
                              <w:rPr>
                                <w:rFonts w:ascii="Expensify Neue;sans-serif" w:hAnsi="Expensify Neue;sans-serif"/>
                                <w:b w:val="false"/>
                                <w:color w:val="000000"/>
                                <w:sz w:val="20"/>
                              </w:rPr>
                            </w:pPr>
                            <w:r>
                              <w:rPr>
                                <w:rFonts w:ascii="Expensify Neue;sans-serif" w:hAnsi="Expensify Neue;sans-serif"/>
                                <w:b w:val="false"/>
                                <w:color w:val="000000"/>
                                <w:sz w:val="20"/>
                              </w:rPr>
                              <w:t>36</w:t>
                            </w:r>
                          </w:p>
                        </w:tc>
                      </w:tr>
                    </w:tbl>
                    <w:p>
                      <w:pPr>
                        <w:pStyle w:val="TextBody"/>
                        <w:bidi w:val="0"/>
                        <w:spacing w:before="0" w:after="283"/>
                        <w:jc w:val="left"/>
                        <w:rPr/>
                      </w:pPr>
                      <w:r>
                        <w:rPr/>
                      </w:r>
                    </w:p>
                  </w:txbxContent>
                </v:textbox>
                <w10:wrap type="none"/>
              </v:rect>
            </w:pict>
          </mc:Fallback>
        </mc:AlternateContent>
      </w:r>
    </w:p>
    <w:p>
      <w:pPr>
        <w:pStyle w:val="TextBody"/>
        <w:bidi w:val="0"/>
        <w:spacing w:lineRule="auto" w:line="288" w:before="0" w:after="160"/>
        <w:jc w:val="left"/>
        <w:rPr/>
      </w:pPr>
      <w:hyperlink w:anchor="i52a648c4f0e449f7bc3c2044827c8f0d_7">
        <w:r>
          <w:rPr>
            <w:rStyle w:val="InternetLink"/>
            <w:rFonts w:ascii="Expensify Neue;sans-serif" w:hAnsi="Expensify Neue;sans-serif"/>
            <w:b/>
            <w:color w:val="0000FF"/>
            <w:sz w:val="20"/>
            <w:u w:val="single"/>
          </w:rPr>
          <w:t>Table of Contents</w:t>
        </w:r>
      </w:hyperlink>
    </w:p>
    <w:p>
      <w:pPr>
        <w:pStyle w:val="TextBody"/>
        <w:bidi w:val="0"/>
        <w:spacing w:lineRule="auto" w:line="288" w:before="0" w:after="160"/>
        <w:jc w:val="left"/>
        <w:rPr>
          <w:rFonts w:ascii="Expensify Neue;sans-serif" w:hAnsi="Expensify Neue;sans-serif"/>
          <w:b/>
          <w:color w:val="002E22"/>
          <w:sz w:val="32"/>
        </w:rPr>
      </w:pPr>
      <w:r>
        <w:rPr>
          <w:rFonts w:ascii="Expensify Neue;sans-serif" w:hAnsi="Expensify Neue;sans-serif"/>
          <w:b/>
          <w:color w:val="002E22"/>
          <w:sz w:val="32"/>
        </w:rPr>
        <w:t>Item 2. Unregistered Sales of Equity Securities and Use of Proceeds</w:t>
      </w:r>
    </w:p>
    <w:p>
      <w:pPr>
        <w:pStyle w:val="TextBody"/>
        <w:bidi w:val="0"/>
        <w:spacing w:lineRule="auto" w:line="288" w:before="0" w:after="160"/>
        <w:jc w:val="left"/>
        <w:rPr>
          <w:rFonts w:ascii="Expensify Neue;sans-serif" w:hAnsi="Expensify Neue;sans-serif"/>
          <w:b/>
          <w:color w:val="03D47C"/>
          <w:sz w:val="20"/>
        </w:rPr>
      </w:pPr>
      <w:r>
        <w:rPr>
          <w:rFonts w:ascii="Expensify Neue;sans-serif" w:hAnsi="Expensify Neue;sans-serif"/>
          <w:b/>
          <w:color w:val="03D47C"/>
          <w:sz w:val="20"/>
        </w:rPr>
        <w:t>ISSUER PURCHASES OF EQUITY SECURITIES</w:t>
      </w:r>
    </w:p>
    <w:p>
      <w:pPr>
        <w:pStyle w:val="TextBody"/>
        <w:bidi w:val="0"/>
        <w:spacing w:lineRule="auto" w:line="288" w:before="0" w:after="160"/>
        <w:jc w:val="left"/>
        <w:rPr>
          <w:rFonts w:ascii="Expensify Neue;sans-serif" w:hAnsi="Expensify Neue;sans-serif"/>
          <w:b w:val="false"/>
          <w:color w:val="000000"/>
          <w:sz w:val="20"/>
        </w:rPr>
      </w:pPr>
      <w:r>
        <w:rPr>
          <w:rFonts w:ascii="Expensify Neue;sans-serif" w:hAnsi="Expensify Neue;sans-serif"/>
          <w:b w:val="false"/>
          <w:color w:val="000000"/>
          <w:sz w:val="20"/>
        </w:rPr>
        <w:t>The following table sets forth information regarding our purchases of shares of Class A common stock during the three months ended March 31, 2025.</w:t>
      </w:r>
    </w:p>
    <w:tbl>
      <w:tblPr>
        <w:tblW w:w="10205" w:type="dxa"/>
        <w:jc w:val="left"/>
        <w:tblInd w:w="0" w:type="dxa"/>
        <w:tblLayout w:type="fixed"/>
        <w:tblCellMar>
          <w:top w:w="28" w:type="dxa"/>
          <w:left w:w="28" w:type="dxa"/>
          <w:bottom w:w="28" w:type="dxa"/>
          <w:right w:w="28" w:type="dxa"/>
        </w:tblCellMar>
      </w:tblPr>
      <w:tblGrid>
        <w:gridCol w:w="473"/>
        <w:gridCol w:w="322"/>
        <w:gridCol w:w="325"/>
        <w:gridCol w:w="520"/>
        <w:gridCol w:w="520"/>
        <w:gridCol w:w="522"/>
        <w:gridCol w:w="109"/>
        <w:gridCol w:w="109"/>
        <w:gridCol w:w="109"/>
        <w:gridCol w:w="464"/>
        <w:gridCol w:w="837"/>
        <w:gridCol w:w="226"/>
        <w:gridCol w:w="109"/>
        <w:gridCol w:w="109"/>
        <w:gridCol w:w="109"/>
        <w:gridCol w:w="716"/>
        <w:gridCol w:w="716"/>
        <w:gridCol w:w="717"/>
        <w:gridCol w:w="109"/>
        <w:gridCol w:w="109"/>
        <w:gridCol w:w="109"/>
        <w:gridCol w:w="397"/>
        <w:gridCol w:w="2191"/>
        <w:gridCol w:w="278"/>
      </w:tblGrid>
      <w:tr>
        <w:trPr/>
        <w:tc>
          <w:tcPr>
            <w:tcW w:w="473" w:type="dxa"/>
            <w:tcBorders/>
            <w:vAlign w:val="center"/>
          </w:tcPr>
          <w:p>
            <w:pPr>
              <w:pStyle w:val="TableContents"/>
              <w:bidi w:val="0"/>
              <w:spacing w:before="0" w:after="283"/>
              <w:jc w:val="left"/>
              <w:rPr>
                <w:sz w:val="4"/>
                <w:szCs w:val="4"/>
              </w:rPr>
            </w:pPr>
            <w:r>
              <w:rPr>
                <w:sz w:val="4"/>
                <w:szCs w:val="4"/>
              </w:rPr>
            </w:r>
          </w:p>
        </w:tc>
        <w:tc>
          <w:tcPr>
            <w:tcW w:w="322" w:type="dxa"/>
            <w:tcBorders/>
            <w:vAlign w:val="center"/>
          </w:tcPr>
          <w:p>
            <w:pPr>
              <w:pStyle w:val="TableContents"/>
              <w:bidi w:val="0"/>
              <w:spacing w:before="0" w:after="283"/>
              <w:jc w:val="left"/>
              <w:rPr>
                <w:sz w:val="4"/>
                <w:szCs w:val="4"/>
              </w:rPr>
            </w:pPr>
            <w:r>
              <w:rPr>
                <w:sz w:val="4"/>
                <w:szCs w:val="4"/>
              </w:rPr>
            </w:r>
          </w:p>
        </w:tc>
        <w:tc>
          <w:tcPr>
            <w:tcW w:w="325" w:type="dxa"/>
            <w:tcBorders/>
            <w:vAlign w:val="center"/>
          </w:tcPr>
          <w:p>
            <w:pPr>
              <w:pStyle w:val="TableContents"/>
              <w:bidi w:val="0"/>
              <w:spacing w:before="0" w:after="283"/>
              <w:jc w:val="left"/>
              <w:rPr>
                <w:sz w:val="4"/>
                <w:szCs w:val="4"/>
              </w:rPr>
            </w:pPr>
            <w:r>
              <w:rPr>
                <w:sz w:val="4"/>
                <w:szCs w:val="4"/>
              </w:rPr>
            </w:r>
          </w:p>
        </w:tc>
        <w:tc>
          <w:tcPr>
            <w:tcW w:w="520" w:type="dxa"/>
            <w:tcBorders/>
            <w:vAlign w:val="center"/>
          </w:tcPr>
          <w:p>
            <w:pPr>
              <w:pStyle w:val="TableContents"/>
              <w:bidi w:val="0"/>
              <w:spacing w:before="0" w:after="283"/>
              <w:jc w:val="left"/>
              <w:rPr>
                <w:sz w:val="4"/>
                <w:szCs w:val="4"/>
              </w:rPr>
            </w:pPr>
            <w:r>
              <w:rPr>
                <w:sz w:val="4"/>
                <w:szCs w:val="4"/>
              </w:rPr>
            </w:r>
          </w:p>
        </w:tc>
        <w:tc>
          <w:tcPr>
            <w:tcW w:w="520" w:type="dxa"/>
            <w:tcBorders/>
            <w:vAlign w:val="center"/>
          </w:tcPr>
          <w:p>
            <w:pPr>
              <w:pStyle w:val="TableContents"/>
              <w:bidi w:val="0"/>
              <w:spacing w:before="0" w:after="283"/>
              <w:jc w:val="left"/>
              <w:rPr>
                <w:sz w:val="4"/>
                <w:szCs w:val="4"/>
              </w:rPr>
            </w:pPr>
            <w:r>
              <w:rPr>
                <w:sz w:val="4"/>
                <w:szCs w:val="4"/>
              </w:rPr>
            </w:r>
          </w:p>
        </w:tc>
        <w:tc>
          <w:tcPr>
            <w:tcW w:w="52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64" w:type="dxa"/>
            <w:tcBorders/>
            <w:vAlign w:val="center"/>
          </w:tcPr>
          <w:p>
            <w:pPr>
              <w:pStyle w:val="TableContents"/>
              <w:bidi w:val="0"/>
              <w:spacing w:before="0" w:after="283"/>
              <w:jc w:val="left"/>
              <w:rPr>
                <w:sz w:val="4"/>
                <w:szCs w:val="4"/>
              </w:rPr>
            </w:pPr>
            <w:r>
              <w:rPr>
                <w:sz w:val="4"/>
                <w:szCs w:val="4"/>
              </w:rPr>
            </w:r>
          </w:p>
        </w:tc>
        <w:tc>
          <w:tcPr>
            <w:tcW w:w="837"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16" w:type="dxa"/>
            <w:tcBorders/>
            <w:vAlign w:val="center"/>
          </w:tcPr>
          <w:p>
            <w:pPr>
              <w:pStyle w:val="TableContents"/>
              <w:bidi w:val="0"/>
              <w:spacing w:before="0" w:after="283"/>
              <w:jc w:val="left"/>
              <w:rPr>
                <w:sz w:val="4"/>
                <w:szCs w:val="4"/>
              </w:rPr>
            </w:pPr>
            <w:r>
              <w:rPr>
                <w:sz w:val="4"/>
                <w:szCs w:val="4"/>
              </w:rPr>
            </w:r>
          </w:p>
        </w:tc>
        <w:tc>
          <w:tcPr>
            <w:tcW w:w="716" w:type="dxa"/>
            <w:tcBorders/>
            <w:vAlign w:val="center"/>
          </w:tcPr>
          <w:p>
            <w:pPr>
              <w:pStyle w:val="TableContents"/>
              <w:bidi w:val="0"/>
              <w:spacing w:before="0" w:after="283"/>
              <w:jc w:val="left"/>
              <w:rPr>
                <w:sz w:val="4"/>
                <w:szCs w:val="4"/>
              </w:rPr>
            </w:pPr>
            <w:r>
              <w:rPr>
                <w:sz w:val="4"/>
                <w:szCs w:val="4"/>
              </w:rPr>
            </w:r>
          </w:p>
        </w:tc>
        <w:tc>
          <w:tcPr>
            <w:tcW w:w="71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97" w:type="dxa"/>
            <w:tcBorders/>
            <w:vAlign w:val="center"/>
          </w:tcPr>
          <w:p>
            <w:pPr>
              <w:pStyle w:val="TableContents"/>
              <w:bidi w:val="0"/>
              <w:spacing w:before="0" w:after="283"/>
              <w:jc w:val="left"/>
              <w:rPr>
                <w:sz w:val="4"/>
                <w:szCs w:val="4"/>
              </w:rPr>
            </w:pPr>
            <w:r>
              <w:rPr>
                <w:sz w:val="4"/>
                <w:szCs w:val="4"/>
              </w:rPr>
            </w:r>
          </w:p>
        </w:tc>
        <w:tc>
          <w:tcPr>
            <w:tcW w:w="2191" w:type="dxa"/>
            <w:tcBorders/>
            <w:vAlign w:val="center"/>
          </w:tcPr>
          <w:p>
            <w:pPr>
              <w:pStyle w:val="TableContents"/>
              <w:bidi w:val="0"/>
              <w:spacing w:before="0" w:after="283"/>
              <w:jc w:val="left"/>
              <w:rPr>
                <w:sz w:val="4"/>
                <w:szCs w:val="4"/>
              </w:rPr>
            </w:pPr>
            <w:r>
              <w:rPr>
                <w:sz w:val="4"/>
                <w:szCs w:val="4"/>
              </w:rPr>
            </w:r>
          </w:p>
        </w:tc>
        <w:tc>
          <w:tcPr>
            <w:tcW w:w="278" w:type="dxa"/>
            <w:tcBorders/>
            <w:vAlign w:val="center"/>
          </w:tcPr>
          <w:p>
            <w:pPr>
              <w:pStyle w:val="TableContents"/>
              <w:bidi w:val="0"/>
              <w:spacing w:before="0" w:after="283"/>
              <w:jc w:val="left"/>
              <w:rPr>
                <w:sz w:val="4"/>
                <w:szCs w:val="4"/>
              </w:rPr>
            </w:pPr>
            <w:r>
              <w:rPr>
                <w:sz w:val="4"/>
                <w:szCs w:val="4"/>
              </w:rPr>
            </w:r>
          </w:p>
        </w:tc>
      </w:tr>
      <w:tr>
        <w:trPr/>
        <w:tc>
          <w:tcPr>
            <w:tcW w:w="112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62"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Expensify Neue;sans-serif" w:hAnsi="Expensify Neue;sans-serif"/>
                <w:b/>
                <w:color w:val="000000"/>
                <w:sz w:val="20"/>
              </w:rPr>
            </w:pPr>
            <w:r>
              <w:rPr>
                <w:rFonts w:ascii="Expensify Neue;sans-serif" w:hAnsi="Expensify Neue;sans-serif"/>
                <w:b/>
                <w:color w:val="000000"/>
                <w:sz w:val="20"/>
              </w:rPr>
              <w:t>Total number of shares purchased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27"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Expensify Neue;sans-serif" w:hAnsi="Expensify Neue;sans-serif"/>
                <w:b/>
                <w:color w:val="000000"/>
                <w:sz w:val="20"/>
              </w:rPr>
            </w:pPr>
            <w:r>
              <w:rPr>
                <w:rFonts w:ascii="Expensify Neue;sans-serif" w:hAnsi="Expensify Neue;sans-serif"/>
                <w:b/>
                <w:color w:val="000000"/>
                <w:sz w:val="20"/>
              </w:rPr>
              <w:t>Weighted average price paid per share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4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Expensify Neue;sans-serif" w:hAnsi="Expensify Neue;sans-serif"/>
                <w:b/>
                <w:color w:val="000000"/>
                <w:sz w:val="20"/>
              </w:rPr>
            </w:pPr>
            <w:r>
              <w:rPr>
                <w:rFonts w:ascii="Expensify Neue;sans-serif" w:hAnsi="Expensify Neue;sans-serif"/>
                <w:b/>
                <w:color w:val="000000"/>
                <w:sz w:val="20"/>
              </w:rPr>
              <w:t>Total number of shares purchased as part of publicly announced programs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66" w:type="dxa"/>
            <w:gridSpan w:val="3"/>
            <w:tcBorders/>
            <w:tcMar>
              <w:top w:w="0" w:type="dxa"/>
              <w:left w:w="0" w:type="dxa"/>
              <w:bottom w:w="0" w:type="dxa"/>
              <w:right w:w="0" w:type="dxa"/>
            </w:tcMar>
            <w:vAlign w:val="center"/>
          </w:tcPr>
          <w:p>
            <w:pPr>
              <w:pStyle w:val="TableContents"/>
              <w:bidi w:val="0"/>
              <w:spacing w:lineRule="auto" w:line="240" w:before="0" w:after="0"/>
              <w:jc w:val="center"/>
              <w:rPr/>
            </w:pPr>
            <w:r>
              <w:rPr>
                <w:rFonts w:ascii="Expensify Neue;sans-serif" w:hAnsi="Expensify Neue;sans-serif"/>
                <w:b/>
                <w:color w:val="000000"/>
                <w:sz w:val="20"/>
              </w:rPr>
              <w:t>Maximum number (or approximate dollar value) of shares that may yet be purchased under the program</w:t>
            </w:r>
            <w:r>
              <w:rPr>
                <w:rFonts w:ascii="Expensify Neue;sans-serif" w:hAnsi="Expensify Neue;sans-serif"/>
                <w:b/>
                <w:color w:val="000000"/>
                <w:sz w:val="13"/>
              </w:rPr>
              <w:t>(1)</w:t>
            </w:r>
          </w:p>
        </w:tc>
      </w:tr>
      <w:tr>
        <w:trPr/>
        <w:tc>
          <w:tcPr>
            <w:tcW w:w="112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Expensify Neue;sans-serif" w:hAnsi="Expensify Neue;sans-serif"/>
                <w:b w:val="false"/>
                <w:color w:val="000000"/>
                <w:sz w:val="20"/>
              </w:rPr>
            </w:pPr>
            <w:r>
              <w:rPr>
                <w:rFonts w:ascii="Expensify Neue;sans-serif" w:hAnsi="Expensify Neue;sans-serif"/>
                <w:b w:val="false"/>
                <w:color w:val="000000"/>
                <w:sz w:val="20"/>
              </w:rPr>
              <w:t>January 1 - 31, 2025</w:t>
            </w:r>
          </w:p>
        </w:tc>
        <w:tc>
          <w:tcPr>
            <w:tcW w:w="1562"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Expensify Neue;sans-serif" w:hAnsi="Expensify Neue;sans-serif"/>
                <w:b w:val="false"/>
                <w:color w:val="000000"/>
                <w:sz w:val="20"/>
              </w:rPr>
            </w:pPr>
            <w:r>
              <w:rPr>
                <w:rFonts w:ascii="Expensify Neue;sans-serif" w:hAnsi="Expensify Neue;sans-serif"/>
                <w:b w:val="false"/>
                <w:color w:val="000000"/>
                <w:sz w:val="20"/>
              </w:rPr>
              <w:t>$</w:t>
            </w:r>
          </w:p>
        </w:tc>
        <w:tc>
          <w:tcPr>
            <w:tcW w:w="83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2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49"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Expensify Neue;sans-serif" w:hAnsi="Expensify Neue;sans-serif"/>
                <w:b w:val="false"/>
                <w:color w:val="000000"/>
                <w:sz w:val="20"/>
              </w:rPr>
            </w:pPr>
            <w:r>
              <w:rPr>
                <w:rFonts w:ascii="Expensify Neue;sans-serif" w:hAnsi="Expensify Neue;sans-serif"/>
                <w:b w:val="false"/>
                <w:color w:val="000000"/>
                <w:sz w:val="20"/>
              </w:rPr>
              <w:t>$</w:t>
            </w:r>
          </w:p>
        </w:tc>
        <w:tc>
          <w:tcPr>
            <w:tcW w:w="219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Expensify Neue;sans-serif" w:hAnsi="Expensify Neue;sans-serif"/>
                <w:b w:val="false"/>
                <w:color w:val="000000"/>
                <w:sz w:val="20"/>
              </w:rPr>
            </w:pPr>
            <w:r>
              <w:rPr>
                <w:rFonts w:ascii="Expensify Neue;sans-serif" w:hAnsi="Expensify Neue;sans-serif"/>
                <w:b w:val="false"/>
                <w:color w:val="000000"/>
                <w:sz w:val="20"/>
              </w:rPr>
              <w:t>39,490,003 </w:t>
            </w:r>
          </w:p>
        </w:tc>
        <w:tc>
          <w:tcPr>
            <w:tcW w:w="27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2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Expensify Neue;sans-serif" w:hAnsi="Expensify Neue;sans-serif"/>
                <w:b w:val="false"/>
                <w:color w:val="000000"/>
                <w:sz w:val="20"/>
              </w:rPr>
            </w:pPr>
            <w:r>
              <w:rPr>
                <w:rFonts w:ascii="Expensify Neue;sans-serif" w:hAnsi="Expensify Neue;sans-serif"/>
                <w:b w:val="false"/>
                <w:color w:val="000000"/>
                <w:sz w:val="20"/>
              </w:rPr>
              <w:t>February 1 - 28, 2025</w:t>
            </w:r>
          </w:p>
        </w:tc>
        <w:tc>
          <w:tcPr>
            <w:tcW w:w="156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4"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Expensify Neue;sans-serif" w:hAnsi="Expensify Neue;sans-serif"/>
                <w:b w:val="false"/>
                <w:color w:val="000000"/>
                <w:sz w:val="20"/>
              </w:rPr>
            </w:pPr>
            <w:r>
              <w:rPr>
                <w:rFonts w:ascii="Expensify Neue;sans-serif" w:hAnsi="Expensify Neue;sans-serif"/>
                <w:b w:val="false"/>
                <w:color w:val="000000"/>
                <w:sz w:val="20"/>
              </w:rPr>
              <w:t>$</w:t>
            </w:r>
          </w:p>
        </w:tc>
        <w:tc>
          <w:tcPr>
            <w:tcW w:w="83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4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7"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Expensify Neue;sans-serif" w:hAnsi="Expensify Neue;sans-serif"/>
                <w:b w:val="false"/>
                <w:color w:val="000000"/>
                <w:sz w:val="20"/>
              </w:rPr>
            </w:pPr>
            <w:r>
              <w:rPr>
                <w:rFonts w:ascii="Expensify Neue;sans-serif" w:hAnsi="Expensify Neue;sans-serif"/>
                <w:b w:val="false"/>
                <w:color w:val="000000"/>
                <w:sz w:val="20"/>
              </w:rPr>
              <w:t>$</w:t>
            </w:r>
          </w:p>
        </w:tc>
        <w:tc>
          <w:tcPr>
            <w:tcW w:w="219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Expensify Neue;sans-serif" w:hAnsi="Expensify Neue;sans-serif"/>
                <w:b w:val="false"/>
                <w:color w:val="000000"/>
                <w:sz w:val="20"/>
              </w:rPr>
            </w:pPr>
            <w:r>
              <w:rPr>
                <w:rFonts w:ascii="Expensify Neue;sans-serif" w:hAnsi="Expensify Neue;sans-serif"/>
                <w:b w:val="false"/>
                <w:color w:val="000000"/>
                <w:sz w:val="20"/>
              </w:rPr>
              <w:t>50,000,000 </w:t>
            </w:r>
          </w:p>
        </w:tc>
        <w:tc>
          <w:tcPr>
            <w:tcW w:w="27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2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Expensify Neue;sans-serif" w:hAnsi="Expensify Neue;sans-serif"/>
                <w:b w:val="false"/>
                <w:color w:val="000000"/>
                <w:sz w:val="20"/>
              </w:rPr>
            </w:pPr>
            <w:r>
              <w:rPr>
                <w:rFonts w:ascii="Expensify Neue;sans-serif" w:hAnsi="Expensify Neue;sans-serif"/>
                <w:b w:val="false"/>
                <w:color w:val="000000"/>
                <w:sz w:val="20"/>
              </w:rPr>
              <w:t>March 1 - 31, 2025</w:t>
            </w:r>
          </w:p>
        </w:tc>
        <w:tc>
          <w:tcPr>
            <w:tcW w:w="156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4"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Expensify Neue;sans-serif" w:hAnsi="Expensify Neue;sans-serif"/>
                <w:b w:val="false"/>
                <w:color w:val="000000"/>
                <w:sz w:val="20"/>
              </w:rPr>
            </w:pPr>
            <w:r>
              <w:rPr>
                <w:rFonts w:ascii="Expensify Neue;sans-serif" w:hAnsi="Expensify Neue;sans-serif"/>
                <w:b w:val="false"/>
                <w:color w:val="000000"/>
                <w:sz w:val="20"/>
              </w:rPr>
              <w:t>$</w:t>
            </w:r>
          </w:p>
        </w:tc>
        <w:tc>
          <w:tcPr>
            <w:tcW w:w="83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4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7"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Expensify Neue;sans-serif" w:hAnsi="Expensify Neue;sans-serif"/>
                <w:b w:val="false"/>
                <w:color w:val="000000"/>
                <w:sz w:val="20"/>
              </w:rPr>
            </w:pPr>
            <w:r>
              <w:rPr>
                <w:rFonts w:ascii="Expensify Neue;sans-serif" w:hAnsi="Expensify Neue;sans-serif"/>
                <w:b w:val="false"/>
                <w:color w:val="000000"/>
                <w:sz w:val="20"/>
              </w:rPr>
              <w:t>$</w:t>
            </w:r>
          </w:p>
        </w:tc>
        <w:tc>
          <w:tcPr>
            <w:tcW w:w="219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Expensify Neue;sans-serif" w:hAnsi="Expensify Neue;sans-serif"/>
                <w:b w:val="false"/>
                <w:color w:val="000000"/>
                <w:sz w:val="20"/>
              </w:rPr>
            </w:pPr>
            <w:r>
              <w:rPr>
                <w:rFonts w:ascii="Expensify Neue;sans-serif" w:hAnsi="Expensify Neue;sans-serif"/>
                <w:b w:val="false"/>
                <w:color w:val="000000"/>
                <w:sz w:val="20"/>
              </w:rPr>
              <w:t>50,000,000 </w:t>
            </w:r>
          </w:p>
        </w:tc>
        <w:tc>
          <w:tcPr>
            <w:tcW w:w="27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2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Expensify Neue;sans-serif" w:hAnsi="Expensify Neue;sans-serif"/>
                <w:b/>
                <w:color w:val="000000"/>
                <w:sz w:val="20"/>
              </w:rPr>
            </w:pPr>
            <w:r>
              <w:rPr>
                <w:rFonts w:ascii="Expensify Neue;sans-serif" w:hAnsi="Expensify Neue;sans-serif"/>
                <w:b/>
                <w:color w:val="000000"/>
                <w:sz w:val="20"/>
              </w:rPr>
              <w:t>Total</w:t>
            </w:r>
          </w:p>
        </w:tc>
        <w:tc>
          <w:tcPr>
            <w:tcW w:w="1562" w:type="dxa"/>
            <w:gridSpan w:val="3"/>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49" w:type="dxa"/>
            <w:gridSpan w:val="3"/>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6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160"/>
        <w:ind w:left="0" w:right="0" w:hanging="360"/>
        <w:jc w:val="left"/>
        <w:rPr/>
      </w:pPr>
      <w:r>
        <w:rPr>
          <w:rFonts w:ascii="Expensify Neue;sans-serif" w:hAnsi="Expensify Neue;sans-serif"/>
          <w:b w:val="false"/>
          <w:color w:val="000000"/>
          <w:sz w:val="15"/>
        </w:rPr>
        <w:t>(1)In May 2022, we announced the approval of a share repurchase program with authorization to purchase up to $50.0 million of our Class A common stock at management's discretion.</w:t>
      </w:r>
      <w:r>
        <w:rPr>
          <w:color w:val="000000"/>
        </w:rPr>
        <w:t xml:space="preserve"> </w:t>
      </w:r>
      <w:r>
        <w:rPr>
          <w:rFonts w:ascii="Expensify Neue;sans-serif" w:hAnsi="Expensify Neue;sans-serif"/>
          <w:b w:val="false"/>
          <w:color w:val="000000"/>
          <w:sz w:val="15"/>
        </w:rPr>
        <w:t>On February 27, 2025, we announced the approval of a new share repurchase program with authorization to purchase up to $50.0 million of our Class A common stock at management’s discretion that replaced the 2022 share repurchase program that was scheduled to expire in March 2025. The 2025 share repurchase program expires on March 31, 2028, does not obligate us to repurchase any specific number of shares and may be modified, suspended or terminated at any time at our discretion. At March 31, 2025, we had $50.0 million remaining under the share repurchase authorization, not including amounts used for net share settlement of vested equity incentive awards.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60"/>
        <w:jc w:val="left"/>
        <w:rPr>
          <w:rFonts w:ascii="Expensify Neue;sans-serif" w:hAnsi="Expensify Neue;sans-serif"/>
          <w:b/>
          <w:color w:val="002E22"/>
          <w:sz w:val="32"/>
        </w:rPr>
      </w:pPr>
      <w:r>
        <w:rPr>
          <w:rFonts w:ascii="Expensify Neue;sans-serif" w:hAnsi="Expensify Neue;sans-serif"/>
          <w:b/>
          <w:color w:val="002E22"/>
          <w:sz w:val="32"/>
        </w:rPr>
        <w:t>Item 3. Defaults Upon Senior Securities</w:t>
      </w:r>
    </w:p>
    <w:p>
      <w:pPr>
        <w:pStyle w:val="TextBody"/>
        <w:bidi w:val="0"/>
        <w:spacing w:lineRule="auto" w:line="288" w:before="0" w:after="160"/>
        <w:jc w:val="left"/>
        <w:rPr>
          <w:rFonts w:ascii="Expensify Neue;sans-serif" w:hAnsi="Expensify Neue;sans-serif"/>
          <w:b w:val="false"/>
          <w:color w:val="000000"/>
          <w:sz w:val="20"/>
        </w:rPr>
      </w:pPr>
      <w:r>
        <w:rPr>
          <w:rFonts w:ascii="Expensify Neue;sans-serif" w:hAnsi="Expensify Neue;sans-serif"/>
          <w:b w:val="false"/>
          <w:color w:val="000000"/>
          <w:sz w:val="20"/>
        </w:rPr>
        <w:t>None.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60"/>
        <w:jc w:val="left"/>
        <w:rPr>
          <w:rFonts w:ascii="Expensify Neue;sans-serif" w:hAnsi="Expensify Neue;sans-serif"/>
          <w:b/>
          <w:color w:val="002E22"/>
          <w:sz w:val="32"/>
        </w:rPr>
      </w:pPr>
      <w:r>
        <w:rPr>
          <w:rFonts w:ascii="Expensify Neue;sans-serif" w:hAnsi="Expensify Neue;sans-serif"/>
          <w:b/>
          <w:color w:val="002E22"/>
          <w:sz w:val="32"/>
        </w:rPr>
        <w:t>Item 4. Mine Safety Disclosures</w:t>
      </w:r>
    </w:p>
    <w:p>
      <w:pPr>
        <w:pStyle w:val="TextBody"/>
        <w:bidi w:val="0"/>
        <w:spacing w:lineRule="auto" w:line="288" w:before="0" w:after="160"/>
        <w:jc w:val="left"/>
        <w:rPr>
          <w:rFonts w:ascii="Expensify Neue;sans-serif" w:hAnsi="Expensify Neue;sans-serif"/>
          <w:b w:val="false"/>
          <w:color w:val="000000"/>
          <w:sz w:val="20"/>
        </w:rPr>
      </w:pPr>
      <w:r>
        <w:rPr>
          <w:rFonts w:ascii="Expensify Neue;sans-serif" w:hAnsi="Expensify Neue;sans-serif"/>
          <w:b w:val="false"/>
          <w:color w:val="000000"/>
          <w:sz w:val="20"/>
        </w:rPr>
        <w:t>None.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4">
                <wp:simplePos x="0" y="0"/>
                <wp:positionH relativeFrom="character">
                  <wp:align>left</wp:align>
                </wp:positionH>
                <wp:positionV relativeFrom="line">
                  <wp:posOffset>635</wp:posOffset>
                </wp:positionV>
                <wp:extent cx="6480175" cy="599440"/>
                <wp:effectExtent l="0" t="0" r="0" b="0"/>
                <wp:wrapNone/>
                <wp:docPr id="43" name="Frame42"/>
                <a:graphic xmlns:a="http://schemas.openxmlformats.org/drawingml/2006/main">
                  <a:graphicData uri="http://schemas.microsoft.com/office/word/2010/wordprocessingShape">
                    <wps:wsp>
                      <wps:cNvSpPr txBox="1"/>
                      <wps:spPr>
                        <a:xfrm>
                          <a:off x="0" y="0"/>
                          <a:ext cx="6480175" cy="599440"/>
                        </a:xfrm>
                        <a:prstGeom prst="rect"/>
                        <a:solidFill>
                          <a:srgbClr val="FFFFFF"/>
                        </a:solidFill>
                      </wps:spPr>
                      <wps:txbx>
                        <w:txbxContent>
                          <w:tbl>
                            <w:tblPr>
                              <w:tblW w:w="406" w:type="dxa"/>
                              <w:jc w:val="center"/>
                              <w:tblInd w:w="0" w:type="dxa"/>
                              <w:tblLayout w:type="fixed"/>
                              <w:tblCellMar>
                                <w:top w:w="28" w:type="dxa"/>
                                <w:left w:w="28" w:type="dxa"/>
                                <w:bottom w:w="28" w:type="dxa"/>
                                <w:right w:w="28" w:type="dxa"/>
                              </w:tblCellMar>
                            </w:tblPr>
                            <w:tblGrid>
                              <w:gridCol w:w="130"/>
                              <w:gridCol w:w="114"/>
                              <w:gridCol w:w="162"/>
                            </w:tblGrid>
                            <w:tr>
                              <w:trPr/>
                              <w:tc>
                                <w:tcPr>
                                  <w:tcW w:w="130"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rPr/>
                              <w:tc>
                                <w:tcPr>
                                  <w:tcW w:w="406"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0"/>
                                    <w:jc w:val="center"/>
                                    <w:rPr>
                                      <w:rFonts w:ascii="Expensify Neue;sans-serif" w:hAnsi="Expensify Neue;sans-serif"/>
                                      <w:b w:val="false"/>
                                      <w:color w:val="000000"/>
                                      <w:sz w:val="20"/>
                                    </w:rPr>
                                  </w:pPr>
                                  <w:r>
                                    <w:rPr>
                                      <w:rFonts w:ascii="Expensify Neue;sans-serif" w:hAnsi="Expensify Neue;sans-serif"/>
                                      <w:b w:val="false"/>
                                      <w:color w:val="000000"/>
                                      <w:sz w:val="20"/>
                                    </w:rPr>
                                    <w:t>37</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7.2pt;mso-wrap-distance-left:0pt;mso-wrap-distance-right:0pt;mso-wrap-distance-top:0pt;mso-wrap-distance-bottom:0pt;margin-top:0pt;mso-position-vertical:top;mso-position-vertical-relative:text;margin-left:0pt;mso-position-horizontal:left;mso-position-horizontal-relative:text">
                <v:textbox>
                  <w:txbxContent>
                    <w:tbl>
                      <w:tblPr>
                        <w:tblW w:w="406" w:type="dxa"/>
                        <w:jc w:val="center"/>
                        <w:tblInd w:w="0" w:type="dxa"/>
                        <w:tblLayout w:type="fixed"/>
                        <w:tblCellMar>
                          <w:top w:w="28" w:type="dxa"/>
                          <w:left w:w="28" w:type="dxa"/>
                          <w:bottom w:w="28" w:type="dxa"/>
                          <w:right w:w="28" w:type="dxa"/>
                        </w:tblCellMar>
                      </w:tblPr>
                      <w:tblGrid>
                        <w:gridCol w:w="130"/>
                        <w:gridCol w:w="114"/>
                        <w:gridCol w:w="162"/>
                      </w:tblGrid>
                      <w:tr>
                        <w:trPr/>
                        <w:tc>
                          <w:tcPr>
                            <w:tcW w:w="130"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rPr/>
                        <w:tc>
                          <w:tcPr>
                            <w:tcW w:w="406"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0"/>
                              <w:jc w:val="center"/>
                              <w:rPr>
                                <w:rFonts w:ascii="Expensify Neue;sans-serif" w:hAnsi="Expensify Neue;sans-serif"/>
                                <w:b w:val="false"/>
                                <w:color w:val="000000"/>
                                <w:sz w:val="20"/>
                              </w:rPr>
                            </w:pPr>
                            <w:r>
                              <w:rPr>
                                <w:rFonts w:ascii="Expensify Neue;sans-serif" w:hAnsi="Expensify Neue;sans-serif"/>
                                <w:b w:val="false"/>
                                <w:color w:val="000000"/>
                                <w:sz w:val="20"/>
                              </w:rPr>
                              <w:t>37</w:t>
                            </w:r>
                          </w:p>
                        </w:tc>
                      </w:tr>
                    </w:tbl>
                    <w:p>
                      <w:pPr>
                        <w:pStyle w:val="TextBody"/>
                        <w:bidi w:val="0"/>
                        <w:spacing w:before="0" w:after="283"/>
                        <w:jc w:val="left"/>
                        <w:rPr/>
                      </w:pPr>
                      <w:r>
                        <w:rPr/>
                      </w:r>
                    </w:p>
                  </w:txbxContent>
                </v:textbox>
                <w10:wrap type="none"/>
              </v:rect>
            </w:pict>
          </mc:Fallback>
        </mc:AlternateContent>
      </w:r>
    </w:p>
    <w:p>
      <w:pPr>
        <w:pStyle w:val="TextBody"/>
        <w:bidi w:val="0"/>
        <w:spacing w:lineRule="auto" w:line="288" w:before="0" w:after="160"/>
        <w:jc w:val="left"/>
        <w:rPr/>
      </w:pPr>
      <w:hyperlink w:anchor="i52a648c4f0e449f7bc3c2044827c8f0d_7">
        <w:r>
          <w:rPr>
            <w:rStyle w:val="InternetLink"/>
            <w:rFonts w:ascii="Expensify Neue;sans-serif" w:hAnsi="Expensify Neue;sans-serif"/>
            <w:b/>
            <w:color w:val="0000FF"/>
            <w:sz w:val="20"/>
            <w:u w:val="single"/>
          </w:rPr>
          <w:t>Table of Contents</w:t>
        </w:r>
      </w:hyperlink>
    </w:p>
    <w:p>
      <w:pPr>
        <w:pStyle w:val="TextBody"/>
        <w:bidi w:val="0"/>
        <w:spacing w:lineRule="auto" w:line="288" w:before="0" w:after="160"/>
        <w:jc w:val="left"/>
        <w:rPr>
          <w:rFonts w:ascii="Expensify Neue;sans-serif" w:hAnsi="Expensify Neue;sans-serif"/>
          <w:b/>
          <w:color w:val="002E22"/>
          <w:sz w:val="32"/>
        </w:rPr>
      </w:pPr>
      <w:r>
        <w:rPr>
          <w:rFonts w:ascii="Expensify Neue;sans-serif" w:hAnsi="Expensify Neue;sans-serif"/>
          <w:b/>
          <w:color w:val="002E22"/>
          <w:sz w:val="32"/>
        </w:rPr>
        <w:t>Item 5. Other Information</w:t>
      </w:r>
    </w:p>
    <w:p>
      <w:pPr>
        <w:pStyle w:val="TextBody"/>
        <w:bidi w:val="0"/>
        <w:spacing w:lineRule="auto" w:line="288" w:before="0" w:after="160"/>
        <w:jc w:val="left"/>
        <w:rPr>
          <w:rFonts w:ascii="Expensify Neue;sans-serif" w:hAnsi="Expensify Neue;sans-serif"/>
          <w:b/>
          <w:color w:val="03D47C"/>
          <w:sz w:val="20"/>
        </w:rPr>
      </w:pPr>
      <w:r>
        <w:rPr>
          <w:rFonts w:ascii="Expensify Neue;sans-serif" w:hAnsi="Expensify Neue;sans-serif"/>
          <w:b/>
          <w:color w:val="03D47C"/>
          <w:sz w:val="20"/>
        </w:rPr>
        <w:t>INSIDER TRADING ARRANGEMENTS</w:t>
      </w:r>
    </w:p>
    <w:tbl>
      <w:tblPr>
        <w:tblW w:w="10205" w:type="dxa"/>
        <w:jc w:val="left"/>
        <w:tblInd w:w="0" w:type="dxa"/>
        <w:tblLayout w:type="fixed"/>
        <w:tblCellMar>
          <w:top w:w="28" w:type="dxa"/>
          <w:left w:w="28" w:type="dxa"/>
          <w:bottom w:w="28" w:type="dxa"/>
          <w:right w:w="28" w:type="dxa"/>
        </w:tblCellMar>
      </w:tblPr>
      <w:tblGrid>
        <w:gridCol w:w="577"/>
        <w:gridCol w:w="506"/>
        <w:gridCol w:w="508"/>
        <w:gridCol w:w="109"/>
        <w:gridCol w:w="109"/>
        <w:gridCol w:w="109"/>
        <w:gridCol w:w="369"/>
        <w:gridCol w:w="369"/>
        <w:gridCol w:w="373"/>
        <w:gridCol w:w="109"/>
        <w:gridCol w:w="109"/>
        <w:gridCol w:w="109"/>
        <w:gridCol w:w="275"/>
        <w:gridCol w:w="275"/>
        <w:gridCol w:w="280"/>
        <w:gridCol w:w="109"/>
        <w:gridCol w:w="109"/>
        <w:gridCol w:w="109"/>
        <w:gridCol w:w="286"/>
        <w:gridCol w:w="286"/>
        <w:gridCol w:w="287"/>
        <w:gridCol w:w="109"/>
        <w:gridCol w:w="109"/>
        <w:gridCol w:w="109"/>
        <w:gridCol w:w="418"/>
        <w:gridCol w:w="418"/>
        <w:gridCol w:w="420"/>
        <w:gridCol w:w="109"/>
        <w:gridCol w:w="109"/>
        <w:gridCol w:w="109"/>
        <w:gridCol w:w="455"/>
        <w:gridCol w:w="379"/>
        <w:gridCol w:w="380"/>
        <w:gridCol w:w="109"/>
        <w:gridCol w:w="109"/>
        <w:gridCol w:w="109"/>
        <w:gridCol w:w="402"/>
        <w:gridCol w:w="402"/>
        <w:gridCol w:w="578"/>
      </w:tblGrid>
      <w:tr>
        <w:trPr/>
        <w:tc>
          <w:tcPr>
            <w:tcW w:w="577" w:type="dxa"/>
            <w:tcBorders/>
            <w:vAlign w:val="center"/>
          </w:tcPr>
          <w:p>
            <w:pPr>
              <w:pStyle w:val="TableContents"/>
              <w:bidi w:val="0"/>
              <w:spacing w:before="0" w:after="283"/>
              <w:jc w:val="left"/>
              <w:rPr>
                <w:sz w:val="4"/>
                <w:szCs w:val="4"/>
              </w:rPr>
            </w:pPr>
            <w:r>
              <w:rPr>
                <w:sz w:val="4"/>
                <w:szCs w:val="4"/>
              </w:rPr>
            </w:r>
          </w:p>
        </w:tc>
        <w:tc>
          <w:tcPr>
            <w:tcW w:w="506" w:type="dxa"/>
            <w:tcBorders/>
            <w:vAlign w:val="center"/>
          </w:tcPr>
          <w:p>
            <w:pPr>
              <w:pStyle w:val="TableContents"/>
              <w:bidi w:val="0"/>
              <w:spacing w:before="0" w:after="283"/>
              <w:jc w:val="left"/>
              <w:rPr>
                <w:sz w:val="4"/>
                <w:szCs w:val="4"/>
              </w:rPr>
            </w:pPr>
            <w:r>
              <w:rPr>
                <w:sz w:val="4"/>
                <w:szCs w:val="4"/>
              </w:rPr>
            </w:r>
          </w:p>
        </w:tc>
        <w:tc>
          <w:tcPr>
            <w:tcW w:w="50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69" w:type="dxa"/>
            <w:tcBorders/>
            <w:vAlign w:val="center"/>
          </w:tcPr>
          <w:p>
            <w:pPr>
              <w:pStyle w:val="TableContents"/>
              <w:bidi w:val="0"/>
              <w:spacing w:before="0" w:after="283"/>
              <w:jc w:val="left"/>
              <w:rPr>
                <w:sz w:val="4"/>
                <w:szCs w:val="4"/>
              </w:rPr>
            </w:pPr>
            <w:r>
              <w:rPr>
                <w:sz w:val="4"/>
                <w:szCs w:val="4"/>
              </w:rPr>
            </w:r>
          </w:p>
        </w:tc>
        <w:tc>
          <w:tcPr>
            <w:tcW w:w="369" w:type="dxa"/>
            <w:tcBorders/>
            <w:vAlign w:val="center"/>
          </w:tcPr>
          <w:p>
            <w:pPr>
              <w:pStyle w:val="TableContents"/>
              <w:bidi w:val="0"/>
              <w:spacing w:before="0" w:after="283"/>
              <w:jc w:val="left"/>
              <w:rPr>
                <w:sz w:val="4"/>
                <w:szCs w:val="4"/>
              </w:rPr>
            </w:pPr>
            <w:r>
              <w:rPr>
                <w:sz w:val="4"/>
                <w:szCs w:val="4"/>
              </w:rPr>
            </w:r>
          </w:p>
        </w:tc>
        <w:tc>
          <w:tcPr>
            <w:tcW w:w="37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sz w:val="4"/>
                <w:szCs w:val="4"/>
              </w:rPr>
            </w:pPr>
            <w:r>
              <w:rPr>
                <w:sz w:val="4"/>
                <w:szCs w:val="4"/>
              </w:rPr>
            </w:r>
          </w:p>
        </w:tc>
        <w:tc>
          <w:tcPr>
            <w:tcW w:w="28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6" w:type="dxa"/>
            <w:tcBorders/>
            <w:vAlign w:val="center"/>
          </w:tcPr>
          <w:p>
            <w:pPr>
              <w:pStyle w:val="TableContents"/>
              <w:bidi w:val="0"/>
              <w:spacing w:before="0" w:after="283"/>
              <w:jc w:val="left"/>
              <w:rPr>
                <w:sz w:val="4"/>
                <w:szCs w:val="4"/>
              </w:rPr>
            </w:pPr>
            <w:r>
              <w:rPr>
                <w:sz w:val="4"/>
                <w:szCs w:val="4"/>
              </w:rPr>
            </w:r>
          </w:p>
        </w:tc>
        <w:tc>
          <w:tcPr>
            <w:tcW w:w="286" w:type="dxa"/>
            <w:tcBorders/>
            <w:vAlign w:val="center"/>
          </w:tcPr>
          <w:p>
            <w:pPr>
              <w:pStyle w:val="TableContents"/>
              <w:bidi w:val="0"/>
              <w:spacing w:before="0" w:after="283"/>
              <w:jc w:val="left"/>
              <w:rPr>
                <w:sz w:val="4"/>
                <w:szCs w:val="4"/>
              </w:rPr>
            </w:pPr>
            <w:r>
              <w:rPr>
                <w:sz w:val="4"/>
                <w:szCs w:val="4"/>
              </w:rPr>
            </w:r>
          </w:p>
        </w:tc>
        <w:tc>
          <w:tcPr>
            <w:tcW w:w="28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18" w:type="dxa"/>
            <w:tcBorders/>
            <w:vAlign w:val="center"/>
          </w:tcPr>
          <w:p>
            <w:pPr>
              <w:pStyle w:val="TableContents"/>
              <w:bidi w:val="0"/>
              <w:spacing w:before="0" w:after="283"/>
              <w:jc w:val="left"/>
              <w:rPr>
                <w:sz w:val="4"/>
                <w:szCs w:val="4"/>
              </w:rPr>
            </w:pPr>
            <w:r>
              <w:rPr>
                <w:sz w:val="4"/>
                <w:szCs w:val="4"/>
              </w:rPr>
            </w:r>
          </w:p>
        </w:tc>
        <w:tc>
          <w:tcPr>
            <w:tcW w:w="418" w:type="dxa"/>
            <w:tcBorders/>
            <w:vAlign w:val="center"/>
          </w:tcPr>
          <w:p>
            <w:pPr>
              <w:pStyle w:val="TableContents"/>
              <w:bidi w:val="0"/>
              <w:spacing w:before="0" w:after="283"/>
              <w:jc w:val="left"/>
              <w:rPr>
                <w:sz w:val="4"/>
                <w:szCs w:val="4"/>
              </w:rPr>
            </w:pPr>
            <w:r>
              <w:rPr>
                <w:sz w:val="4"/>
                <w:szCs w:val="4"/>
              </w:rPr>
            </w:r>
          </w:p>
        </w:tc>
        <w:tc>
          <w:tcPr>
            <w:tcW w:w="42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55" w:type="dxa"/>
            <w:tcBorders/>
            <w:vAlign w:val="center"/>
          </w:tcPr>
          <w:p>
            <w:pPr>
              <w:pStyle w:val="TableContents"/>
              <w:bidi w:val="0"/>
              <w:spacing w:before="0" w:after="283"/>
              <w:jc w:val="left"/>
              <w:rPr>
                <w:sz w:val="4"/>
                <w:szCs w:val="4"/>
              </w:rPr>
            </w:pPr>
            <w:r>
              <w:rPr>
                <w:sz w:val="4"/>
                <w:szCs w:val="4"/>
              </w:rPr>
            </w:r>
          </w:p>
        </w:tc>
        <w:tc>
          <w:tcPr>
            <w:tcW w:w="379" w:type="dxa"/>
            <w:tcBorders/>
            <w:vAlign w:val="center"/>
          </w:tcPr>
          <w:p>
            <w:pPr>
              <w:pStyle w:val="TableContents"/>
              <w:bidi w:val="0"/>
              <w:spacing w:before="0" w:after="283"/>
              <w:jc w:val="left"/>
              <w:rPr>
                <w:sz w:val="4"/>
                <w:szCs w:val="4"/>
              </w:rPr>
            </w:pPr>
            <w:r>
              <w:rPr>
                <w:sz w:val="4"/>
                <w:szCs w:val="4"/>
              </w:rPr>
            </w:r>
          </w:p>
        </w:tc>
        <w:tc>
          <w:tcPr>
            <w:tcW w:w="38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02" w:type="dxa"/>
            <w:tcBorders/>
            <w:vAlign w:val="center"/>
          </w:tcPr>
          <w:p>
            <w:pPr>
              <w:pStyle w:val="TableContents"/>
              <w:bidi w:val="0"/>
              <w:spacing w:before="0" w:after="283"/>
              <w:jc w:val="left"/>
              <w:rPr>
                <w:sz w:val="4"/>
                <w:szCs w:val="4"/>
              </w:rPr>
            </w:pPr>
            <w:r>
              <w:rPr>
                <w:sz w:val="4"/>
                <w:szCs w:val="4"/>
              </w:rPr>
            </w:r>
          </w:p>
        </w:tc>
        <w:tc>
          <w:tcPr>
            <w:tcW w:w="402" w:type="dxa"/>
            <w:tcBorders/>
            <w:vAlign w:val="center"/>
          </w:tcPr>
          <w:p>
            <w:pPr>
              <w:pStyle w:val="TableContents"/>
              <w:bidi w:val="0"/>
              <w:spacing w:before="0" w:after="283"/>
              <w:jc w:val="left"/>
              <w:rPr>
                <w:sz w:val="4"/>
                <w:szCs w:val="4"/>
              </w:rPr>
            </w:pPr>
            <w:r>
              <w:rPr>
                <w:sz w:val="4"/>
                <w:szCs w:val="4"/>
              </w:rPr>
            </w:r>
          </w:p>
        </w:tc>
        <w:tc>
          <w:tcPr>
            <w:tcW w:w="578" w:type="dxa"/>
            <w:tcBorders/>
            <w:vAlign w:val="center"/>
          </w:tcPr>
          <w:p>
            <w:pPr>
              <w:pStyle w:val="TableContents"/>
              <w:bidi w:val="0"/>
              <w:spacing w:before="0" w:after="283"/>
              <w:jc w:val="left"/>
              <w:rPr>
                <w:sz w:val="4"/>
                <w:szCs w:val="4"/>
              </w:rPr>
            </w:pPr>
            <w:r>
              <w:rPr>
                <w:sz w:val="4"/>
                <w:szCs w:val="4"/>
              </w:rPr>
            </w:r>
          </w:p>
        </w:tc>
      </w:tr>
      <w:tr>
        <w:trPr/>
        <w:tc>
          <w:tcPr>
            <w:tcW w:w="159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87" w:type="dxa"/>
            <w:gridSpan w:val="33"/>
            <w:tcBorders/>
            <w:tcMar>
              <w:top w:w="0" w:type="dxa"/>
              <w:left w:w="0" w:type="dxa"/>
              <w:bottom w:w="0" w:type="dxa"/>
              <w:right w:w="0" w:type="dxa"/>
            </w:tcMar>
            <w:vAlign w:val="center"/>
          </w:tcPr>
          <w:p>
            <w:pPr>
              <w:pStyle w:val="TableContents"/>
              <w:bidi w:val="0"/>
              <w:spacing w:lineRule="auto" w:line="240" w:before="0" w:after="0"/>
              <w:jc w:val="center"/>
              <w:rPr>
                <w:rFonts w:ascii="Expensify Neue;sans-serif" w:hAnsi="Expensify Neue;sans-serif"/>
                <w:b/>
                <w:color w:val="000000"/>
                <w:sz w:val="20"/>
              </w:rPr>
            </w:pPr>
            <w:r>
              <w:rPr>
                <w:rFonts w:ascii="Expensify Neue;sans-serif" w:hAnsi="Expensify Neue;sans-serif"/>
                <w:b/>
                <w:color w:val="000000"/>
                <w:sz w:val="20"/>
              </w:rPr>
              <w:t>Trading Arrangement</w:t>
            </w:r>
          </w:p>
        </w:tc>
      </w:tr>
      <w:tr>
        <w:trPr/>
        <w:tc>
          <w:tcPr>
            <w:tcW w:w="159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Expensify Neue;sans-serif" w:hAnsi="Expensify Neue;sans-serif"/>
                <w:b/>
                <w:color w:val="000000"/>
                <w:sz w:val="20"/>
              </w:rPr>
            </w:pPr>
            <w:r>
              <w:rPr>
                <w:rFonts w:ascii="Expensify Neue;sans-serif" w:hAnsi="Expensify Neue;sans-serif"/>
                <w:b/>
                <w:color w:val="000000"/>
                <w:sz w:val="20"/>
              </w:rPr>
              <w:t>Reporting Person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1"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Expensify Neue;sans-serif" w:hAnsi="Expensify Neue;sans-serif"/>
                <w:b/>
                <w:color w:val="000000"/>
                <w:sz w:val="20"/>
              </w:rPr>
            </w:pPr>
            <w:r>
              <w:rPr>
                <w:rFonts w:ascii="Expensify Neue;sans-serif" w:hAnsi="Expensify Neue;sans-serif"/>
                <w:b/>
                <w:color w:val="000000"/>
                <w:sz w:val="20"/>
              </w:rPr>
              <w:t>Action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0"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Expensify Neue;sans-serif" w:hAnsi="Expensify Neue;sans-serif"/>
                <w:b/>
                <w:color w:val="000000"/>
                <w:sz w:val="20"/>
              </w:rPr>
            </w:pPr>
            <w:r>
              <w:rPr>
                <w:rFonts w:ascii="Expensify Neue;sans-serif" w:hAnsi="Expensify Neue;sans-serif"/>
                <w:b/>
                <w:color w:val="000000"/>
                <w:sz w:val="20"/>
              </w:rPr>
              <w:t>Date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9" w:type="dxa"/>
            <w:gridSpan w:val="3"/>
            <w:tcBorders/>
            <w:tcMar>
              <w:top w:w="0" w:type="dxa"/>
              <w:left w:w="0" w:type="dxa"/>
              <w:bottom w:w="0" w:type="dxa"/>
              <w:right w:w="0" w:type="dxa"/>
            </w:tcMar>
            <w:vAlign w:val="center"/>
          </w:tcPr>
          <w:p>
            <w:pPr>
              <w:pStyle w:val="TableContents"/>
              <w:bidi w:val="0"/>
              <w:spacing w:lineRule="auto" w:line="240" w:before="0" w:after="0"/>
              <w:jc w:val="center"/>
              <w:rPr/>
            </w:pPr>
            <w:r>
              <w:rPr>
                <w:rFonts w:ascii="Expensify Neue;sans-serif" w:hAnsi="Expensify Neue;sans-serif"/>
                <w:b/>
                <w:color w:val="000000"/>
                <w:sz w:val="20"/>
              </w:rPr>
              <w:t>Rule 10b5-1</w:t>
            </w:r>
            <w:r>
              <w:rPr>
                <w:rFonts w:ascii="Expensify Neue;sans-serif" w:hAnsi="Expensify Neue;sans-serif"/>
                <w:b/>
                <w:color w:val="000000"/>
                <w:sz w:val="13"/>
              </w:rPr>
              <w:t>(1)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6" w:type="dxa"/>
            <w:gridSpan w:val="3"/>
            <w:tcBorders/>
            <w:tcMar>
              <w:top w:w="0" w:type="dxa"/>
              <w:left w:w="0" w:type="dxa"/>
              <w:bottom w:w="0" w:type="dxa"/>
              <w:right w:w="0" w:type="dxa"/>
            </w:tcMar>
            <w:vAlign w:val="center"/>
          </w:tcPr>
          <w:p>
            <w:pPr>
              <w:pStyle w:val="TableContents"/>
              <w:bidi w:val="0"/>
              <w:spacing w:lineRule="auto" w:line="240" w:before="0" w:after="0"/>
              <w:jc w:val="center"/>
              <w:rPr/>
            </w:pPr>
            <w:r>
              <w:rPr>
                <w:rFonts w:ascii="Expensify Neue;sans-serif" w:hAnsi="Expensify Neue;sans-serif"/>
                <w:b/>
                <w:color w:val="000000"/>
                <w:sz w:val="20"/>
              </w:rPr>
              <w:t>Non-Rule 10b5-1</w:t>
            </w:r>
            <w:r>
              <w:rPr>
                <w:rFonts w:ascii="Expensify Neue;sans-serif" w:hAnsi="Expensify Neue;sans-serif"/>
                <w:b/>
                <w:color w:val="000000"/>
                <w:sz w:val="13"/>
              </w:rPr>
              <w:t>(2)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4"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Expensify Neue;sans-serif" w:hAnsi="Expensify Neue;sans-serif"/>
                <w:b/>
                <w:color w:val="000000"/>
                <w:sz w:val="20"/>
              </w:rPr>
            </w:pPr>
            <w:r>
              <w:rPr>
                <w:rFonts w:ascii="Expensify Neue;sans-serif" w:hAnsi="Expensify Neue;sans-serif"/>
                <w:b/>
                <w:color w:val="000000"/>
                <w:sz w:val="20"/>
              </w:rPr>
              <w:t>Total Shares to be Sold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2"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Expensify Neue;sans-serif" w:hAnsi="Expensify Neue;sans-serif"/>
                <w:b/>
                <w:color w:val="000000"/>
                <w:sz w:val="20"/>
              </w:rPr>
            </w:pPr>
            <w:r>
              <w:rPr>
                <w:rFonts w:ascii="Expensify Neue;sans-serif" w:hAnsi="Expensify Neue;sans-serif"/>
                <w:b/>
                <w:color w:val="000000"/>
                <w:sz w:val="20"/>
              </w:rPr>
              <w:t>Expiration Date</w:t>
            </w:r>
          </w:p>
        </w:tc>
      </w:tr>
      <w:tr>
        <w:trPr/>
        <w:tc>
          <w:tcPr>
            <w:tcW w:w="1591"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0"/>
              <w:jc w:val="left"/>
              <w:rPr>
                <w:rFonts w:ascii="Expensify Neue;sans-serif" w:hAnsi="Expensify Neue;sans-serif"/>
                <w:b w:val="false"/>
                <w:color w:val="000000"/>
                <w:sz w:val="20"/>
              </w:rPr>
            </w:pPr>
            <w:r>
              <w:rPr>
                <w:rFonts w:ascii="Expensify Neue;sans-serif" w:hAnsi="Expensify Neue;sans-serif"/>
                <w:b w:val="false"/>
                <w:color w:val="000000"/>
                <w:sz w:val="20"/>
              </w:rPr>
              <w:t>Ryan Schaffer, Chief Financial Officer</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1"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Expensify Neue;sans-serif" w:hAnsi="Expensify Neue;sans-serif"/>
                <w:b w:val="false"/>
                <w:color w:val="000000"/>
                <w:sz w:val="20"/>
              </w:rPr>
            </w:pPr>
            <w:r>
              <w:rPr>
                <w:rFonts w:ascii="Expensify Neue;sans-serif" w:hAnsi="Expensify Neue;sans-serif"/>
                <w:b w:val="false"/>
                <w:color w:val="000000"/>
                <w:sz w:val="20"/>
              </w:rPr>
              <w:t>Terminate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0"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Expensify Neue;sans-serif" w:hAnsi="Expensify Neue;sans-serif"/>
                <w:b w:val="false"/>
                <w:color w:val="000000"/>
                <w:sz w:val="20"/>
              </w:rPr>
            </w:pPr>
            <w:r>
              <w:rPr>
                <w:rFonts w:ascii="Expensify Neue;sans-serif" w:hAnsi="Expensify Neue;sans-serif"/>
                <w:b w:val="false"/>
                <w:color w:val="000000"/>
                <w:sz w:val="20"/>
              </w:rPr>
              <w:t>March 27, 2025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9"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0"/>
              <w:jc w:val="center"/>
              <w:rPr>
                <w:rFonts w:ascii="Expensify Neue;sans-serif" w:hAnsi="Expensify Neue;sans-serif"/>
                <w:b w:val="false"/>
                <w:color w:val="000000"/>
                <w:sz w:val="20"/>
              </w:rPr>
            </w:pPr>
            <w:r>
              <w:rPr>
                <w:rFonts w:ascii="Expensify Neue;sans-serif" w:hAnsi="Expensify Neue;sans-serif"/>
                <w:b w:val="false"/>
                <w:color w:val="000000"/>
                <w:sz w:val="20"/>
              </w:rPr>
              <w:t>X</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4"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0"/>
              <w:jc w:val="center"/>
              <w:rPr/>
            </w:pPr>
            <w:r>
              <w:rPr>
                <w:rFonts w:ascii="Expensify Neue;sans-serif" w:hAnsi="Expensify Neue;sans-serif"/>
                <w:b w:val="false"/>
                <w:color w:val="000000"/>
                <w:sz w:val="20"/>
              </w:rPr>
              <w:t>200,000</w:t>
            </w:r>
            <w:r>
              <w:rPr>
                <w:rFonts w:ascii="Expensify Neue;sans-serif" w:hAnsi="Expensify Neue;sans-serif"/>
                <w:b w:val="false"/>
                <w:color w:val="000000"/>
                <w:sz w:val="13"/>
              </w:rPr>
              <w:t>(3)</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2"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Expensify Neue;sans-serif" w:hAnsi="Expensify Neue;sans-serif"/>
                <w:b w:val="false"/>
                <w:color w:val="000000"/>
                <w:sz w:val="20"/>
              </w:rPr>
            </w:pPr>
            <w:r>
              <w:rPr>
                <w:rFonts w:ascii="Expensify Neue;sans-serif" w:hAnsi="Expensify Neue;sans-serif"/>
                <w:b w:val="false"/>
                <w:color w:val="000000"/>
                <w:sz w:val="20"/>
              </w:rPr>
              <w:t>December 31, 2025</w:t>
            </w:r>
          </w:p>
        </w:tc>
      </w:tr>
      <w:tr>
        <w:trPr/>
        <w:tc>
          <w:tcPr>
            <w:tcW w:w="1591"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Expensify Neue;sans-serif" w:hAnsi="Expensify Neue;sans-serif"/>
                <w:b w:val="false"/>
                <w:color w:val="000000"/>
                <w:sz w:val="20"/>
              </w:rPr>
            </w:pPr>
            <w:r>
              <w:rPr>
                <w:rFonts w:ascii="Expensify Neue;sans-serif" w:hAnsi="Expensify Neue;sans-serif"/>
                <w:b w:val="false"/>
                <w:color w:val="000000"/>
                <w:sz w:val="20"/>
              </w:rPr>
              <w:t>Ryan Schaffer, Chief Financial Officer</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Expensify Neue;sans-serif" w:hAnsi="Expensify Neue;sans-serif"/>
                <w:b w:val="false"/>
                <w:color w:val="000000"/>
                <w:sz w:val="20"/>
              </w:rPr>
            </w:pPr>
            <w:r>
              <w:rPr>
                <w:rFonts w:ascii="Expensify Neue;sans-serif" w:hAnsi="Expensify Neue;sans-serif"/>
                <w:b w:val="false"/>
                <w:color w:val="000000"/>
                <w:sz w:val="20"/>
              </w:rPr>
              <w:t>Adopt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Expensify Neue;sans-serif" w:hAnsi="Expensify Neue;sans-serif"/>
                <w:b w:val="false"/>
                <w:color w:val="000000"/>
                <w:sz w:val="20"/>
              </w:rPr>
            </w:pPr>
            <w:r>
              <w:rPr>
                <w:rFonts w:ascii="Expensify Neue;sans-serif" w:hAnsi="Expensify Neue;sans-serif"/>
                <w:b w:val="false"/>
                <w:color w:val="000000"/>
                <w:sz w:val="20"/>
              </w:rPr>
              <w:t>March 27, 2025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Expensify Neue;sans-serif" w:hAnsi="Expensify Neue;sans-serif"/>
                <w:b w:val="false"/>
                <w:color w:val="000000"/>
                <w:sz w:val="20"/>
              </w:rPr>
            </w:pPr>
            <w:r>
              <w:rPr>
                <w:rFonts w:ascii="Expensify Neue;sans-serif" w:hAnsi="Expensify Neue;sans-serif"/>
                <w:b w:val="false"/>
                <w:color w:val="000000"/>
                <w:sz w:val="20"/>
              </w:rPr>
              <w:t>X</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center"/>
              <w:rPr/>
            </w:pPr>
            <w:r>
              <w:rPr>
                <w:rFonts w:ascii="Expensify Neue;sans-serif" w:hAnsi="Expensify Neue;sans-serif"/>
                <w:b w:val="false"/>
                <w:color w:val="000000"/>
                <w:sz w:val="20"/>
              </w:rPr>
              <w:t>200,000</w:t>
            </w:r>
            <w:r>
              <w:rPr>
                <w:rFonts w:ascii="Expensify Neue;sans-serif" w:hAnsi="Expensify Neue;sans-serif"/>
                <w:b w:val="false"/>
                <w:color w:val="000000"/>
                <w:sz w:val="13"/>
              </w:rPr>
              <w:t>(3)</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Expensify Neue;sans-serif" w:hAnsi="Expensify Neue;sans-serif"/>
                <w:b w:val="false"/>
                <w:color w:val="000000"/>
                <w:sz w:val="20"/>
              </w:rPr>
            </w:pPr>
            <w:r>
              <w:rPr>
                <w:rFonts w:ascii="Expensify Neue;sans-serif" w:hAnsi="Expensify Neue;sans-serif"/>
                <w:b w:val="false"/>
                <w:color w:val="000000"/>
                <w:sz w:val="20"/>
              </w:rPr>
              <w:t>December 31, 2025</w:t>
            </w:r>
          </w:p>
        </w:tc>
      </w:tr>
      <w:tr>
        <w:trPr/>
        <w:tc>
          <w:tcPr>
            <w:tcW w:w="1591"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Expensify Neue;sans-serif" w:hAnsi="Expensify Neue;sans-serif"/>
                <w:b w:val="false"/>
                <w:color w:val="000000"/>
                <w:sz w:val="20"/>
              </w:rPr>
            </w:pPr>
            <w:r>
              <w:rPr>
                <w:rFonts w:ascii="Expensify Neue;sans-serif" w:hAnsi="Expensify Neue;sans-serif"/>
                <w:b w:val="false"/>
                <w:color w:val="000000"/>
                <w:sz w:val="20"/>
              </w:rPr>
              <w:t>David Barrett, Chief Executive Officer</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1"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center"/>
              <w:rPr>
                <w:rFonts w:ascii="Expensify Neue;sans-serif" w:hAnsi="Expensify Neue;sans-serif"/>
                <w:b w:val="false"/>
                <w:color w:val="000000"/>
                <w:sz w:val="20"/>
              </w:rPr>
            </w:pPr>
            <w:r>
              <w:rPr>
                <w:rFonts w:ascii="Expensify Neue;sans-serif" w:hAnsi="Expensify Neue;sans-serif"/>
                <w:b w:val="false"/>
                <w:color w:val="000000"/>
                <w:sz w:val="20"/>
              </w:rPr>
              <w:t>Adopt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Expensify Neue;sans-serif" w:hAnsi="Expensify Neue;sans-serif"/>
                <w:b w:val="false"/>
                <w:color w:val="000000"/>
                <w:sz w:val="20"/>
              </w:rPr>
            </w:pPr>
            <w:r>
              <w:rPr>
                <w:rFonts w:ascii="Expensify Neue;sans-serif" w:hAnsi="Expensify Neue;sans-serif"/>
                <w:b w:val="false"/>
                <w:color w:val="000000"/>
                <w:sz w:val="20"/>
              </w:rPr>
              <w:t>March 31, 2025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center"/>
              <w:rPr>
                <w:rFonts w:ascii="Expensify Neue;sans-serif" w:hAnsi="Expensify Neue;sans-serif"/>
                <w:b w:val="false"/>
                <w:color w:val="000000"/>
                <w:sz w:val="20"/>
              </w:rPr>
            </w:pPr>
            <w:r>
              <w:rPr>
                <w:rFonts w:ascii="Expensify Neue;sans-serif" w:hAnsi="Expensify Neue;sans-serif"/>
                <w:b w:val="false"/>
                <w:color w:val="000000"/>
                <w:sz w:val="20"/>
              </w:rPr>
              <w:t>X</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center"/>
              <w:rPr/>
            </w:pPr>
            <w:r>
              <w:rPr>
                <w:rFonts w:ascii="Expensify Neue;sans-serif" w:hAnsi="Expensify Neue;sans-serif"/>
                <w:b w:val="false"/>
                <w:color w:val="000000"/>
                <w:sz w:val="20"/>
              </w:rPr>
              <w:t>360,000</w:t>
            </w:r>
            <w:r>
              <w:rPr>
                <w:rFonts w:ascii="Expensify Neue;sans-serif" w:hAnsi="Expensify Neue;sans-serif"/>
                <w:b w:val="false"/>
                <w:color w:val="000000"/>
                <w:sz w:val="13"/>
              </w:rPr>
              <w:t>(4)</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Expensify Neue;sans-serif" w:hAnsi="Expensify Neue;sans-serif"/>
                <w:b w:val="false"/>
                <w:color w:val="000000"/>
                <w:sz w:val="20"/>
              </w:rPr>
            </w:pPr>
            <w:r>
              <w:rPr>
                <w:rFonts w:ascii="Expensify Neue;sans-serif" w:hAnsi="Expensify Neue;sans-serif"/>
                <w:b w:val="false"/>
                <w:color w:val="000000"/>
                <w:sz w:val="20"/>
              </w:rPr>
              <w:t>June 30, 2026</w:t>
            </w:r>
          </w:p>
        </w:tc>
      </w:tr>
    </w:tbl>
    <w:p>
      <w:pPr>
        <w:pStyle w:val="TextBody"/>
        <w:bidi w:val="0"/>
        <w:spacing w:lineRule="auto" w:line="288" w:before="0" w:after="0"/>
        <w:ind w:left="0" w:right="0" w:hanging="360"/>
        <w:jc w:val="left"/>
        <w:rPr>
          <w:rFonts w:ascii="Expensify Neue;sans-serif" w:hAnsi="Expensify Neue;sans-serif"/>
          <w:b w:val="false"/>
          <w:color w:val="000000"/>
          <w:sz w:val="15"/>
        </w:rPr>
      </w:pPr>
      <w:r>
        <w:rPr>
          <w:rFonts w:ascii="Expensify Neue;sans-serif" w:hAnsi="Expensify Neue;sans-serif"/>
          <w:b w:val="false"/>
          <w:color w:val="000000"/>
          <w:sz w:val="15"/>
        </w:rPr>
        <w:t>(1)Intended to satisfy the affirmative defense of Rule 10b5-1(c).</w:t>
      </w:r>
    </w:p>
    <w:p>
      <w:pPr>
        <w:pStyle w:val="TextBody"/>
        <w:bidi w:val="0"/>
        <w:spacing w:lineRule="auto" w:line="288" w:before="0" w:after="0"/>
        <w:ind w:left="0" w:right="0" w:hanging="360"/>
        <w:jc w:val="left"/>
        <w:rPr>
          <w:rFonts w:ascii="Expensify Neue;sans-serif" w:hAnsi="Expensify Neue;sans-serif"/>
          <w:b w:val="false"/>
          <w:color w:val="000000"/>
          <w:sz w:val="15"/>
        </w:rPr>
      </w:pPr>
      <w:r>
        <w:rPr>
          <w:rFonts w:ascii="Expensify Neue;sans-serif" w:hAnsi="Expensify Neue;sans-serif"/>
          <w:b w:val="false"/>
          <w:color w:val="000000"/>
          <w:sz w:val="15"/>
        </w:rPr>
        <w:t>(2)Not intended to satisfy the affirmative defense of Rule 10b5-1(c).</w:t>
      </w:r>
    </w:p>
    <w:p>
      <w:pPr>
        <w:pStyle w:val="TextBody"/>
        <w:bidi w:val="0"/>
        <w:spacing w:lineRule="auto" w:line="288" w:before="0" w:after="0"/>
        <w:ind w:left="0" w:right="0" w:hanging="360"/>
        <w:jc w:val="left"/>
        <w:rPr>
          <w:rFonts w:ascii="Expensify Neue;sans-serif" w:hAnsi="Expensify Neue;sans-serif"/>
          <w:b w:val="false"/>
          <w:color w:val="000000"/>
          <w:sz w:val="15"/>
        </w:rPr>
      </w:pPr>
      <w:r>
        <w:rPr>
          <w:rFonts w:ascii="Expensify Neue;sans-serif" w:hAnsi="Expensify Neue;sans-serif"/>
          <w:b w:val="false"/>
          <w:color w:val="000000"/>
          <w:sz w:val="15"/>
        </w:rPr>
        <w:t>(3)The trading plan provides for the sale of up to 200,000 shares and terminates upon the earlier of (i) December 31, 2025 and (ii) the aggregate sale of 200,000 shares under the trading plan.</w:t>
      </w:r>
    </w:p>
    <w:p>
      <w:pPr>
        <w:pStyle w:val="TextBody"/>
        <w:bidi w:val="0"/>
        <w:spacing w:lineRule="auto" w:line="288" w:before="0" w:after="0"/>
        <w:ind w:left="0" w:right="0" w:hanging="360"/>
        <w:jc w:val="left"/>
        <w:rPr>
          <w:rFonts w:ascii="Expensify Neue;sans-serif" w:hAnsi="Expensify Neue;sans-serif"/>
          <w:b w:val="false"/>
          <w:color w:val="000000"/>
          <w:sz w:val="15"/>
        </w:rPr>
      </w:pPr>
      <w:r>
        <w:rPr>
          <w:rFonts w:ascii="Expensify Neue;sans-serif" w:hAnsi="Expensify Neue;sans-serif"/>
          <w:b w:val="false"/>
          <w:color w:val="000000"/>
          <w:sz w:val="15"/>
        </w:rPr>
        <w:t>(4)The trading plan provides for the sale of up to 360,000 shares and terminates upon the earlier of (i) June 30, 2026 and (ii) the aggregate sale of 360,000 shares under the trading plan. This trading plan is a successor plan to the plan dated August 15, 2024.</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5">
                <wp:simplePos x="0" y="0"/>
                <wp:positionH relativeFrom="character">
                  <wp:align>left</wp:align>
                </wp:positionH>
                <wp:positionV relativeFrom="line">
                  <wp:posOffset>635</wp:posOffset>
                </wp:positionV>
                <wp:extent cx="6480175" cy="599440"/>
                <wp:effectExtent l="0" t="0" r="0" b="0"/>
                <wp:wrapNone/>
                <wp:docPr id="44" name="Frame43"/>
                <a:graphic xmlns:a="http://schemas.openxmlformats.org/drawingml/2006/main">
                  <a:graphicData uri="http://schemas.microsoft.com/office/word/2010/wordprocessingShape">
                    <wps:wsp>
                      <wps:cNvSpPr txBox="1"/>
                      <wps:spPr>
                        <a:xfrm>
                          <a:off x="0" y="0"/>
                          <a:ext cx="6480175" cy="599440"/>
                        </a:xfrm>
                        <a:prstGeom prst="rect"/>
                        <a:solidFill>
                          <a:srgbClr val="FFFFFF"/>
                        </a:solidFill>
                      </wps:spPr>
                      <wps:txbx>
                        <w:txbxContent>
                          <w:tbl>
                            <w:tblPr>
                              <w:tblW w:w="406" w:type="dxa"/>
                              <w:jc w:val="center"/>
                              <w:tblInd w:w="0" w:type="dxa"/>
                              <w:tblLayout w:type="fixed"/>
                              <w:tblCellMar>
                                <w:top w:w="28" w:type="dxa"/>
                                <w:left w:w="28" w:type="dxa"/>
                                <w:bottom w:w="28" w:type="dxa"/>
                                <w:right w:w="28" w:type="dxa"/>
                              </w:tblCellMar>
                            </w:tblPr>
                            <w:tblGrid>
                              <w:gridCol w:w="130"/>
                              <w:gridCol w:w="114"/>
                              <w:gridCol w:w="162"/>
                            </w:tblGrid>
                            <w:tr>
                              <w:trPr/>
                              <w:tc>
                                <w:tcPr>
                                  <w:tcW w:w="130"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rPr/>
                              <w:tc>
                                <w:tcPr>
                                  <w:tcW w:w="406"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0"/>
                                    <w:jc w:val="center"/>
                                    <w:rPr>
                                      <w:rFonts w:ascii="Expensify Neue;sans-serif" w:hAnsi="Expensify Neue;sans-serif"/>
                                      <w:b w:val="false"/>
                                      <w:color w:val="000000"/>
                                      <w:sz w:val="20"/>
                                    </w:rPr>
                                  </w:pPr>
                                  <w:r>
                                    <w:rPr>
                                      <w:rFonts w:ascii="Expensify Neue;sans-serif" w:hAnsi="Expensify Neue;sans-serif"/>
                                      <w:b w:val="false"/>
                                      <w:color w:val="000000"/>
                                      <w:sz w:val="20"/>
                                    </w:rPr>
                                    <w:t>38</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7.2pt;mso-wrap-distance-left:0pt;mso-wrap-distance-right:0pt;mso-wrap-distance-top:0pt;mso-wrap-distance-bottom:0pt;margin-top:0pt;mso-position-vertical:top;mso-position-vertical-relative:text;margin-left:0pt;mso-position-horizontal:left;mso-position-horizontal-relative:text">
                <v:textbox>
                  <w:txbxContent>
                    <w:tbl>
                      <w:tblPr>
                        <w:tblW w:w="406" w:type="dxa"/>
                        <w:jc w:val="center"/>
                        <w:tblInd w:w="0" w:type="dxa"/>
                        <w:tblLayout w:type="fixed"/>
                        <w:tblCellMar>
                          <w:top w:w="28" w:type="dxa"/>
                          <w:left w:w="28" w:type="dxa"/>
                          <w:bottom w:w="28" w:type="dxa"/>
                          <w:right w:w="28" w:type="dxa"/>
                        </w:tblCellMar>
                      </w:tblPr>
                      <w:tblGrid>
                        <w:gridCol w:w="130"/>
                        <w:gridCol w:w="114"/>
                        <w:gridCol w:w="162"/>
                      </w:tblGrid>
                      <w:tr>
                        <w:trPr/>
                        <w:tc>
                          <w:tcPr>
                            <w:tcW w:w="130"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rPr/>
                        <w:tc>
                          <w:tcPr>
                            <w:tcW w:w="406"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0"/>
                              <w:jc w:val="center"/>
                              <w:rPr>
                                <w:rFonts w:ascii="Expensify Neue;sans-serif" w:hAnsi="Expensify Neue;sans-serif"/>
                                <w:b w:val="false"/>
                                <w:color w:val="000000"/>
                                <w:sz w:val="20"/>
                              </w:rPr>
                            </w:pPr>
                            <w:r>
                              <w:rPr>
                                <w:rFonts w:ascii="Expensify Neue;sans-serif" w:hAnsi="Expensify Neue;sans-serif"/>
                                <w:b w:val="false"/>
                                <w:color w:val="000000"/>
                                <w:sz w:val="20"/>
                              </w:rPr>
                              <w:t>38</w:t>
                            </w:r>
                          </w:p>
                        </w:tc>
                      </w:tr>
                    </w:tbl>
                    <w:p>
                      <w:pPr>
                        <w:pStyle w:val="TextBody"/>
                        <w:bidi w:val="0"/>
                        <w:spacing w:before="0" w:after="283"/>
                        <w:jc w:val="left"/>
                        <w:rPr/>
                      </w:pPr>
                      <w:r>
                        <w:rPr/>
                      </w:r>
                    </w:p>
                  </w:txbxContent>
                </v:textbox>
                <w10:wrap type="none"/>
              </v:rect>
            </w:pict>
          </mc:Fallback>
        </mc:AlternateContent>
      </w:r>
    </w:p>
    <w:p>
      <w:pPr>
        <w:pStyle w:val="TextBody"/>
        <w:bidi w:val="0"/>
        <w:spacing w:lineRule="auto" w:line="288" w:before="0" w:after="0"/>
        <w:jc w:val="left"/>
        <w:rPr/>
      </w:pPr>
      <w:hyperlink w:anchor="i52a648c4f0e449f7bc3c2044827c8f0d_7">
        <w:r>
          <w:rPr>
            <w:rStyle w:val="InternetLink"/>
            <w:rFonts w:ascii="Expensify Neue;sans-serif" w:hAnsi="Expensify Neue;sans-serif"/>
            <w:b/>
            <w:color w:val="0000FF"/>
            <w:sz w:val="20"/>
            <w:u w:val="single"/>
          </w:rPr>
          <w:t>Table of Contents</w:t>
        </w:r>
      </w:hyperlink>
    </w:p>
    <w:p>
      <w:pPr>
        <w:pStyle w:val="TextBody"/>
        <w:bidi w:val="0"/>
        <w:spacing w:lineRule="auto" w:line="288" w:before="0" w:after="0"/>
        <w:jc w:val="left"/>
        <w:rPr>
          <w:rFonts w:ascii="Expensify Neue;sans-serif" w:hAnsi="Expensify Neue;sans-serif"/>
          <w:b/>
          <w:color w:val="002E22"/>
          <w:sz w:val="32"/>
        </w:rPr>
      </w:pPr>
      <w:r>
        <w:rPr>
          <w:rFonts w:ascii="Expensify Neue;sans-serif" w:hAnsi="Expensify Neue;sans-serif"/>
          <w:b/>
          <w:color w:val="002E22"/>
          <w:sz w:val="32"/>
        </w:rPr>
        <w:t>Item 6. Exhibits</w:t>
      </w:r>
    </w:p>
    <w:tbl>
      <w:tblPr>
        <w:tblW w:w="10205" w:type="dxa"/>
        <w:jc w:val="left"/>
        <w:tblInd w:w="0" w:type="dxa"/>
        <w:tblLayout w:type="fixed"/>
        <w:tblCellMar>
          <w:top w:w="28" w:type="dxa"/>
          <w:left w:w="28" w:type="dxa"/>
          <w:bottom w:w="28" w:type="dxa"/>
          <w:right w:w="28" w:type="dxa"/>
        </w:tblCellMar>
      </w:tblPr>
      <w:tblGrid>
        <w:gridCol w:w="310"/>
        <w:gridCol w:w="272"/>
        <w:gridCol w:w="274"/>
        <w:gridCol w:w="109"/>
        <w:gridCol w:w="109"/>
        <w:gridCol w:w="109"/>
        <w:gridCol w:w="1849"/>
        <w:gridCol w:w="1706"/>
        <w:gridCol w:w="1722"/>
        <w:gridCol w:w="109"/>
        <w:gridCol w:w="109"/>
        <w:gridCol w:w="109"/>
        <w:gridCol w:w="210"/>
        <w:gridCol w:w="210"/>
        <w:gridCol w:w="174"/>
        <w:gridCol w:w="295"/>
        <w:gridCol w:w="295"/>
        <w:gridCol w:w="200"/>
        <w:gridCol w:w="255"/>
        <w:gridCol w:w="255"/>
        <w:gridCol w:w="256"/>
        <w:gridCol w:w="390"/>
        <w:gridCol w:w="390"/>
        <w:gridCol w:w="488"/>
      </w:tblGrid>
      <w:tr>
        <w:trPr/>
        <w:tc>
          <w:tcPr>
            <w:tcW w:w="310" w:type="dxa"/>
            <w:tcBorders/>
            <w:vAlign w:val="center"/>
          </w:tcPr>
          <w:p>
            <w:pPr>
              <w:pStyle w:val="TableContents"/>
              <w:bidi w:val="0"/>
              <w:spacing w:before="0" w:after="283"/>
              <w:jc w:val="left"/>
              <w:rPr>
                <w:sz w:val="4"/>
                <w:szCs w:val="4"/>
              </w:rPr>
            </w:pPr>
            <w:r>
              <w:rPr>
                <w:sz w:val="4"/>
                <w:szCs w:val="4"/>
              </w:rPr>
            </w:r>
          </w:p>
        </w:tc>
        <w:tc>
          <w:tcPr>
            <w:tcW w:w="272" w:type="dxa"/>
            <w:tcBorders/>
            <w:vAlign w:val="center"/>
          </w:tcPr>
          <w:p>
            <w:pPr>
              <w:pStyle w:val="TableContents"/>
              <w:bidi w:val="0"/>
              <w:spacing w:before="0" w:after="283"/>
              <w:jc w:val="left"/>
              <w:rPr>
                <w:sz w:val="4"/>
                <w:szCs w:val="4"/>
              </w:rPr>
            </w:pPr>
            <w:r>
              <w:rPr>
                <w:sz w:val="4"/>
                <w:szCs w:val="4"/>
              </w:rPr>
            </w:r>
          </w:p>
        </w:tc>
        <w:tc>
          <w:tcPr>
            <w:tcW w:w="27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49" w:type="dxa"/>
            <w:tcBorders/>
            <w:vAlign w:val="center"/>
          </w:tcPr>
          <w:p>
            <w:pPr>
              <w:pStyle w:val="TableContents"/>
              <w:bidi w:val="0"/>
              <w:spacing w:before="0" w:after="283"/>
              <w:jc w:val="left"/>
              <w:rPr>
                <w:sz w:val="4"/>
                <w:szCs w:val="4"/>
              </w:rPr>
            </w:pPr>
            <w:r>
              <w:rPr>
                <w:sz w:val="4"/>
                <w:szCs w:val="4"/>
              </w:rPr>
            </w:r>
          </w:p>
        </w:tc>
        <w:tc>
          <w:tcPr>
            <w:tcW w:w="1706" w:type="dxa"/>
            <w:tcBorders/>
            <w:vAlign w:val="center"/>
          </w:tcPr>
          <w:p>
            <w:pPr>
              <w:pStyle w:val="TableContents"/>
              <w:bidi w:val="0"/>
              <w:spacing w:before="0" w:after="283"/>
              <w:jc w:val="left"/>
              <w:rPr>
                <w:sz w:val="4"/>
                <w:szCs w:val="4"/>
              </w:rPr>
            </w:pPr>
            <w:r>
              <w:rPr>
                <w:sz w:val="4"/>
                <w:szCs w:val="4"/>
              </w:rPr>
            </w:r>
          </w:p>
        </w:tc>
        <w:tc>
          <w:tcPr>
            <w:tcW w:w="172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0" w:type="dxa"/>
            <w:tcBorders/>
            <w:vAlign w:val="center"/>
          </w:tcPr>
          <w:p>
            <w:pPr>
              <w:pStyle w:val="TableContents"/>
              <w:bidi w:val="0"/>
              <w:spacing w:before="0" w:after="283"/>
              <w:jc w:val="left"/>
              <w:rPr>
                <w:sz w:val="4"/>
                <w:szCs w:val="4"/>
              </w:rPr>
            </w:pPr>
            <w:r>
              <w:rPr>
                <w:sz w:val="4"/>
                <w:szCs w:val="4"/>
              </w:rPr>
            </w:r>
          </w:p>
        </w:tc>
        <w:tc>
          <w:tcPr>
            <w:tcW w:w="210" w:type="dxa"/>
            <w:tcBorders/>
            <w:vAlign w:val="center"/>
          </w:tcPr>
          <w:p>
            <w:pPr>
              <w:pStyle w:val="TableContents"/>
              <w:bidi w:val="0"/>
              <w:spacing w:before="0" w:after="283"/>
              <w:jc w:val="left"/>
              <w:rPr>
                <w:sz w:val="4"/>
                <w:szCs w:val="4"/>
              </w:rPr>
            </w:pPr>
            <w:r>
              <w:rPr>
                <w:sz w:val="4"/>
                <w:szCs w:val="4"/>
              </w:rPr>
            </w:r>
          </w:p>
        </w:tc>
        <w:tc>
          <w:tcPr>
            <w:tcW w:w="174" w:type="dxa"/>
            <w:tcBorders/>
            <w:vAlign w:val="center"/>
          </w:tcPr>
          <w:p>
            <w:pPr>
              <w:pStyle w:val="TableContents"/>
              <w:bidi w:val="0"/>
              <w:spacing w:before="0" w:after="283"/>
              <w:jc w:val="left"/>
              <w:rPr>
                <w:sz w:val="4"/>
                <w:szCs w:val="4"/>
              </w:rPr>
            </w:pPr>
            <w:r>
              <w:rPr>
                <w:sz w:val="4"/>
                <w:szCs w:val="4"/>
              </w:rPr>
            </w:r>
          </w:p>
        </w:tc>
        <w:tc>
          <w:tcPr>
            <w:tcW w:w="295" w:type="dxa"/>
            <w:tcBorders/>
            <w:vAlign w:val="center"/>
          </w:tcPr>
          <w:p>
            <w:pPr>
              <w:pStyle w:val="TableContents"/>
              <w:bidi w:val="0"/>
              <w:spacing w:before="0" w:after="283"/>
              <w:jc w:val="left"/>
              <w:rPr>
                <w:sz w:val="4"/>
                <w:szCs w:val="4"/>
              </w:rPr>
            </w:pPr>
            <w:r>
              <w:rPr>
                <w:sz w:val="4"/>
                <w:szCs w:val="4"/>
              </w:rPr>
            </w:r>
          </w:p>
        </w:tc>
        <w:tc>
          <w:tcPr>
            <w:tcW w:w="295"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sz w:val="4"/>
                <w:szCs w:val="4"/>
              </w:rPr>
            </w:pPr>
            <w:r>
              <w:rPr>
                <w:sz w:val="4"/>
                <w:szCs w:val="4"/>
              </w:rPr>
            </w:r>
          </w:p>
        </w:tc>
        <w:tc>
          <w:tcPr>
            <w:tcW w:w="255" w:type="dxa"/>
            <w:tcBorders/>
            <w:vAlign w:val="center"/>
          </w:tcPr>
          <w:p>
            <w:pPr>
              <w:pStyle w:val="TableContents"/>
              <w:bidi w:val="0"/>
              <w:spacing w:before="0" w:after="283"/>
              <w:jc w:val="left"/>
              <w:rPr>
                <w:sz w:val="4"/>
                <w:szCs w:val="4"/>
              </w:rPr>
            </w:pPr>
            <w:r>
              <w:rPr>
                <w:sz w:val="4"/>
                <w:szCs w:val="4"/>
              </w:rPr>
            </w:r>
          </w:p>
        </w:tc>
        <w:tc>
          <w:tcPr>
            <w:tcW w:w="255"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390" w:type="dxa"/>
            <w:tcBorders/>
            <w:vAlign w:val="center"/>
          </w:tcPr>
          <w:p>
            <w:pPr>
              <w:pStyle w:val="TableContents"/>
              <w:bidi w:val="0"/>
              <w:spacing w:before="0" w:after="283"/>
              <w:jc w:val="left"/>
              <w:rPr>
                <w:sz w:val="4"/>
                <w:szCs w:val="4"/>
              </w:rPr>
            </w:pPr>
            <w:r>
              <w:rPr>
                <w:sz w:val="4"/>
                <w:szCs w:val="4"/>
              </w:rPr>
            </w:r>
          </w:p>
        </w:tc>
        <w:tc>
          <w:tcPr>
            <w:tcW w:w="390" w:type="dxa"/>
            <w:tcBorders/>
            <w:vAlign w:val="center"/>
          </w:tcPr>
          <w:p>
            <w:pPr>
              <w:pStyle w:val="TableContents"/>
              <w:bidi w:val="0"/>
              <w:spacing w:before="0" w:after="283"/>
              <w:jc w:val="left"/>
              <w:rPr>
                <w:sz w:val="4"/>
                <w:szCs w:val="4"/>
              </w:rPr>
            </w:pPr>
            <w:r>
              <w:rPr>
                <w:sz w:val="4"/>
                <w:szCs w:val="4"/>
              </w:rPr>
            </w:r>
          </w:p>
        </w:tc>
        <w:tc>
          <w:tcPr>
            <w:tcW w:w="488" w:type="dxa"/>
            <w:tcBorders/>
            <w:vAlign w:val="center"/>
          </w:tcPr>
          <w:p>
            <w:pPr>
              <w:pStyle w:val="TableContents"/>
              <w:bidi w:val="0"/>
              <w:spacing w:before="0" w:after="283"/>
              <w:jc w:val="left"/>
              <w:rPr>
                <w:sz w:val="4"/>
                <w:szCs w:val="4"/>
              </w:rPr>
            </w:pPr>
            <w:r>
              <w:rPr>
                <w:sz w:val="4"/>
                <w:szCs w:val="4"/>
              </w:rPr>
            </w:r>
          </w:p>
        </w:tc>
      </w:tr>
      <w:tr>
        <w:trPr/>
        <w:tc>
          <w:tcPr>
            <w:tcW w:w="85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7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18" w:type="dxa"/>
            <w:gridSpan w:val="12"/>
            <w:tcBorders/>
            <w:tcMar>
              <w:top w:w="0" w:type="dxa"/>
              <w:left w:w="0" w:type="dxa"/>
              <w:bottom w:w="0" w:type="dxa"/>
              <w:right w:w="0" w:type="dxa"/>
            </w:tcMar>
            <w:vAlign w:val="center"/>
          </w:tcPr>
          <w:p>
            <w:pPr>
              <w:pStyle w:val="TableContents"/>
              <w:bidi w:val="0"/>
              <w:spacing w:lineRule="auto" w:line="240" w:before="0" w:after="283"/>
              <w:jc w:val="center"/>
              <w:rPr>
                <w:rFonts w:ascii="Expensify Neue;sans-serif" w:hAnsi="Expensify Neue;sans-serif"/>
                <w:b/>
                <w:color w:val="000000"/>
                <w:sz w:val="16"/>
              </w:rPr>
            </w:pPr>
            <w:r>
              <w:rPr>
                <w:rFonts w:ascii="Expensify Neue;sans-serif" w:hAnsi="Expensify Neue;sans-serif"/>
                <w:b/>
                <w:color w:val="000000"/>
                <w:sz w:val="16"/>
              </w:rPr>
              <w:t>Incorporated by Reference</w:t>
            </w:r>
          </w:p>
        </w:tc>
      </w:tr>
      <w:tr>
        <w:trPr/>
        <w:tc>
          <w:tcPr>
            <w:tcW w:w="85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7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4"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8"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5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Expensify Neue;sans-serif" w:hAnsi="Expensify Neue;sans-serif"/>
                <w:b/>
                <w:color w:val="000000"/>
                <w:sz w:val="16"/>
              </w:rPr>
            </w:pPr>
            <w:r>
              <w:rPr>
                <w:rFonts w:ascii="Expensify Neue;sans-serif" w:hAnsi="Expensify Neue;sans-serif"/>
                <w:b/>
                <w:color w:val="000000"/>
                <w:sz w:val="16"/>
              </w:rPr>
              <w:t>Exhibit No.</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7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Expensify Neue;sans-serif" w:hAnsi="Expensify Neue;sans-serif"/>
                <w:b/>
                <w:color w:val="000000"/>
                <w:sz w:val="16"/>
              </w:rPr>
            </w:pPr>
            <w:r>
              <w:rPr>
                <w:rFonts w:ascii="Expensify Neue;sans-serif" w:hAnsi="Expensify Neue;sans-serif"/>
                <w:b/>
                <w:color w:val="000000"/>
                <w:sz w:val="16"/>
              </w:rPr>
              <w:t>Name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Expensify Neue;sans-serif" w:hAnsi="Expensify Neue;sans-serif"/>
                <w:b/>
                <w:color w:val="000000"/>
                <w:sz w:val="16"/>
              </w:rPr>
            </w:pPr>
            <w:r>
              <w:rPr>
                <w:rFonts w:ascii="Expensify Neue;sans-serif" w:hAnsi="Expensify Neue;sans-serif"/>
                <w:b/>
                <w:color w:val="000000"/>
                <w:sz w:val="16"/>
              </w:rPr>
              <w:t>Form</w:t>
            </w:r>
          </w:p>
        </w:tc>
        <w:tc>
          <w:tcPr>
            <w:tcW w:w="79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Expensify Neue;sans-serif" w:hAnsi="Expensify Neue;sans-serif"/>
                <w:b/>
                <w:color w:val="000000"/>
                <w:sz w:val="16"/>
              </w:rPr>
            </w:pPr>
            <w:r>
              <w:rPr>
                <w:rFonts w:ascii="Expensify Neue;sans-serif" w:hAnsi="Expensify Neue;sans-serif"/>
                <w:b/>
                <w:color w:val="000000"/>
                <w:sz w:val="16"/>
              </w:rPr>
              <w:t>File No.</w:t>
            </w:r>
          </w:p>
        </w:tc>
        <w:tc>
          <w:tcPr>
            <w:tcW w:w="76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Expensify Neue;sans-serif" w:hAnsi="Expensify Neue;sans-serif"/>
                <w:b/>
                <w:color w:val="000000"/>
                <w:sz w:val="16"/>
              </w:rPr>
            </w:pPr>
            <w:r>
              <w:rPr>
                <w:rFonts w:ascii="Expensify Neue;sans-serif" w:hAnsi="Expensify Neue;sans-serif"/>
                <w:b/>
                <w:color w:val="000000"/>
                <w:sz w:val="16"/>
              </w:rPr>
              <w:t>Exhibit</w:t>
            </w:r>
          </w:p>
        </w:tc>
        <w:tc>
          <w:tcPr>
            <w:tcW w:w="1268"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Expensify Neue;sans-serif" w:hAnsi="Expensify Neue;sans-serif"/>
                <w:b/>
                <w:color w:val="000000"/>
                <w:sz w:val="16"/>
              </w:rPr>
            </w:pPr>
            <w:r>
              <w:rPr>
                <w:rFonts w:ascii="Expensify Neue;sans-serif" w:hAnsi="Expensify Neue;sans-serif"/>
                <w:b/>
                <w:color w:val="000000"/>
                <w:sz w:val="16"/>
              </w:rPr>
              <w:t>Filing Date</w:t>
            </w:r>
          </w:p>
        </w:tc>
      </w:tr>
      <w:tr>
        <w:trPr/>
        <w:tc>
          <w:tcPr>
            <w:tcW w:w="85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Expensify Neue;sans-serif" w:hAnsi="Expensify Neue;sans-serif"/>
                <w:b w:val="false"/>
                <w:color w:val="000000"/>
                <w:sz w:val="18"/>
              </w:rPr>
            </w:pPr>
            <w:r>
              <w:rPr>
                <w:rFonts w:ascii="Expensify Neue;sans-serif" w:hAnsi="Expensify Neue;sans-serif"/>
                <w:b w:val="false"/>
                <w:color w:val="000000"/>
                <w:sz w:val="18"/>
              </w:rPr>
              <w:t>3.1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7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left"/>
              <w:rPr/>
            </w:pPr>
            <w:hyperlink r:id="rId3">
              <w:r>
                <w:rPr>
                  <w:rStyle w:val="InternetLink"/>
                  <w:rFonts w:ascii="Expensify Neue;sans-serif" w:hAnsi="Expensify Neue;sans-serif"/>
                  <w:b w:val="false"/>
                  <w:color w:val="0000FF"/>
                  <w:sz w:val="18"/>
                  <w:u w:val="single"/>
                </w:rPr>
                <w:t>Amended and Restated Certificate of Incorporation of the Registrant.</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Expensify Neue;sans-serif" w:hAnsi="Expensify Neue;sans-serif"/>
                <w:b w:val="false"/>
                <w:color w:val="000000"/>
                <w:sz w:val="18"/>
              </w:rPr>
            </w:pPr>
            <w:r>
              <w:rPr>
                <w:rFonts w:ascii="Expensify Neue;sans-serif" w:hAnsi="Expensify Neue;sans-serif"/>
                <w:b w:val="false"/>
                <w:color w:val="000000"/>
                <w:sz w:val="18"/>
              </w:rPr>
              <w:t>10-Q</w:t>
            </w:r>
          </w:p>
        </w:tc>
        <w:tc>
          <w:tcPr>
            <w:tcW w:w="79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Expensify Neue;sans-serif" w:hAnsi="Expensify Neue;sans-serif"/>
                <w:b w:val="false"/>
                <w:color w:val="000000"/>
                <w:sz w:val="18"/>
              </w:rPr>
            </w:pPr>
            <w:r>
              <w:rPr>
                <w:rFonts w:ascii="Expensify Neue;sans-serif" w:hAnsi="Expensify Neue;sans-serif"/>
                <w:b w:val="false"/>
                <w:color w:val="000000"/>
                <w:sz w:val="18"/>
              </w:rPr>
              <w:t>001-41043</w:t>
            </w:r>
          </w:p>
        </w:tc>
        <w:tc>
          <w:tcPr>
            <w:tcW w:w="76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Expensify Neue;sans-serif" w:hAnsi="Expensify Neue;sans-serif"/>
                <w:b w:val="false"/>
                <w:color w:val="000000"/>
                <w:sz w:val="18"/>
              </w:rPr>
            </w:pPr>
            <w:r>
              <w:rPr>
                <w:rFonts w:ascii="Expensify Neue;sans-serif" w:hAnsi="Expensify Neue;sans-serif"/>
                <w:b w:val="false"/>
                <w:color w:val="000000"/>
                <w:sz w:val="18"/>
              </w:rPr>
              <w:t>3.1</w:t>
            </w:r>
          </w:p>
        </w:tc>
        <w:tc>
          <w:tcPr>
            <w:tcW w:w="126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Expensify Neue;sans-serif" w:hAnsi="Expensify Neue;sans-serif"/>
                <w:b w:val="false"/>
                <w:color w:val="000000"/>
                <w:sz w:val="18"/>
              </w:rPr>
            </w:pPr>
            <w:r>
              <w:rPr>
                <w:rFonts w:ascii="Expensify Neue;sans-serif" w:hAnsi="Expensify Neue;sans-serif"/>
                <w:b w:val="false"/>
                <w:color w:val="000000"/>
                <w:sz w:val="18"/>
              </w:rPr>
              <w:t>November 8, 2024</w:t>
            </w:r>
          </w:p>
        </w:tc>
      </w:tr>
      <w:tr>
        <w:trPr/>
        <w:tc>
          <w:tcPr>
            <w:tcW w:w="85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7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5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Expensify Neue;sans-serif" w:hAnsi="Expensify Neue;sans-serif"/>
                <w:b w:val="false"/>
                <w:color w:val="000000"/>
                <w:sz w:val="18"/>
              </w:rPr>
            </w:pPr>
            <w:r>
              <w:rPr>
                <w:rFonts w:ascii="Expensify Neue;sans-serif" w:hAnsi="Expensify Neue;sans-serif"/>
                <w:b w:val="false"/>
                <w:color w:val="000000"/>
                <w:sz w:val="18"/>
              </w:rPr>
              <w:t>3.2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77"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4">
              <w:r>
                <w:rPr>
                  <w:rStyle w:val="InternetLink"/>
                  <w:rFonts w:ascii="Expensify Neue;sans-serif" w:hAnsi="Expensify Neue;sans-serif"/>
                  <w:b w:val="false"/>
                  <w:color w:val="0000FF"/>
                  <w:sz w:val="18"/>
                  <w:u w:val="single"/>
                </w:rPr>
                <w:t>Amended and Restated Bylaws of the Registrant.</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Expensify Neue;sans-serif" w:hAnsi="Expensify Neue;sans-serif"/>
                <w:b w:val="false"/>
                <w:color w:val="000000"/>
                <w:sz w:val="18"/>
              </w:rPr>
            </w:pPr>
            <w:r>
              <w:rPr>
                <w:rFonts w:ascii="Expensify Neue;sans-serif" w:hAnsi="Expensify Neue;sans-serif"/>
                <w:b w:val="false"/>
                <w:color w:val="000000"/>
                <w:sz w:val="18"/>
              </w:rPr>
              <w:t>8-K</w:t>
            </w:r>
          </w:p>
        </w:tc>
        <w:tc>
          <w:tcPr>
            <w:tcW w:w="79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Expensify Neue;sans-serif" w:hAnsi="Expensify Neue;sans-serif"/>
                <w:b w:val="false"/>
                <w:color w:val="000000"/>
                <w:sz w:val="18"/>
              </w:rPr>
            </w:pPr>
            <w:r>
              <w:rPr>
                <w:rFonts w:ascii="Expensify Neue;sans-serif" w:hAnsi="Expensify Neue;sans-serif"/>
                <w:b w:val="false"/>
                <w:color w:val="000000"/>
                <w:sz w:val="18"/>
              </w:rPr>
              <w:t>001-41043</w:t>
            </w:r>
          </w:p>
        </w:tc>
        <w:tc>
          <w:tcPr>
            <w:tcW w:w="76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Expensify Neue;sans-serif" w:hAnsi="Expensify Neue;sans-serif"/>
                <w:b w:val="false"/>
                <w:color w:val="000000"/>
                <w:sz w:val="18"/>
              </w:rPr>
            </w:pPr>
            <w:r>
              <w:rPr>
                <w:rFonts w:ascii="Expensify Neue;sans-serif" w:hAnsi="Expensify Neue;sans-serif"/>
                <w:b w:val="false"/>
                <w:color w:val="000000"/>
                <w:sz w:val="18"/>
              </w:rPr>
              <w:t>3.2</w:t>
            </w:r>
          </w:p>
        </w:tc>
        <w:tc>
          <w:tcPr>
            <w:tcW w:w="1268"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Expensify Neue;sans-serif" w:hAnsi="Expensify Neue;sans-serif"/>
                <w:b w:val="false"/>
                <w:color w:val="000000"/>
                <w:sz w:val="18"/>
              </w:rPr>
            </w:pPr>
            <w:r>
              <w:rPr>
                <w:rFonts w:ascii="Expensify Neue;sans-serif" w:hAnsi="Expensify Neue;sans-serif"/>
                <w:b w:val="false"/>
                <w:color w:val="000000"/>
                <w:sz w:val="18"/>
              </w:rPr>
              <w:t>November 15, 2021</w:t>
            </w:r>
          </w:p>
        </w:tc>
      </w:tr>
      <w:tr>
        <w:trPr/>
        <w:tc>
          <w:tcPr>
            <w:tcW w:w="85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7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5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Expensify Neue;sans-serif" w:hAnsi="Expensify Neue;sans-serif"/>
                <w:b w:val="false"/>
                <w:color w:val="000000"/>
                <w:sz w:val="18"/>
              </w:rPr>
            </w:pPr>
            <w:r>
              <w:rPr>
                <w:rFonts w:ascii="Expensify Neue;sans-serif" w:hAnsi="Expensify Neue;sans-serif"/>
                <w:b w:val="false"/>
                <w:color w:val="000000"/>
                <w:sz w:val="18"/>
              </w:rPr>
              <w:t>10.1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77"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5">
              <w:r>
                <w:rPr>
                  <w:rStyle w:val="InternetLink"/>
                  <w:rFonts w:ascii="Expensify Neue;sans-serif" w:hAnsi="Expensify Neue;sans-serif"/>
                  <w:b w:val="false"/>
                  <w:color w:val="0000FF"/>
                  <w:sz w:val="18"/>
                  <w:u w:val="single"/>
                </w:rPr>
                <w:t>Third Amendment to the Second Amended and Restated Loan and Security Agreement, dated as of February 13, 2025, by and among the Registrant, the Lenders party thereto and Canadian Imperial Bank of Commerce.</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Expensify Neue;sans-serif" w:hAnsi="Expensify Neue;sans-serif"/>
                <w:b w:val="false"/>
                <w:color w:val="000000"/>
                <w:sz w:val="18"/>
              </w:rPr>
            </w:pPr>
            <w:r>
              <w:rPr>
                <w:rFonts w:ascii="Expensify Neue;sans-serif" w:hAnsi="Expensify Neue;sans-serif"/>
                <w:b w:val="false"/>
                <w:color w:val="000000"/>
                <w:sz w:val="18"/>
              </w:rPr>
              <w:t>10-K</w:t>
            </w:r>
          </w:p>
        </w:tc>
        <w:tc>
          <w:tcPr>
            <w:tcW w:w="79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Expensify Neue;sans-serif" w:hAnsi="Expensify Neue;sans-serif"/>
                <w:b w:val="false"/>
                <w:color w:val="000000"/>
                <w:sz w:val="18"/>
              </w:rPr>
            </w:pPr>
            <w:r>
              <w:rPr>
                <w:rFonts w:ascii="Expensify Neue;sans-serif" w:hAnsi="Expensify Neue;sans-serif"/>
                <w:b w:val="false"/>
                <w:color w:val="000000"/>
                <w:sz w:val="18"/>
              </w:rPr>
              <w:t>001-41043</w:t>
            </w:r>
          </w:p>
        </w:tc>
        <w:tc>
          <w:tcPr>
            <w:tcW w:w="76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Expensify Neue;sans-serif" w:hAnsi="Expensify Neue;sans-serif"/>
                <w:b w:val="false"/>
                <w:color w:val="000000"/>
                <w:sz w:val="18"/>
              </w:rPr>
            </w:pPr>
            <w:r>
              <w:rPr>
                <w:rFonts w:ascii="Expensify Neue;sans-serif" w:hAnsi="Expensify Neue;sans-serif"/>
                <w:b w:val="false"/>
                <w:color w:val="000000"/>
                <w:sz w:val="18"/>
              </w:rPr>
              <w:t>10.4</w:t>
            </w:r>
          </w:p>
        </w:tc>
        <w:tc>
          <w:tcPr>
            <w:tcW w:w="1268"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Expensify Neue;sans-serif" w:hAnsi="Expensify Neue;sans-serif"/>
                <w:b w:val="false"/>
                <w:color w:val="000000"/>
                <w:sz w:val="18"/>
              </w:rPr>
            </w:pPr>
            <w:r>
              <w:rPr>
                <w:rFonts w:ascii="Expensify Neue;sans-serif" w:hAnsi="Expensify Neue;sans-serif"/>
                <w:b w:val="false"/>
                <w:color w:val="000000"/>
                <w:sz w:val="18"/>
              </w:rPr>
              <w:t>February 27, 2025</w:t>
            </w:r>
          </w:p>
        </w:tc>
      </w:tr>
      <w:tr>
        <w:trPr/>
        <w:tc>
          <w:tcPr>
            <w:tcW w:w="85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7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56" w:type="dxa"/>
            <w:gridSpan w:val="3"/>
            <w:tcBorders/>
            <w:tcMar>
              <w:top w:w="0" w:type="dxa"/>
              <w:left w:w="0" w:type="dxa"/>
              <w:bottom w:w="0" w:type="dxa"/>
              <w:right w:w="0" w:type="dxa"/>
            </w:tcMar>
            <w:vAlign w:val="center"/>
          </w:tcPr>
          <w:p>
            <w:pPr>
              <w:pStyle w:val="TableContents"/>
              <w:bidi w:val="0"/>
              <w:spacing w:lineRule="auto" w:line="240" w:before="0" w:after="0"/>
              <w:jc w:val="left"/>
              <w:rPr/>
            </w:pPr>
            <w:r>
              <w:rPr>
                <w:rFonts w:ascii="Expensify Neue;sans-serif" w:hAnsi="Expensify Neue;sans-serif"/>
                <w:b w:val="false"/>
                <w:color w:val="000000"/>
                <w:sz w:val="18"/>
              </w:rPr>
              <w:t>31.1</w:t>
            </w:r>
            <w:r>
              <w:rPr>
                <w:rFonts w:ascii="Expensify Neue;sans-serif" w:hAnsi="Expensify Neue;sans-serif"/>
                <w:b w:val="false"/>
                <w:color w:val="000000"/>
                <w:sz w:val="12"/>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77"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exhibit311-10xqq12025.htm">
              <w:r>
                <w:rPr>
                  <w:rStyle w:val="InternetLink"/>
                  <w:rFonts w:ascii="Expensify Neue;sans-serif" w:hAnsi="Expensify Neue;sans-serif"/>
                  <w:b w:val="false"/>
                  <w:color w:val="0000FF"/>
                  <w:sz w:val="18"/>
                  <w:u w:val="single"/>
                </w:rPr>
                <w:t>Certification of the Principal Executive Officer, pursuant to Rules 13a-14(a) and 15d-14(a) under the Securities Exchange Act of 1934, as amended, as adopted pursuant to Section 302 of the Sarbanes-Oxley Act of 2002.</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5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7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56" w:type="dxa"/>
            <w:gridSpan w:val="3"/>
            <w:tcBorders/>
            <w:tcMar>
              <w:top w:w="0" w:type="dxa"/>
              <w:left w:w="0" w:type="dxa"/>
              <w:bottom w:w="0" w:type="dxa"/>
              <w:right w:w="0" w:type="dxa"/>
            </w:tcMar>
            <w:vAlign w:val="center"/>
          </w:tcPr>
          <w:p>
            <w:pPr>
              <w:pStyle w:val="TableContents"/>
              <w:bidi w:val="0"/>
              <w:spacing w:lineRule="auto" w:line="240" w:before="0" w:after="0"/>
              <w:jc w:val="left"/>
              <w:rPr/>
            </w:pPr>
            <w:r>
              <w:rPr>
                <w:rFonts w:ascii="Expensify Neue;sans-serif" w:hAnsi="Expensify Neue;sans-serif"/>
                <w:b w:val="false"/>
                <w:color w:val="000000"/>
                <w:sz w:val="18"/>
              </w:rPr>
              <w:t>31.2</w:t>
            </w:r>
            <w:r>
              <w:rPr>
                <w:rFonts w:ascii="Expensify Neue;sans-serif" w:hAnsi="Expensify Neue;sans-serif"/>
                <w:b w:val="false"/>
                <w:color w:val="000000"/>
                <w:sz w:val="12"/>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77"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exhibit312-10xqq12025.htm">
              <w:r>
                <w:rPr>
                  <w:rStyle w:val="InternetLink"/>
                  <w:rFonts w:ascii="Expensify Neue;sans-serif" w:hAnsi="Expensify Neue;sans-serif"/>
                  <w:b w:val="false"/>
                  <w:color w:val="0000FF"/>
                  <w:sz w:val="18"/>
                  <w:u w:val="single"/>
                </w:rPr>
                <w:t>Certification of the Principal Financial Officer, pursuant to Rules 13a-14(a) and 15d-14(a) under the Securities Exchange Act of 1934, as amended, as adopted pursuant to Section 302 of the Sarbanes-Oxley Act of 2002.</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5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7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56" w:type="dxa"/>
            <w:gridSpan w:val="3"/>
            <w:tcBorders/>
            <w:tcMar>
              <w:top w:w="0" w:type="dxa"/>
              <w:left w:w="0" w:type="dxa"/>
              <w:bottom w:w="0" w:type="dxa"/>
              <w:right w:w="0" w:type="dxa"/>
            </w:tcMar>
            <w:vAlign w:val="center"/>
          </w:tcPr>
          <w:p>
            <w:pPr>
              <w:pStyle w:val="TableContents"/>
              <w:bidi w:val="0"/>
              <w:spacing w:lineRule="auto" w:line="240" w:before="0" w:after="0"/>
              <w:jc w:val="left"/>
              <w:rPr/>
            </w:pPr>
            <w:r>
              <w:rPr>
                <w:rFonts w:ascii="Expensify Neue;sans-serif" w:hAnsi="Expensify Neue;sans-serif"/>
                <w:b w:val="false"/>
                <w:color w:val="000000"/>
                <w:sz w:val="18"/>
              </w:rPr>
              <w:t>32.1</w:t>
            </w:r>
            <w:r>
              <w:rPr>
                <w:rFonts w:ascii="Expensify Neue;sans-serif" w:hAnsi="Expensify Neue;sans-serif"/>
                <w:b w:val="false"/>
                <w:color w:val="000000"/>
                <w:sz w:val="12"/>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77"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exhibit321-10xqq12025.htm">
              <w:r>
                <w:rPr>
                  <w:rStyle w:val="InternetLink"/>
                  <w:rFonts w:ascii="Expensify Neue;sans-serif" w:hAnsi="Expensify Neue;sans-serif"/>
                  <w:b w:val="false"/>
                  <w:color w:val="0000FF"/>
                  <w:sz w:val="18"/>
                  <w:u w:val="single"/>
                </w:rPr>
                <w:t>Certification of the Principal Executive Officer, pursuant to 18 U.S.C. Section 1350, as adopted pursuant to Section 906 of the Sarbanes-Oxley Act of 2002.</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5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7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56" w:type="dxa"/>
            <w:gridSpan w:val="3"/>
            <w:tcBorders/>
            <w:tcMar>
              <w:top w:w="0" w:type="dxa"/>
              <w:left w:w="0" w:type="dxa"/>
              <w:bottom w:w="0" w:type="dxa"/>
              <w:right w:w="0" w:type="dxa"/>
            </w:tcMar>
            <w:vAlign w:val="center"/>
          </w:tcPr>
          <w:p>
            <w:pPr>
              <w:pStyle w:val="TableContents"/>
              <w:bidi w:val="0"/>
              <w:spacing w:lineRule="auto" w:line="240" w:before="0" w:after="0"/>
              <w:jc w:val="left"/>
              <w:rPr/>
            </w:pPr>
            <w:r>
              <w:rPr>
                <w:rFonts w:ascii="Expensify Neue;sans-serif" w:hAnsi="Expensify Neue;sans-serif"/>
                <w:b w:val="false"/>
                <w:color w:val="000000"/>
                <w:sz w:val="18"/>
              </w:rPr>
              <w:t>32.2</w:t>
            </w:r>
            <w:r>
              <w:rPr>
                <w:rFonts w:ascii="Expensify Neue;sans-serif" w:hAnsi="Expensify Neue;sans-serif"/>
                <w:b w:val="false"/>
                <w:color w:val="000000"/>
                <w:sz w:val="12"/>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77"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exhibit322-10xqq12025.htm">
              <w:r>
                <w:rPr>
                  <w:rStyle w:val="InternetLink"/>
                  <w:rFonts w:ascii="Expensify Neue;sans-serif" w:hAnsi="Expensify Neue;sans-serif"/>
                  <w:b w:val="false"/>
                  <w:color w:val="0000FF"/>
                  <w:sz w:val="18"/>
                  <w:u w:val="single"/>
                </w:rPr>
                <w:t>Certification of the Principal Financial Officer, pursuant to 18 U.S.C. Section 1350, as adopted pursuant to Section 906 of the Sarbanes-Oxley Act of 2002.</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5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7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56" w:type="dxa"/>
            <w:gridSpan w:val="3"/>
            <w:tcBorders/>
            <w:tcMar>
              <w:top w:w="0" w:type="dxa"/>
              <w:left w:w="0" w:type="dxa"/>
              <w:bottom w:w="0" w:type="dxa"/>
              <w:right w:w="0" w:type="dxa"/>
            </w:tcMar>
            <w:vAlign w:val="center"/>
          </w:tcPr>
          <w:p>
            <w:pPr>
              <w:pStyle w:val="TableContents"/>
              <w:bidi w:val="0"/>
              <w:spacing w:lineRule="auto" w:line="240" w:before="0" w:after="0"/>
              <w:jc w:val="left"/>
              <w:rPr/>
            </w:pPr>
            <w:r>
              <w:rPr>
                <w:rFonts w:ascii="Expensify Neue;sans-serif" w:hAnsi="Expensify Neue;sans-serif"/>
                <w:b w:val="false"/>
                <w:color w:val="000000"/>
                <w:sz w:val="18"/>
              </w:rPr>
              <w:t>101.INS</w:t>
            </w:r>
            <w:r>
              <w:rPr>
                <w:rFonts w:ascii="Expensify Neue;sans-serif" w:hAnsi="Expensify Neue;sans-serif"/>
                <w:b w:val="false"/>
                <w:color w:val="000000"/>
                <w:sz w:val="12"/>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7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Expensify Neue;sans-serif" w:hAnsi="Expensify Neue;sans-serif"/>
                <w:b w:val="false"/>
                <w:color w:val="000000"/>
                <w:sz w:val="18"/>
              </w:rPr>
            </w:pPr>
            <w:r>
              <w:rPr>
                <w:rFonts w:ascii="Expensify Neue;sans-serif" w:hAnsi="Expensify Neue;sans-serif"/>
                <w:b w:val="false"/>
                <w:color w:val="000000"/>
                <w:sz w:val="18"/>
              </w:rPr>
              <w:t>Inline XBRL Instance Document.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5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7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56" w:type="dxa"/>
            <w:gridSpan w:val="3"/>
            <w:tcBorders/>
            <w:tcMar>
              <w:top w:w="0" w:type="dxa"/>
              <w:left w:w="0" w:type="dxa"/>
              <w:bottom w:w="0" w:type="dxa"/>
              <w:right w:w="0" w:type="dxa"/>
            </w:tcMar>
            <w:vAlign w:val="center"/>
          </w:tcPr>
          <w:p>
            <w:pPr>
              <w:pStyle w:val="TableContents"/>
              <w:bidi w:val="0"/>
              <w:spacing w:lineRule="auto" w:line="240" w:before="0" w:after="0"/>
              <w:jc w:val="left"/>
              <w:rPr/>
            </w:pPr>
            <w:r>
              <w:rPr>
                <w:rFonts w:ascii="Expensify Neue;sans-serif" w:hAnsi="Expensify Neue;sans-serif"/>
                <w:b w:val="false"/>
                <w:color w:val="000000"/>
                <w:sz w:val="18"/>
              </w:rPr>
              <w:t>101.SCH</w:t>
            </w:r>
            <w:r>
              <w:rPr>
                <w:rFonts w:ascii="Expensify Neue;sans-serif" w:hAnsi="Expensify Neue;sans-serif"/>
                <w:b w:val="false"/>
                <w:color w:val="000000"/>
                <w:sz w:val="12"/>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7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Expensify Neue;sans-serif" w:hAnsi="Expensify Neue;sans-serif"/>
                <w:b w:val="false"/>
                <w:color w:val="000000"/>
                <w:sz w:val="18"/>
              </w:rPr>
            </w:pPr>
            <w:r>
              <w:rPr>
                <w:rFonts w:ascii="Expensify Neue;sans-serif" w:hAnsi="Expensify Neue;sans-serif"/>
                <w:b w:val="false"/>
                <w:color w:val="000000"/>
                <w:sz w:val="18"/>
              </w:rPr>
              <w:t>Inline XBRL Taxonomy Extension Schema Document.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5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7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56" w:type="dxa"/>
            <w:gridSpan w:val="3"/>
            <w:tcBorders/>
            <w:tcMar>
              <w:top w:w="0" w:type="dxa"/>
              <w:left w:w="0" w:type="dxa"/>
              <w:bottom w:w="0" w:type="dxa"/>
              <w:right w:w="0" w:type="dxa"/>
            </w:tcMar>
            <w:vAlign w:val="center"/>
          </w:tcPr>
          <w:p>
            <w:pPr>
              <w:pStyle w:val="TableContents"/>
              <w:bidi w:val="0"/>
              <w:spacing w:lineRule="auto" w:line="240" w:before="0" w:after="0"/>
              <w:jc w:val="left"/>
              <w:rPr/>
            </w:pPr>
            <w:r>
              <w:rPr>
                <w:rFonts w:ascii="Expensify Neue;sans-serif" w:hAnsi="Expensify Neue;sans-serif"/>
                <w:b w:val="false"/>
                <w:color w:val="000000"/>
                <w:sz w:val="18"/>
              </w:rPr>
              <w:t>101.CAL</w:t>
            </w:r>
            <w:r>
              <w:rPr>
                <w:rFonts w:ascii="Expensify Neue;sans-serif" w:hAnsi="Expensify Neue;sans-serif"/>
                <w:b w:val="false"/>
                <w:color w:val="000000"/>
                <w:sz w:val="12"/>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7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Expensify Neue;sans-serif" w:hAnsi="Expensify Neue;sans-serif"/>
                <w:b w:val="false"/>
                <w:color w:val="000000"/>
                <w:sz w:val="18"/>
              </w:rPr>
            </w:pPr>
            <w:r>
              <w:rPr>
                <w:rFonts w:ascii="Expensify Neue;sans-serif" w:hAnsi="Expensify Neue;sans-serif"/>
                <w:b w:val="false"/>
                <w:color w:val="000000"/>
                <w:sz w:val="18"/>
              </w:rPr>
              <w:t>Inline XBRL Taxonomy Extension Calculation Linkbase Document.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5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7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56" w:type="dxa"/>
            <w:gridSpan w:val="3"/>
            <w:tcBorders/>
            <w:tcMar>
              <w:top w:w="0" w:type="dxa"/>
              <w:left w:w="0" w:type="dxa"/>
              <w:bottom w:w="0" w:type="dxa"/>
              <w:right w:w="0" w:type="dxa"/>
            </w:tcMar>
            <w:vAlign w:val="center"/>
          </w:tcPr>
          <w:p>
            <w:pPr>
              <w:pStyle w:val="TableContents"/>
              <w:bidi w:val="0"/>
              <w:spacing w:lineRule="auto" w:line="240" w:before="0" w:after="0"/>
              <w:jc w:val="left"/>
              <w:rPr/>
            </w:pPr>
            <w:r>
              <w:rPr>
                <w:rFonts w:ascii="Expensify Neue;sans-serif" w:hAnsi="Expensify Neue;sans-serif"/>
                <w:b w:val="false"/>
                <w:color w:val="000000"/>
                <w:sz w:val="18"/>
              </w:rPr>
              <w:t>101.DEF</w:t>
            </w:r>
            <w:r>
              <w:rPr>
                <w:rFonts w:ascii="Expensify Neue;sans-serif" w:hAnsi="Expensify Neue;sans-serif"/>
                <w:b w:val="false"/>
                <w:color w:val="000000"/>
                <w:sz w:val="12"/>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7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Expensify Neue;sans-serif" w:hAnsi="Expensify Neue;sans-serif"/>
                <w:b w:val="false"/>
                <w:color w:val="000000"/>
                <w:sz w:val="18"/>
              </w:rPr>
            </w:pPr>
            <w:r>
              <w:rPr>
                <w:rFonts w:ascii="Expensify Neue;sans-serif" w:hAnsi="Expensify Neue;sans-serif"/>
                <w:b w:val="false"/>
                <w:color w:val="000000"/>
                <w:sz w:val="18"/>
              </w:rPr>
              <w:t>Inline XBRL Taxonomy Extension Definition Linkbase Document.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5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7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56" w:type="dxa"/>
            <w:gridSpan w:val="3"/>
            <w:tcBorders/>
            <w:tcMar>
              <w:top w:w="0" w:type="dxa"/>
              <w:left w:w="0" w:type="dxa"/>
              <w:bottom w:w="0" w:type="dxa"/>
              <w:right w:w="0" w:type="dxa"/>
            </w:tcMar>
            <w:vAlign w:val="center"/>
          </w:tcPr>
          <w:p>
            <w:pPr>
              <w:pStyle w:val="TableContents"/>
              <w:bidi w:val="0"/>
              <w:spacing w:lineRule="auto" w:line="240" w:before="0" w:after="0"/>
              <w:jc w:val="left"/>
              <w:rPr/>
            </w:pPr>
            <w:r>
              <w:rPr>
                <w:rFonts w:ascii="Expensify Neue;sans-serif" w:hAnsi="Expensify Neue;sans-serif"/>
                <w:b w:val="false"/>
                <w:color w:val="000000"/>
                <w:sz w:val="18"/>
              </w:rPr>
              <w:t>101.PRE</w:t>
            </w:r>
            <w:r>
              <w:rPr>
                <w:rFonts w:ascii="Expensify Neue;sans-serif" w:hAnsi="Expensify Neue;sans-serif"/>
                <w:b w:val="false"/>
                <w:color w:val="000000"/>
                <w:sz w:val="12"/>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7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Expensify Neue;sans-serif" w:hAnsi="Expensify Neue;sans-serif"/>
                <w:b w:val="false"/>
                <w:color w:val="000000"/>
                <w:sz w:val="18"/>
              </w:rPr>
            </w:pPr>
            <w:r>
              <w:rPr>
                <w:rFonts w:ascii="Expensify Neue;sans-serif" w:hAnsi="Expensify Neue;sans-serif"/>
                <w:b w:val="false"/>
                <w:color w:val="000000"/>
                <w:sz w:val="18"/>
              </w:rPr>
              <w:t>Inline XBRL Taxonomy Extension Presentation Linkable Document.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5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7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56" w:type="dxa"/>
            <w:gridSpan w:val="3"/>
            <w:tcBorders/>
            <w:tcMar>
              <w:top w:w="0" w:type="dxa"/>
              <w:left w:w="0" w:type="dxa"/>
              <w:bottom w:w="0" w:type="dxa"/>
              <w:right w:w="0" w:type="dxa"/>
            </w:tcMar>
            <w:vAlign w:val="center"/>
          </w:tcPr>
          <w:p>
            <w:pPr>
              <w:pStyle w:val="TableContents"/>
              <w:bidi w:val="0"/>
              <w:spacing w:lineRule="auto" w:line="240" w:before="0" w:after="0"/>
              <w:jc w:val="left"/>
              <w:rPr/>
            </w:pPr>
            <w:r>
              <w:rPr>
                <w:rFonts w:ascii="Expensify Neue;sans-serif" w:hAnsi="Expensify Neue;sans-serif"/>
                <w:b w:val="false"/>
                <w:color w:val="000000"/>
                <w:sz w:val="18"/>
              </w:rPr>
              <w:t>104</w:t>
            </w:r>
            <w:r>
              <w:rPr>
                <w:rFonts w:ascii="Expensify Neue;sans-serif" w:hAnsi="Expensify Neue;sans-serif"/>
                <w:b w:val="false"/>
                <w:color w:val="000000"/>
                <w:sz w:val="12"/>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7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Expensify Neue;sans-serif" w:hAnsi="Expensify Neue;sans-serif"/>
                <w:b w:val="false"/>
                <w:color w:val="000000"/>
                <w:sz w:val="18"/>
              </w:rPr>
            </w:pPr>
            <w:r>
              <w:rPr>
                <w:rFonts w:ascii="Expensify Neue;sans-serif" w:hAnsi="Expensify Neue;sans-serif"/>
                <w:b w:val="false"/>
                <w:color w:val="000000"/>
                <w:sz w:val="18"/>
              </w:rPr>
              <w:t>Cover Page Interactive Data File (embedded within the Inline XBRL document).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56"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527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124"/>
        <w:gridCol w:w="109"/>
        <w:gridCol w:w="109"/>
        <w:gridCol w:w="794"/>
        <w:gridCol w:w="794"/>
        <w:gridCol w:w="794"/>
        <w:gridCol w:w="794"/>
        <w:gridCol w:w="794"/>
        <w:gridCol w:w="794"/>
        <w:gridCol w:w="794"/>
        <w:gridCol w:w="794"/>
        <w:gridCol w:w="794"/>
        <w:gridCol w:w="794"/>
        <w:gridCol w:w="794"/>
        <w:gridCol w:w="1129"/>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94" w:type="dxa"/>
            <w:tcBorders/>
            <w:vAlign w:val="center"/>
          </w:tcPr>
          <w:p>
            <w:pPr>
              <w:pStyle w:val="TableContents"/>
              <w:bidi w:val="0"/>
              <w:spacing w:before="0" w:after="283"/>
              <w:jc w:val="left"/>
              <w:rPr>
                <w:sz w:val="4"/>
                <w:szCs w:val="4"/>
              </w:rPr>
            </w:pPr>
            <w:r>
              <w:rPr>
                <w:sz w:val="4"/>
                <w:szCs w:val="4"/>
              </w:rPr>
            </w:r>
          </w:p>
        </w:tc>
        <w:tc>
          <w:tcPr>
            <w:tcW w:w="794" w:type="dxa"/>
            <w:tcBorders/>
            <w:vAlign w:val="center"/>
          </w:tcPr>
          <w:p>
            <w:pPr>
              <w:pStyle w:val="TableContents"/>
              <w:bidi w:val="0"/>
              <w:spacing w:before="0" w:after="283"/>
              <w:jc w:val="left"/>
              <w:rPr>
                <w:sz w:val="4"/>
                <w:szCs w:val="4"/>
              </w:rPr>
            </w:pPr>
            <w:r>
              <w:rPr>
                <w:sz w:val="4"/>
                <w:szCs w:val="4"/>
              </w:rPr>
            </w:r>
          </w:p>
        </w:tc>
        <w:tc>
          <w:tcPr>
            <w:tcW w:w="794" w:type="dxa"/>
            <w:tcBorders/>
            <w:vAlign w:val="center"/>
          </w:tcPr>
          <w:p>
            <w:pPr>
              <w:pStyle w:val="TableContents"/>
              <w:bidi w:val="0"/>
              <w:spacing w:before="0" w:after="283"/>
              <w:jc w:val="left"/>
              <w:rPr>
                <w:sz w:val="4"/>
                <w:szCs w:val="4"/>
              </w:rPr>
            </w:pPr>
            <w:r>
              <w:rPr>
                <w:sz w:val="4"/>
                <w:szCs w:val="4"/>
              </w:rPr>
            </w:r>
          </w:p>
        </w:tc>
        <w:tc>
          <w:tcPr>
            <w:tcW w:w="794" w:type="dxa"/>
            <w:tcBorders/>
            <w:vAlign w:val="center"/>
          </w:tcPr>
          <w:p>
            <w:pPr>
              <w:pStyle w:val="TableContents"/>
              <w:bidi w:val="0"/>
              <w:spacing w:before="0" w:after="283"/>
              <w:jc w:val="left"/>
              <w:rPr>
                <w:sz w:val="4"/>
                <w:szCs w:val="4"/>
              </w:rPr>
            </w:pPr>
            <w:r>
              <w:rPr>
                <w:sz w:val="4"/>
                <w:szCs w:val="4"/>
              </w:rPr>
            </w:r>
          </w:p>
        </w:tc>
        <w:tc>
          <w:tcPr>
            <w:tcW w:w="794" w:type="dxa"/>
            <w:tcBorders/>
            <w:vAlign w:val="center"/>
          </w:tcPr>
          <w:p>
            <w:pPr>
              <w:pStyle w:val="TableContents"/>
              <w:bidi w:val="0"/>
              <w:spacing w:before="0" w:after="283"/>
              <w:jc w:val="left"/>
              <w:rPr>
                <w:sz w:val="4"/>
                <w:szCs w:val="4"/>
              </w:rPr>
            </w:pPr>
            <w:r>
              <w:rPr>
                <w:sz w:val="4"/>
                <w:szCs w:val="4"/>
              </w:rPr>
            </w:r>
          </w:p>
        </w:tc>
        <w:tc>
          <w:tcPr>
            <w:tcW w:w="794" w:type="dxa"/>
            <w:tcBorders/>
            <w:vAlign w:val="center"/>
          </w:tcPr>
          <w:p>
            <w:pPr>
              <w:pStyle w:val="TableContents"/>
              <w:bidi w:val="0"/>
              <w:spacing w:before="0" w:after="283"/>
              <w:jc w:val="left"/>
              <w:rPr>
                <w:sz w:val="4"/>
                <w:szCs w:val="4"/>
              </w:rPr>
            </w:pPr>
            <w:r>
              <w:rPr>
                <w:sz w:val="4"/>
                <w:szCs w:val="4"/>
              </w:rPr>
            </w:r>
          </w:p>
        </w:tc>
        <w:tc>
          <w:tcPr>
            <w:tcW w:w="794" w:type="dxa"/>
            <w:tcBorders/>
            <w:vAlign w:val="center"/>
          </w:tcPr>
          <w:p>
            <w:pPr>
              <w:pStyle w:val="TableContents"/>
              <w:bidi w:val="0"/>
              <w:spacing w:before="0" w:after="283"/>
              <w:jc w:val="left"/>
              <w:rPr>
                <w:sz w:val="4"/>
                <w:szCs w:val="4"/>
              </w:rPr>
            </w:pPr>
            <w:r>
              <w:rPr>
                <w:sz w:val="4"/>
                <w:szCs w:val="4"/>
              </w:rPr>
            </w:r>
          </w:p>
        </w:tc>
        <w:tc>
          <w:tcPr>
            <w:tcW w:w="794" w:type="dxa"/>
            <w:tcBorders/>
            <w:vAlign w:val="center"/>
          </w:tcPr>
          <w:p>
            <w:pPr>
              <w:pStyle w:val="TableContents"/>
              <w:bidi w:val="0"/>
              <w:spacing w:before="0" w:after="283"/>
              <w:jc w:val="left"/>
              <w:rPr>
                <w:sz w:val="4"/>
                <w:szCs w:val="4"/>
              </w:rPr>
            </w:pPr>
            <w:r>
              <w:rPr>
                <w:sz w:val="4"/>
                <w:szCs w:val="4"/>
              </w:rPr>
            </w:r>
          </w:p>
        </w:tc>
        <w:tc>
          <w:tcPr>
            <w:tcW w:w="794" w:type="dxa"/>
            <w:tcBorders/>
            <w:vAlign w:val="center"/>
          </w:tcPr>
          <w:p>
            <w:pPr>
              <w:pStyle w:val="TableContents"/>
              <w:bidi w:val="0"/>
              <w:spacing w:before="0" w:after="283"/>
              <w:jc w:val="left"/>
              <w:rPr>
                <w:sz w:val="4"/>
                <w:szCs w:val="4"/>
              </w:rPr>
            </w:pPr>
            <w:r>
              <w:rPr>
                <w:sz w:val="4"/>
                <w:szCs w:val="4"/>
              </w:rPr>
            </w:r>
          </w:p>
        </w:tc>
        <w:tc>
          <w:tcPr>
            <w:tcW w:w="794" w:type="dxa"/>
            <w:tcBorders/>
            <w:vAlign w:val="center"/>
          </w:tcPr>
          <w:p>
            <w:pPr>
              <w:pStyle w:val="TableContents"/>
              <w:bidi w:val="0"/>
              <w:spacing w:before="0" w:after="283"/>
              <w:jc w:val="left"/>
              <w:rPr>
                <w:sz w:val="4"/>
                <w:szCs w:val="4"/>
              </w:rPr>
            </w:pPr>
            <w:r>
              <w:rPr>
                <w:sz w:val="4"/>
                <w:szCs w:val="4"/>
              </w:rPr>
            </w:r>
          </w:p>
        </w:tc>
        <w:tc>
          <w:tcPr>
            <w:tcW w:w="794" w:type="dxa"/>
            <w:tcBorders/>
            <w:vAlign w:val="center"/>
          </w:tcPr>
          <w:p>
            <w:pPr>
              <w:pStyle w:val="TableContents"/>
              <w:bidi w:val="0"/>
              <w:spacing w:before="0" w:after="283"/>
              <w:jc w:val="left"/>
              <w:rPr>
                <w:sz w:val="4"/>
                <w:szCs w:val="4"/>
              </w:rPr>
            </w:pPr>
            <w:r>
              <w:rPr>
                <w:sz w:val="4"/>
                <w:szCs w:val="4"/>
              </w:rPr>
            </w:r>
          </w:p>
        </w:tc>
        <w:tc>
          <w:tcPr>
            <w:tcW w:w="1129"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Expensify Neue;sans-serif" w:hAnsi="Expensify Neue;sans-serif"/>
                <w:b w:val="false"/>
                <w:color w:val="000000"/>
                <w:sz w:val="15"/>
              </w:rPr>
            </w:pPr>
            <w:r>
              <w:rPr>
                <w:rFonts w:ascii="Expensify Neue;sans-serif" w:hAnsi="Expensify Neue;sans-serif"/>
                <w:b w:val="false"/>
                <w:color w:val="000000"/>
                <w:sz w:val="15"/>
              </w:rPr>
              <w:t>*</w:t>
            </w:r>
          </w:p>
        </w:tc>
        <w:tc>
          <w:tcPr>
            <w:tcW w:w="9863" w:type="dxa"/>
            <w:gridSpan w:val="12"/>
            <w:tcBorders/>
            <w:tcMar>
              <w:top w:w="0" w:type="dxa"/>
              <w:left w:w="0" w:type="dxa"/>
              <w:bottom w:w="0" w:type="dxa"/>
              <w:right w:w="0" w:type="dxa"/>
            </w:tcMar>
            <w:vAlign w:val="center"/>
          </w:tcPr>
          <w:p>
            <w:pPr>
              <w:pStyle w:val="TableContents"/>
              <w:bidi w:val="0"/>
              <w:spacing w:lineRule="auto" w:line="240" w:before="0" w:after="283"/>
              <w:jc w:val="left"/>
              <w:rPr>
                <w:rFonts w:ascii="Expensify Neue;sans-serif" w:hAnsi="Expensify Neue;sans-serif"/>
                <w:b w:val="false"/>
                <w:color w:val="000000"/>
                <w:sz w:val="15"/>
              </w:rPr>
            </w:pPr>
            <w:r>
              <w:rPr>
                <w:rFonts w:ascii="Expensify Neue;sans-serif" w:hAnsi="Expensify Neue;sans-serif"/>
                <w:b w:val="false"/>
                <w:color w:val="000000"/>
                <w:sz w:val="15"/>
              </w:rPr>
              <w:t>Filed herewith.</w:t>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Expensify Neue;sans-serif" w:hAnsi="Expensify Neue;sans-serif"/>
                <w:b w:val="false"/>
                <w:color w:val="000000"/>
                <w:sz w:val="15"/>
              </w:rPr>
            </w:pPr>
            <w:r>
              <w:rPr>
                <w:rFonts w:ascii="Expensify Neue;sans-serif" w:hAnsi="Expensify Neue;sans-serif"/>
                <w:b w:val="false"/>
                <w:color w:val="000000"/>
                <w:sz w:val="15"/>
              </w:rPr>
              <w:t>**</w:t>
            </w:r>
          </w:p>
        </w:tc>
        <w:tc>
          <w:tcPr>
            <w:tcW w:w="9863" w:type="dxa"/>
            <w:gridSpan w:val="12"/>
            <w:tcBorders/>
            <w:tcMar>
              <w:top w:w="0" w:type="dxa"/>
              <w:left w:w="0" w:type="dxa"/>
              <w:bottom w:w="0" w:type="dxa"/>
              <w:right w:w="0" w:type="dxa"/>
            </w:tcMar>
            <w:vAlign w:val="center"/>
          </w:tcPr>
          <w:p>
            <w:pPr>
              <w:pStyle w:val="TableContents"/>
              <w:bidi w:val="0"/>
              <w:spacing w:lineRule="auto" w:line="240" w:before="0" w:after="283"/>
              <w:jc w:val="left"/>
              <w:rPr>
                <w:rFonts w:ascii="Expensify Neue;sans-serif" w:hAnsi="Expensify Neue;sans-serif"/>
                <w:b w:val="false"/>
                <w:color w:val="000000"/>
                <w:sz w:val="15"/>
              </w:rPr>
            </w:pPr>
            <w:r>
              <w:rPr>
                <w:rFonts w:ascii="Expensify Neue;sans-serif" w:hAnsi="Expensify Neue;sans-serif"/>
                <w:b w:val="false"/>
                <w:color w:val="000000"/>
                <w:sz w:val="15"/>
              </w:rPr>
              <w:t>Furnished herewith. The certifications attached as Exhibits 32.1 and 32.2 that accompany this Quarterly Report on Form 10-Q are deemed furnished and not filed with the SEC and are not to be incorporated by reference into any filing of the Company under the Securities Act or the Exchange Act, whether made before or after the date of this Quarterly Report on Form 10-Q, irrespective of any general incorporation language contained in such filing.</w:t>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6">
                <wp:simplePos x="0" y="0"/>
                <wp:positionH relativeFrom="character">
                  <wp:align>left</wp:align>
                </wp:positionH>
                <wp:positionV relativeFrom="line">
                  <wp:posOffset>635</wp:posOffset>
                </wp:positionV>
                <wp:extent cx="6480175" cy="599440"/>
                <wp:effectExtent l="0" t="0" r="0" b="0"/>
                <wp:wrapNone/>
                <wp:docPr id="45" name="Frame44"/>
                <a:graphic xmlns:a="http://schemas.openxmlformats.org/drawingml/2006/main">
                  <a:graphicData uri="http://schemas.microsoft.com/office/word/2010/wordprocessingShape">
                    <wps:wsp>
                      <wps:cNvSpPr txBox="1"/>
                      <wps:spPr>
                        <a:xfrm>
                          <a:off x="0" y="0"/>
                          <a:ext cx="6480175" cy="599440"/>
                        </a:xfrm>
                        <a:prstGeom prst="rect"/>
                        <a:solidFill>
                          <a:srgbClr val="FFFFFF"/>
                        </a:solidFill>
                      </wps:spPr>
                      <wps:txbx>
                        <w:txbxContent>
                          <w:tbl>
                            <w:tblPr>
                              <w:tblW w:w="406" w:type="dxa"/>
                              <w:jc w:val="left"/>
                              <w:tblInd w:w="0" w:type="dxa"/>
                              <w:tblLayout w:type="fixed"/>
                              <w:tblCellMar>
                                <w:top w:w="28" w:type="dxa"/>
                                <w:left w:w="28" w:type="dxa"/>
                                <w:bottom w:w="28" w:type="dxa"/>
                                <w:right w:w="28" w:type="dxa"/>
                              </w:tblCellMar>
                            </w:tblPr>
                            <w:tblGrid>
                              <w:gridCol w:w="130"/>
                              <w:gridCol w:w="114"/>
                              <w:gridCol w:w="162"/>
                            </w:tblGrid>
                            <w:tr>
                              <w:trPr/>
                              <w:tc>
                                <w:tcPr>
                                  <w:tcW w:w="130"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rPr/>
                              <w:tc>
                                <w:tcPr>
                                  <w:tcW w:w="406"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0"/>
                                    <w:jc w:val="center"/>
                                    <w:rPr>
                                      <w:rFonts w:ascii="Expensify Neue;sans-serif" w:hAnsi="Expensify Neue;sans-serif"/>
                                      <w:b w:val="false"/>
                                      <w:color w:val="000000"/>
                                      <w:sz w:val="20"/>
                                    </w:rPr>
                                  </w:pPr>
                                  <w:r>
                                    <w:rPr>
                                      <w:rFonts w:ascii="Expensify Neue;sans-serif" w:hAnsi="Expensify Neue;sans-serif"/>
                                      <w:b w:val="false"/>
                                      <w:color w:val="000000"/>
                                      <w:sz w:val="20"/>
                                    </w:rPr>
                                    <w:t>39</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7.2pt;mso-wrap-distance-left:0pt;mso-wrap-distance-right:0pt;mso-wrap-distance-top:0pt;mso-wrap-distance-bottom:0pt;margin-top:0pt;mso-position-vertical:top;mso-position-vertical-relative:text;margin-left:0pt;mso-position-horizontal:left;mso-position-horizontal-relative:text">
                <v:textbox>
                  <w:txbxContent>
                    <w:tbl>
                      <w:tblPr>
                        <w:tblW w:w="406" w:type="dxa"/>
                        <w:jc w:val="left"/>
                        <w:tblInd w:w="0" w:type="dxa"/>
                        <w:tblLayout w:type="fixed"/>
                        <w:tblCellMar>
                          <w:top w:w="28" w:type="dxa"/>
                          <w:left w:w="28" w:type="dxa"/>
                          <w:bottom w:w="28" w:type="dxa"/>
                          <w:right w:w="28" w:type="dxa"/>
                        </w:tblCellMar>
                      </w:tblPr>
                      <w:tblGrid>
                        <w:gridCol w:w="130"/>
                        <w:gridCol w:w="114"/>
                        <w:gridCol w:w="162"/>
                      </w:tblGrid>
                      <w:tr>
                        <w:trPr/>
                        <w:tc>
                          <w:tcPr>
                            <w:tcW w:w="130"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rPr/>
                        <w:tc>
                          <w:tcPr>
                            <w:tcW w:w="406"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0"/>
                              <w:jc w:val="center"/>
                              <w:rPr>
                                <w:rFonts w:ascii="Expensify Neue;sans-serif" w:hAnsi="Expensify Neue;sans-serif"/>
                                <w:b w:val="false"/>
                                <w:color w:val="000000"/>
                                <w:sz w:val="20"/>
                              </w:rPr>
                            </w:pPr>
                            <w:r>
                              <w:rPr>
                                <w:rFonts w:ascii="Expensify Neue;sans-serif" w:hAnsi="Expensify Neue;sans-serif"/>
                                <w:b w:val="false"/>
                                <w:color w:val="000000"/>
                                <w:sz w:val="20"/>
                              </w:rPr>
                              <w:t>39</w:t>
                            </w:r>
                          </w:p>
                        </w:tc>
                      </w:tr>
                    </w:tbl>
                    <w:p>
                      <w:pPr>
                        <w:pStyle w:val="TextBody"/>
                        <w:bidi w:val="0"/>
                        <w:spacing w:before="0" w:after="283"/>
                        <w:jc w:val="left"/>
                        <w:rPr/>
                      </w:pPr>
                      <w:r>
                        <w:rPr/>
                      </w:r>
                    </w:p>
                  </w:txbxContent>
                </v:textbox>
                <w10:wrap type="none"/>
              </v:rect>
            </w:pict>
          </mc:Fallback>
        </mc:AlternateContent>
      </w:r>
    </w:p>
    <w:p>
      <w:pPr>
        <w:pStyle w:val="TextBody"/>
        <w:bidi w:val="0"/>
        <w:spacing w:lineRule="auto" w:line="288" w:before="0" w:after="160"/>
        <w:jc w:val="left"/>
        <w:rPr/>
      </w:pPr>
      <w:hyperlink w:anchor="i52a648c4f0e449f7bc3c2044827c8f0d_7">
        <w:r>
          <w:rPr>
            <w:rStyle w:val="InternetLink"/>
            <w:rFonts w:ascii="Expensify Neue;sans-serif" w:hAnsi="Expensify Neue;sans-serif"/>
            <w:b/>
            <w:color w:val="0000FF"/>
            <w:sz w:val="20"/>
            <w:u w:val="single"/>
          </w:rPr>
          <w:t>Table of Contents</w:t>
        </w:r>
      </w:hyperlink>
    </w:p>
    <w:p>
      <w:pPr>
        <w:pStyle w:val="TextBody"/>
        <w:bidi w:val="0"/>
        <w:spacing w:lineRule="auto" w:line="288" w:before="0" w:after="320"/>
        <w:jc w:val="left"/>
        <w:rPr>
          <w:rFonts w:ascii="Expensify New Kansas Medium;sans-serif" w:hAnsi="Expensify New Kansas Medium;sans-serif"/>
          <w:b/>
          <w:color w:val="002E22"/>
          <w:sz w:val="36"/>
        </w:rPr>
      </w:pPr>
      <w:r>
        <w:rPr>
          <w:rFonts w:ascii="Expensify New Kansas Medium;sans-serif" w:hAnsi="Expensify New Kansas Medium;sans-serif"/>
          <w:b/>
          <w:color w:val="002E22"/>
          <w:sz w:val="36"/>
        </w:rPr>
        <w:t>Signatures</w:t>
      </w:r>
    </w:p>
    <w:p>
      <w:pPr>
        <w:pStyle w:val="TextBody"/>
        <w:bidi w:val="0"/>
        <w:spacing w:lineRule="auto" w:line="288" w:before="0" w:after="160"/>
        <w:jc w:val="left"/>
        <w:rPr>
          <w:rFonts w:ascii="Expensify Neue;sans-serif" w:hAnsi="Expensify Neue;sans-serif"/>
          <w:b w:val="false"/>
          <w:color w:val="000000"/>
          <w:sz w:val="20"/>
        </w:rPr>
      </w:pPr>
      <w:r>
        <w:rPr>
          <w:rFonts w:ascii="Expensify Neue;sans-serif" w:hAnsi="Expensify Neue;sans-serif"/>
          <w:b w:val="false"/>
          <w:color w:val="000000"/>
          <w:sz w:val="20"/>
        </w:rPr>
        <w:t>Pursuant to the requirements of the Securities Exchange Act of 1934, the registrant has duly caused this report to be signed on its behalf by the undersigned thereunto duly authorized.</w:t>
      </w:r>
    </w:p>
    <w:tbl>
      <w:tblPr>
        <w:tblW w:w="6591" w:type="dxa"/>
        <w:jc w:val="left"/>
        <w:tblInd w:w="0" w:type="dxa"/>
        <w:tblLayout w:type="fixed"/>
        <w:tblCellMar>
          <w:top w:w="28" w:type="dxa"/>
          <w:left w:w="28" w:type="dxa"/>
          <w:bottom w:w="28" w:type="dxa"/>
          <w:right w:w="28" w:type="dxa"/>
        </w:tblCellMar>
      </w:tblPr>
      <w:tblGrid>
        <w:gridCol w:w="350"/>
        <w:gridCol w:w="308"/>
        <w:gridCol w:w="308"/>
        <w:gridCol w:w="308"/>
        <w:gridCol w:w="308"/>
        <w:gridCol w:w="308"/>
        <w:gridCol w:w="307"/>
        <w:gridCol w:w="307"/>
        <w:gridCol w:w="307"/>
        <w:gridCol w:w="1100"/>
        <w:gridCol w:w="1100"/>
        <w:gridCol w:w="1580"/>
      </w:tblGrid>
      <w:tr>
        <w:trPr/>
        <w:tc>
          <w:tcPr>
            <w:tcW w:w="350" w:type="dxa"/>
            <w:tcBorders/>
            <w:vAlign w:val="center"/>
          </w:tcPr>
          <w:p>
            <w:pPr>
              <w:pStyle w:val="TableContents"/>
              <w:bidi w:val="0"/>
              <w:spacing w:before="0" w:after="283"/>
              <w:jc w:val="left"/>
              <w:rPr>
                <w:sz w:val="4"/>
                <w:szCs w:val="4"/>
              </w:rPr>
            </w:pPr>
            <w:r>
              <w:rPr>
                <w:sz w:val="4"/>
                <w:szCs w:val="4"/>
              </w:rPr>
            </w:r>
          </w:p>
        </w:tc>
        <w:tc>
          <w:tcPr>
            <w:tcW w:w="308" w:type="dxa"/>
            <w:tcBorders/>
            <w:vAlign w:val="center"/>
          </w:tcPr>
          <w:p>
            <w:pPr>
              <w:pStyle w:val="TableContents"/>
              <w:bidi w:val="0"/>
              <w:spacing w:before="0" w:after="283"/>
              <w:jc w:val="left"/>
              <w:rPr>
                <w:sz w:val="4"/>
                <w:szCs w:val="4"/>
              </w:rPr>
            </w:pPr>
            <w:r>
              <w:rPr>
                <w:sz w:val="4"/>
                <w:szCs w:val="4"/>
              </w:rPr>
            </w:r>
          </w:p>
        </w:tc>
        <w:tc>
          <w:tcPr>
            <w:tcW w:w="308" w:type="dxa"/>
            <w:tcBorders/>
            <w:vAlign w:val="center"/>
          </w:tcPr>
          <w:p>
            <w:pPr>
              <w:pStyle w:val="TableContents"/>
              <w:bidi w:val="0"/>
              <w:spacing w:before="0" w:after="283"/>
              <w:jc w:val="left"/>
              <w:rPr>
                <w:sz w:val="4"/>
                <w:szCs w:val="4"/>
              </w:rPr>
            </w:pPr>
            <w:r>
              <w:rPr>
                <w:sz w:val="4"/>
                <w:szCs w:val="4"/>
              </w:rPr>
            </w:r>
          </w:p>
        </w:tc>
        <w:tc>
          <w:tcPr>
            <w:tcW w:w="308" w:type="dxa"/>
            <w:tcBorders/>
            <w:vAlign w:val="center"/>
          </w:tcPr>
          <w:p>
            <w:pPr>
              <w:pStyle w:val="TableContents"/>
              <w:bidi w:val="0"/>
              <w:spacing w:before="0" w:after="283"/>
              <w:jc w:val="left"/>
              <w:rPr>
                <w:sz w:val="4"/>
                <w:szCs w:val="4"/>
              </w:rPr>
            </w:pPr>
            <w:r>
              <w:rPr>
                <w:sz w:val="4"/>
                <w:szCs w:val="4"/>
              </w:rPr>
            </w:r>
          </w:p>
        </w:tc>
        <w:tc>
          <w:tcPr>
            <w:tcW w:w="308" w:type="dxa"/>
            <w:tcBorders/>
            <w:vAlign w:val="center"/>
          </w:tcPr>
          <w:p>
            <w:pPr>
              <w:pStyle w:val="TableContents"/>
              <w:bidi w:val="0"/>
              <w:spacing w:before="0" w:after="283"/>
              <w:jc w:val="left"/>
              <w:rPr>
                <w:sz w:val="4"/>
                <w:szCs w:val="4"/>
              </w:rPr>
            </w:pPr>
            <w:r>
              <w:rPr>
                <w:sz w:val="4"/>
                <w:szCs w:val="4"/>
              </w:rPr>
            </w:r>
          </w:p>
        </w:tc>
        <w:tc>
          <w:tcPr>
            <w:tcW w:w="308" w:type="dxa"/>
            <w:tcBorders/>
            <w:vAlign w:val="center"/>
          </w:tcPr>
          <w:p>
            <w:pPr>
              <w:pStyle w:val="TableContents"/>
              <w:bidi w:val="0"/>
              <w:spacing w:before="0" w:after="283"/>
              <w:jc w:val="left"/>
              <w:rPr>
                <w:sz w:val="4"/>
                <w:szCs w:val="4"/>
              </w:rPr>
            </w:pPr>
            <w:r>
              <w:rPr>
                <w:sz w:val="4"/>
                <w:szCs w:val="4"/>
              </w:rPr>
            </w:r>
          </w:p>
        </w:tc>
        <w:tc>
          <w:tcPr>
            <w:tcW w:w="307" w:type="dxa"/>
            <w:tcBorders/>
            <w:vAlign w:val="center"/>
          </w:tcPr>
          <w:p>
            <w:pPr>
              <w:pStyle w:val="TableContents"/>
              <w:bidi w:val="0"/>
              <w:spacing w:before="0" w:after="283"/>
              <w:jc w:val="left"/>
              <w:rPr>
                <w:sz w:val="4"/>
                <w:szCs w:val="4"/>
              </w:rPr>
            </w:pPr>
            <w:r>
              <w:rPr>
                <w:sz w:val="4"/>
                <w:szCs w:val="4"/>
              </w:rPr>
            </w:r>
          </w:p>
        </w:tc>
        <w:tc>
          <w:tcPr>
            <w:tcW w:w="307" w:type="dxa"/>
            <w:tcBorders/>
            <w:vAlign w:val="center"/>
          </w:tcPr>
          <w:p>
            <w:pPr>
              <w:pStyle w:val="TableContents"/>
              <w:bidi w:val="0"/>
              <w:spacing w:before="0" w:after="283"/>
              <w:jc w:val="left"/>
              <w:rPr>
                <w:sz w:val="4"/>
                <w:szCs w:val="4"/>
              </w:rPr>
            </w:pPr>
            <w:r>
              <w:rPr>
                <w:sz w:val="4"/>
                <w:szCs w:val="4"/>
              </w:rPr>
            </w:r>
          </w:p>
        </w:tc>
        <w:tc>
          <w:tcPr>
            <w:tcW w:w="307" w:type="dxa"/>
            <w:tcBorders/>
            <w:vAlign w:val="center"/>
          </w:tcPr>
          <w:p>
            <w:pPr>
              <w:pStyle w:val="TableContents"/>
              <w:bidi w:val="0"/>
              <w:spacing w:before="0" w:after="283"/>
              <w:jc w:val="left"/>
              <w:rPr>
                <w:sz w:val="4"/>
                <w:szCs w:val="4"/>
              </w:rPr>
            </w:pPr>
            <w:r>
              <w:rPr>
                <w:sz w:val="4"/>
                <w:szCs w:val="4"/>
              </w:rPr>
            </w:r>
          </w:p>
        </w:tc>
        <w:tc>
          <w:tcPr>
            <w:tcW w:w="1100" w:type="dxa"/>
            <w:tcBorders/>
            <w:vAlign w:val="center"/>
          </w:tcPr>
          <w:p>
            <w:pPr>
              <w:pStyle w:val="TableContents"/>
              <w:bidi w:val="0"/>
              <w:spacing w:before="0" w:after="283"/>
              <w:jc w:val="left"/>
              <w:rPr>
                <w:sz w:val="4"/>
                <w:szCs w:val="4"/>
              </w:rPr>
            </w:pPr>
            <w:r>
              <w:rPr>
                <w:sz w:val="4"/>
                <w:szCs w:val="4"/>
              </w:rPr>
            </w:r>
          </w:p>
        </w:tc>
        <w:tc>
          <w:tcPr>
            <w:tcW w:w="1100" w:type="dxa"/>
            <w:tcBorders/>
            <w:vAlign w:val="center"/>
          </w:tcPr>
          <w:p>
            <w:pPr>
              <w:pStyle w:val="TableContents"/>
              <w:bidi w:val="0"/>
              <w:spacing w:before="0" w:after="283"/>
              <w:jc w:val="left"/>
              <w:rPr>
                <w:sz w:val="4"/>
                <w:szCs w:val="4"/>
              </w:rPr>
            </w:pPr>
            <w:r>
              <w:rPr>
                <w:sz w:val="4"/>
                <w:szCs w:val="4"/>
              </w:rPr>
            </w:r>
          </w:p>
        </w:tc>
        <w:tc>
          <w:tcPr>
            <w:tcW w:w="1580" w:type="dxa"/>
            <w:tcBorders/>
            <w:vAlign w:val="center"/>
          </w:tcPr>
          <w:p>
            <w:pPr>
              <w:pStyle w:val="TableContents"/>
              <w:bidi w:val="0"/>
              <w:spacing w:before="0" w:after="283"/>
              <w:jc w:val="left"/>
              <w:rPr>
                <w:sz w:val="4"/>
                <w:szCs w:val="4"/>
              </w:rPr>
            </w:pPr>
            <w:r>
              <w:rPr>
                <w:sz w:val="4"/>
                <w:szCs w:val="4"/>
              </w:rPr>
            </w:r>
          </w:p>
        </w:tc>
      </w:tr>
      <w:tr>
        <w:trPr/>
        <w:tc>
          <w:tcPr>
            <w:tcW w:w="96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6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01" w:type="dxa"/>
            <w:gridSpan w:val="6"/>
            <w:tcBorders/>
            <w:tcMar>
              <w:top w:w="0" w:type="dxa"/>
              <w:left w:w="0" w:type="dxa"/>
              <w:bottom w:w="0" w:type="dxa"/>
              <w:right w:w="0" w:type="dxa"/>
            </w:tcMar>
            <w:vAlign w:val="center"/>
          </w:tcPr>
          <w:p>
            <w:pPr>
              <w:pStyle w:val="TableContents"/>
              <w:bidi w:val="0"/>
              <w:spacing w:lineRule="auto" w:line="240" w:before="0" w:after="0"/>
              <w:jc w:val="left"/>
              <w:rPr>
                <w:rFonts w:ascii="Expensify Neue;sans-serif" w:hAnsi="Expensify Neue;sans-serif"/>
                <w:b/>
                <w:color w:val="000000"/>
                <w:sz w:val="20"/>
              </w:rPr>
            </w:pPr>
            <w:r>
              <w:rPr>
                <w:rFonts w:ascii="Expensify Neue;sans-serif" w:hAnsi="Expensify Neue;sans-serif"/>
                <w:b/>
                <w:color w:val="000000"/>
                <w:sz w:val="20"/>
              </w:rPr>
              <w:t>EXPENSIFY, INC.</w:t>
            </w:r>
          </w:p>
        </w:tc>
      </w:tr>
      <w:tr>
        <w:trPr/>
        <w:tc>
          <w:tcPr>
            <w:tcW w:w="96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90" w:type="dxa"/>
            <w:gridSpan w:val="6"/>
            <w:tcBorders/>
            <w:tcMar>
              <w:top w:w="0" w:type="dxa"/>
              <w:left w:w="0" w:type="dxa"/>
              <w:bottom w:w="0" w:type="dxa"/>
              <w:right w:w="0" w:type="dxa"/>
            </w:tcMar>
            <w:vAlign w:val="center"/>
          </w:tcPr>
          <w:p>
            <w:pPr>
              <w:pStyle w:val="TableContents"/>
              <w:bidi w:val="0"/>
              <w:spacing w:lineRule="auto" w:line="240" w:before="0" w:after="0"/>
              <w:jc w:val="left"/>
              <w:rPr>
                <w:rFonts w:ascii="Expensify Neue;sans-serif" w:hAnsi="Expensify Neue;sans-serif"/>
                <w:b w:val="false"/>
                <w:color w:val="000000"/>
                <w:sz w:val="20"/>
              </w:rPr>
            </w:pPr>
            <w:r>
              <w:rPr>
                <w:rFonts w:ascii="Expensify Neue;sans-serif" w:hAnsi="Expensify Neue;sans-serif"/>
                <w:b w:val="false"/>
                <w:color w:val="000000"/>
                <w:sz w:val="20"/>
              </w:rPr>
              <w:t>Date: May 8, 2025</w:t>
            </w:r>
          </w:p>
        </w:tc>
        <w:tc>
          <w:tcPr>
            <w:tcW w:w="921" w:type="dxa"/>
            <w:gridSpan w:val="3"/>
            <w:tcBorders/>
            <w:tcMar>
              <w:top w:w="0" w:type="dxa"/>
              <w:left w:w="0" w:type="dxa"/>
              <w:bottom w:w="0" w:type="dxa"/>
              <w:right w:w="0" w:type="dxa"/>
            </w:tcMar>
            <w:vAlign w:val="center"/>
          </w:tcPr>
          <w:p>
            <w:pPr>
              <w:pStyle w:val="TableContents"/>
              <w:bidi w:val="0"/>
              <w:spacing w:lineRule="auto" w:line="240" w:before="0" w:after="0"/>
              <w:jc w:val="right"/>
              <w:rPr>
                <w:rFonts w:ascii="Expensify Neue;sans-serif" w:hAnsi="Expensify Neue;sans-serif"/>
                <w:b w:val="false"/>
                <w:color w:val="000000"/>
                <w:sz w:val="20"/>
              </w:rPr>
            </w:pPr>
            <w:r>
              <w:rPr>
                <w:rFonts w:ascii="Expensify Neue;sans-serif" w:hAnsi="Expensify Neue;sans-serif"/>
                <w:b w:val="false"/>
                <w:color w:val="000000"/>
                <w:sz w:val="20"/>
              </w:rPr>
              <w:t>By:</w:t>
            </w:r>
          </w:p>
        </w:tc>
        <w:tc>
          <w:tcPr>
            <w:tcW w:w="3780"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Expensify Neue;sans-serif" w:hAnsi="Expensify Neue;sans-serif"/>
                <w:b w:val="false"/>
                <w:color w:val="000000"/>
                <w:sz w:val="20"/>
              </w:rPr>
            </w:pPr>
            <w:r>
              <w:rPr>
                <w:rFonts w:ascii="Expensify Neue;sans-serif" w:hAnsi="Expensify Neue;sans-serif"/>
                <w:b w:val="false"/>
                <w:color w:val="000000"/>
                <w:sz w:val="20"/>
              </w:rPr>
              <w:t>/s/ David Barrett</w:t>
            </w:r>
          </w:p>
        </w:tc>
      </w:tr>
      <w:tr>
        <w:trPr/>
        <w:tc>
          <w:tcPr>
            <w:tcW w:w="1890"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left"/>
              <w:rPr>
                <w:rFonts w:ascii="Expensify Neue;sans-serif" w:hAnsi="Expensify Neue;sans-serif"/>
                <w:b w:val="false"/>
                <w:color w:val="000000"/>
                <w:sz w:val="20"/>
              </w:rPr>
            </w:pPr>
            <w:r>
              <w:rPr>
                <w:rFonts w:ascii="Expensify Neue;sans-serif" w:hAnsi="Expensify Neue;sans-serif"/>
                <w:b w:val="false"/>
                <w:color w:val="000000"/>
                <w:sz w:val="20"/>
              </w:rPr>
              <w:t>David Barrett</w:t>
            </w:r>
          </w:p>
        </w:tc>
      </w:tr>
      <w:tr>
        <w:trPr/>
        <w:tc>
          <w:tcPr>
            <w:tcW w:w="96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0"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Expensify Neue;sans-serif" w:hAnsi="Expensify Neue;sans-serif"/>
                <w:b w:val="false"/>
                <w:color w:val="000000"/>
                <w:sz w:val="20"/>
              </w:rPr>
            </w:pPr>
            <w:r>
              <w:rPr>
                <w:rFonts w:ascii="Expensify Neue;sans-serif" w:hAnsi="Expensify Neue;sans-serif"/>
                <w:b w:val="false"/>
                <w:color w:val="000000"/>
                <w:sz w:val="20"/>
              </w:rPr>
              <w:t>President and Chief Executive Officer</w:t>
            </w:r>
          </w:p>
        </w:tc>
      </w:tr>
      <w:tr>
        <w:trPr/>
        <w:tc>
          <w:tcPr>
            <w:tcW w:w="96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0"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Expensify Neue;sans-serif" w:hAnsi="Expensify Neue;sans-serif"/>
                <w:b w:val="false"/>
                <w:i/>
                <w:color w:val="000000"/>
                <w:sz w:val="20"/>
              </w:rPr>
            </w:pPr>
            <w:r>
              <w:rPr>
                <w:rFonts w:ascii="Expensify Neue;sans-serif" w:hAnsi="Expensify Neue;sans-serif"/>
                <w:b w:val="false"/>
                <w:i/>
                <w:color w:val="000000"/>
                <w:sz w:val="20"/>
              </w:rPr>
              <w:t>(Principal Executive Officer)</w:t>
            </w:r>
          </w:p>
        </w:tc>
      </w:tr>
      <w:tr>
        <w:trPr/>
        <w:tc>
          <w:tcPr>
            <w:tcW w:w="96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90" w:type="dxa"/>
            <w:gridSpan w:val="6"/>
            <w:tcBorders/>
            <w:tcMar>
              <w:top w:w="0" w:type="dxa"/>
              <w:left w:w="0" w:type="dxa"/>
              <w:bottom w:w="0" w:type="dxa"/>
              <w:right w:w="0" w:type="dxa"/>
            </w:tcMar>
            <w:vAlign w:val="center"/>
          </w:tcPr>
          <w:p>
            <w:pPr>
              <w:pStyle w:val="TableContents"/>
              <w:bidi w:val="0"/>
              <w:spacing w:lineRule="auto" w:line="240" w:before="0" w:after="0"/>
              <w:jc w:val="left"/>
              <w:rPr>
                <w:rFonts w:ascii="Expensify Neue;sans-serif" w:hAnsi="Expensify Neue;sans-serif"/>
                <w:b w:val="false"/>
                <w:color w:val="000000"/>
                <w:sz w:val="20"/>
              </w:rPr>
            </w:pPr>
            <w:r>
              <w:rPr>
                <w:rFonts w:ascii="Expensify Neue;sans-serif" w:hAnsi="Expensify Neue;sans-serif"/>
                <w:b w:val="false"/>
                <w:color w:val="000000"/>
                <w:sz w:val="20"/>
              </w:rPr>
              <w:t>Date: May 8, 2025</w:t>
            </w:r>
          </w:p>
        </w:tc>
        <w:tc>
          <w:tcPr>
            <w:tcW w:w="921"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Expensify Neue;sans-serif" w:hAnsi="Expensify Neue;sans-serif"/>
                <w:b w:val="false"/>
                <w:color w:val="000000"/>
                <w:sz w:val="20"/>
              </w:rPr>
            </w:pPr>
            <w:r>
              <w:rPr>
                <w:rFonts w:ascii="Expensify Neue;sans-serif" w:hAnsi="Expensify Neue;sans-serif"/>
                <w:b w:val="false"/>
                <w:color w:val="000000"/>
                <w:sz w:val="20"/>
              </w:rPr>
              <w:t>By:</w:t>
            </w:r>
          </w:p>
        </w:tc>
        <w:tc>
          <w:tcPr>
            <w:tcW w:w="378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Expensify Neue;sans-serif" w:hAnsi="Expensify Neue;sans-serif"/>
                <w:b w:val="false"/>
                <w:color w:val="000000"/>
                <w:sz w:val="20"/>
              </w:rPr>
            </w:pPr>
            <w:r>
              <w:rPr>
                <w:rFonts w:ascii="Expensify Neue;sans-serif" w:hAnsi="Expensify Neue;sans-serif"/>
                <w:b w:val="false"/>
                <w:color w:val="000000"/>
                <w:sz w:val="20"/>
              </w:rPr>
              <w:t>/s/ Ryan Schaffer</w:t>
            </w:r>
          </w:p>
        </w:tc>
      </w:tr>
      <w:tr>
        <w:trPr/>
        <w:tc>
          <w:tcPr>
            <w:tcW w:w="1890"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Expensify Neue;sans-serif" w:hAnsi="Expensify Neue;sans-serif"/>
                <w:b w:val="false"/>
                <w:color w:val="000000"/>
                <w:sz w:val="20"/>
              </w:rPr>
            </w:pPr>
            <w:r>
              <w:rPr>
                <w:rFonts w:ascii="Expensify Neue;sans-serif" w:hAnsi="Expensify Neue;sans-serif"/>
                <w:b w:val="false"/>
                <w:color w:val="000000"/>
                <w:sz w:val="20"/>
              </w:rPr>
              <w:t>Ryan Schaffer</w:t>
            </w:r>
          </w:p>
        </w:tc>
      </w:tr>
      <w:tr>
        <w:trPr/>
        <w:tc>
          <w:tcPr>
            <w:tcW w:w="96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Expensify Neue;sans-serif" w:hAnsi="Expensify Neue;sans-serif"/>
                <w:b w:val="false"/>
                <w:color w:val="000000"/>
                <w:sz w:val="20"/>
              </w:rPr>
            </w:pPr>
            <w:r>
              <w:rPr>
                <w:rFonts w:ascii="Expensify Neue;sans-serif" w:hAnsi="Expensify Neue;sans-serif"/>
                <w:b w:val="false"/>
                <w:color w:val="000000"/>
                <w:sz w:val="20"/>
              </w:rPr>
              <w:t>Chief Financial Officer</w:t>
            </w:r>
          </w:p>
        </w:tc>
      </w:tr>
      <w:tr>
        <w:trPr/>
        <w:tc>
          <w:tcPr>
            <w:tcW w:w="96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Expensify Neue;sans-serif" w:hAnsi="Expensify Neue;sans-serif"/>
                <w:b w:val="false"/>
                <w:i/>
                <w:color w:val="000000"/>
                <w:sz w:val="20"/>
              </w:rPr>
            </w:pPr>
            <w:r>
              <w:rPr>
                <w:rFonts w:ascii="Expensify Neue;sans-serif" w:hAnsi="Expensify Neue;sans-serif"/>
                <w:b w:val="false"/>
                <w:i/>
                <w:color w:val="000000"/>
                <w:sz w:val="20"/>
              </w:rPr>
              <w:t>(Principal Financial Officer)</w:t>
            </w:r>
          </w:p>
        </w:tc>
      </w:tr>
    </w:tbl>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lineRule="auto" w:line="288" w:before="0" w:after="0"/>
        <w:jc w:val="right"/>
        <w:rPr>
          <w:rFonts w:ascii="Times New Roman;sans-serif" w:hAnsi="Times New Roman;sans-serif"/>
          <w:b/>
          <w:color w:val="000000"/>
          <w:sz w:val="20"/>
        </w:rPr>
      </w:pPr>
      <w:r>
        <w:rPr>
          <w:rFonts w:ascii="Times New Roman;sans-serif" w:hAnsi="Times New Roman;sans-serif"/>
          <w:b/>
          <w:color w:val="000000"/>
          <w:sz w:val="20"/>
        </w:rPr>
        <w:t>Exhibit 31.1</w:t>
      </w:r>
      <w:r>
        <mc:AlternateContent>
          <mc:Choice Requires="wps">
            <w:drawing>
              <wp:anchor behindDoc="0" distT="0" distB="0" distL="0" distR="0" simplePos="0" locked="0" layoutInCell="1" allowOverlap="1" relativeHeight="47">
                <wp:simplePos x="0" y="0"/>
                <wp:positionH relativeFrom="character">
                  <wp:align>left</wp:align>
                </wp:positionH>
                <wp:positionV relativeFrom="line">
                  <wp:posOffset>635</wp:posOffset>
                </wp:positionV>
                <wp:extent cx="6480175" cy="175260"/>
                <wp:effectExtent l="0" t="0" r="0" b="0"/>
                <wp:wrapNone/>
                <wp:docPr id="46" name="Frame45"/>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16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30.35pt;mso-position-horizontal:left;mso-position-horizontal-relative:text">
                <v:textbox>
                  <w:txbxContent>
                    <w:p>
                      <w:pPr>
                        <w:pStyle w:val="TextBody"/>
                        <w:bidi w:val="0"/>
                        <w:spacing w:before="0" w:after="160"/>
                        <w:jc w:val="left"/>
                        <w:rPr/>
                      </w:pPr>
                      <w:r>
                        <w:rPr/>
                      </w:r>
                    </w:p>
                  </w:txbxContent>
                </v:textbox>
                <w10:wrap type="none"/>
              </v:rect>
            </w:pict>
          </mc:Fallback>
        </mc:AlternateConten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CERTIFICATION OF PRINCIPAL EXECUTIVE OFFICER</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PURSUANT TO RULES 13a-14(a) AND 15d-14(a) UNDER THE SECURITIES EXCHANGE ACT OF 1934, AS AMENDED, AS ADOPTED PURSUANT TO SECTION 302 OF THE SARBANES-OXLEY ACT OF 2002</w:t>
      </w:r>
    </w:p>
    <w:p>
      <w:pPr>
        <w:pStyle w:val="TextBody"/>
        <w:bidi w:val="0"/>
        <w:spacing w:lineRule="auto" w:line="288" w:before="0" w:after="160"/>
        <w:jc w:val="left"/>
        <w:rPr>
          <w:rFonts w:ascii="Times New Roman;sans-serif" w:hAnsi="Times New Roman;sans-serif"/>
          <w:b w:val="false"/>
          <w:color w:val="000000"/>
          <w:sz w:val="20"/>
        </w:rPr>
      </w:pPr>
      <w:r>
        <w:rPr>
          <w:rFonts w:ascii="Times New Roman;sans-serif" w:hAnsi="Times New Roman;sans-serif"/>
          <w:b w:val="false"/>
          <w:color w:val="000000"/>
          <w:sz w:val="20"/>
        </w:rPr>
        <w:t>I, David Barrett, certify that:</w:t>
      </w:r>
    </w:p>
    <w:p>
      <w:pPr>
        <w:pStyle w:val="TextBody"/>
        <w:bidi w:val="0"/>
        <w:spacing w:lineRule="auto" w:line="288" w:before="0" w:after="160"/>
        <w:ind w:left="0" w:right="0" w:hanging="360"/>
        <w:jc w:val="left"/>
        <w:rPr>
          <w:rFonts w:ascii="Times New Roman;sans-serif" w:hAnsi="Times New Roman;sans-serif"/>
          <w:b w:val="false"/>
          <w:color w:val="000000"/>
          <w:sz w:val="20"/>
        </w:rPr>
      </w:pPr>
      <w:r>
        <w:rPr>
          <w:rFonts w:ascii="Times New Roman;sans-serif" w:hAnsi="Times New Roman;sans-serif"/>
          <w:b w:val="false"/>
          <w:color w:val="000000"/>
          <w:sz w:val="20"/>
        </w:rPr>
        <w:t>1.I have reviewed this Quarterly Report on Form 10-Q of Expensify, Inc.;</w:t>
      </w:r>
    </w:p>
    <w:p>
      <w:pPr>
        <w:pStyle w:val="TextBody"/>
        <w:bidi w:val="0"/>
        <w:spacing w:lineRule="auto" w:line="288" w:before="0" w:after="160"/>
        <w:ind w:left="0" w:right="0" w:hanging="360"/>
        <w:jc w:val="left"/>
        <w:rPr>
          <w:rFonts w:ascii="Times New Roman;sans-serif" w:hAnsi="Times New Roman;sans-serif"/>
          <w:b w:val="false"/>
          <w:color w:val="000000"/>
          <w:sz w:val="20"/>
        </w:rPr>
      </w:pPr>
      <w:r>
        <w:rPr>
          <w:rFonts w:ascii="Times New Roman;sans-serif" w:hAnsi="Times New Roman;sans-serif"/>
          <w:b w:val="false"/>
          <w:color w:val="000000"/>
          <w:sz w:val="20"/>
        </w:rPr>
        <w:t>2.Based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pStyle w:val="TextBody"/>
        <w:bidi w:val="0"/>
        <w:spacing w:lineRule="auto" w:line="288" w:before="0" w:after="160"/>
        <w:ind w:left="0" w:right="0" w:hanging="360"/>
        <w:jc w:val="left"/>
        <w:rPr>
          <w:rFonts w:ascii="Times New Roman;sans-serif" w:hAnsi="Times New Roman;sans-serif"/>
          <w:b w:val="false"/>
          <w:color w:val="000000"/>
          <w:sz w:val="20"/>
        </w:rPr>
      </w:pPr>
      <w:r>
        <w:rPr>
          <w:rFonts w:ascii="Times New Roman;sans-serif" w:hAnsi="Times New Roman;sans-serif"/>
          <w:b w:val="false"/>
          <w:color w:val="000000"/>
          <w:sz w:val="20"/>
        </w:rPr>
        <w:t>3.Based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pStyle w:val="TextBody"/>
        <w:bidi w:val="0"/>
        <w:spacing w:lineRule="auto" w:line="268" w:before="0" w:after="160"/>
        <w:ind w:left="0" w:right="0" w:hanging="360"/>
        <w:jc w:val="left"/>
        <w:rPr>
          <w:rFonts w:ascii="Times New Roman;sans-serif" w:hAnsi="Times New Roman;sans-serif"/>
          <w:b w:val="false"/>
          <w:color w:val="000000"/>
          <w:sz w:val="20"/>
        </w:rPr>
      </w:pPr>
      <w:r>
        <w:rPr>
          <w:rFonts w:ascii="Times New Roman;sans-serif" w:hAnsi="Times New Roman;sans-serif"/>
          <w:b w:val="false"/>
          <w:color w:val="000000"/>
          <w:sz w:val="20"/>
        </w:rPr>
        <w:t>4.The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pStyle w:val="TextBody"/>
        <w:bidi w:val="0"/>
        <w:spacing w:lineRule="auto" w:line="288" w:before="0" w:after="160"/>
        <w:ind w:left="0" w:right="0" w:hanging="360"/>
        <w:jc w:val="left"/>
        <w:rPr>
          <w:rFonts w:ascii="Times New Roman;sans-serif" w:hAnsi="Times New Roman;sans-serif"/>
          <w:b w:val="false"/>
          <w:color w:val="000000"/>
          <w:sz w:val="20"/>
        </w:rPr>
      </w:pPr>
      <w:r>
        <w:rPr>
          <w:rFonts w:ascii="Times New Roman;sans-serif" w:hAnsi="Times New Roman;sans-serif"/>
          <w:b w:val="false"/>
          <w:color w:val="000000"/>
          <w:sz w:val="20"/>
        </w:rPr>
        <w:t>a.Designed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pStyle w:val="TextBody"/>
        <w:bidi w:val="0"/>
        <w:spacing w:lineRule="auto" w:line="268" w:before="0" w:after="160"/>
        <w:ind w:left="0" w:right="0" w:hanging="360"/>
        <w:jc w:val="left"/>
        <w:rPr>
          <w:rFonts w:ascii="Times New Roman;sans-serif" w:hAnsi="Times New Roman;sans-serif"/>
          <w:b w:val="false"/>
          <w:color w:val="000000"/>
          <w:sz w:val="20"/>
        </w:rPr>
      </w:pPr>
      <w:r>
        <w:rPr>
          <w:rFonts w:ascii="Times New Roman;sans-serif" w:hAnsi="Times New Roman;sans-serif"/>
          <w:b w:val="false"/>
          <w:color w:val="000000"/>
          <w:sz w:val="20"/>
        </w:rPr>
        <w:t>b.Designed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pStyle w:val="TextBody"/>
        <w:bidi w:val="0"/>
        <w:spacing w:lineRule="auto" w:line="288" w:before="0" w:after="160"/>
        <w:ind w:left="0" w:right="0" w:hanging="360"/>
        <w:jc w:val="left"/>
        <w:rPr>
          <w:rFonts w:ascii="Times New Roman;sans-serif" w:hAnsi="Times New Roman;sans-serif"/>
          <w:b w:val="false"/>
          <w:color w:val="000000"/>
          <w:sz w:val="20"/>
        </w:rPr>
      </w:pPr>
      <w:r>
        <w:rPr>
          <w:rFonts w:ascii="Times New Roman;sans-serif" w:hAnsi="Times New Roman;sans-serif"/>
          <w:b w:val="false"/>
          <w:color w:val="000000"/>
          <w:sz w:val="20"/>
        </w:rPr>
        <w:t>c.Evaluated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pStyle w:val="TextBody"/>
        <w:bidi w:val="0"/>
        <w:spacing w:lineRule="auto" w:line="288" w:before="0" w:after="160"/>
        <w:ind w:left="0" w:right="0" w:hanging="360"/>
        <w:jc w:val="left"/>
        <w:rPr>
          <w:rFonts w:ascii="Times New Roman;sans-serif" w:hAnsi="Times New Roman;sans-serif"/>
          <w:b w:val="false"/>
          <w:color w:val="000000"/>
          <w:sz w:val="20"/>
        </w:rPr>
      </w:pPr>
      <w:r>
        <w:rPr>
          <w:rFonts w:ascii="Times New Roman;sans-serif" w:hAnsi="Times New Roman;sans-serif"/>
          <w:b w:val="false"/>
          <w:color w:val="000000"/>
          <w:sz w:val="20"/>
        </w:rPr>
        <w:t>d.Disclosed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pStyle w:val="TextBody"/>
        <w:bidi w:val="0"/>
        <w:spacing w:lineRule="auto" w:line="288" w:before="0" w:after="160"/>
        <w:ind w:left="0" w:right="0" w:hanging="360"/>
        <w:jc w:val="left"/>
        <w:rPr>
          <w:rFonts w:ascii="Times New Roman;sans-serif" w:hAnsi="Times New Roman;sans-serif"/>
          <w:b w:val="false"/>
          <w:color w:val="000000"/>
          <w:sz w:val="20"/>
        </w:rPr>
      </w:pPr>
      <w:r>
        <w:rPr>
          <w:rFonts w:ascii="Times New Roman;sans-serif" w:hAnsi="Times New Roman;sans-serif"/>
          <w:b w:val="false"/>
          <w:color w:val="000000"/>
          <w:sz w:val="20"/>
        </w:rPr>
        <w:t>5.The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pStyle w:val="TextBody"/>
        <w:bidi w:val="0"/>
        <w:spacing w:lineRule="auto" w:line="288" w:before="0" w:after="160"/>
        <w:ind w:left="0" w:right="0" w:hanging="360"/>
        <w:jc w:val="left"/>
        <w:rPr>
          <w:rFonts w:ascii="Times New Roman;sans-serif" w:hAnsi="Times New Roman;sans-serif"/>
          <w:b w:val="false"/>
          <w:color w:val="000000"/>
          <w:sz w:val="20"/>
        </w:rPr>
      </w:pPr>
      <w:r>
        <w:rPr>
          <w:rFonts w:ascii="Times New Roman;sans-serif" w:hAnsi="Times New Roman;sans-serif"/>
          <w:b w:val="false"/>
          <w:color w:val="000000"/>
          <w:sz w:val="20"/>
        </w:rPr>
        <w:t>a.All significant deficiencies and material weaknesses in the design or operation of internal control over financial reporting which are reasonably likely to adversely affect the registrant’s ability to record, process, summarize and report financial information; and</w:t>
      </w:r>
    </w:p>
    <w:p>
      <w:pPr>
        <w:pStyle w:val="TextBody"/>
        <w:bidi w:val="0"/>
        <w:spacing w:lineRule="auto" w:line="288" w:before="0" w:after="160"/>
        <w:ind w:left="0" w:right="0" w:hanging="360"/>
        <w:jc w:val="left"/>
        <w:rPr>
          <w:rFonts w:ascii="Times New Roman;sans-serif" w:hAnsi="Times New Roman;sans-serif"/>
          <w:b w:val="false"/>
          <w:color w:val="000000"/>
          <w:sz w:val="20"/>
        </w:rPr>
      </w:pPr>
      <w:r>
        <w:rPr>
          <w:rFonts w:ascii="Times New Roman;sans-serif" w:hAnsi="Times New Roman;sans-serif"/>
          <w:b w:val="false"/>
          <w:color w:val="000000"/>
          <w:sz w:val="20"/>
        </w:rPr>
        <w:t>b.Any fraud, whether or not material, that involves management or other employees who have a significant role in the registrant’s internal control over financial reporting.</w:t>
      </w:r>
    </w:p>
    <w:tbl>
      <w:tblPr>
        <w:tblW w:w="4792" w:type="dxa"/>
        <w:jc w:val="left"/>
        <w:tblInd w:w="0" w:type="dxa"/>
        <w:tblLayout w:type="fixed"/>
        <w:tblCellMar>
          <w:top w:w="28" w:type="dxa"/>
          <w:left w:w="28" w:type="dxa"/>
          <w:bottom w:w="28" w:type="dxa"/>
          <w:right w:w="28" w:type="dxa"/>
        </w:tblCellMar>
      </w:tblPr>
      <w:tblGrid>
        <w:gridCol w:w="303"/>
        <w:gridCol w:w="266"/>
        <w:gridCol w:w="266"/>
        <w:gridCol w:w="266"/>
        <w:gridCol w:w="266"/>
        <w:gridCol w:w="266"/>
        <w:gridCol w:w="109"/>
        <w:gridCol w:w="109"/>
        <w:gridCol w:w="109"/>
        <w:gridCol w:w="109"/>
        <w:gridCol w:w="109"/>
        <w:gridCol w:w="109"/>
        <w:gridCol w:w="731"/>
        <w:gridCol w:w="731"/>
        <w:gridCol w:w="1043"/>
      </w:tblGrid>
      <w:tr>
        <w:trPr/>
        <w:tc>
          <w:tcPr>
            <w:tcW w:w="303" w:type="dxa"/>
            <w:tcBorders/>
            <w:vAlign w:val="center"/>
          </w:tcPr>
          <w:p>
            <w:pPr>
              <w:pStyle w:val="TableContents"/>
              <w:bidi w:val="0"/>
              <w:spacing w:before="0" w:after="283"/>
              <w:jc w:val="left"/>
              <w:rPr>
                <w:sz w:val="4"/>
                <w:szCs w:val="4"/>
              </w:rPr>
            </w:pPr>
            <w:r>
              <w:rPr>
                <w:sz w:val="4"/>
                <w:szCs w:val="4"/>
              </w:rPr>
            </w:r>
          </w:p>
        </w:tc>
        <w:tc>
          <w:tcPr>
            <w:tcW w:w="266" w:type="dxa"/>
            <w:tcBorders/>
            <w:vAlign w:val="center"/>
          </w:tcPr>
          <w:p>
            <w:pPr>
              <w:pStyle w:val="TableContents"/>
              <w:bidi w:val="0"/>
              <w:spacing w:before="0" w:after="283"/>
              <w:jc w:val="left"/>
              <w:rPr>
                <w:sz w:val="4"/>
                <w:szCs w:val="4"/>
              </w:rPr>
            </w:pPr>
            <w:r>
              <w:rPr>
                <w:sz w:val="4"/>
                <w:szCs w:val="4"/>
              </w:rPr>
            </w:r>
          </w:p>
        </w:tc>
        <w:tc>
          <w:tcPr>
            <w:tcW w:w="266" w:type="dxa"/>
            <w:tcBorders/>
            <w:vAlign w:val="center"/>
          </w:tcPr>
          <w:p>
            <w:pPr>
              <w:pStyle w:val="TableContents"/>
              <w:bidi w:val="0"/>
              <w:spacing w:before="0" w:after="283"/>
              <w:jc w:val="left"/>
              <w:rPr>
                <w:sz w:val="4"/>
                <w:szCs w:val="4"/>
              </w:rPr>
            </w:pPr>
            <w:r>
              <w:rPr>
                <w:sz w:val="4"/>
                <w:szCs w:val="4"/>
              </w:rPr>
            </w:r>
          </w:p>
        </w:tc>
        <w:tc>
          <w:tcPr>
            <w:tcW w:w="266" w:type="dxa"/>
            <w:tcBorders/>
            <w:vAlign w:val="center"/>
          </w:tcPr>
          <w:p>
            <w:pPr>
              <w:pStyle w:val="TableContents"/>
              <w:bidi w:val="0"/>
              <w:spacing w:before="0" w:after="283"/>
              <w:jc w:val="left"/>
              <w:rPr>
                <w:sz w:val="4"/>
                <w:szCs w:val="4"/>
              </w:rPr>
            </w:pPr>
            <w:r>
              <w:rPr>
                <w:sz w:val="4"/>
                <w:szCs w:val="4"/>
              </w:rPr>
            </w:r>
          </w:p>
        </w:tc>
        <w:tc>
          <w:tcPr>
            <w:tcW w:w="266" w:type="dxa"/>
            <w:tcBorders/>
            <w:vAlign w:val="center"/>
          </w:tcPr>
          <w:p>
            <w:pPr>
              <w:pStyle w:val="TableContents"/>
              <w:bidi w:val="0"/>
              <w:spacing w:before="0" w:after="283"/>
              <w:jc w:val="left"/>
              <w:rPr>
                <w:sz w:val="4"/>
                <w:szCs w:val="4"/>
              </w:rPr>
            </w:pPr>
            <w:r>
              <w:rPr>
                <w:sz w:val="4"/>
                <w:szCs w:val="4"/>
              </w:rPr>
            </w:r>
          </w:p>
        </w:tc>
        <w:tc>
          <w:tcPr>
            <w:tcW w:w="2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31" w:type="dxa"/>
            <w:tcBorders/>
            <w:vAlign w:val="center"/>
          </w:tcPr>
          <w:p>
            <w:pPr>
              <w:pStyle w:val="TableContents"/>
              <w:bidi w:val="0"/>
              <w:spacing w:before="0" w:after="283"/>
              <w:jc w:val="left"/>
              <w:rPr>
                <w:sz w:val="4"/>
                <w:szCs w:val="4"/>
              </w:rPr>
            </w:pPr>
            <w:r>
              <w:rPr>
                <w:sz w:val="4"/>
                <w:szCs w:val="4"/>
              </w:rPr>
            </w:r>
          </w:p>
        </w:tc>
        <w:tc>
          <w:tcPr>
            <w:tcW w:w="731" w:type="dxa"/>
            <w:tcBorders/>
            <w:vAlign w:val="center"/>
          </w:tcPr>
          <w:p>
            <w:pPr>
              <w:pStyle w:val="TableContents"/>
              <w:bidi w:val="0"/>
              <w:spacing w:before="0" w:after="283"/>
              <w:jc w:val="left"/>
              <w:rPr>
                <w:sz w:val="4"/>
                <w:szCs w:val="4"/>
              </w:rPr>
            </w:pPr>
            <w:r>
              <w:rPr>
                <w:sz w:val="4"/>
                <w:szCs w:val="4"/>
              </w:rPr>
            </w:r>
          </w:p>
        </w:tc>
        <w:tc>
          <w:tcPr>
            <w:tcW w:w="1043" w:type="dxa"/>
            <w:tcBorders/>
            <w:vAlign w:val="center"/>
          </w:tcPr>
          <w:p>
            <w:pPr>
              <w:pStyle w:val="TableContents"/>
              <w:bidi w:val="0"/>
              <w:spacing w:before="0" w:after="283"/>
              <w:jc w:val="left"/>
              <w:rPr>
                <w:sz w:val="4"/>
                <w:szCs w:val="4"/>
              </w:rPr>
            </w:pPr>
            <w:r>
              <w:rPr>
                <w:sz w:val="4"/>
                <w:szCs w:val="4"/>
              </w:rPr>
            </w:r>
          </w:p>
        </w:tc>
      </w:tr>
      <w:tr>
        <w:trPr/>
        <w:tc>
          <w:tcPr>
            <w:tcW w:w="1633"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05"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/s/ David Barrett</w:t>
            </w:r>
          </w:p>
        </w:tc>
      </w:tr>
      <w:tr>
        <w:trPr/>
        <w:tc>
          <w:tcPr>
            <w:tcW w:w="1633"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0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David Barrett</w:t>
            </w:r>
          </w:p>
        </w:tc>
      </w:tr>
      <w:tr>
        <w:trPr/>
        <w:tc>
          <w:tcPr>
            <w:tcW w:w="8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05"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Chief Executive Officer</w:t>
            </w:r>
          </w:p>
        </w:tc>
      </w:tr>
      <w:tr>
        <w:trPr/>
        <w:tc>
          <w:tcPr>
            <w:tcW w:w="1633" w:type="dxa"/>
            <w:gridSpan w:val="6"/>
            <w:tcBorders/>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Date: May 8, 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05"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i/>
                <w:color w:val="000000"/>
                <w:sz w:val="20"/>
              </w:rPr>
            </w:pPr>
            <w:r>
              <w:rPr>
                <w:rFonts w:ascii="Times New Roman;sans-serif" w:hAnsi="Times New Roman;sans-serif"/>
                <w:b w:val="false"/>
                <w:i/>
                <w:color w:val="000000"/>
                <w:sz w:val="20"/>
              </w:rPr>
              <w:t>(Principal Executive Officer)</w:t>
            </w:r>
          </w:p>
        </w:tc>
      </w:tr>
    </w:tbl>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lineRule="auto" w:line="288" w:before="0" w:after="0"/>
        <w:jc w:val="right"/>
        <w:rPr>
          <w:rFonts w:ascii="Times New Roman;sans-serif" w:hAnsi="Times New Roman;sans-serif"/>
          <w:b/>
          <w:color w:val="000000"/>
          <w:sz w:val="20"/>
        </w:rPr>
      </w:pPr>
      <w:r>
        <w:rPr>
          <w:rFonts w:ascii="Times New Roman;sans-serif" w:hAnsi="Times New Roman;sans-serif"/>
          <w:b/>
          <w:color w:val="000000"/>
          <w:sz w:val="20"/>
        </w:rPr>
        <w:t>Exhibit 31.2</w:t>
      </w:r>
      <w:r>
        <mc:AlternateContent>
          <mc:Choice Requires="wps">
            <w:drawing>
              <wp:anchor behindDoc="0" distT="0" distB="0" distL="0" distR="0" simplePos="0" locked="0" layoutInCell="1" allowOverlap="1" relativeHeight="48">
                <wp:simplePos x="0" y="0"/>
                <wp:positionH relativeFrom="character">
                  <wp:align>left</wp:align>
                </wp:positionH>
                <wp:positionV relativeFrom="line">
                  <wp:posOffset>635</wp:posOffset>
                </wp:positionV>
                <wp:extent cx="6480175" cy="175260"/>
                <wp:effectExtent l="0" t="0" r="0" b="0"/>
                <wp:wrapNone/>
                <wp:docPr id="47" name="Frame46"/>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30.35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CERTIFICATION OF PRINCIPAL FINANCIAL OFFICER</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PURSUANT TO RULES 13a-14(a) AND 15d-14(a) UNDER THE SECURITIES EXCHANGE ACT OF 1934, AS AMENDED, AS ADOPTED PURSUANT TO SECTION 302 OF THE SARBANES-OXLEY ACT OF 2002</w:t>
      </w:r>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I, Ryan Schaffer, certify that:</w:t>
      </w:r>
    </w:p>
    <w:p>
      <w:pPr>
        <w:pStyle w:val="TextBody"/>
        <w:bidi w:val="0"/>
        <w:spacing w:before="0" w:after="0"/>
        <w:jc w:val="left"/>
        <w:rPr/>
      </w:pPr>
      <w:r>
        <w:rPr/>
      </w:r>
    </w:p>
    <w:p>
      <w:pPr>
        <w:pStyle w:val="TextBody"/>
        <w:bidi w:val="0"/>
        <w:spacing w:lineRule="auto" w:line="288" w:before="0" w:after="160"/>
        <w:ind w:left="0" w:right="0" w:hanging="360"/>
        <w:jc w:val="left"/>
        <w:rPr>
          <w:rFonts w:ascii="Times New Roman;sans-serif" w:hAnsi="Times New Roman;sans-serif"/>
          <w:b w:val="false"/>
          <w:color w:val="000000"/>
          <w:sz w:val="20"/>
        </w:rPr>
      </w:pPr>
      <w:r>
        <w:rPr>
          <w:rFonts w:ascii="Times New Roman;sans-serif" w:hAnsi="Times New Roman;sans-serif"/>
          <w:b w:val="false"/>
          <w:color w:val="000000"/>
          <w:sz w:val="20"/>
        </w:rPr>
        <w:t>1.I have reviewed this Quarterly Report on Form 10-Q of Expensify, Inc.;</w:t>
      </w:r>
    </w:p>
    <w:p>
      <w:pPr>
        <w:pStyle w:val="TextBody"/>
        <w:bidi w:val="0"/>
        <w:spacing w:lineRule="auto" w:line="288" w:before="0" w:after="160"/>
        <w:ind w:left="0" w:right="0" w:hanging="360"/>
        <w:jc w:val="left"/>
        <w:rPr>
          <w:rFonts w:ascii="Times New Roman;sans-serif" w:hAnsi="Times New Roman;sans-serif"/>
          <w:b w:val="false"/>
          <w:color w:val="000000"/>
          <w:sz w:val="20"/>
        </w:rPr>
      </w:pPr>
      <w:r>
        <w:rPr>
          <w:rFonts w:ascii="Times New Roman;sans-serif" w:hAnsi="Times New Roman;sans-serif"/>
          <w:b w:val="false"/>
          <w:color w:val="000000"/>
          <w:sz w:val="20"/>
        </w:rPr>
        <w:t>2.Based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pStyle w:val="TextBody"/>
        <w:bidi w:val="0"/>
        <w:spacing w:lineRule="auto" w:line="288" w:before="0" w:after="160"/>
        <w:ind w:left="0" w:right="0" w:hanging="360"/>
        <w:jc w:val="left"/>
        <w:rPr>
          <w:rFonts w:ascii="Times New Roman;sans-serif" w:hAnsi="Times New Roman;sans-serif"/>
          <w:b w:val="false"/>
          <w:color w:val="000000"/>
          <w:sz w:val="20"/>
        </w:rPr>
      </w:pPr>
      <w:r>
        <w:rPr>
          <w:rFonts w:ascii="Times New Roman;sans-serif" w:hAnsi="Times New Roman;sans-serif"/>
          <w:b w:val="false"/>
          <w:color w:val="000000"/>
          <w:sz w:val="20"/>
        </w:rPr>
        <w:t>3.Based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pStyle w:val="TextBody"/>
        <w:bidi w:val="0"/>
        <w:spacing w:lineRule="auto" w:line="268" w:before="0" w:after="160"/>
        <w:ind w:left="0" w:right="0" w:hanging="360"/>
        <w:jc w:val="left"/>
        <w:rPr>
          <w:rFonts w:ascii="Times New Roman;sans-serif" w:hAnsi="Times New Roman;sans-serif"/>
          <w:b w:val="false"/>
          <w:color w:val="000000"/>
          <w:sz w:val="20"/>
        </w:rPr>
      </w:pPr>
      <w:r>
        <w:rPr>
          <w:rFonts w:ascii="Times New Roman;sans-serif" w:hAnsi="Times New Roman;sans-serif"/>
          <w:b w:val="false"/>
          <w:color w:val="000000"/>
          <w:sz w:val="20"/>
        </w:rPr>
        <w:t>4.The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pStyle w:val="TextBody"/>
        <w:bidi w:val="0"/>
        <w:spacing w:lineRule="auto" w:line="288" w:before="0" w:after="160"/>
        <w:ind w:left="0" w:right="0" w:hanging="360"/>
        <w:jc w:val="left"/>
        <w:rPr>
          <w:rFonts w:ascii="Times New Roman;sans-serif" w:hAnsi="Times New Roman;sans-serif"/>
          <w:b w:val="false"/>
          <w:color w:val="000000"/>
          <w:sz w:val="20"/>
        </w:rPr>
      </w:pPr>
      <w:r>
        <w:rPr>
          <w:rFonts w:ascii="Times New Roman;sans-serif" w:hAnsi="Times New Roman;sans-serif"/>
          <w:b w:val="false"/>
          <w:color w:val="000000"/>
          <w:sz w:val="20"/>
        </w:rPr>
        <w:t>a.Designed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pStyle w:val="TextBody"/>
        <w:bidi w:val="0"/>
        <w:spacing w:lineRule="auto" w:line="288" w:before="0" w:after="160"/>
        <w:ind w:left="0" w:right="0" w:hanging="360"/>
        <w:jc w:val="left"/>
        <w:rPr>
          <w:rFonts w:ascii="Times New Roman;sans-serif" w:hAnsi="Times New Roman;sans-serif"/>
          <w:b w:val="false"/>
          <w:color w:val="000000"/>
          <w:sz w:val="20"/>
        </w:rPr>
      </w:pPr>
      <w:r>
        <w:rPr>
          <w:rFonts w:ascii="Times New Roman;sans-serif" w:hAnsi="Times New Roman;sans-serif"/>
          <w:b w:val="false"/>
          <w:color w:val="000000"/>
          <w:sz w:val="20"/>
        </w:rPr>
        <w:t>b.Designed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pStyle w:val="TextBody"/>
        <w:bidi w:val="0"/>
        <w:spacing w:lineRule="auto" w:line="288" w:before="0" w:after="160"/>
        <w:ind w:left="0" w:right="0" w:hanging="360"/>
        <w:jc w:val="left"/>
        <w:rPr>
          <w:rFonts w:ascii="Times New Roman;sans-serif" w:hAnsi="Times New Roman;sans-serif"/>
          <w:b w:val="false"/>
          <w:color w:val="000000"/>
          <w:sz w:val="20"/>
        </w:rPr>
      </w:pPr>
      <w:r>
        <w:rPr>
          <w:rFonts w:ascii="Times New Roman;sans-serif" w:hAnsi="Times New Roman;sans-serif"/>
          <w:b w:val="false"/>
          <w:color w:val="000000"/>
          <w:sz w:val="20"/>
        </w:rPr>
        <w:t>c.Evaluated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pStyle w:val="TextBody"/>
        <w:bidi w:val="0"/>
        <w:spacing w:lineRule="auto" w:line="288" w:before="0" w:after="160"/>
        <w:ind w:left="0" w:right="0" w:hanging="360"/>
        <w:jc w:val="left"/>
        <w:rPr>
          <w:rFonts w:ascii="Times New Roman;sans-serif" w:hAnsi="Times New Roman;sans-serif"/>
          <w:b w:val="false"/>
          <w:color w:val="000000"/>
          <w:sz w:val="20"/>
        </w:rPr>
      </w:pPr>
      <w:r>
        <w:rPr>
          <w:rFonts w:ascii="Times New Roman;sans-serif" w:hAnsi="Times New Roman;sans-serif"/>
          <w:b w:val="false"/>
          <w:color w:val="000000"/>
          <w:sz w:val="20"/>
        </w:rPr>
        <w:t>d.Disclosed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pStyle w:val="TextBody"/>
        <w:bidi w:val="0"/>
        <w:spacing w:lineRule="auto" w:line="288" w:before="0" w:after="160"/>
        <w:ind w:left="0" w:right="0" w:hanging="360"/>
        <w:jc w:val="left"/>
        <w:rPr>
          <w:rFonts w:ascii="Times New Roman;sans-serif" w:hAnsi="Times New Roman;sans-serif"/>
          <w:b w:val="false"/>
          <w:color w:val="000000"/>
          <w:sz w:val="20"/>
        </w:rPr>
      </w:pPr>
      <w:r>
        <w:rPr>
          <w:rFonts w:ascii="Times New Roman;sans-serif" w:hAnsi="Times New Roman;sans-serif"/>
          <w:b w:val="false"/>
          <w:color w:val="000000"/>
          <w:sz w:val="20"/>
        </w:rPr>
        <w:t>5.The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pStyle w:val="TextBody"/>
        <w:bidi w:val="0"/>
        <w:spacing w:lineRule="auto" w:line="288" w:before="0" w:after="160"/>
        <w:ind w:left="0" w:right="0" w:hanging="360"/>
        <w:jc w:val="left"/>
        <w:rPr>
          <w:rFonts w:ascii="Times New Roman;sans-serif" w:hAnsi="Times New Roman;sans-serif"/>
          <w:b w:val="false"/>
          <w:color w:val="000000"/>
          <w:sz w:val="20"/>
        </w:rPr>
      </w:pPr>
      <w:r>
        <w:rPr>
          <w:rFonts w:ascii="Times New Roman;sans-serif" w:hAnsi="Times New Roman;sans-serif"/>
          <w:b w:val="false"/>
          <w:color w:val="000000"/>
          <w:sz w:val="20"/>
        </w:rPr>
        <w:t>a.All significant deficiencies and material weaknesses in the design or operation of internal control over financial reporting which are reasonably likely to adversely affect the registrant’s ability to record, process, summarize and report financial information; and</w:t>
      </w:r>
    </w:p>
    <w:p>
      <w:pPr>
        <w:pStyle w:val="TextBody"/>
        <w:bidi w:val="0"/>
        <w:spacing w:lineRule="auto" w:line="288" w:before="0" w:after="160"/>
        <w:ind w:left="0" w:right="0" w:hanging="360"/>
        <w:jc w:val="left"/>
        <w:rPr>
          <w:rFonts w:ascii="Times New Roman;sans-serif" w:hAnsi="Times New Roman;sans-serif"/>
          <w:b w:val="false"/>
          <w:color w:val="000000"/>
          <w:sz w:val="20"/>
        </w:rPr>
      </w:pPr>
      <w:r>
        <w:rPr>
          <w:rFonts w:ascii="Times New Roman;sans-serif" w:hAnsi="Times New Roman;sans-serif"/>
          <w:b w:val="false"/>
          <w:color w:val="000000"/>
          <w:sz w:val="20"/>
        </w:rPr>
        <w:t>b.Any fraud, whether or not material, that involves management or other employees who have a significant role in the registrant’s internal control over financial reporting.</w:t>
      </w:r>
    </w:p>
    <w:tbl>
      <w:tblPr>
        <w:tblW w:w="4806" w:type="dxa"/>
        <w:jc w:val="left"/>
        <w:tblInd w:w="0" w:type="dxa"/>
        <w:tblLayout w:type="fixed"/>
        <w:tblCellMar>
          <w:top w:w="28" w:type="dxa"/>
          <w:left w:w="28" w:type="dxa"/>
          <w:bottom w:w="28" w:type="dxa"/>
          <w:right w:w="28" w:type="dxa"/>
        </w:tblCellMar>
      </w:tblPr>
      <w:tblGrid>
        <w:gridCol w:w="303"/>
        <w:gridCol w:w="266"/>
        <w:gridCol w:w="266"/>
        <w:gridCol w:w="266"/>
        <w:gridCol w:w="266"/>
        <w:gridCol w:w="266"/>
        <w:gridCol w:w="109"/>
        <w:gridCol w:w="109"/>
        <w:gridCol w:w="109"/>
        <w:gridCol w:w="109"/>
        <w:gridCol w:w="109"/>
        <w:gridCol w:w="109"/>
        <w:gridCol w:w="736"/>
        <w:gridCol w:w="736"/>
        <w:gridCol w:w="1047"/>
      </w:tblGrid>
      <w:tr>
        <w:trPr/>
        <w:tc>
          <w:tcPr>
            <w:tcW w:w="303" w:type="dxa"/>
            <w:tcBorders/>
            <w:vAlign w:val="center"/>
          </w:tcPr>
          <w:p>
            <w:pPr>
              <w:pStyle w:val="TableContents"/>
              <w:bidi w:val="0"/>
              <w:spacing w:before="0" w:after="283"/>
              <w:jc w:val="left"/>
              <w:rPr>
                <w:sz w:val="4"/>
                <w:szCs w:val="4"/>
              </w:rPr>
            </w:pPr>
            <w:r>
              <w:rPr>
                <w:sz w:val="4"/>
                <w:szCs w:val="4"/>
              </w:rPr>
            </w:r>
          </w:p>
        </w:tc>
        <w:tc>
          <w:tcPr>
            <w:tcW w:w="266" w:type="dxa"/>
            <w:tcBorders/>
            <w:vAlign w:val="center"/>
          </w:tcPr>
          <w:p>
            <w:pPr>
              <w:pStyle w:val="TableContents"/>
              <w:bidi w:val="0"/>
              <w:spacing w:before="0" w:after="283"/>
              <w:jc w:val="left"/>
              <w:rPr>
                <w:sz w:val="4"/>
                <w:szCs w:val="4"/>
              </w:rPr>
            </w:pPr>
            <w:r>
              <w:rPr>
                <w:sz w:val="4"/>
                <w:szCs w:val="4"/>
              </w:rPr>
            </w:r>
          </w:p>
        </w:tc>
        <w:tc>
          <w:tcPr>
            <w:tcW w:w="266" w:type="dxa"/>
            <w:tcBorders/>
            <w:vAlign w:val="center"/>
          </w:tcPr>
          <w:p>
            <w:pPr>
              <w:pStyle w:val="TableContents"/>
              <w:bidi w:val="0"/>
              <w:spacing w:before="0" w:after="283"/>
              <w:jc w:val="left"/>
              <w:rPr>
                <w:sz w:val="4"/>
                <w:szCs w:val="4"/>
              </w:rPr>
            </w:pPr>
            <w:r>
              <w:rPr>
                <w:sz w:val="4"/>
                <w:szCs w:val="4"/>
              </w:rPr>
            </w:r>
          </w:p>
        </w:tc>
        <w:tc>
          <w:tcPr>
            <w:tcW w:w="266" w:type="dxa"/>
            <w:tcBorders/>
            <w:vAlign w:val="center"/>
          </w:tcPr>
          <w:p>
            <w:pPr>
              <w:pStyle w:val="TableContents"/>
              <w:bidi w:val="0"/>
              <w:spacing w:before="0" w:after="283"/>
              <w:jc w:val="left"/>
              <w:rPr>
                <w:sz w:val="4"/>
                <w:szCs w:val="4"/>
              </w:rPr>
            </w:pPr>
            <w:r>
              <w:rPr>
                <w:sz w:val="4"/>
                <w:szCs w:val="4"/>
              </w:rPr>
            </w:r>
          </w:p>
        </w:tc>
        <w:tc>
          <w:tcPr>
            <w:tcW w:w="266" w:type="dxa"/>
            <w:tcBorders/>
            <w:vAlign w:val="center"/>
          </w:tcPr>
          <w:p>
            <w:pPr>
              <w:pStyle w:val="TableContents"/>
              <w:bidi w:val="0"/>
              <w:spacing w:before="0" w:after="283"/>
              <w:jc w:val="left"/>
              <w:rPr>
                <w:sz w:val="4"/>
                <w:szCs w:val="4"/>
              </w:rPr>
            </w:pPr>
            <w:r>
              <w:rPr>
                <w:sz w:val="4"/>
                <w:szCs w:val="4"/>
              </w:rPr>
            </w:r>
          </w:p>
        </w:tc>
        <w:tc>
          <w:tcPr>
            <w:tcW w:w="2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047" w:type="dxa"/>
            <w:tcBorders/>
            <w:vAlign w:val="center"/>
          </w:tcPr>
          <w:p>
            <w:pPr>
              <w:pStyle w:val="TableContents"/>
              <w:bidi w:val="0"/>
              <w:spacing w:before="0" w:after="283"/>
              <w:jc w:val="left"/>
              <w:rPr>
                <w:sz w:val="4"/>
                <w:szCs w:val="4"/>
              </w:rPr>
            </w:pPr>
            <w:r>
              <w:rPr>
                <w:sz w:val="4"/>
                <w:szCs w:val="4"/>
              </w:rPr>
            </w:r>
          </w:p>
        </w:tc>
      </w:tr>
      <w:tr>
        <w:trPr/>
        <w:tc>
          <w:tcPr>
            <w:tcW w:w="1633"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19"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/s/ Ryan Schaffer</w:t>
            </w:r>
          </w:p>
        </w:tc>
      </w:tr>
      <w:tr>
        <w:trPr/>
        <w:tc>
          <w:tcPr>
            <w:tcW w:w="1633"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1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Ryan Schaffer</w:t>
            </w:r>
          </w:p>
        </w:tc>
      </w:tr>
      <w:tr>
        <w:trPr/>
        <w:tc>
          <w:tcPr>
            <w:tcW w:w="8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19"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Chief Financial Officer</w:t>
            </w:r>
          </w:p>
        </w:tc>
      </w:tr>
      <w:tr>
        <w:trPr/>
        <w:tc>
          <w:tcPr>
            <w:tcW w:w="1633" w:type="dxa"/>
            <w:gridSpan w:val="6"/>
            <w:tcBorders/>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Date: May 8, 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19"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i/>
                <w:color w:val="000000"/>
                <w:sz w:val="20"/>
              </w:rPr>
            </w:pPr>
            <w:r>
              <w:rPr>
                <w:rFonts w:ascii="Times New Roman;sans-serif" w:hAnsi="Times New Roman;sans-serif"/>
                <w:b w:val="false"/>
                <w:i/>
                <w:color w:val="000000"/>
                <w:sz w:val="20"/>
              </w:rPr>
              <w:t>(Principal Financial Officer)</w:t>
            </w:r>
          </w:p>
        </w:tc>
      </w:tr>
    </w:tbl>
    <w:p>
      <w:pPr>
        <w:pStyle w:val="TextBody"/>
        <w:bidi w:val="0"/>
        <w:spacing w:before="0" w:after="283"/>
        <w:jc w:val="left"/>
        <w:rPr/>
      </w:pPr>
      <w:r>
        <w:rPr/>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lineRule="auto" w:line="288" w:before="0" w:after="0"/>
        <w:jc w:val="right"/>
        <w:rPr>
          <w:rFonts w:ascii="Times New Roman;sans-serif" w:hAnsi="Times New Roman;sans-serif"/>
          <w:b/>
          <w:color w:val="000000"/>
          <w:sz w:val="20"/>
        </w:rPr>
      </w:pPr>
      <w:r>
        <w:rPr>
          <w:rFonts w:ascii="Times New Roman;sans-serif" w:hAnsi="Times New Roman;sans-serif"/>
          <w:b/>
          <w:color w:val="000000"/>
          <w:sz w:val="20"/>
        </w:rPr>
        <w:t>Exhibit 32.1</w:t>
      </w:r>
      <w:r>
        <mc:AlternateContent>
          <mc:Choice Requires="wps">
            <w:drawing>
              <wp:anchor behindDoc="0" distT="0" distB="0" distL="0" distR="0" simplePos="0" locked="0" layoutInCell="1" allowOverlap="1" relativeHeight="49">
                <wp:simplePos x="0" y="0"/>
                <wp:positionH relativeFrom="character">
                  <wp:align>left</wp:align>
                </wp:positionH>
                <wp:positionV relativeFrom="line">
                  <wp:posOffset>635</wp:posOffset>
                </wp:positionV>
                <wp:extent cx="6480175" cy="175260"/>
                <wp:effectExtent l="0" t="0" r="0" b="0"/>
                <wp:wrapNone/>
                <wp:docPr id="48" name="Frame47"/>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30.35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CERTIFICATION PURSUANT TO</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18 U.S.C. SECTION 1350, AS ADOPTED PURSUANT TO</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SECTION 906 OF THE SARBANES-OXLEY ACT OF 2002</w:t>
      </w:r>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Pursuant to 18 U.S.C. § 1350, as adopted pursuant to Section 906 of the Sarbanes-Oxley Act of 2002, the undersigned officer of Expensify, Inc. (the “Company”) hereby certifies, to such officer’s knowledge, that:</w:t>
      </w:r>
    </w:p>
    <w:p>
      <w:pPr>
        <w:pStyle w:val="TextBody"/>
        <w:bidi w:val="0"/>
        <w:spacing w:before="0" w:after="0"/>
        <w:jc w:val="left"/>
        <w:rPr/>
      </w:pPr>
      <w:r>
        <w:rPr/>
      </w:r>
    </w:p>
    <w:p>
      <w:pPr>
        <w:pStyle w:val="TextBody"/>
        <w:bidi w:val="0"/>
        <w:spacing w:lineRule="auto" w:line="288" w:before="0" w:after="0"/>
        <w:jc w:val="left"/>
        <w:rPr>
          <w:color w:val="000000"/>
        </w:rPr>
      </w:pPr>
      <w:r>
        <w:rPr>
          <w:color w:val="000000"/>
        </w:rPr>
        <w:t>    </w:t>
      </w:r>
      <w:r>
        <w:rPr>
          <w:rFonts w:ascii="Times New Roman;sans-serif" w:hAnsi="Times New Roman;sans-serif"/>
          <w:b w:val="false"/>
          <w:color w:val="000000"/>
          <w:sz w:val="20"/>
        </w:rPr>
        <w:t>(i)    the Quarterly Report on Form 10-Q of the Company for the quarterly period ended March 31, 2025 as filed with the Securities and Exchange Commission on the date hereof (the “Report”) fully complies with the requirements of Section 13(a) or Section 15(d), as applicable, of the Securities Exchange Act of 1934, as amended; and</w:t>
      </w:r>
    </w:p>
    <w:p>
      <w:pPr>
        <w:pStyle w:val="TextBody"/>
        <w:bidi w:val="0"/>
        <w:spacing w:before="0" w:after="0"/>
        <w:jc w:val="left"/>
        <w:rPr/>
      </w:pPr>
      <w:r>
        <w:rPr/>
      </w:r>
    </w:p>
    <w:p>
      <w:pPr>
        <w:pStyle w:val="TextBody"/>
        <w:bidi w:val="0"/>
        <w:spacing w:lineRule="auto" w:line="288" w:before="0" w:after="0"/>
        <w:jc w:val="left"/>
        <w:rPr>
          <w:color w:val="000000"/>
        </w:rPr>
      </w:pPr>
      <w:r>
        <w:rPr>
          <w:color w:val="000000"/>
        </w:rPr>
        <w:t>    </w:t>
      </w:r>
      <w:r>
        <w:rPr>
          <w:rFonts w:ascii="Times New Roman;sans-serif" w:hAnsi="Times New Roman;sans-serif"/>
          <w:b w:val="false"/>
          <w:color w:val="000000"/>
          <w:sz w:val="20"/>
        </w:rPr>
        <w:t>(ii)    the information contained in the Report fairly presents, in all material respects, the financial condition and results of operations of the Company.</w:t>
      </w:r>
    </w:p>
    <w:p>
      <w:pPr>
        <w:pStyle w:val="TextBody"/>
        <w:bidi w:val="0"/>
        <w:spacing w:before="0" w:after="0"/>
        <w:jc w:val="left"/>
        <w:rPr/>
      </w:pPr>
      <w:r>
        <w:rPr/>
      </w:r>
    </w:p>
    <w:tbl>
      <w:tblPr>
        <w:tblW w:w="4792" w:type="dxa"/>
        <w:jc w:val="left"/>
        <w:tblInd w:w="0" w:type="dxa"/>
        <w:tblLayout w:type="fixed"/>
        <w:tblCellMar>
          <w:top w:w="28" w:type="dxa"/>
          <w:left w:w="28" w:type="dxa"/>
          <w:bottom w:w="28" w:type="dxa"/>
          <w:right w:w="28" w:type="dxa"/>
        </w:tblCellMar>
      </w:tblPr>
      <w:tblGrid>
        <w:gridCol w:w="303"/>
        <w:gridCol w:w="266"/>
        <w:gridCol w:w="266"/>
        <w:gridCol w:w="266"/>
        <w:gridCol w:w="266"/>
        <w:gridCol w:w="266"/>
        <w:gridCol w:w="109"/>
        <w:gridCol w:w="109"/>
        <w:gridCol w:w="109"/>
        <w:gridCol w:w="109"/>
        <w:gridCol w:w="109"/>
        <w:gridCol w:w="109"/>
        <w:gridCol w:w="731"/>
        <w:gridCol w:w="731"/>
        <w:gridCol w:w="1043"/>
      </w:tblGrid>
      <w:tr>
        <w:trPr/>
        <w:tc>
          <w:tcPr>
            <w:tcW w:w="303" w:type="dxa"/>
            <w:tcBorders/>
            <w:vAlign w:val="center"/>
          </w:tcPr>
          <w:p>
            <w:pPr>
              <w:pStyle w:val="TableContents"/>
              <w:bidi w:val="0"/>
              <w:spacing w:before="0" w:after="283"/>
              <w:jc w:val="left"/>
              <w:rPr>
                <w:sz w:val="4"/>
                <w:szCs w:val="4"/>
              </w:rPr>
            </w:pPr>
            <w:r>
              <w:rPr>
                <w:sz w:val="4"/>
                <w:szCs w:val="4"/>
              </w:rPr>
            </w:r>
          </w:p>
        </w:tc>
        <w:tc>
          <w:tcPr>
            <w:tcW w:w="266" w:type="dxa"/>
            <w:tcBorders/>
            <w:vAlign w:val="center"/>
          </w:tcPr>
          <w:p>
            <w:pPr>
              <w:pStyle w:val="TableContents"/>
              <w:bidi w:val="0"/>
              <w:spacing w:before="0" w:after="283"/>
              <w:jc w:val="left"/>
              <w:rPr>
                <w:sz w:val="4"/>
                <w:szCs w:val="4"/>
              </w:rPr>
            </w:pPr>
            <w:r>
              <w:rPr>
                <w:sz w:val="4"/>
                <w:szCs w:val="4"/>
              </w:rPr>
            </w:r>
          </w:p>
        </w:tc>
        <w:tc>
          <w:tcPr>
            <w:tcW w:w="266" w:type="dxa"/>
            <w:tcBorders/>
            <w:vAlign w:val="center"/>
          </w:tcPr>
          <w:p>
            <w:pPr>
              <w:pStyle w:val="TableContents"/>
              <w:bidi w:val="0"/>
              <w:spacing w:before="0" w:after="283"/>
              <w:jc w:val="left"/>
              <w:rPr>
                <w:sz w:val="4"/>
                <w:szCs w:val="4"/>
              </w:rPr>
            </w:pPr>
            <w:r>
              <w:rPr>
                <w:sz w:val="4"/>
                <w:szCs w:val="4"/>
              </w:rPr>
            </w:r>
          </w:p>
        </w:tc>
        <w:tc>
          <w:tcPr>
            <w:tcW w:w="266" w:type="dxa"/>
            <w:tcBorders/>
            <w:vAlign w:val="center"/>
          </w:tcPr>
          <w:p>
            <w:pPr>
              <w:pStyle w:val="TableContents"/>
              <w:bidi w:val="0"/>
              <w:spacing w:before="0" w:after="283"/>
              <w:jc w:val="left"/>
              <w:rPr>
                <w:sz w:val="4"/>
                <w:szCs w:val="4"/>
              </w:rPr>
            </w:pPr>
            <w:r>
              <w:rPr>
                <w:sz w:val="4"/>
                <w:szCs w:val="4"/>
              </w:rPr>
            </w:r>
          </w:p>
        </w:tc>
        <w:tc>
          <w:tcPr>
            <w:tcW w:w="266" w:type="dxa"/>
            <w:tcBorders/>
            <w:vAlign w:val="center"/>
          </w:tcPr>
          <w:p>
            <w:pPr>
              <w:pStyle w:val="TableContents"/>
              <w:bidi w:val="0"/>
              <w:spacing w:before="0" w:after="283"/>
              <w:jc w:val="left"/>
              <w:rPr>
                <w:sz w:val="4"/>
                <w:szCs w:val="4"/>
              </w:rPr>
            </w:pPr>
            <w:r>
              <w:rPr>
                <w:sz w:val="4"/>
                <w:szCs w:val="4"/>
              </w:rPr>
            </w:r>
          </w:p>
        </w:tc>
        <w:tc>
          <w:tcPr>
            <w:tcW w:w="2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31" w:type="dxa"/>
            <w:tcBorders/>
            <w:vAlign w:val="center"/>
          </w:tcPr>
          <w:p>
            <w:pPr>
              <w:pStyle w:val="TableContents"/>
              <w:bidi w:val="0"/>
              <w:spacing w:before="0" w:after="283"/>
              <w:jc w:val="left"/>
              <w:rPr>
                <w:sz w:val="4"/>
                <w:szCs w:val="4"/>
              </w:rPr>
            </w:pPr>
            <w:r>
              <w:rPr>
                <w:sz w:val="4"/>
                <w:szCs w:val="4"/>
              </w:rPr>
            </w:r>
          </w:p>
        </w:tc>
        <w:tc>
          <w:tcPr>
            <w:tcW w:w="731" w:type="dxa"/>
            <w:tcBorders/>
            <w:vAlign w:val="center"/>
          </w:tcPr>
          <w:p>
            <w:pPr>
              <w:pStyle w:val="TableContents"/>
              <w:bidi w:val="0"/>
              <w:spacing w:before="0" w:after="283"/>
              <w:jc w:val="left"/>
              <w:rPr>
                <w:sz w:val="4"/>
                <w:szCs w:val="4"/>
              </w:rPr>
            </w:pPr>
            <w:r>
              <w:rPr>
                <w:sz w:val="4"/>
                <w:szCs w:val="4"/>
              </w:rPr>
            </w:r>
          </w:p>
        </w:tc>
        <w:tc>
          <w:tcPr>
            <w:tcW w:w="1043" w:type="dxa"/>
            <w:tcBorders/>
            <w:vAlign w:val="center"/>
          </w:tcPr>
          <w:p>
            <w:pPr>
              <w:pStyle w:val="TableContents"/>
              <w:bidi w:val="0"/>
              <w:spacing w:before="0" w:after="283"/>
              <w:jc w:val="left"/>
              <w:rPr>
                <w:sz w:val="4"/>
                <w:szCs w:val="4"/>
              </w:rPr>
            </w:pPr>
            <w:r>
              <w:rPr>
                <w:sz w:val="4"/>
                <w:szCs w:val="4"/>
              </w:rPr>
            </w:r>
          </w:p>
        </w:tc>
      </w:tr>
      <w:tr>
        <w:trPr/>
        <w:tc>
          <w:tcPr>
            <w:tcW w:w="1633"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05"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/s/ David Barrett</w:t>
            </w:r>
          </w:p>
        </w:tc>
      </w:tr>
      <w:tr>
        <w:trPr/>
        <w:tc>
          <w:tcPr>
            <w:tcW w:w="1633"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0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David Barrett</w:t>
            </w:r>
          </w:p>
        </w:tc>
      </w:tr>
      <w:tr>
        <w:trPr/>
        <w:tc>
          <w:tcPr>
            <w:tcW w:w="8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05"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Chief Executive Officer</w:t>
            </w:r>
          </w:p>
        </w:tc>
      </w:tr>
      <w:tr>
        <w:trPr/>
        <w:tc>
          <w:tcPr>
            <w:tcW w:w="1633" w:type="dxa"/>
            <w:gridSpan w:val="6"/>
            <w:tcBorders/>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Date: May 8, 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05"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i/>
                <w:color w:val="000000"/>
                <w:sz w:val="20"/>
              </w:rPr>
            </w:pPr>
            <w:r>
              <w:rPr>
                <w:rFonts w:ascii="Times New Roman;sans-serif" w:hAnsi="Times New Roman;sans-serif"/>
                <w:b w:val="false"/>
                <w:i/>
                <w:color w:val="000000"/>
                <w:sz w:val="20"/>
              </w:rPr>
              <w:t>(Principal Executive Officer)</w:t>
            </w:r>
          </w:p>
        </w:tc>
      </w:tr>
    </w:tbl>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lineRule="auto" w:line="288" w:before="0" w:after="0"/>
        <w:jc w:val="right"/>
        <w:rPr>
          <w:rFonts w:ascii="Times New Roman;sans-serif" w:hAnsi="Times New Roman;sans-serif"/>
          <w:b/>
          <w:color w:val="000000"/>
          <w:sz w:val="20"/>
        </w:rPr>
      </w:pPr>
      <w:r>
        <w:rPr>
          <w:rFonts w:ascii="Times New Roman;sans-serif" w:hAnsi="Times New Roman;sans-serif"/>
          <w:b/>
          <w:color w:val="000000"/>
          <w:sz w:val="20"/>
        </w:rPr>
        <w:t>Exhibit 32.2</w:t>
      </w:r>
      <w:r>
        <mc:AlternateContent>
          <mc:Choice Requires="wps">
            <w:drawing>
              <wp:anchor behindDoc="0" distT="0" distB="0" distL="0" distR="0" simplePos="0" locked="0" layoutInCell="1" allowOverlap="1" relativeHeight="50">
                <wp:simplePos x="0" y="0"/>
                <wp:positionH relativeFrom="character">
                  <wp:align>left</wp:align>
                </wp:positionH>
                <wp:positionV relativeFrom="line">
                  <wp:posOffset>635</wp:posOffset>
                </wp:positionV>
                <wp:extent cx="6480175" cy="175260"/>
                <wp:effectExtent l="0" t="0" r="0" b="0"/>
                <wp:wrapNone/>
                <wp:docPr id="49" name="Frame48"/>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30.35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CERTIFICATION PURSUANT TO</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18 U.S.C. SECTION 1350, AS ADOPTED PURSUANT TO</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SECTION 906 OF THE SARBANES-OXLEY ACT OF 2002</w:t>
      </w:r>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Pursuant to 18 U.S.C. § 1350, as adopted pursuant to Section 906 of the Sarbanes-Oxley Act of 2002, the undersigned officer of Expensify, Inc. (the “Company”) hereby certifies, to such officer’s knowledge, that:</w:t>
      </w:r>
    </w:p>
    <w:p>
      <w:pPr>
        <w:pStyle w:val="TextBody"/>
        <w:bidi w:val="0"/>
        <w:spacing w:before="0" w:after="0"/>
        <w:jc w:val="left"/>
        <w:rPr/>
      </w:pPr>
      <w:r>
        <w:rPr/>
      </w:r>
    </w:p>
    <w:p>
      <w:pPr>
        <w:pStyle w:val="TextBody"/>
        <w:bidi w:val="0"/>
        <w:spacing w:lineRule="auto" w:line="288" w:before="0" w:after="0"/>
        <w:jc w:val="left"/>
        <w:rPr>
          <w:color w:val="000000"/>
        </w:rPr>
      </w:pPr>
      <w:r>
        <w:rPr>
          <w:color w:val="000000"/>
        </w:rPr>
        <w:t>    </w:t>
      </w:r>
      <w:r>
        <w:rPr>
          <w:rFonts w:ascii="Times New Roman;sans-serif" w:hAnsi="Times New Roman;sans-serif"/>
          <w:b w:val="false"/>
          <w:color w:val="000000"/>
          <w:sz w:val="20"/>
        </w:rPr>
        <w:t>(i)    the Quarterly Report on Form 10-Q of the Company for the quarterly period ended March 31, 2025 as filed with the Securities and Exchange Commission on the date hereof (the “Report”) fully complies with the requirements of Section 13(a) or Section 15(d), as applicable, of the Securities Exchange Act of 1934, as amended; and</w:t>
      </w:r>
    </w:p>
    <w:p>
      <w:pPr>
        <w:pStyle w:val="TextBody"/>
        <w:bidi w:val="0"/>
        <w:spacing w:before="0" w:after="0"/>
        <w:jc w:val="left"/>
        <w:rPr/>
      </w:pPr>
      <w:r>
        <w:rPr/>
      </w:r>
    </w:p>
    <w:p>
      <w:pPr>
        <w:pStyle w:val="TextBody"/>
        <w:bidi w:val="0"/>
        <w:spacing w:lineRule="auto" w:line="288" w:before="0" w:after="0"/>
        <w:jc w:val="left"/>
        <w:rPr>
          <w:color w:val="000000"/>
        </w:rPr>
      </w:pPr>
      <w:r>
        <w:rPr>
          <w:color w:val="000000"/>
        </w:rPr>
        <w:t>    </w:t>
      </w:r>
      <w:r>
        <w:rPr>
          <w:rFonts w:ascii="Times New Roman;sans-serif" w:hAnsi="Times New Roman;sans-serif"/>
          <w:b w:val="false"/>
          <w:color w:val="000000"/>
          <w:sz w:val="20"/>
        </w:rPr>
        <w:t>(ii)    the information contained in the Report fairly presents, in all material respects, the financial condition and results of operations of the Company.</w:t>
      </w:r>
    </w:p>
    <w:p>
      <w:pPr>
        <w:pStyle w:val="TextBody"/>
        <w:bidi w:val="0"/>
        <w:spacing w:before="0" w:after="0"/>
        <w:jc w:val="left"/>
        <w:rPr/>
      </w:pPr>
      <w:r>
        <w:rPr/>
      </w:r>
    </w:p>
    <w:tbl>
      <w:tblPr>
        <w:tblW w:w="4806" w:type="dxa"/>
        <w:jc w:val="left"/>
        <w:tblInd w:w="0" w:type="dxa"/>
        <w:tblLayout w:type="fixed"/>
        <w:tblCellMar>
          <w:top w:w="28" w:type="dxa"/>
          <w:left w:w="28" w:type="dxa"/>
          <w:bottom w:w="28" w:type="dxa"/>
          <w:right w:w="28" w:type="dxa"/>
        </w:tblCellMar>
      </w:tblPr>
      <w:tblGrid>
        <w:gridCol w:w="303"/>
        <w:gridCol w:w="266"/>
        <w:gridCol w:w="266"/>
        <w:gridCol w:w="266"/>
        <w:gridCol w:w="266"/>
        <w:gridCol w:w="266"/>
        <w:gridCol w:w="109"/>
        <w:gridCol w:w="109"/>
        <w:gridCol w:w="109"/>
        <w:gridCol w:w="109"/>
        <w:gridCol w:w="109"/>
        <w:gridCol w:w="109"/>
        <w:gridCol w:w="736"/>
        <w:gridCol w:w="736"/>
        <w:gridCol w:w="1047"/>
      </w:tblGrid>
      <w:tr>
        <w:trPr/>
        <w:tc>
          <w:tcPr>
            <w:tcW w:w="303" w:type="dxa"/>
            <w:tcBorders/>
            <w:vAlign w:val="center"/>
          </w:tcPr>
          <w:p>
            <w:pPr>
              <w:pStyle w:val="TableContents"/>
              <w:bidi w:val="0"/>
              <w:spacing w:before="0" w:after="283"/>
              <w:jc w:val="left"/>
              <w:rPr>
                <w:sz w:val="4"/>
                <w:szCs w:val="4"/>
              </w:rPr>
            </w:pPr>
            <w:r>
              <w:rPr>
                <w:sz w:val="4"/>
                <w:szCs w:val="4"/>
              </w:rPr>
            </w:r>
          </w:p>
        </w:tc>
        <w:tc>
          <w:tcPr>
            <w:tcW w:w="266" w:type="dxa"/>
            <w:tcBorders/>
            <w:vAlign w:val="center"/>
          </w:tcPr>
          <w:p>
            <w:pPr>
              <w:pStyle w:val="TableContents"/>
              <w:bidi w:val="0"/>
              <w:spacing w:before="0" w:after="283"/>
              <w:jc w:val="left"/>
              <w:rPr>
                <w:sz w:val="4"/>
                <w:szCs w:val="4"/>
              </w:rPr>
            </w:pPr>
            <w:r>
              <w:rPr>
                <w:sz w:val="4"/>
                <w:szCs w:val="4"/>
              </w:rPr>
            </w:r>
          </w:p>
        </w:tc>
        <w:tc>
          <w:tcPr>
            <w:tcW w:w="266" w:type="dxa"/>
            <w:tcBorders/>
            <w:vAlign w:val="center"/>
          </w:tcPr>
          <w:p>
            <w:pPr>
              <w:pStyle w:val="TableContents"/>
              <w:bidi w:val="0"/>
              <w:spacing w:before="0" w:after="283"/>
              <w:jc w:val="left"/>
              <w:rPr>
                <w:sz w:val="4"/>
                <w:szCs w:val="4"/>
              </w:rPr>
            </w:pPr>
            <w:r>
              <w:rPr>
                <w:sz w:val="4"/>
                <w:szCs w:val="4"/>
              </w:rPr>
            </w:r>
          </w:p>
        </w:tc>
        <w:tc>
          <w:tcPr>
            <w:tcW w:w="266" w:type="dxa"/>
            <w:tcBorders/>
            <w:vAlign w:val="center"/>
          </w:tcPr>
          <w:p>
            <w:pPr>
              <w:pStyle w:val="TableContents"/>
              <w:bidi w:val="0"/>
              <w:spacing w:before="0" w:after="283"/>
              <w:jc w:val="left"/>
              <w:rPr>
                <w:sz w:val="4"/>
                <w:szCs w:val="4"/>
              </w:rPr>
            </w:pPr>
            <w:r>
              <w:rPr>
                <w:sz w:val="4"/>
                <w:szCs w:val="4"/>
              </w:rPr>
            </w:r>
          </w:p>
        </w:tc>
        <w:tc>
          <w:tcPr>
            <w:tcW w:w="266" w:type="dxa"/>
            <w:tcBorders/>
            <w:vAlign w:val="center"/>
          </w:tcPr>
          <w:p>
            <w:pPr>
              <w:pStyle w:val="TableContents"/>
              <w:bidi w:val="0"/>
              <w:spacing w:before="0" w:after="283"/>
              <w:jc w:val="left"/>
              <w:rPr>
                <w:sz w:val="4"/>
                <w:szCs w:val="4"/>
              </w:rPr>
            </w:pPr>
            <w:r>
              <w:rPr>
                <w:sz w:val="4"/>
                <w:szCs w:val="4"/>
              </w:rPr>
            </w:r>
          </w:p>
        </w:tc>
        <w:tc>
          <w:tcPr>
            <w:tcW w:w="2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047" w:type="dxa"/>
            <w:tcBorders/>
            <w:vAlign w:val="center"/>
          </w:tcPr>
          <w:p>
            <w:pPr>
              <w:pStyle w:val="TableContents"/>
              <w:bidi w:val="0"/>
              <w:spacing w:before="0" w:after="283"/>
              <w:jc w:val="left"/>
              <w:rPr>
                <w:sz w:val="4"/>
                <w:szCs w:val="4"/>
              </w:rPr>
            </w:pPr>
            <w:r>
              <w:rPr>
                <w:sz w:val="4"/>
                <w:szCs w:val="4"/>
              </w:rPr>
            </w:r>
          </w:p>
        </w:tc>
      </w:tr>
      <w:tr>
        <w:trPr/>
        <w:tc>
          <w:tcPr>
            <w:tcW w:w="1633"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19"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/s/ Ryan Schaffer</w:t>
            </w:r>
          </w:p>
        </w:tc>
      </w:tr>
      <w:tr>
        <w:trPr/>
        <w:tc>
          <w:tcPr>
            <w:tcW w:w="1633"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1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Ryan Schaffer</w:t>
            </w:r>
          </w:p>
        </w:tc>
      </w:tr>
      <w:tr>
        <w:trPr/>
        <w:tc>
          <w:tcPr>
            <w:tcW w:w="8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19"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Chief Financial Officer</w:t>
            </w:r>
          </w:p>
        </w:tc>
      </w:tr>
      <w:tr>
        <w:trPr/>
        <w:tc>
          <w:tcPr>
            <w:tcW w:w="1633" w:type="dxa"/>
            <w:gridSpan w:val="6"/>
            <w:tcBorders/>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Date: May 8, 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19"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i/>
                <w:color w:val="000000"/>
                <w:sz w:val="20"/>
              </w:rPr>
            </w:pPr>
            <w:r>
              <w:rPr>
                <w:rFonts w:ascii="Times New Roman;sans-serif" w:hAnsi="Times New Roman;sans-serif"/>
                <w:b w:val="false"/>
                <w:i/>
                <w:color w:val="000000"/>
                <w:sz w:val="20"/>
              </w:rPr>
              <w:t>(Principal Financial Officer)</w:t>
            </w:r>
          </w:p>
        </w:tc>
      </w:tr>
    </w:tbl>
    <w:p>
      <w:pPr>
        <w:pStyle w:val="TextBody"/>
        <w:bidi w:val="0"/>
        <w:spacing w:before="0" w:after="283"/>
        <w:jc w:val="left"/>
        <w:rPr/>
      </w:pPr>
      <w:r>
        <w:rPr/>
      </w:r>
      <w:r>
        <mc:AlternateContent>
          <mc:Choice Requires="wps">
            <w:drawing>
              <wp:anchor behindDoc="0" distT="0" distB="0" distL="0" distR="0" simplePos="0" locked="0" layoutInCell="1" allowOverlap="1" relativeHeight="51">
                <wp:simplePos x="0" y="0"/>
                <wp:positionH relativeFrom="character">
                  <wp:align>left</wp:align>
                </wp:positionH>
                <wp:positionV relativeFrom="line">
                  <wp:posOffset>635</wp:posOffset>
                </wp:positionV>
                <wp:extent cx="6480175" cy="175260"/>
                <wp:effectExtent l="0" t="0" r="0" b="0"/>
                <wp:wrapNone/>
                <wp:docPr id="50" name="Frame49"/>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Expensify Neue">
    <w:altName w:val="sans-serif"/>
    <w:charset w:val="01"/>
    <w:family w:val="auto"/>
    <w:pitch w:val="default"/>
  </w:font>
  <w:font w:name="Times New Roman">
    <w:altName w:val="sans-serif"/>
    <w:charset w:val="01"/>
    <w:family w:val="auto"/>
    <w:pitch w:val="default"/>
  </w:font>
  <w:font w:name="Wingdings">
    <w:altName w:val="sans-serif"/>
    <w:charset w:val="02"/>
    <w:family w:val="auto"/>
    <w:pitch w:val="default"/>
  </w:font>
  <w:font w:name="Expensify New Kansas Medium">
    <w:altName w:val="sans-serif"/>
    <w:charset w:val="01"/>
    <w:family w:val="auto"/>
    <w:pitch w:val="default"/>
  </w:font>
  <w:font w:name="GT America Exp">
    <w:altName w:val="sans-serif"/>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 w:type="paragraph" w:styleId="FrameContents">
    <w:name w:val="Frame Contents"/>
    <w:basedOn w:val="Normal"/>
    <w:qFormat/>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gif"/><Relationship Id="rId3" Type="http://schemas.openxmlformats.org/officeDocument/2006/relationships/hyperlink" Target="https://www.sec.gov/ix?doc=/Archives/edgar/data/1476840/000147684024000215/exfy-20240930.htm" TargetMode="External"/><Relationship Id="rId4" Type="http://schemas.openxmlformats.org/officeDocument/2006/relationships/hyperlink" Target="https://www.sec.gov/Archives/edgar/data/0001476840/000162828021023404/exhibit32-8xkclosing.htm" TargetMode="External"/><Relationship Id="rId5" Type="http://schemas.openxmlformats.org/officeDocument/2006/relationships/hyperlink" Target="https://www.sec.gov/Archives/edgar/data/0001476840/000147684025000018/exhibit104-10xk2024.htm" TargetMode="External"/><Relationship Id="rId6" Type="http://schemas.openxmlformats.org/officeDocument/2006/relationships/fontTable" Target="fontTable.xml"/><Relationship Id="rId7"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8</Pages>
  <Words>17637</Words>
  <Characters>97935</Characters>
  <CharactersWithSpaces>114354</CharactersWithSpaces>
  <Paragraphs>1904</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