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117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11759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47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Barrett David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Expensify,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EXFY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2460" w:type="dxa"/>
            <w:vAlign w:val="bottom"/>
            <w:tcBorders>
              <w:bottom w:val="single" w:sz="8" w:color="2C2C2C"/>
            </w:tcBorders>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36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07/10/2024</w:t>
            </w:r>
          </w:p>
        </w:tc>
        <w:tc>
          <w:tcPr>
            <w:tcW w:w="2460" w:type="dxa"/>
            <w:vAlign w:val="bottom"/>
          </w:tcPr>
          <w:p>
            <w:pPr>
              <w:spacing w:after="0"/>
              <w:rPr>
                <w:sz w:val="8"/>
                <w:szCs w:val="8"/>
                <w:color w:val="auto"/>
              </w:rPr>
            </w:pPr>
          </w:p>
        </w:tc>
        <w:tc>
          <w:tcPr>
            <w:tcW w:w="18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360" w:type="dxa"/>
            <w:vAlign w:val="bottom"/>
            <w:gridSpan w:val="3"/>
            <w:vMerge w:val="continue"/>
          </w:tcPr>
          <w:p>
            <w:pPr>
              <w:spacing w:after="0"/>
              <w:rPr>
                <w:sz w:val="11"/>
                <w:szCs w:val="11"/>
                <w:color w:val="auto"/>
              </w:rPr>
            </w:pPr>
          </w:p>
        </w:tc>
        <w:tc>
          <w:tcPr>
            <w:tcW w:w="2460" w:type="dxa"/>
            <w:vAlign w:val="bottom"/>
          </w:tcPr>
          <w:p>
            <w:pPr>
              <w:spacing w:after="0"/>
              <w:rPr>
                <w:sz w:val="11"/>
                <w:szCs w:val="11"/>
                <w:color w:val="auto"/>
              </w:rPr>
            </w:pPr>
          </w:p>
        </w:tc>
        <w:tc>
          <w:tcPr>
            <w:tcW w:w="3300" w:type="dxa"/>
            <w:vAlign w:val="bottom"/>
            <w:gridSpan w:val="2"/>
            <w:vMerge w:val="restart"/>
          </w:tcPr>
          <w:p>
            <w:pPr>
              <w:ind w:left="8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47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620" w:type="dxa"/>
            <w:vAlign w:val="bottom"/>
            <w:gridSpan w:val="3"/>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07/10/2024</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12,300</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2.07</w:t>
            </w:r>
            <w:r>
              <w:rPr>
                <w:rFonts w:ascii="Times New Roman" w:cs="Times New Roman" w:eastAsia="Times New Roman" w:hAnsi="Times New Roman"/>
                <w:sz w:val="22"/>
                <w:szCs w:val="22"/>
                <w:color w:val="008000"/>
                <w:w w:val="92"/>
                <w:vertAlign w:val="superscript"/>
              </w:rPr>
              <w:t>(2)</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1,765,703</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40"/>
              <w:spacing w:after="0"/>
              <w:rPr>
                <w:sz w:val="20"/>
                <w:szCs w:val="20"/>
                <w:color w:val="auto"/>
              </w:rPr>
            </w:pPr>
            <w:r>
              <w:rPr>
                <w:rFonts w:ascii="Times New Roman" w:cs="Times New Roman" w:eastAsia="Times New Roman" w:hAnsi="Times New Roman"/>
                <w:sz w:val="17"/>
                <w:szCs w:val="17"/>
                <w:color w:val="0000FF"/>
              </w:rPr>
              <w:t>07/11/2024</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12,736</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gridSpan w:val="2"/>
            <w:vMerge w:val="restart"/>
          </w:tcPr>
          <w:p>
            <w:pPr>
              <w:jc w:val="center"/>
              <w:ind w:right="100"/>
              <w:spacing w:after="0"/>
              <w:rPr>
                <w:sz w:val="20"/>
                <w:szCs w:val="20"/>
                <w:color w:val="auto"/>
              </w:rPr>
            </w:pPr>
            <w:r>
              <w:rPr>
                <w:rFonts w:ascii="Arial" w:cs="Arial" w:eastAsia="Arial" w:hAnsi="Arial"/>
                <w:sz w:val="34"/>
                <w:szCs w:val="34"/>
                <w:color w:val="000000"/>
                <w:w w:val="86"/>
                <w:vertAlign w:val="subscript"/>
              </w:rPr>
              <w:t>$</w:t>
            </w:r>
            <w:r>
              <w:rPr>
                <w:rFonts w:ascii="Times New Roman" w:cs="Times New Roman" w:eastAsia="Times New Roman" w:hAnsi="Times New Roman"/>
                <w:sz w:val="34"/>
                <w:szCs w:val="34"/>
                <w:color w:val="0000FF"/>
                <w:w w:val="86"/>
                <w:vertAlign w:val="subscript"/>
              </w:rPr>
              <w:t>2</w:t>
            </w:r>
            <w:r>
              <w:rPr>
                <w:rFonts w:ascii="Times New Roman" w:cs="Times New Roman" w:eastAsia="Times New Roman" w:hAnsi="Times New Roman"/>
                <w:sz w:val="11"/>
                <w:szCs w:val="11"/>
                <w:color w:val="008000"/>
                <w:w w:val="86"/>
              </w:rPr>
              <w:t>(4)</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1,752,967</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07/12/2024</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11,550</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2.24</w:t>
            </w:r>
            <w:r>
              <w:rPr>
                <w:rFonts w:ascii="Times New Roman" w:cs="Times New Roman" w:eastAsia="Times New Roman" w:hAnsi="Times New Roman"/>
                <w:sz w:val="22"/>
                <w:szCs w:val="22"/>
                <w:color w:val="008000"/>
                <w:w w:val="92"/>
                <w:vertAlign w:val="superscript"/>
              </w:rPr>
              <w:t>(5)</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1,741,417</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24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218,680</w:t>
            </w:r>
          </w:p>
        </w:tc>
        <w:tc>
          <w:tcPr>
            <w:tcW w:w="920" w:type="dxa"/>
            <w:vAlign w:val="bottom"/>
            <w:tcBorders>
              <w:top w:val="single" w:sz="8" w:color="2C2C2C"/>
            </w:tcBorders>
          </w:tcPr>
          <w:p>
            <w:pPr>
              <w:jc w:val="center"/>
              <w:ind w:right="5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1"/>
          </w:tcPr>
          <w:p>
            <w:pPr>
              <w:spacing w:after="0"/>
              <w:rPr>
                <w:sz w:val="8"/>
                <w:szCs w:val="8"/>
                <w:color w:val="auto"/>
              </w:rPr>
            </w:pPr>
          </w:p>
        </w:tc>
        <w:tc>
          <w:tcPr>
            <w:tcW w:w="148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24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4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24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Rule 10b5-1 trading plan adopted by the reporting person on December 15, 2023.</w:t>
      </w:r>
    </w:p>
    <w:p>
      <w:pPr>
        <w:spacing w:after="0" w:line="5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$1.94 to $2.14,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Barrett Trust LLC, a manager-managed limited liability company. The investment and voting decisions of Barrett Trust LLC are made by its manager, the Reporting Person, and its controlling member is the Barrett Family Trust, for which the Reporting Person serves as trustee.</w:t>
      </w:r>
    </w:p>
    <w:p>
      <w:pPr>
        <w:spacing w:after="0" w:line="7"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$1.95 to $2.04,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$2.19 to $2.27,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ectPr>
          <w:pgSz w:w="11900" w:h="16838" w:orient="portrait"/>
          <w:cols w:equalWidth="0" w:num="1">
            <w:col w:w="11080"/>
          </w:cols>
          <w:pgMar w:left="460" w:top="219" w:right="359" w:bottom="473"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07/14/2024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473"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47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2682"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2024-07-15T16:13:03Z</dcterms:created>
  <dcterms:modified xsi:type="dcterms:W3CDTF">2024-07-15T16:13:03Z</dcterms:modified>
</cp:coreProperties>
</file>