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114300</wp:posOffset>
            </wp:positionV>
            <wp:extent cx="2023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116205</wp:posOffset>
            </wp:positionV>
            <wp:extent cx="20231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180" w:right="3540" w:hanging="4154"/>
        <w:spacing w:after="0" w:line="394" w:lineRule="auto"/>
        <w:tabs>
          <w:tab w:leader="none" w:pos="619"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ANNUAL REPORT PURSUANT TO SECTION 13 OR 15(d) OF THE SECURITIES EXCHANGE ACT OF 1934 For the fiscal year ended December 31, 2024</w:t>
      </w:r>
    </w:p>
    <w:p>
      <w:pPr>
        <w:jc w:val="center"/>
        <w:ind w:right="-39"/>
        <w:spacing w:after="0"/>
        <w:rPr>
          <w:sz w:val="20"/>
          <w:szCs w:val="20"/>
          <w:color w:val="auto"/>
        </w:rPr>
      </w:pPr>
      <w:r>
        <w:rPr>
          <w:rFonts w:ascii="Arial" w:cs="Arial" w:eastAsia="Arial" w:hAnsi="Arial"/>
          <w:sz w:val="14"/>
          <w:szCs w:val="14"/>
          <w:color w:val="auto"/>
        </w:rPr>
        <w:t>OR</w:t>
      </w:r>
    </w:p>
    <w:p>
      <w:pPr>
        <w:spacing w:after="0" w:line="204"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TRANSITION REPORT PURSUANT TO SECTION 13 OR 15(d) OF THE SECURITIES EXCHANGE ACT OF 1934</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 the transition period from to</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Commission File Number 001-41043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152400</wp:posOffset>
            </wp:positionV>
            <wp:extent cx="2048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255270</wp:posOffset>
            </wp:positionV>
            <wp:extent cx="192024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tbl>
      <w:tblPr>
        <w:tblLayout w:type="fixed"/>
        <w:tblInd w:w="60" w:type="dxa"/>
        <w:tblCellMar>
          <w:top w:w="0" w:type="dxa"/>
          <w:left w:w="0" w:type="dxa"/>
          <w:bottom w:w="0" w:type="dxa"/>
          <w:right w:w="0" w:type="dxa"/>
        </w:tblCellMar>
      </w:tblPr>
      <w:tr>
        <w:trPr>
          <w:trHeight w:val="404"/>
        </w:trPr>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gridSpan w:val="4"/>
          </w:tcPr>
          <w:p>
            <w:pPr>
              <w:jc w:val="center"/>
              <w:ind w:right="640"/>
              <w:spacing w:after="0"/>
              <w:rPr>
                <w:sz w:val="20"/>
                <w:szCs w:val="20"/>
                <w:color w:val="auto"/>
              </w:rPr>
            </w:pPr>
            <w:r>
              <w:rPr>
                <w:rFonts w:ascii="Arial" w:cs="Arial" w:eastAsia="Arial" w:hAnsi="Arial"/>
                <w:sz w:val="32"/>
                <w:szCs w:val="32"/>
                <w:b w:val="1"/>
                <w:bCs w:val="1"/>
                <w:color w:val="auto"/>
                <w:w w:val="99"/>
              </w:rPr>
              <w:t>EXPENSIFY, INC.</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80" w:type="dxa"/>
            <w:vAlign w:val="bottom"/>
            <w:gridSpan w:val="4"/>
          </w:tcPr>
          <w:p>
            <w:pPr>
              <w:jc w:val="center"/>
              <w:ind w:right="640"/>
              <w:spacing w:after="0"/>
              <w:rPr>
                <w:sz w:val="20"/>
                <w:szCs w:val="20"/>
                <w:color w:val="auto"/>
              </w:rPr>
            </w:pPr>
            <w:r>
              <w:rPr>
                <w:rFonts w:ascii="Arial" w:cs="Arial" w:eastAsia="Arial" w:hAnsi="Arial"/>
                <w:sz w:val="13"/>
                <w:szCs w:val="13"/>
                <w:color w:val="auto"/>
                <w:w w:val="97"/>
              </w:rPr>
              <w:t>(Exact name of registrant as specified in its charter)</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40" w:type="dxa"/>
            <w:vAlign w:val="bottom"/>
            <w:gridSpan w:val="3"/>
            <w:vMerge w:val="restart"/>
          </w:tcPr>
          <w:p>
            <w:pPr>
              <w:jc w:val="center"/>
              <w:ind w:left="1549"/>
              <w:spacing w:after="0"/>
              <w:rPr>
                <w:sz w:val="20"/>
                <w:szCs w:val="20"/>
                <w:color w:val="auto"/>
              </w:rPr>
            </w:pPr>
            <w:r>
              <w:rPr>
                <w:rFonts w:ascii="Arial" w:cs="Arial" w:eastAsia="Arial" w:hAnsi="Arial"/>
                <w:sz w:val="13"/>
                <w:szCs w:val="13"/>
                <w:b w:val="1"/>
                <w:bCs w:val="1"/>
                <w:color w:val="auto"/>
                <w:w w:val="98"/>
              </w:rPr>
              <w:t>Delaware</w:t>
            </w:r>
          </w:p>
        </w:tc>
        <w:tc>
          <w:tcPr>
            <w:tcW w:w="3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20" w:type="dxa"/>
            <w:vAlign w:val="bottom"/>
            <w:vMerge w:val="restart"/>
          </w:tcPr>
          <w:p>
            <w:pPr>
              <w:jc w:val="right"/>
              <w:ind w:right="2112"/>
              <w:spacing w:after="0"/>
              <w:rPr>
                <w:sz w:val="20"/>
                <w:szCs w:val="20"/>
                <w:color w:val="auto"/>
              </w:rPr>
            </w:pPr>
            <w:r>
              <w:rPr>
                <w:rFonts w:ascii="Arial" w:cs="Arial" w:eastAsia="Arial" w:hAnsi="Arial"/>
                <w:sz w:val="13"/>
                <w:szCs w:val="13"/>
                <w:b w:val="1"/>
                <w:bCs w:val="1"/>
                <w:color w:val="auto"/>
              </w:rPr>
              <w:t>27-0239450</w:t>
            </w:r>
          </w:p>
        </w:tc>
        <w:tc>
          <w:tcPr>
            <w:tcW w:w="0" w:type="dxa"/>
            <w:vAlign w:val="bottom"/>
          </w:tcPr>
          <w:p>
            <w:pPr>
              <w:spacing w:after="0"/>
              <w:rPr>
                <w:sz w:val="1"/>
                <w:szCs w:val="1"/>
                <w:color w:val="auto"/>
              </w:rPr>
            </w:pPr>
          </w:p>
        </w:tc>
      </w:tr>
      <w:tr>
        <w:trPr>
          <w:trHeight w:val="323"/>
        </w:trPr>
        <w:tc>
          <w:tcPr>
            <w:tcW w:w="3940" w:type="dxa"/>
            <w:vAlign w:val="bottom"/>
            <w:gridSpan w:val="3"/>
            <w:vMerge w:val="continue"/>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940" w:type="dxa"/>
            <w:vAlign w:val="bottom"/>
            <w:gridSpan w:val="3"/>
          </w:tcPr>
          <w:p>
            <w:pPr>
              <w:jc w:val="center"/>
              <w:ind w:left="1529"/>
              <w:spacing w:after="0"/>
              <w:rPr>
                <w:sz w:val="20"/>
                <w:szCs w:val="20"/>
                <w:color w:val="auto"/>
              </w:rPr>
            </w:pPr>
            <w:r>
              <w:rPr>
                <w:rFonts w:ascii="Arial" w:cs="Arial" w:eastAsia="Arial" w:hAnsi="Arial"/>
                <w:sz w:val="13"/>
                <w:szCs w:val="13"/>
                <w:color w:val="auto"/>
                <w:w w:val="97"/>
              </w:rPr>
              <w:t>(State or other jurisdiction of</w:t>
            </w:r>
          </w:p>
        </w:tc>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320" w:type="dxa"/>
            <w:vAlign w:val="bottom"/>
          </w:tcPr>
          <w:p>
            <w:pPr>
              <w:jc w:val="center"/>
              <w:ind w:right="1632"/>
              <w:spacing w:after="0"/>
              <w:rPr>
                <w:sz w:val="20"/>
                <w:szCs w:val="20"/>
                <w:color w:val="auto"/>
              </w:rPr>
            </w:pPr>
            <w:r>
              <w:rPr>
                <w:rFonts w:ascii="Arial" w:cs="Arial" w:eastAsia="Arial" w:hAnsi="Arial"/>
                <w:sz w:val="13"/>
                <w:szCs w:val="13"/>
                <w:color w:val="auto"/>
                <w:w w:val="98"/>
              </w:rPr>
              <w:t>(I.R.S. Employer</w:t>
            </w:r>
          </w:p>
        </w:tc>
        <w:tc>
          <w:tcPr>
            <w:tcW w:w="0" w:type="dxa"/>
            <w:vAlign w:val="bottom"/>
          </w:tcPr>
          <w:p>
            <w:pPr>
              <w:spacing w:after="0"/>
              <w:rPr>
                <w:sz w:val="1"/>
                <w:szCs w:val="1"/>
                <w:color w:val="auto"/>
              </w:rPr>
            </w:pPr>
          </w:p>
        </w:tc>
      </w:tr>
      <w:tr>
        <w:trPr>
          <w:trHeight w:val="166"/>
        </w:trPr>
        <w:tc>
          <w:tcPr>
            <w:tcW w:w="3940" w:type="dxa"/>
            <w:vAlign w:val="bottom"/>
            <w:gridSpan w:val="3"/>
          </w:tcPr>
          <w:p>
            <w:pPr>
              <w:jc w:val="center"/>
              <w:ind w:left="1549"/>
              <w:spacing w:after="0"/>
              <w:rPr>
                <w:sz w:val="20"/>
                <w:szCs w:val="20"/>
                <w:color w:val="auto"/>
              </w:rPr>
            </w:pPr>
            <w:r>
              <w:rPr>
                <w:rFonts w:ascii="Arial" w:cs="Arial" w:eastAsia="Arial" w:hAnsi="Arial"/>
                <w:sz w:val="13"/>
                <w:szCs w:val="13"/>
                <w:color w:val="auto"/>
                <w:w w:val="96"/>
              </w:rPr>
              <w:t>incorporation or organization)</w:t>
            </w:r>
          </w:p>
        </w:tc>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20" w:type="dxa"/>
            <w:vAlign w:val="bottom"/>
          </w:tcPr>
          <w:p>
            <w:pPr>
              <w:jc w:val="center"/>
              <w:ind w:right="1632"/>
              <w:spacing w:after="0"/>
              <w:rPr>
                <w:sz w:val="20"/>
                <w:szCs w:val="20"/>
                <w:color w:val="auto"/>
              </w:rPr>
            </w:pPr>
            <w:r>
              <w:rPr>
                <w:rFonts w:ascii="Arial" w:cs="Arial" w:eastAsia="Arial" w:hAnsi="Arial"/>
                <w:sz w:val="13"/>
                <w:szCs w:val="13"/>
                <w:color w:val="auto"/>
                <w:w w:val="96"/>
              </w:rPr>
              <w:t>Identification No.)</w:t>
            </w:r>
          </w:p>
        </w:tc>
        <w:tc>
          <w:tcPr>
            <w:tcW w:w="0" w:type="dxa"/>
            <w:vAlign w:val="bottom"/>
          </w:tcPr>
          <w:p>
            <w:pPr>
              <w:spacing w:after="0"/>
              <w:rPr>
                <w:sz w:val="1"/>
                <w:szCs w:val="1"/>
                <w:color w:val="auto"/>
              </w:rPr>
            </w:pPr>
          </w:p>
        </w:tc>
      </w:tr>
      <w:tr>
        <w:trPr>
          <w:trHeight w:val="478"/>
        </w:trPr>
        <w:tc>
          <w:tcPr>
            <w:tcW w:w="3940" w:type="dxa"/>
            <w:vAlign w:val="bottom"/>
            <w:gridSpan w:val="3"/>
          </w:tcPr>
          <w:p>
            <w:pPr>
              <w:jc w:val="center"/>
              <w:ind w:left="1549"/>
              <w:spacing w:after="0"/>
              <w:rPr>
                <w:sz w:val="20"/>
                <w:szCs w:val="20"/>
                <w:color w:val="auto"/>
              </w:rPr>
            </w:pPr>
            <w:r>
              <w:rPr>
                <w:rFonts w:ascii="Arial" w:cs="Arial" w:eastAsia="Arial" w:hAnsi="Arial"/>
                <w:sz w:val="13"/>
                <w:szCs w:val="13"/>
                <w:b w:val="1"/>
                <w:bCs w:val="1"/>
                <w:color w:val="auto"/>
                <w:w w:val="96"/>
              </w:rPr>
              <w:t>401 SW 5th Ave Portland, Oregon</w:t>
            </w: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right"/>
              <w:ind w:right="2272"/>
              <w:spacing w:after="0"/>
              <w:rPr>
                <w:sz w:val="20"/>
                <w:szCs w:val="20"/>
                <w:color w:val="auto"/>
              </w:rPr>
            </w:pPr>
            <w:r>
              <w:rPr>
                <w:rFonts w:ascii="Arial" w:cs="Arial" w:eastAsia="Arial" w:hAnsi="Arial"/>
                <w:sz w:val="13"/>
                <w:szCs w:val="13"/>
                <w:b w:val="1"/>
                <w:bCs w:val="1"/>
                <w:color w:val="auto"/>
              </w:rPr>
              <w:t>97204</w:t>
            </w:r>
          </w:p>
        </w:tc>
        <w:tc>
          <w:tcPr>
            <w:tcW w:w="0" w:type="dxa"/>
            <w:vAlign w:val="bottom"/>
          </w:tcPr>
          <w:p>
            <w:pPr>
              <w:spacing w:after="0"/>
              <w:rPr>
                <w:sz w:val="1"/>
                <w:szCs w:val="1"/>
                <w:color w:val="auto"/>
              </w:rPr>
            </w:pPr>
          </w:p>
        </w:tc>
      </w:tr>
      <w:tr>
        <w:trPr>
          <w:trHeight w:val="183"/>
        </w:trPr>
        <w:tc>
          <w:tcPr>
            <w:tcW w:w="3940" w:type="dxa"/>
            <w:vAlign w:val="bottom"/>
            <w:gridSpan w:val="3"/>
          </w:tcPr>
          <w:p>
            <w:pPr>
              <w:jc w:val="center"/>
              <w:ind w:left="1549"/>
              <w:spacing w:after="0"/>
              <w:rPr>
                <w:sz w:val="20"/>
                <w:szCs w:val="20"/>
                <w:color w:val="auto"/>
              </w:rPr>
            </w:pPr>
            <w:r>
              <w:rPr>
                <w:rFonts w:ascii="Arial" w:cs="Arial" w:eastAsia="Arial" w:hAnsi="Arial"/>
                <w:sz w:val="13"/>
                <w:szCs w:val="13"/>
                <w:color w:val="auto"/>
                <w:w w:val="97"/>
              </w:rPr>
              <w:t>(Address of principal executive offices)</w:t>
            </w:r>
          </w:p>
        </w:tc>
        <w:tc>
          <w:tcPr>
            <w:tcW w:w="3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20" w:type="dxa"/>
            <w:vAlign w:val="bottom"/>
          </w:tcPr>
          <w:p>
            <w:pPr>
              <w:jc w:val="center"/>
              <w:ind w:right="1632"/>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r>
        <w:trPr>
          <w:trHeight w:val="303"/>
        </w:trPr>
        <w:tc>
          <w:tcPr>
            <w:tcW w:w="7820" w:type="dxa"/>
            <w:vAlign w:val="bottom"/>
            <w:gridSpan w:val="7"/>
          </w:tcPr>
          <w:p>
            <w:pPr>
              <w:jc w:val="center"/>
              <w:ind w:left="3249"/>
              <w:spacing w:after="0"/>
              <w:rPr>
                <w:sz w:val="20"/>
                <w:szCs w:val="20"/>
                <w:color w:val="auto"/>
              </w:rPr>
            </w:pPr>
            <w:r>
              <w:rPr>
                <w:rFonts w:ascii="Arial" w:cs="Arial" w:eastAsia="Arial" w:hAnsi="Arial"/>
                <w:sz w:val="14"/>
                <w:szCs w:val="14"/>
                <w:color w:val="auto"/>
              </w:rPr>
              <w:t>Registrant’s telephone number, including area code: (971) 365-3939</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100" w:type="dxa"/>
            <w:vAlign w:val="bottom"/>
            <w:gridSpan w:val="5"/>
          </w:tcPr>
          <w:p>
            <w:pPr>
              <w:jc w:val="center"/>
              <w:ind w:right="400"/>
              <w:spacing w:after="0"/>
              <w:rPr>
                <w:sz w:val="20"/>
                <w:szCs w:val="20"/>
                <w:color w:val="auto"/>
              </w:rPr>
            </w:pPr>
            <w:r>
              <w:rPr>
                <w:rFonts w:ascii="Arial" w:cs="Arial" w:eastAsia="Arial" w:hAnsi="Arial"/>
                <w:sz w:val="14"/>
                <w:szCs w:val="14"/>
                <w:color w:val="auto"/>
              </w:rPr>
              <w:t>Securities registered pursuant to Section 12(b) of the Act:</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73"/>
        </w:trPr>
        <w:tc>
          <w:tcPr>
            <w:tcW w:w="3640" w:type="dxa"/>
            <w:vAlign w:val="bottom"/>
          </w:tcPr>
          <w:p>
            <w:pPr>
              <w:jc w:val="center"/>
              <w:spacing w:after="0" w:line="173" w:lineRule="exact"/>
              <w:rPr>
                <w:sz w:val="20"/>
                <w:szCs w:val="20"/>
                <w:color w:val="auto"/>
              </w:rPr>
            </w:pPr>
            <w:r>
              <w:rPr>
                <w:rFonts w:ascii="Arial" w:cs="Arial" w:eastAsia="Arial" w:hAnsi="Arial"/>
                <w:sz w:val="18"/>
                <w:szCs w:val="18"/>
                <w:color w:val="auto"/>
                <w:w w:val="99"/>
              </w:rPr>
              <w:t>Class A Common Stock, par value $0.0001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80" w:type="dxa"/>
            <w:vAlign w:val="bottom"/>
            <w:gridSpan w:val="4"/>
            <w:vMerge w:val="restart"/>
          </w:tcPr>
          <w:p>
            <w:pPr>
              <w:jc w:val="center"/>
              <w:ind w:right="640"/>
              <w:spacing w:after="0"/>
              <w:rPr>
                <w:sz w:val="20"/>
                <w:szCs w:val="20"/>
                <w:color w:val="auto"/>
              </w:rPr>
            </w:pPr>
            <w:r>
              <w:rPr>
                <w:rFonts w:ascii="Arial" w:cs="Arial" w:eastAsia="Arial" w:hAnsi="Arial"/>
                <w:sz w:val="18"/>
                <w:szCs w:val="18"/>
                <w:color w:val="auto"/>
              </w:rPr>
              <w:t>EXFY</w:t>
            </w:r>
          </w:p>
        </w:tc>
        <w:tc>
          <w:tcPr>
            <w:tcW w:w="3320" w:type="dxa"/>
            <w:vAlign w:val="bottom"/>
            <w:vMerge w:val="restart"/>
          </w:tcPr>
          <w:p>
            <w:pPr>
              <w:jc w:val="center"/>
              <w:ind w:right="272"/>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47"/>
        </w:trPr>
        <w:tc>
          <w:tcPr>
            <w:tcW w:w="3940" w:type="dxa"/>
            <w:vAlign w:val="bottom"/>
            <w:gridSpan w:val="3"/>
          </w:tcPr>
          <w:p>
            <w:pPr>
              <w:jc w:val="center"/>
              <w:ind w:right="228"/>
              <w:spacing w:after="0"/>
              <w:rPr>
                <w:sz w:val="20"/>
                <w:szCs w:val="20"/>
                <w:color w:val="auto"/>
              </w:rPr>
            </w:pPr>
            <w:r>
              <w:rPr>
                <w:rFonts w:ascii="Arial" w:cs="Arial" w:eastAsia="Arial" w:hAnsi="Arial"/>
                <w:sz w:val="18"/>
                <w:szCs w:val="18"/>
                <w:color w:val="auto"/>
                <w:w w:val="99"/>
              </w:rPr>
              <w:t>per share</w:t>
            </w:r>
          </w:p>
        </w:tc>
        <w:tc>
          <w:tcPr>
            <w:tcW w:w="3880" w:type="dxa"/>
            <w:vAlign w:val="bottom"/>
            <w:gridSpan w:val="4"/>
            <w:vMerge w:val="continue"/>
          </w:tcPr>
          <w:p>
            <w:pPr>
              <w:spacing w:after="0"/>
              <w:rPr>
                <w:sz w:val="21"/>
                <w:szCs w:val="21"/>
                <w:color w:val="auto"/>
              </w:rPr>
            </w:pPr>
          </w:p>
        </w:tc>
        <w:tc>
          <w:tcPr>
            <w:tcW w:w="3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9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4"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ind w:right="640"/>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6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894" w:right="379" w:bottom="1440" w:gutter="0" w:footer="0" w:header="0"/>
        </w:sectPr>
      </w:pPr>
    </w:p>
    <w:p>
      <w:pPr>
        <w:spacing w:after="0" w:line="14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Large accelerated filer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Accelerated filer </w:t>
      </w:r>
      <w:r>
        <w:rPr>
          <w:rFonts w:ascii="MS PGothic" w:cs="MS PGothic" w:eastAsia="MS PGothic" w:hAnsi="MS PGothic"/>
          <w:sz w:val="12"/>
          <w:szCs w:val="12"/>
          <w:color w:val="auto"/>
          <w:highlight w:val="black"/>
        </w:rPr>
        <w:t>☒</w:t>
      </w:r>
    </w:p>
    <w:p>
      <w:pPr>
        <w:spacing w:after="0" w:line="200" w:lineRule="exact"/>
        <w:rPr>
          <w:sz w:val="24"/>
          <w:szCs w:val="24"/>
          <w:color w:val="auto"/>
        </w:rPr>
      </w:pPr>
    </w:p>
    <w:p>
      <w:pPr>
        <w:sectPr>
          <w:pgSz w:w="11900" w:h="16838" w:orient="portrait"/>
          <w:cols w:equalWidth="0" w:num="2">
            <w:col w:w="7340" w:space="720"/>
            <w:col w:w="3140"/>
          </w:cols>
          <w:pgMar w:left="320" w:top="894" w:right="379" w:bottom="1440" w:gutter="0" w:footer="0" w:header="0"/>
          <w:type w:val="continuous"/>
        </w:sectPr>
      </w:pPr>
    </w:p>
    <w:p>
      <w:pPr>
        <w:spacing w:after="0" w:line="6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Non-accelerated filer </w:t>
      </w: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38" w:lineRule="exact"/>
        <w:rPr>
          <w:sz w:val="20"/>
          <w:szCs w:val="20"/>
          <w:color w:val="auto"/>
        </w:rPr>
      </w:pPr>
      <w:r>
        <w:rPr>
          <w:rFonts w:ascii="Arial" w:cs="Arial" w:eastAsia="Arial" w:hAnsi="Arial"/>
          <w:sz w:val="12"/>
          <w:szCs w:val="12"/>
          <w:b w:val="1"/>
          <w:bCs w:val="1"/>
          <w:color w:val="auto"/>
        </w:rPr>
        <w:t xml:space="preserve">Smaller reporting company </w:t>
      </w:r>
      <w:r>
        <w:rPr>
          <w:rFonts w:ascii="MS PGothic" w:cs="MS PGothic" w:eastAsia="MS PGothic" w:hAnsi="MS PGothic"/>
          <w:sz w:val="12"/>
          <w:szCs w:val="12"/>
          <w:color w:val="auto"/>
          <w:highlight w:val="black"/>
        </w:rPr>
        <w:t>☐</w:t>
      </w:r>
    </w:p>
    <w:p>
      <w:pPr>
        <w:spacing w:after="0" w:line="200" w:lineRule="exact"/>
        <w:rPr>
          <w:sz w:val="24"/>
          <w:szCs w:val="24"/>
          <w:color w:val="auto"/>
        </w:rPr>
      </w:pPr>
    </w:p>
    <w:p>
      <w:pPr>
        <w:sectPr>
          <w:pgSz w:w="11900" w:h="16838" w:orient="portrait"/>
          <w:cols w:equalWidth="0" w:num="2">
            <w:col w:w="7340" w:space="720"/>
            <w:col w:w="3140"/>
          </w:cols>
          <w:pgMar w:left="320" w:top="894" w:right="379" w:bottom="1440" w:gutter="0" w:footer="0" w:header="0"/>
          <w:type w:val="continuous"/>
        </w:sectPr>
      </w:pPr>
    </w:p>
    <w:p>
      <w:pPr>
        <w:spacing w:after="0" w:line="67" w:lineRule="exact"/>
        <w:rPr>
          <w:sz w:val="24"/>
          <w:szCs w:val="24"/>
          <w:color w:val="auto"/>
        </w:rPr>
      </w:pPr>
    </w:p>
    <w:p>
      <w:pPr>
        <w:ind w:left="20"/>
        <w:spacing w:after="0" w:line="138" w:lineRule="exact"/>
        <w:rPr>
          <w:sz w:val="20"/>
          <w:szCs w:val="20"/>
          <w:color w:val="auto"/>
        </w:rPr>
      </w:pPr>
      <w:r>
        <w:rPr>
          <w:rFonts w:ascii="Arial" w:cs="Arial" w:eastAsia="Arial" w:hAnsi="Arial"/>
          <w:sz w:val="12"/>
          <w:szCs w:val="12"/>
          <w:b w:val="1"/>
          <w:bCs w:val="1"/>
          <w:color w:val="auto"/>
        </w:rPr>
        <w:t xml:space="preserve">Emerging growth company </w:t>
      </w:r>
      <w:r>
        <w:rPr>
          <w:rFonts w:ascii="MS PGothic" w:cs="MS PGothic" w:eastAsia="MS PGothic" w:hAnsi="MS PGothic"/>
          <w:sz w:val="12"/>
          <w:szCs w:val="12"/>
          <w:color w:val="auto"/>
          <w:highlight w:val="black"/>
        </w:rPr>
        <w:t>☐</w:t>
      </w:r>
    </w:p>
    <w:p>
      <w:pPr>
        <w:sectPr>
          <w:pgSz w:w="11900" w:h="16838" w:orient="portrait"/>
          <w:cols w:equalWidth="0" w:num="1">
            <w:col w:w="11200"/>
          </w:cols>
          <w:pgMar w:left="320" w:top="894" w:right="379" w:bottom="1440" w:gutter="0" w:footer="0" w:header="0"/>
          <w:type w:val="continuous"/>
        </w:sectPr>
      </w:pPr>
    </w:p>
    <w:p>
      <w:pPr>
        <w:spacing w:after="0" w:line="200" w:lineRule="exact"/>
        <w:rPr>
          <w:sz w:val="24"/>
          <w:szCs w:val="24"/>
          <w:color w:val="auto"/>
        </w:rPr>
      </w:pPr>
    </w:p>
    <w:p>
      <w:pPr>
        <w:spacing w:after="0" w:line="253" w:lineRule="exact"/>
        <w:rPr>
          <w:sz w:val="24"/>
          <w:szCs w:val="24"/>
          <w:color w:val="auto"/>
        </w:rPr>
      </w:pPr>
    </w:p>
    <w:p>
      <w:pPr>
        <w:ind w:right="26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2" w:lineRule="exact"/>
        <w:rPr>
          <w:sz w:val="24"/>
          <w:szCs w:val="24"/>
          <w:color w:val="auto"/>
        </w:rPr>
      </w:pPr>
    </w:p>
    <w:p>
      <w:pPr>
        <w:ind w:right="38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4" w:right="379" w:bottom="1440" w:gutter="0" w:footer="0" w:header="0"/>
          <w:type w:val="continuous"/>
        </w:sectPr>
      </w:pPr>
    </w:p>
    <w:bookmarkStart w:id="1" w:name="page2"/>
    <w:bookmarkEnd w:id="1"/>
    <w:p>
      <w:pPr>
        <w:ind w:right="560"/>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14" w:lineRule="exact"/>
        <w:rPr>
          <w:sz w:val="20"/>
          <w:szCs w:val="20"/>
          <w:color w:val="auto"/>
        </w:rPr>
      </w:pPr>
    </w:p>
    <w:p>
      <w:pPr>
        <w:ind w:right="400"/>
        <w:spacing w:after="0" w:line="19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70"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4" w:lineRule="exact"/>
        <w:rPr>
          <w:sz w:val="20"/>
          <w:szCs w:val="20"/>
          <w:color w:val="auto"/>
        </w:rPr>
      </w:pPr>
    </w:p>
    <w:p>
      <w:pPr>
        <w:jc w:val="both"/>
        <w:ind w:right="100"/>
        <w:spacing w:after="0" w:line="273" w:lineRule="auto"/>
        <w:rPr>
          <w:sz w:val="20"/>
          <w:szCs w:val="20"/>
          <w:color w:val="auto"/>
        </w:rPr>
      </w:pPr>
      <w:r>
        <w:rPr>
          <w:rFonts w:ascii="Arial" w:cs="Arial" w:eastAsia="Arial" w:hAnsi="Arial"/>
          <w:sz w:val="14"/>
          <w:szCs w:val="14"/>
          <w:color w:val="auto"/>
        </w:rPr>
        <w:t>The aggregate market value of the registrant's Class A common stock, par value $0.0001 per share, held by non-affiliates of the registrant was approximately $88 million as of June 28, 2024, the last business day of the registrant's most recently completed second fiscal quarter, computed based on the closing sale price of the Class A common stock on the Nasdaq Stock Market LLC on such date.</w:t>
      </w:r>
    </w:p>
    <w:p>
      <w:pPr>
        <w:spacing w:after="0" w:line="112"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As of February 24, 2025, there were approximately 79,507,184 shares of the registrant's Class A common stock outstanding, 4,209,827 shares of the registrant's LT10 common stock outstanding, and 7,695,524 shares of the registrant's LT50 common stock outstanding.</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Information required in response to Part III of this Annual Report on Form 10-K (Items 10, 11, 12, 13 and 14) is hereby incorporated by reference to portions of the registrant’s Proxy Statement for its Annual Meeting of Stockholders to be held in 2025. The Proxy Statement will be filed by the registrant with the Securities and Exchange Commission no later than 120 days after the end of the registrant’s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2" w:name="page3"/>
    <w:bookmarkEnd w:id="2"/>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Table of Contents</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002E22"/>
              </w:rPr>
              <w:t>PART I</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line="195"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color w:val="0000FF"/>
                <w:w w:val="98"/>
              </w:rPr>
              <w:t>Business</w:t>
            </w:r>
          </w:p>
        </w:tc>
        <w:tc>
          <w:tcPr>
            <w:tcW w:w="6740" w:type="dxa"/>
            <w:vAlign w:val="bottom"/>
            <w:gridSpan w:val="20"/>
          </w:tcPr>
          <w:p>
            <w:pPr>
              <w:spacing w:after="0"/>
              <w:rPr>
                <w:sz w:val="16"/>
                <w:szCs w:val="16"/>
                <w:color w:val="auto"/>
              </w:rPr>
            </w:pPr>
          </w:p>
        </w:tc>
        <w:tc>
          <w:tcPr>
            <w:tcW w:w="186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95" w:lineRule="exact"/>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1A.</w:t>
            </w:r>
          </w:p>
        </w:tc>
        <w:tc>
          <w:tcPr>
            <w:tcW w:w="748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1B.</w:t>
            </w:r>
          </w:p>
        </w:tc>
        <w:tc>
          <w:tcPr>
            <w:tcW w:w="748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1C.</w:t>
            </w:r>
          </w:p>
        </w:tc>
        <w:tc>
          <w:tcPr>
            <w:tcW w:w="22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Cybersecurity</w:t>
            </w:r>
          </w:p>
        </w:tc>
        <w:tc>
          <w:tcPr>
            <w:tcW w:w="5240" w:type="dxa"/>
            <w:vAlign w:val="bottom"/>
            <w:gridSpan w:val="11"/>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2.</w:t>
            </w:r>
          </w:p>
        </w:tc>
        <w:tc>
          <w:tcPr>
            <w:tcW w:w="11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Properties</w:t>
            </w:r>
          </w:p>
        </w:tc>
        <w:tc>
          <w:tcPr>
            <w:tcW w:w="6380" w:type="dxa"/>
            <w:vAlign w:val="bottom"/>
            <w:gridSpan w:val="17"/>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Legal Proceedings</w:t>
            </w:r>
          </w:p>
        </w:tc>
        <w:tc>
          <w:tcPr>
            <w:tcW w:w="5980" w:type="dxa"/>
            <w:vAlign w:val="bottom"/>
            <w:gridSpan w:val="15"/>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Mine Safety Disclosures</w:t>
            </w:r>
          </w:p>
        </w:tc>
        <w:tc>
          <w:tcPr>
            <w:tcW w:w="5540" w:type="dxa"/>
            <w:vAlign w:val="bottom"/>
            <w:gridSpan w:val="13"/>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68</w:t>
            </w:r>
          </w:p>
        </w:tc>
        <w:tc>
          <w:tcPr>
            <w:tcW w:w="0" w:type="dxa"/>
            <w:vAlign w:val="bottom"/>
          </w:tcPr>
          <w:p>
            <w:pPr>
              <w:spacing w:after="0"/>
              <w:rPr>
                <w:sz w:val="1"/>
                <w:szCs w:val="1"/>
                <w:color w:val="auto"/>
              </w:rPr>
            </w:pPr>
          </w:p>
        </w:tc>
      </w:tr>
      <w:tr>
        <w:trPr>
          <w:trHeight w:val="519"/>
        </w:trPr>
        <w:tc>
          <w:tcPr>
            <w:tcW w:w="1760" w:type="dxa"/>
            <w:vAlign w:val="bottom"/>
          </w:tcPr>
          <w:p>
            <w:pPr>
              <w:spacing w:after="0"/>
              <w:rPr>
                <w:sz w:val="20"/>
                <w:szCs w:val="20"/>
                <w:color w:val="auto"/>
              </w:rPr>
            </w:pPr>
            <w:r>
              <w:rPr>
                <w:rFonts w:ascii="Arial" w:cs="Arial" w:eastAsia="Arial" w:hAnsi="Arial"/>
                <w:sz w:val="18"/>
                <w:szCs w:val="18"/>
                <w:b w:val="1"/>
                <w:bCs w:val="1"/>
                <w:color w:val="002E22"/>
              </w:rPr>
              <w:t>PART II</w:t>
            </w:r>
          </w:p>
        </w:tc>
        <w:tc>
          <w:tcPr>
            <w:tcW w:w="7480" w:type="dxa"/>
            <w:vAlign w:val="bottom"/>
            <w:gridSpan w:val="22"/>
            <w:vMerge w:val="restart"/>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76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7480" w:type="dxa"/>
            <w:vAlign w:val="bottom"/>
            <w:tcBorders>
              <w:bottom w:val="single" w:sz="8" w:color="0000FF"/>
            </w:tcBorders>
            <w:gridSpan w:val="22"/>
            <w:vMerge w:val="continue"/>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7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320" w:type="dxa"/>
            <w:vAlign w:val="bottom"/>
            <w:gridSpan w:val="21"/>
            <w:vMerge w:val="restart"/>
          </w:tcPr>
          <w:p>
            <w:pPr>
              <w:spacing w:after="0" w:line="142" w:lineRule="exact"/>
              <w:rPr>
                <w:sz w:val="20"/>
                <w:szCs w:val="20"/>
                <w:color w:val="auto"/>
              </w:rPr>
            </w:pPr>
            <w:r>
              <w:rPr>
                <w:rFonts w:ascii="Arial" w:cs="Arial" w:eastAsia="Arial" w:hAnsi="Arial"/>
                <w:sz w:val="16"/>
                <w:szCs w:val="16"/>
                <w:color w:val="0000FF"/>
              </w:rPr>
              <w:t>Equity Securities</w:t>
            </w:r>
          </w:p>
        </w:tc>
        <w:tc>
          <w:tcPr>
            <w:tcW w:w="1960" w:type="dxa"/>
            <w:vAlign w:val="bottom"/>
            <w:gridSpan w:val="4"/>
            <w:vMerge w:val="restart"/>
          </w:tcPr>
          <w:p>
            <w:pPr>
              <w:jc w:val="right"/>
              <w:spacing w:after="0" w:line="142" w:lineRule="exact"/>
              <w:rPr>
                <w:sz w:val="20"/>
                <w:szCs w:val="20"/>
                <w:color w:val="auto"/>
              </w:rPr>
            </w:pPr>
            <w:r>
              <w:rPr>
                <w:rFonts w:ascii="Arial" w:cs="Arial" w:eastAsia="Arial" w:hAnsi="Arial"/>
                <w:sz w:val="16"/>
                <w:szCs w:val="16"/>
                <w:color w:val="0000FF"/>
              </w:rPr>
              <w:t>69</w:t>
            </w:r>
          </w:p>
        </w:tc>
        <w:tc>
          <w:tcPr>
            <w:tcW w:w="0" w:type="dxa"/>
            <w:vAlign w:val="bottom"/>
          </w:tcPr>
          <w:p>
            <w:pPr>
              <w:spacing w:after="0"/>
              <w:rPr>
                <w:sz w:val="1"/>
                <w:szCs w:val="1"/>
                <w:color w:val="auto"/>
              </w:rPr>
            </w:pPr>
          </w:p>
        </w:tc>
      </w:tr>
      <w:tr>
        <w:trPr>
          <w:trHeight w:val="36"/>
        </w:trPr>
        <w:tc>
          <w:tcPr>
            <w:tcW w:w="1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320" w:type="dxa"/>
            <w:vAlign w:val="bottom"/>
            <w:gridSpan w:val="21"/>
            <w:vMerge w:val="continue"/>
          </w:tcPr>
          <w:p>
            <w:pPr>
              <w:spacing w:after="0"/>
              <w:rPr>
                <w:sz w:val="3"/>
                <w:szCs w:val="3"/>
                <w:color w:val="auto"/>
              </w:rPr>
            </w:pPr>
          </w:p>
        </w:tc>
        <w:tc>
          <w:tcPr>
            <w:tcW w:w="1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1760" w:type="dxa"/>
            <w:vAlign w:val="bottom"/>
          </w:tcPr>
          <w:p>
            <w:pPr>
              <w:spacing w:after="0"/>
              <w:rPr>
                <w:sz w:val="2"/>
                <w:szCs w:val="2"/>
                <w:color w:val="auto"/>
              </w:rPr>
            </w:pPr>
          </w:p>
        </w:tc>
        <w:tc>
          <w:tcPr>
            <w:tcW w:w="820" w:type="dxa"/>
            <w:vAlign w:val="bottom"/>
            <w:tcBorders>
              <w:right w:val="single" w:sz="8" w:color="0000FF"/>
            </w:tcBorders>
            <w:gridSpan w:val="3"/>
          </w:tcPr>
          <w:p>
            <w:pPr>
              <w:spacing w:after="0"/>
              <w:rPr>
                <w:sz w:val="2"/>
                <w:szCs w:val="2"/>
                <w:color w:val="auto"/>
              </w:rPr>
            </w:pPr>
          </w:p>
        </w:tc>
        <w:tc>
          <w:tcPr>
            <w:tcW w:w="580" w:type="dxa"/>
            <w:vAlign w:val="bottom"/>
            <w:tcBorders>
              <w:left w:val="single" w:sz="8" w:color="0000FF"/>
            </w:tcBorders>
            <w:gridSpan w:val="3"/>
            <w:shd w:val="clear" w:color="auto" w:fill="0000FF"/>
          </w:tcPr>
          <w:p>
            <w:pPr>
              <w:spacing w:after="0"/>
              <w:rPr>
                <w:sz w:val="2"/>
                <w:szCs w:val="2"/>
                <w:color w:val="auto"/>
              </w:rPr>
            </w:pPr>
          </w:p>
        </w:tc>
        <w:tc>
          <w:tcPr>
            <w:tcW w:w="280" w:type="dxa"/>
            <w:vAlign w:val="bottom"/>
            <w:gridSpan w:val="2"/>
            <w:shd w:val="clear" w:color="auto" w:fill="0000FF"/>
          </w:tcPr>
          <w:p>
            <w:pPr>
              <w:spacing w:after="0"/>
              <w:rPr>
                <w:sz w:val="2"/>
                <w:szCs w:val="2"/>
                <w:color w:val="auto"/>
              </w:rPr>
            </w:pPr>
          </w:p>
        </w:tc>
        <w:tc>
          <w:tcPr>
            <w:tcW w:w="320" w:type="dxa"/>
            <w:vAlign w:val="bottom"/>
            <w:gridSpan w:val="2"/>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[Reserved]</w:t>
            </w:r>
          </w:p>
        </w:tc>
        <w:tc>
          <w:tcPr>
            <w:tcW w:w="6660" w:type="dxa"/>
            <w:vAlign w:val="bottom"/>
            <w:gridSpan w:val="19"/>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71</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400" w:type="dxa"/>
            <w:vAlign w:val="bottom"/>
            <w:gridSpan w:val="3"/>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72</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7A.</w:t>
            </w:r>
          </w:p>
        </w:tc>
        <w:tc>
          <w:tcPr>
            <w:tcW w:w="47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760" w:type="dxa"/>
            <w:vAlign w:val="bottom"/>
            <w:gridSpan w:val="6"/>
          </w:tcPr>
          <w:p>
            <w:pPr>
              <w:spacing w:after="0"/>
              <w:rPr>
                <w:sz w:val="18"/>
                <w:szCs w:val="18"/>
                <w:color w:val="auto"/>
              </w:rPr>
            </w:pPr>
          </w:p>
        </w:tc>
        <w:tc>
          <w:tcPr>
            <w:tcW w:w="1760" w:type="dxa"/>
            <w:vAlign w:val="bottom"/>
            <w:gridSpan w:val="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91</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8</w:t>
            </w:r>
          </w:p>
        </w:tc>
        <w:tc>
          <w:tcPr>
            <w:tcW w:w="7480" w:type="dxa"/>
            <w:vAlign w:val="bottom"/>
            <w:gridSpan w:val="22"/>
          </w:tcPr>
          <w:p>
            <w:pPr>
              <w:spacing w:after="0"/>
              <w:rPr>
                <w:sz w:val="20"/>
                <w:szCs w:val="20"/>
                <w:color w:val="auto"/>
              </w:rPr>
            </w:pPr>
            <w:r>
              <w:rPr>
                <w:rFonts w:ascii="Arial" w:cs="Arial" w:eastAsia="Arial" w:hAnsi="Arial"/>
                <w:sz w:val="18"/>
                <w:szCs w:val="18"/>
                <w:color w:val="0000FF"/>
              </w:rPr>
              <w:t>Financial Statements and Supplementary Data</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92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9.</w:t>
            </w:r>
          </w:p>
        </w:tc>
        <w:tc>
          <w:tcPr>
            <w:tcW w:w="71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30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149</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9A.</w:t>
            </w: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5480" w:type="dxa"/>
            <w:vAlign w:val="bottom"/>
            <w:gridSpan w:val="12"/>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149</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9B.</w:t>
            </w:r>
          </w:p>
        </w:tc>
        <w:tc>
          <w:tcPr>
            <w:tcW w:w="748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150</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tcPr>
          <w:p>
            <w:pPr>
              <w:spacing w:after="0"/>
              <w:rPr>
                <w:sz w:val="20"/>
                <w:szCs w:val="20"/>
                <w:color w:val="auto"/>
              </w:rPr>
            </w:pPr>
            <w:r>
              <w:rPr>
                <w:rFonts w:ascii="Arial" w:cs="Arial" w:eastAsia="Arial" w:hAnsi="Arial"/>
                <w:sz w:val="18"/>
                <w:szCs w:val="18"/>
                <w:color w:val="auto"/>
              </w:rPr>
              <w:t>Item 9C.</w:t>
            </w:r>
          </w:p>
        </w:tc>
        <w:tc>
          <w:tcPr>
            <w:tcW w:w="7480" w:type="dxa"/>
            <w:vAlign w:val="bottom"/>
            <w:gridSpan w:val="22"/>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150</w:t>
            </w:r>
          </w:p>
        </w:tc>
        <w:tc>
          <w:tcPr>
            <w:tcW w:w="0" w:type="dxa"/>
            <w:vAlign w:val="bottom"/>
          </w:tcPr>
          <w:p>
            <w:pPr>
              <w:spacing w:after="0"/>
              <w:rPr>
                <w:sz w:val="1"/>
                <w:szCs w:val="1"/>
                <w:color w:val="auto"/>
              </w:rPr>
            </w:pPr>
          </w:p>
        </w:tc>
      </w:tr>
      <w:tr>
        <w:trPr>
          <w:trHeight w:val="501"/>
        </w:trPr>
        <w:tc>
          <w:tcPr>
            <w:tcW w:w="1760" w:type="dxa"/>
            <w:vAlign w:val="bottom"/>
          </w:tcPr>
          <w:p>
            <w:pPr>
              <w:spacing w:after="0"/>
              <w:rPr>
                <w:sz w:val="20"/>
                <w:szCs w:val="20"/>
                <w:color w:val="auto"/>
              </w:rPr>
            </w:pPr>
            <w:r>
              <w:rPr>
                <w:rFonts w:ascii="Arial" w:cs="Arial" w:eastAsia="Arial" w:hAnsi="Arial"/>
                <w:sz w:val="18"/>
                <w:szCs w:val="18"/>
                <w:b w:val="1"/>
                <w:bCs w:val="1"/>
                <w:color w:val="002E22"/>
              </w:rPr>
              <w:t>PART III</w:t>
            </w: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line="195" w:lineRule="exact"/>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15"/>
          </w:tcPr>
          <w:p>
            <w:pPr>
              <w:spacing w:after="0" w:line="195" w:lineRule="exact"/>
              <w:rPr>
                <w:sz w:val="20"/>
                <w:szCs w:val="20"/>
                <w:color w:val="auto"/>
              </w:rPr>
            </w:pPr>
            <w:r>
              <w:rPr>
                <w:rFonts w:ascii="Arial" w:cs="Arial" w:eastAsia="Arial" w:hAnsi="Arial"/>
                <w:sz w:val="18"/>
                <w:szCs w:val="18"/>
                <w:color w:val="0000FF"/>
                <w:w w:val="99"/>
              </w:rPr>
              <w:t>Directors, Executive Officers and Corporate Governance</w:t>
            </w:r>
          </w:p>
        </w:tc>
        <w:tc>
          <w:tcPr>
            <w:tcW w:w="2980" w:type="dxa"/>
            <w:vAlign w:val="bottom"/>
            <w:gridSpan w:val="7"/>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Borders>
              <w:bottom w:val="single" w:sz="8" w:color="0000FF"/>
            </w:tcBorders>
            <w:gridSpan w:val="3"/>
          </w:tcPr>
          <w:p>
            <w:pPr>
              <w:jc w:val="right"/>
              <w:spacing w:after="0" w:line="195" w:lineRule="exact"/>
              <w:rPr>
                <w:sz w:val="20"/>
                <w:szCs w:val="20"/>
                <w:color w:val="auto"/>
              </w:rPr>
            </w:pPr>
            <w:r>
              <w:rPr>
                <w:rFonts w:ascii="Arial" w:cs="Arial" w:eastAsia="Arial" w:hAnsi="Arial"/>
                <w:sz w:val="18"/>
                <w:szCs w:val="18"/>
                <w:color w:val="0000FF"/>
                <w:w w:val="93"/>
              </w:rPr>
              <w:t>151</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11.</w:t>
            </w:r>
          </w:p>
        </w:tc>
        <w:tc>
          <w:tcPr>
            <w:tcW w:w="2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Executive Compensation</w:t>
            </w:r>
          </w:p>
        </w:tc>
        <w:tc>
          <w:tcPr>
            <w:tcW w:w="5480" w:type="dxa"/>
            <w:vAlign w:val="bottom"/>
            <w:gridSpan w:val="12"/>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152</w:t>
            </w:r>
          </w:p>
        </w:tc>
        <w:tc>
          <w:tcPr>
            <w:tcW w:w="0" w:type="dxa"/>
            <w:vAlign w:val="bottom"/>
          </w:tcPr>
          <w:p>
            <w:pPr>
              <w:spacing w:after="0"/>
              <w:rPr>
                <w:sz w:val="1"/>
                <w:szCs w:val="1"/>
                <w:color w:val="auto"/>
              </w:rPr>
            </w:pPr>
          </w:p>
        </w:tc>
      </w:tr>
      <w:tr>
        <w:trPr>
          <w:trHeight w:val="210"/>
        </w:trPr>
        <w:tc>
          <w:tcPr>
            <w:tcW w:w="1760" w:type="dxa"/>
            <w:vAlign w:val="bottom"/>
            <w:vMerge w:val="restart"/>
          </w:tcPr>
          <w:p>
            <w:pPr>
              <w:spacing w:after="0"/>
              <w:rPr>
                <w:sz w:val="20"/>
                <w:szCs w:val="20"/>
                <w:color w:val="auto"/>
              </w:rPr>
            </w:pPr>
            <w:r>
              <w:rPr>
                <w:rFonts w:ascii="Arial" w:cs="Arial" w:eastAsia="Arial" w:hAnsi="Arial"/>
                <w:sz w:val="18"/>
                <w:szCs w:val="18"/>
                <w:color w:val="auto"/>
              </w:rPr>
              <w:t>Item 12.</w:t>
            </w:r>
          </w:p>
        </w:tc>
        <w:tc>
          <w:tcPr>
            <w:tcW w:w="748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760" w:type="dxa"/>
            <w:vAlign w:val="bottom"/>
            <w:vMerge w:val="continue"/>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7200" w:type="dxa"/>
            <w:vAlign w:val="bottom"/>
            <w:tcBorders>
              <w:top w:val="single" w:sz="8" w:color="0000FF"/>
            </w:tcBorders>
            <w:gridSpan w:val="20"/>
            <w:vMerge w:val="restart"/>
          </w:tcPr>
          <w:p>
            <w:pPr>
              <w:spacing w:after="0" w:line="142" w:lineRule="exact"/>
              <w:rPr>
                <w:sz w:val="20"/>
                <w:szCs w:val="20"/>
                <w:color w:val="auto"/>
              </w:rPr>
            </w:pPr>
            <w:r>
              <w:rPr>
                <w:rFonts w:ascii="Arial" w:cs="Arial" w:eastAsia="Arial" w:hAnsi="Arial"/>
                <w:sz w:val="16"/>
                <w:szCs w:val="16"/>
                <w:color w:val="0000FF"/>
              </w:rPr>
              <w:t>Matters</w:t>
            </w:r>
          </w:p>
        </w:tc>
        <w:tc>
          <w:tcPr>
            <w:tcW w:w="120" w:type="dxa"/>
            <w:vAlign w:val="bottom"/>
            <w:vMerge w:val="restart"/>
          </w:tcPr>
          <w:p>
            <w:pPr>
              <w:spacing w:after="0"/>
              <w:rPr>
                <w:sz w:val="10"/>
                <w:szCs w:val="10"/>
                <w:color w:val="auto"/>
              </w:rPr>
            </w:pPr>
          </w:p>
        </w:tc>
        <w:tc>
          <w:tcPr>
            <w:tcW w:w="1660" w:type="dxa"/>
            <w:vAlign w:val="bottom"/>
            <w:vMerge w:val="restart"/>
          </w:tcPr>
          <w:p>
            <w:pPr>
              <w:spacing w:after="0"/>
              <w:rPr>
                <w:sz w:val="10"/>
                <w:szCs w:val="10"/>
                <w:color w:val="auto"/>
              </w:rPr>
            </w:pPr>
          </w:p>
        </w:tc>
        <w:tc>
          <w:tcPr>
            <w:tcW w:w="300" w:type="dxa"/>
            <w:vAlign w:val="bottom"/>
            <w:gridSpan w:val="3"/>
            <w:vMerge w:val="restart"/>
          </w:tcPr>
          <w:p>
            <w:pPr>
              <w:jc w:val="right"/>
              <w:spacing w:after="0" w:line="142" w:lineRule="exact"/>
              <w:rPr>
                <w:sz w:val="20"/>
                <w:szCs w:val="20"/>
                <w:color w:val="auto"/>
              </w:rPr>
            </w:pPr>
            <w:r>
              <w:rPr>
                <w:rFonts w:ascii="Arial" w:cs="Arial" w:eastAsia="Arial" w:hAnsi="Arial"/>
                <w:sz w:val="16"/>
                <w:szCs w:val="16"/>
                <w:color w:val="0000FF"/>
              </w:rPr>
              <w:t>152</w:t>
            </w:r>
          </w:p>
        </w:tc>
        <w:tc>
          <w:tcPr>
            <w:tcW w:w="0" w:type="dxa"/>
            <w:vAlign w:val="bottom"/>
          </w:tcPr>
          <w:p>
            <w:pPr>
              <w:spacing w:after="0"/>
              <w:rPr>
                <w:sz w:val="1"/>
                <w:szCs w:val="1"/>
                <w:color w:val="auto"/>
              </w:rPr>
            </w:pPr>
          </w:p>
        </w:tc>
      </w:tr>
      <w:tr>
        <w:trPr>
          <w:trHeight w:val="49"/>
        </w:trPr>
        <w:tc>
          <w:tcPr>
            <w:tcW w:w="1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0" w:type="dxa"/>
            <w:vAlign w:val="bottom"/>
            <w:gridSpan w:val="20"/>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300" w:type="dxa"/>
            <w:vAlign w:val="bottom"/>
            <w:tcBorders>
              <w:bottom w:val="single" w:sz="8" w:color="0000FF"/>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Item 13.</w:t>
            </w:r>
          </w:p>
        </w:tc>
        <w:tc>
          <w:tcPr>
            <w:tcW w:w="6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400" w:type="dxa"/>
            <w:vAlign w:val="bottom"/>
            <w:gridSpan w:val="4"/>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152</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14</w:t>
            </w:r>
          </w:p>
        </w:tc>
        <w:tc>
          <w:tcPr>
            <w:tcW w:w="7480" w:type="dxa"/>
            <w:vAlign w:val="bottom"/>
            <w:gridSpan w:val="22"/>
          </w:tcPr>
          <w:p>
            <w:pPr>
              <w:spacing w:after="0"/>
              <w:rPr>
                <w:sz w:val="20"/>
                <w:szCs w:val="20"/>
                <w:color w:val="auto"/>
              </w:rPr>
            </w:pPr>
            <w:r>
              <w:rPr>
                <w:rFonts w:ascii="Arial" w:cs="Arial" w:eastAsia="Arial" w:hAnsi="Arial"/>
                <w:sz w:val="18"/>
                <w:szCs w:val="18"/>
                <w:color w:val="0000FF"/>
              </w:rPr>
              <w:t>Principal Accountant Fees and Services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152</w:t>
            </w:r>
          </w:p>
        </w:tc>
        <w:tc>
          <w:tcPr>
            <w:tcW w:w="0" w:type="dxa"/>
            <w:vAlign w:val="bottom"/>
          </w:tcPr>
          <w:p>
            <w:pPr>
              <w:spacing w:after="0"/>
              <w:rPr>
                <w:sz w:val="1"/>
                <w:szCs w:val="1"/>
                <w:color w:val="auto"/>
              </w:rPr>
            </w:pPr>
          </w:p>
        </w:tc>
      </w:tr>
      <w:tr>
        <w:trPr>
          <w:trHeight w:val="501"/>
        </w:trPr>
        <w:tc>
          <w:tcPr>
            <w:tcW w:w="1760" w:type="dxa"/>
            <w:vAlign w:val="bottom"/>
          </w:tcPr>
          <w:p>
            <w:pPr>
              <w:spacing w:after="0"/>
              <w:rPr>
                <w:sz w:val="20"/>
                <w:szCs w:val="20"/>
                <w:color w:val="auto"/>
              </w:rPr>
            </w:pPr>
            <w:r>
              <w:rPr>
                <w:rFonts w:ascii="Arial" w:cs="Arial" w:eastAsia="Arial" w:hAnsi="Arial"/>
                <w:sz w:val="18"/>
                <w:szCs w:val="18"/>
                <w:b w:val="1"/>
                <w:bCs w:val="1"/>
                <w:color w:val="002E22"/>
              </w:rPr>
              <w:t>PART IV</w:t>
            </w:r>
          </w:p>
        </w:tc>
        <w:tc>
          <w:tcPr>
            <w:tcW w:w="1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760" w:type="dxa"/>
            <w:vAlign w:val="bottom"/>
          </w:tcPr>
          <w:p>
            <w:pPr>
              <w:spacing w:after="0" w:line="195" w:lineRule="exact"/>
              <w:rPr>
                <w:sz w:val="20"/>
                <w:szCs w:val="20"/>
                <w:color w:val="auto"/>
              </w:rPr>
            </w:pPr>
            <w:r>
              <w:rPr>
                <w:rFonts w:ascii="Arial" w:cs="Arial" w:eastAsia="Arial" w:hAnsi="Arial"/>
                <w:sz w:val="18"/>
                <w:szCs w:val="18"/>
                <w:color w:val="auto"/>
              </w:rPr>
              <w:t>Item 15.</w:t>
            </w:r>
          </w:p>
        </w:tc>
        <w:tc>
          <w:tcPr>
            <w:tcW w:w="7480" w:type="dxa"/>
            <w:vAlign w:val="bottom"/>
            <w:gridSpan w:val="22"/>
          </w:tcPr>
          <w:p>
            <w:pPr>
              <w:spacing w:after="0" w:line="195" w:lineRule="exact"/>
              <w:rPr>
                <w:sz w:val="20"/>
                <w:szCs w:val="20"/>
                <w:color w:val="auto"/>
              </w:rPr>
            </w:pPr>
            <w:r>
              <w:rPr>
                <w:rFonts w:ascii="Arial" w:cs="Arial" w:eastAsia="Arial" w:hAnsi="Arial"/>
                <w:sz w:val="18"/>
                <w:szCs w:val="18"/>
                <w:color w:val="0000FF"/>
              </w:rPr>
              <w:t>Exhibit and Financial Statement Schedules</w:t>
            </w:r>
          </w:p>
        </w:tc>
        <w:tc>
          <w:tcPr>
            <w:tcW w:w="1960" w:type="dxa"/>
            <w:vAlign w:val="bottom"/>
            <w:gridSpan w:val="4"/>
          </w:tcPr>
          <w:p>
            <w:pPr>
              <w:jc w:val="right"/>
              <w:spacing w:after="0" w:line="195" w:lineRule="exact"/>
              <w:rPr>
                <w:sz w:val="20"/>
                <w:szCs w:val="20"/>
                <w:color w:val="auto"/>
              </w:rPr>
            </w:pPr>
            <w:r>
              <w:rPr>
                <w:rFonts w:ascii="Arial" w:cs="Arial" w:eastAsia="Arial" w:hAnsi="Arial"/>
                <w:sz w:val="18"/>
                <w:szCs w:val="18"/>
                <w:color w:val="0000FF"/>
              </w:rPr>
              <w:t>153</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8"/>
                <w:szCs w:val="18"/>
                <w:color w:val="auto"/>
              </w:rPr>
              <w:t>Item 16.</w:t>
            </w:r>
          </w:p>
        </w:tc>
        <w:tc>
          <w:tcPr>
            <w:tcW w:w="168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Form 10-K Summary</w:t>
            </w:r>
          </w:p>
        </w:tc>
        <w:tc>
          <w:tcPr>
            <w:tcW w:w="1740" w:type="dxa"/>
            <w:vAlign w:val="bottom"/>
            <w:tcBorders>
              <w:top w:val="single" w:sz="8" w:color="0000FF"/>
            </w:tcBorders>
            <w:gridSpan w:val="5"/>
          </w:tcPr>
          <w:p>
            <w:pPr>
              <w:spacing w:after="0"/>
              <w:rPr>
                <w:sz w:val="18"/>
                <w:szCs w:val="18"/>
                <w:color w:val="auto"/>
              </w:rPr>
            </w:pPr>
          </w:p>
        </w:tc>
        <w:tc>
          <w:tcPr>
            <w:tcW w:w="4060" w:type="dxa"/>
            <w:vAlign w:val="bottom"/>
            <w:gridSpan w:val="9"/>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93"/>
              </w:rPr>
              <w:t>155</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748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1960" w:type="dxa"/>
            <w:vAlign w:val="bottom"/>
            <w:gridSpan w:val="4"/>
          </w:tcPr>
          <w:p>
            <w:pPr>
              <w:jc w:val="right"/>
              <w:spacing w:after="0"/>
              <w:rPr>
                <w:sz w:val="20"/>
                <w:szCs w:val="20"/>
                <w:color w:val="auto"/>
              </w:rPr>
            </w:pPr>
            <w:r>
              <w:rPr>
                <w:rFonts w:ascii="Arial" w:cs="Arial" w:eastAsia="Arial" w:hAnsi="Arial"/>
                <w:sz w:val="18"/>
                <w:szCs w:val="18"/>
                <w:color w:val="0000FF"/>
              </w:rPr>
              <w:t>156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Special Note Regarding Forward-Looking Statements</w:t>
      </w:r>
    </w:p>
    <w:p>
      <w:pPr>
        <w:spacing w:after="0" w:line="1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Annual Report on Form 10-K contains forward-looking statements about us and our industry that involve substantial risks and uncertainties.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Annual Report on Form 10-K. Such risks, uncertainties and other important factors include, among others:</w:t>
      </w:r>
    </w:p>
    <w:p>
      <w:pPr>
        <w:spacing w:after="0" w:line="11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44" w:lineRule="exact"/>
        <w:rPr>
          <w:rFonts w:ascii="Arial" w:cs="Arial" w:eastAsia="Arial" w:hAnsi="Arial"/>
          <w:sz w:val="18"/>
          <w:szCs w:val="18"/>
          <w:color w:val="auto"/>
        </w:rPr>
      </w:pPr>
    </w:p>
    <w:p>
      <w:pPr>
        <w:ind w:left="340" w:right="4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85" w:lineRule="exact"/>
        <w:rPr>
          <w:rFonts w:ascii="Arial" w:cs="Arial" w:eastAsia="Arial" w:hAnsi="Arial"/>
          <w:sz w:val="18"/>
          <w:szCs w:val="18"/>
          <w:color w:val="auto"/>
        </w:rPr>
      </w:pPr>
    </w:p>
    <w:p>
      <w:pPr>
        <w:ind w:left="340" w:right="3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85" w:lineRule="exact"/>
        <w:rPr>
          <w:rFonts w:ascii="Arial" w:cs="Arial" w:eastAsia="Arial" w:hAnsi="Arial"/>
          <w:sz w:val="18"/>
          <w:szCs w:val="18"/>
          <w:color w:val="auto"/>
        </w:rPr>
      </w:pPr>
    </w:p>
    <w:p>
      <w:pPr>
        <w:ind w:left="340" w:right="52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340" w:right="620" w:hanging="332"/>
        <w:spacing w:after="0" w:line="31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48"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tensions, including the war in Ukraine and the conflict in Israel, Gaza and surrounding areas;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us and our members;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borrowing costs have and may continue to increase as a result of increases in interest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40" w:right="32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adverse impact on our business operations as a result of using artificial intelligence or other machine learning technologies in our services;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57" w:lineRule="exact"/>
        <w:rPr>
          <w:rFonts w:ascii="Arial" w:cs="Arial" w:eastAsia="Arial" w:hAnsi="Arial"/>
          <w:sz w:val="18"/>
          <w:szCs w:val="18"/>
          <w:color w:val="auto"/>
        </w:rPr>
      </w:pPr>
    </w:p>
    <w:p>
      <w:pPr>
        <w:ind w:left="340" w:right="36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71" w:lineRule="exact"/>
        <w:rPr>
          <w:rFonts w:ascii="Arial" w:cs="Arial" w:eastAsia="Arial" w:hAnsi="Arial"/>
          <w:sz w:val="18"/>
          <w:szCs w:val="18"/>
          <w:color w:val="auto"/>
        </w:rPr>
      </w:pPr>
    </w:p>
    <w:p>
      <w:pPr>
        <w:ind w:left="340" w:right="6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against security incidents, technical difficulties, or interruptions to our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under Item 1A. "Risk Factors" and elsewhere in this Annual Report on Form 10-K.</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Annual Report on Form 10-K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Annual Report on Form 10-K,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Capitalized terms used and not defined above are defined elsewhere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Risk Factor Summary</w:t>
      </w:r>
    </w:p>
    <w:p>
      <w:pPr>
        <w:spacing w:after="0" w:line="1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Our business is subject to a number of risks and uncertainties of which you should be aware. These risks are more fully described in the section titled “Risk Factors.” These risks include, among others, the following:</w:t>
      </w:r>
    </w:p>
    <w:p>
      <w:pPr>
        <w:spacing w:after="0" w:line="85" w:lineRule="exact"/>
        <w:rPr>
          <w:sz w:val="20"/>
          <w:szCs w:val="20"/>
          <w:color w:val="auto"/>
        </w:rPr>
      </w:pPr>
    </w:p>
    <w:p>
      <w:pPr>
        <w:ind w:left="340" w:right="10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and annual results of operations have fluctuated in the past and may fluctuate significantly in the future and may not meet our expectations or those of investors or securities analysts.</w:t>
      </w:r>
    </w:p>
    <w:p>
      <w:pPr>
        <w:spacing w:after="0" w:line="71"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103" w:lineRule="exact"/>
        <w:rPr>
          <w:rFonts w:ascii="Arial" w:cs="Arial" w:eastAsia="Arial" w:hAnsi="Arial"/>
          <w:sz w:val="18"/>
          <w:szCs w:val="18"/>
          <w:color w:val="auto"/>
        </w:rPr>
      </w:pPr>
    </w:p>
    <w:p>
      <w:pPr>
        <w:ind w:left="340" w:right="18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and changing customer needs or preferences, our platform may become less competitive.</w:t>
      </w:r>
    </w:p>
    <w:p>
      <w:pPr>
        <w:spacing w:after="0" w:line="85" w:lineRule="exact"/>
        <w:rPr>
          <w:rFonts w:ascii="Arial" w:cs="Arial" w:eastAsia="Arial" w:hAnsi="Arial"/>
          <w:sz w:val="18"/>
          <w:szCs w:val="18"/>
          <w:color w:val="auto"/>
        </w:rPr>
      </w:pPr>
    </w:p>
    <w:p>
      <w:pPr>
        <w:ind w:left="340" w:right="560" w:hanging="332"/>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attract new customers on a cost-effective basis, convert individuals using our free basic expense management feature and organizations using our trial subscriptions into paying customers, retain existing customers and expand usage within organizations, our revenue growth will be harmed.</w:t>
      </w:r>
    </w:p>
    <w:p>
      <w:pPr>
        <w:spacing w:after="0" w:line="89" w:lineRule="exact"/>
        <w:rPr>
          <w:rFonts w:ascii="Arial" w:cs="Arial" w:eastAsia="Arial" w:hAnsi="Arial"/>
          <w:sz w:val="18"/>
          <w:szCs w:val="18"/>
          <w:color w:val="auto"/>
        </w:rPr>
      </w:pPr>
    </w:p>
    <w:p>
      <w:pPr>
        <w:ind w:left="340" w:right="60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accurately predict the optimal pricing strategies necessary to attract new customers, retain existing customers and respond to changing market conditions.</w:t>
      </w:r>
    </w:p>
    <w:p>
      <w:pPr>
        <w:spacing w:after="0" w:line="85" w:lineRule="exact"/>
        <w:rPr>
          <w:rFonts w:ascii="Arial" w:cs="Arial" w:eastAsia="Arial" w:hAnsi="Arial"/>
          <w:sz w:val="18"/>
          <w:szCs w:val="18"/>
          <w:color w:val="auto"/>
        </w:rPr>
      </w:pPr>
    </w:p>
    <w:p>
      <w:pPr>
        <w:ind w:left="340" w:right="58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85"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the market in which we operate is rapidly evolving, and if we do not compete effectively, our results of operations and financial condition could be harmed.</w:t>
      </w:r>
    </w:p>
    <w:p>
      <w:pPr>
        <w:spacing w:after="0" w:line="71"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economic downturn or economic uncertainty could negatively impact our customers and materially and adversely affect our business, financial condition and results of operations.</w:t>
      </w:r>
    </w:p>
    <w:p>
      <w:pPr>
        <w:spacing w:after="0" w:line="85" w:lineRule="exact"/>
        <w:rPr>
          <w:rFonts w:ascii="Arial" w:cs="Arial" w:eastAsia="Arial" w:hAnsi="Arial"/>
          <w:sz w:val="18"/>
          <w:szCs w:val="18"/>
          <w:color w:val="auto"/>
        </w:rPr>
      </w:pPr>
    </w:p>
    <w:p>
      <w:pPr>
        <w:jc w:val="both"/>
        <w:ind w:left="340" w:right="80" w:hanging="332"/>
        <w:spacing w:after="0" w:line="262"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Payments and other financial services-related laws and regulations and government oversight are material to our business. The actions of various policymakers across government levels may create a complexity of multiple, conflicting and changing governmental laws and regulations. Our failure to comply with such laws and regulations could materially harm our business and can subject us to criminal and civil liability.</w:t>
      </w:r>
    </w:p>
    <w:p>
      <w:pPr>
        <w:spacing w:after="0" w:line="95" w:lineRule="exact"/>
        <w:rPr>
          <w:rFonts w:ascii="Arial" w:cs="Arial" w:eastAsia="Arial" w:hAnsi="Arial"/>
          <w:sz w:val="18"/>
          <w:szCs w:val="18"/>
          <w:color w:val="auto"/>
        </w:rPr>
      </w:pPr>
    </w:p>
    <w:p>
      <w:pPr>
        <w:jc w:val="both"/>
        <w:ind w:left="340" w:right="440" w:hanging="332"/>
        <w:spacing w:after="0" w:line="318"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 of our business largely depends on our senior management team, and we depend on professional services firms for a portion of our finance function. The loss of any key employees or our outsourced finance team could adversely affect our business.</w:t>
      </w:r>
    </w:p>
    <w:p>
      <w:pPr>
        <w:spacing w:after="0" w:line="62" w:lineRule="exact"/>
        <w:rPr>
          <w:rFonts w:ascii="Arial" w:cs="Arial" w:eastAsia="Arial" w:hAnsi="Arial"/>
          <w:sz w:val="17"/>
          <w:szCs w:val="17"/>
          <w:color w:val="auto"/>
        </w:rPr>
      </w:pPr>
    </w:p>
    <w:p>
      <w:pPr>
        <w:ind w:left="340" w:right="160" w:hanging="332"/>
        <w:spacing w:after="0" w:line="318"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cannot guarantee that our share repurchase program will be fully consummated or that it will enhance long-term stockholder value. Share repurchases could also increase the volatility of the trading price of our common stock and could diminish our cash reserves.</w:t>
      </w:r>
    </w:p>
    <w:p>
      <w:pPr>
        <w:spacing w:after="0" w:line="62" w:lineRule="exact"/>
        <w:rPr>
          <w:rFonts w:ascii="Arial" w:cs="Arial" w:eastAsia="Arial" w:hAnsi="Arial"/>
          <w:sz w:val="17"/>
          <w:szCs w:val="17"/>
          <w:color w:val="auto"/>
        </w:rPr>
      </w:pPr>
    </w:p>
    <w:p>
      <w:pPr>
        <w:ind w:left="340" w:right="160" w:hanging="332"/>
        <w:spacing w:after="0" w:line="268"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or our third party providers fail to protect our IT Systems against security incidents, or otherwise to protect our Confidential Information, there may be damage to our reputation and brand, material financial penalties, and legal liability, which could substantially harm our business, financial condition and results of operations.</w:t>
      </w:r>
    </w:p>
    <w:p>
      <w:pPr>
        <w:spacing w:after="0" w:line="89"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depends on a strong brand, and if we are not able to maintain and enhance our brand, our ability to expand our base of customers may be impaired, and our business and results of operations will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right="140" w:hanging="332"/>
        <w:spacing w:after="0" w:line="28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adversely affected by global economic and political instability, including escalating geopolitical tensions such as the war in Ukraine and the conflict in Israel, Gaza and surrounding areas.</w:t>
      </w:r>
    </w:p>
    <w:p>
      <w:pPr>
        <w:spacing w:after="0" w:line="71" w:lineRule="exact"/>
        <w:rPr>
          <w:rFonts w:ascii="Arial" w:cs="Arial" w:eastAsia="Arial" w:hAnsi="Arial"/>
          <w:sz w:val="18"/>
          <w:szCs w:val="18"/>
          <w:color w:val="auto"/>
        </w:rPr>
      </w:pPr>
    </w:p>
    <w:p>
      <w:pPr>
        <w:ind w:left="340" w:right="360" w:hanging="332"/>
        <w:spacing w:after="0" w:line="28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to customers outside the United States and our international operations expose us to risks inherent in international sales and operations.</w:t>
      </w:r>
    </w:p>
    <w:p>
      <w:pPr>
        <w:spacing w:after="0" w:line="85" w:lineRule="exact"/>
        <w:rPr>
          <w:rFonts w:ascii="Arial" w:cs="Arial" w:eastAsia="Arial" w:hAnsi="Arial"/>
          <w:sz w:val="18"/>
          <w:szCs w:val="18"/>
          <w:color w:val="auto"/>
        </w:rPr>
      </w:pPr>
    </w:p>
    <w:p>
      <w:pPr>
        <w:ind w:left="340" w:right="240" w:hanging="332"/>
        <w:spacing w:after="0" w:line="268"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receive, process, store and use business and personal data, which subjects us to governmental regulation and other legal obligations related to data protection and security, and our actual or perceived failure to comply with such obligations could harm our business and expose us to liability.</w:t>
      </w:r>
    </w:p>
    <w:p>
      <w:pPr>
        <w:spacing w:after="0" w:line="103" w:lineRule="exact"/>
        <w:rPr>
          <w:rFonts w:ascii="Arial" w:cs="Arial" w:eastAsia="Arial" w:hAnsi="Arial"/>
          <w:sz w:val="18"/>
          <w:szCs w:val="18"/>
          <w:color w:val="auto"/>
        </w:rPr>
      </w:pPr>
    </w:p>
    <w:p>
      <w:pPr>
        <w:ind w:left="340" w:right="40" w:hanging="332"/>
        <w:spacing w:after="0" w:line="28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pacing w:after="0" w:line="71" w:lineRule="exact"/>
        <w:rPr>
          <w:rFonts w:ascii="Arial" w:cs="Arial" w:eastAsia="Arial" w:hAnsi="Arial"/>
          <w:sz w:val="18"/>
          <w:szCs w:val="18"/>
          <w:color w:val="auto"/>
        </w:rPr>
      </w:pPr>
    </w:p>
    <w:p>
      <w:pPr>
        <w:ind w:left="340" w:hanging="332"/>
        <w:spacing w:after="0" w:line="259"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multiple class structure of our common stock and the ownership of substantially all of our LT10 and LT50 common stock by holders through a trust agreement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our Executive Committee of our Board of Directors (the "Executive Committee").</w:t>
      </w:r>
    </w:p>
    <w:p>
      <w:pPr>
        <w:spacing w:after="0" w:line="111" w:lineRule="exact"/>
        <w:rPr>
          <w:rFonts w:ascii="Arial" w:cs="Arial" w:eastAsia="Arial" w:hAnsi="Arial"/>
          <w:sz w:val="18"/>
          <w:szCs w:val="18"/>
          <w:color w:val="auto"/>
        </w:rPr>
      </w:pPr>
    </w:p>
    <w:p>
      <w:pPr>
        <w:ind w:left="340" w:right="220" w:hanging="332"/>
        <w:spacing w:after="0" w:line="28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successfully implement our growth strategies on a timely basis or at all. Even if we are successful, if we fail to effectively manage our growth, our business and results of operations could be harmed.</w:t>
      </w:r>
    </w:p>
    <w:p>
      <w:pPr>
        <w:spacing w:after="0" w:line="85" w:lineRule="exact"/>
        <w:rPr>
          <w:rFonts w:ascii="Arial" w:cs="Arial" w:eastAsia="Arial" w:hAnsi="Arial"/>
          <w:sz w:val="18"/>
          <w:szCs w:val="18"/>
          <w:color w:val="auto"/>
        </w:rPr>
      </w:pPr>
    </w:p>
    <w:p>
      <w:pPr>
        <w:ind w:left="340" w:right="660" w:hanging="332"/>
        <w:spacing w:after="0" w:line="28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culture has contributed to our success, and if we cannot maintain this culture as we grow, we could lose the high employee engagement fostered by our culture,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OVERVIEW</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Expensify is a leading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over 1.7 billion expense transactions on our platform as of December 31, 2024, freeing people to spend less time managing expenses and more time doing the things they love. For the quarter ended December 31, 2024, an average of 687,000 paid members across an average of 47,600 companies and over 200 countries and territories used Expensify to make money easy.</w:t>
      </w:r>
    </w:p>
    <w:p>
      <w:pPr>
        <w:spacing w:after="0" w:line="10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Small and medium-sized businesses (“SMBs”) are the cornerstone of the global economy, making up almost all businesses and the majority of employment in Organisation for Economic Co-operation and Development ("OECD") member countries. Despite their significance to the global economy, the vast majority of SMBs still rely on manual, inefficient processes to manage the critical back office functions that power their businesses every day. Expense management, which refers to the collection, processing, auditing and reimbursement of employee expenses, is one of the last great holdouts of paper-based back office processes, with employees stuffing actual physical receipts into an envelope and handing it to their accountant. As SMBs seek to modernize back office functions like expense management to better compete in today’s digital economy, we believe they will look for comprehensive technologies that are easy to discover, implement, purchase, manage and use. At the same time, individual employees are becoming a powerful source of change as they increasingly expect to bring their own choice of technology into the workplace.</w:t>
      </w:r>
    </w:p>
    <w:p>
      <w:pPr>
        <w:spacing w:after="0" w:line="11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Since the beginning of Expensify, our guiding principle has been improving the experience of the actual end users of expense management software: everyday employees. We designed Expensify to be easy to set up, integrate, configure and use from almost any device, which has enabled us to serve employees of all types and organizations of all sizes, industries and geographies. Our first breakthrough was revolutionizing receipt tracking with our patented scanning technology, SmartScan, which allows anyone to simply take a photo of any receipt</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no matter the currency or quality of handwriting – for fast, automatic and accurate transcription of a receipt with just one tap. After removing the need for people to keep a pocket full of crumbled receipts and spend hours manually tracking expenses, we moved on to automating the entire expense journey, from the initial receipt scan all the way through to categorization, expense approval, reconciliation and next-day reimbursement. Since then, we have expanded our platform to include features that help businesses manage corporate credit cards, generate and send invoices, pay bills, collect payments and book travel, all from our single, easy-to-use mobile application. We intend to continue adding complementary features to retain and add value to existing customers and attract new members.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intense focus on improving the everyday experience of regular employees with an easy-to-use but powerful platform has enabled a viral, bottom-up business model that is capital efficient and extremely scalable. By allowing people to spend less time managing receipts and more time pursuing their real goals, our members have adopted, championed and spread Expensify to their colleagues, managers and friends. We believe our happy members are the best form of marketing, and our self-service, bottom-up approach takes advantage of strong, organic word-of-mouth adoption.</w:t>
      </w:r>
    </w:p>
    <w:p>
      <w:pPr>
        <w:spacing w:after="0" w:line="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Behind our platform is a company with passionate people and a unique culture that guides everything we do. Our company operates with a flat, generalist organizational structure united by a robust set of common values that foster the long-term happiness and retention of our employees. The efficiency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business model allows us to prioritize attracting, retaining and inspiring talented, ambitious and humble people committed to a long-term vision. We are a team that likes to solve real problems, and though expense reports are problematic for most people, there are other pressing problems facing our world that we want to also help solve.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OUR INDUSTRY</w:t>
      </w:r>
    </w:p>
    <w:p>
      <w:pPr>
        <w:spacing w:after="0" w:line="1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Given their size, SMBs typically have one person overseeing the discovery and implementation of new systems, a responsibility that is often in addition to their core job function. As a result, SMBs have specific requirements when adopting new technologies:</w:t>
      </w:r>
    </w:p>
    <w:p>
      <w:pPr>
        <w:spacing w:after="0" w:line="85" w:lineRule="exact"/>
        <w:rPr>
          <w:sz w:val="20"/>
          <w:szCs w:val="20"/>
          <w:color w:val="auto"/>
        </w:rPr>
      </w:pPr>
    </w:p>
    <w:p>
      <w:pPr>
        <w:ind w:left="340" w:right="30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discover. </w:t>
      </w:r>
      <w:r>
        <w:rPr>
          <w:rFonts w:ascii="Arial" w:cs="Arial" w:eastAsia="Arial" w:hAnsi="Arial"/>
          <w:sz w:val="18"/>
          <w:szCs w:val="18"/>
          <w:color w:val="auto"/>
        </w:rPr>
        <w:t>With job responsibilities spanning multiple functions, SMBs do not have the bandwidth and expertise to discover,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 with and evaluate several technology vendors. As such, SMBs increasingly rely on online channels for finding new technologies and heavily consider recommendations from experts, friends and colleagues.</w:t>
      </w:r>
    </w:p>
    <w:p>
      <w:pPr>
        <w:spacing w:after="0" w:line="89"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implement. </w:t>
      </w:r>
      <w:r>
        <w:rPr>
          <w:rFonts w:ascii="Arial" w:cs="Arial" w:eastAsia="Arial" w:hAnsi="Arial"/>
          <w:sz w:val="18"/>
          <w:szCs w:val="18"/>
          <w:color w:val="auto"/>
        </w:rPr>
        <w:t>IT departments within SMBs are often one person or the business owner themselves, and are incapable of taking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away from their business to support cumbersome implementation, maintenance and training requirements. As a result, SMBs prefer solutions that are easy to implement, onboard and integrate and that require little ongoing maintenance.</w:t>
      </w:r>
    </w:p>
    <w:p>
      <w:pPr>
        <w:spacing w:after="0" w:line="103" w:lineRule="exact"/>
        <w:rPr>
          <w:rFonts w:ascii="Arial" w:cs="Arial" w:eastAsia="Arial" w:hAnsi="Arial"/>
          <w:sz w:val="18"/>
          <w:szCs w:val="18"/>
          <w:color w:val="auto"/>
        </w:rPr>
      </w:pPr>
    </w:p>
    <w:p>
      <w:pPr>
        <w:ind w:left="340" w:right="380" w:hanging="332"/>
        <w:spacing w:after="0" w:line="28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purchase. </w:t>
      </w:r>
      <w:r>
        <w:rPr>
          <w:rFonts w:ascii="Arial" w:cs="Arial" w:eastAsia="Arial" w:hAnsi="Arial"/>
          <w:sz w:val="18"/>
          <w:szCs w:val="18"/>
          <w:color w:val="auto"/>
        </w:rPr>
        <w:t>With no procurement department and limited resources, the individuals making the purchasing decision at SMBs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often prefer vendors with transparent, self-service monthly subscription plans that can be paid by credit card.</w:t>
      </w:r>
    </w:p>
    <w:p>
      <w:pPr>
        <w:spacing w:after="0" w:line="85" w:lineRule="exact"/>
        <w:rPr>
          <w:rFonts w:ascii="Arial" w:cs="Arial" w:eastAsia="Arial" w:hAnsi="Arial"/>
          <w:sz w:val="18"/>
          <w:szCs w:val="18"/>
          <w:color w:val="auto"/>
        </w:rPr>
      </w:pPr>
    </w:p>
    <w:p>
      <w:pPr>
        <w:ind w:left="340" w:right="160" w:hanging="332"/>
        <w:spacing w:after="0" w:line="28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manage. </w:t>
      </w:r>
      <w:r>
        <w:rPr>
          <w:rFonts w:ascii="Arial" w:cs="Arial" w:eastAsia="Arial" w:hAnsi="Arial"/>
          <w:sz w:val="18"/>
          <w:szCs w:val="18"/>
          <w:color w:val="auto"/>
        </w:rPr>
        <w:t>Unlike large enterprises, which often require multiple, customized point solutions for specialized business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SMBs prefer a single, comprehensive platform from one provider that can solve multiple pain points.</w:t>
      </w:r>
    </w:p>
    <w:p>
      <w:pPr>
        <w:spacing w:after="0" w:line="71"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Many SMBs prioritize ease of use and convenience over cost and seek solutions with elegant, intuitive user experiences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require no training or expertise to operate.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short, SMBs look for “easy money” 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OUR APPROACH</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Since our founding, we have taken a unique approach to expense management built on key, complementary elements:</w:t>
      </w:r>
    </w:p>
    <w:p>
      <w:pPr>
        <w:spacing w:after="0" w:line="158" w:lineRule="exact"/>
        <w:rPr>
          <w:sz w:val="20"/>
          <w:szCs w:val="20"/>
          <w:color w:val="auto"/>
        </w:rPr>
      </w:pPr>
    </w:p>
    <w:p>
      <w:pPr>
        <w:ind w:left="340" w:right="100" w:hanging="332"/>
        <w:spacing w:after="0" w:line="25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Platform strategy hyper-focused on the employee. </w:t>
      </w:r>
      <w:r>
        <w:rPr>
          <w:rFonts w:ascii="Arial" w:cs="Arial" w:eastAsia="Arial" w:hAnsi="Arial"/>
          <w:sz w:val="18"/>
          <w:szCs w:val="18"/>
          <w:color w:val="auto"/>
        </w:rPr>
        <w:t>We designed Expensify to be easily configured and used by every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within an organization, not just decision makers or managers. Expensify is a highly integrated mobile platform with many features designed to make our members’ lives easier, simple enough for freelancers and small businesses, and powerful enough for large enterprises with tens of thousands of employees. Our product development is compounding and driven by member feedback, with every new feature making every past feature a little bit better, as well as methodically laying a strategic foundation for features yet to come.</w:t>
      </w:r>
    </w:p>
    <w:p>
      <w:pPr>
        <w:spacing w:after="0" w:line="114" w:lineRule="exact"/>
        <w:rPr>
          <w:rFonts w:ascii="Arial" w:cs="Arial" w:eastAsia="Arial" w:hAnsi="Arial"/>
          <w:sz w:val="18"/>
          <w:szCs w:val="18"/>
          <w:color w:val="auto"/>
        </w:rPr>
      </w:pPr>
    </w:p>
    <w:p>
      <w:pPr>
        <w:ind w:left="340" w:hanging="332"/>
        <w:spacing w:after="0" w:line="25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Viral, bottom-up business model driven by the employee. </w:t>
      </w:r>
      <w:r>
        <w:rPr>
          <w:rFonts w:ascii="Arial" w:cs="Arial" w:eastAsia="Arial" w:hAnsi="Arial"/>
          <w:sz w:val="18"/>
          <w:szCs w:val="18"/>
          <w:color w:val="auto"/>
        </w:rPr>
        <w:t>Our employee-focused platform strategy enables a viral, bottom-up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adoption cycle that starts with an individual employee. After signing up for free on the website or downloading our free app to submit expenses and realizing the benefits of using Expensify, our enthusiastic members champion our platform internally, spreading it via word-of-mouth to other employees and convincing decision makers to adopt Expensify company-wide. This enables us to focus our time and resources on making our features better for our members, and avoid the reliance on a costly, traditional top-down sales and marketing approach to attract and retain customers.</w:t>
      </w:r>
    </w:p>
    <w:p>
      <w:pPr>
        <w:spacing w:after="0" w:line="101" w:lineRule="exact"/>
        <w:rPr>
          <w:rFonts w:ascii="Arial" w:cs="Arial" w:eastAsia="Arial" w:hAnsi="Arial"/>
          <w:sz w:val="18"/>
          <w:szCs w:val="18"/>
          <w:color w:val="auto"/>
        </w:rPr>
      </w:pPr>
    </w:p>
    <w:p>
      <w:pPr>
        <w:ind w:left="340" w:right="360" w:hanging="332"/>
        <w:spacing w:after="0" w:line="287"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Word-of-mouth adoption supported by a market consensus approach. </w:t>
      </w:r>
      <w:r>
        <w:rPr>
          <w:rFonts w:ascii="Arial" w:cs="Arial" w:eastAsia="Arial" w:hAnsi="Arial"/>
          <w:sz w:val="18"/>
          <w:szCs w:val="18"/>
          <w:color w:val="auto"/>
        </w:rPr>
        <w:t>We believe that our happy members are the best form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We strive to build a superior platform that makes the lives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employees and admins easier so that they become our champions and promote us to other individuals and organizations. We deploy large scale brand advertising to build on this platform superiority and help create market consensus that Expensify is the category leader for expense management software. We believe this enables us to focus on creating great features for our members rather than rely on the expensive and ineffective activities of traditional sales and marketing to drive customer acquisition.</w:t>
      </w:r>
    </w:p>
    <w:p>
      <w:pPr>
        <w:spacing w:after="0" w:line="95" w:lineRule="exact"/>
        <w:rPr>
          <w:sz w:val="20"/>
          <w:szCs w:val="20"/>
          <w:color w:val="auto"/>
        </w:rPr>
      </w:pPr>
    </w:p>
    <w:p>
      <w:pPr>
        <w:ind w:left="340" w:right="40" w:hanging="332"/>
        <w:spacing w:after="0" w:line="262"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Unique company culture and long-term vision. </w:t>
      </w:r>
      <w:r>
        <w:rPr>
          <w:rFonts w:ascii="Arial" w:cs="Arial" w:eastAsia="Arial" w:hAnsi="Arial"/>
          <w:sz w:val="18"/>
          <w:szCs w:val="18"/>
          <w:color w:val="auto"/>
        </w:rPr>
        <w:t>Our platform strategy and business model are complemented by our unique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culture and intense focus on the long-term happiness of our employees. Our organization is flat, generalist, transparent and inclusive, and we value ideas from every corner of our company, no matter who or where it comes from. We believe our special culture and the long-term commitment from our employees are key drivers to our success.</w:t>
      </w:r>
    </w:p>
    <w:p>
      <w:pPr>
        <w:spacing w:after="0" w:line="10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We believe that these elements of our approach are hard to replicate, self-reinforcing and work together to drive a powerful competitive advantage.</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Our Platform Strategy</w:t>
      </w:r>
    </w:p>
    <w:p>
      <w:pPr>
        <w:spacing w:after="0" w:line="1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Expensify is a leading cloud-based expense management software platform that allows any business to simplify how it manages expenses. We built our platform to be intuitive and easy to deploy, with powerful features that increase our network effect within and between companies. This helps us reach more potential members and expand our value by solving more pain points for our customers. While our core features enable businesses to easily manage expenses, our platform includes features for managing corporate cards, paying bills, generating invoices, collecting payments and booking travel. Our platform strategy centers around the following key concepts:</w:t>
      </w:r>
    </w:p>
    <w:p>
      <w:pPr>
        <w:spacing w:after="0" w:line="112" w:lineRule="exact"/>
        <w:rPr>
          <w:sz w:val="20"/>
          <w:szCs w:val="20"/>
          <w:color w:val="auto"/>
        </w:rPr>
      </w:pPr>
    </w:p>
    <w:p>
      <w:pPr>
        <w:ind w:left="340" w:right="20" w:hanging="332"/>
        <w:spacing w:after="0" w:line="25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for everyone. </w:t>
      </w:r>
      <w:r>
        <w:rPr>
          <w:rFonts w:ascii="Arial" w:cs="Arial" w:eastAsia="Arial" w:hAnsi="Arial"/>
          <w:sz w:val="18"/>
          <w:szCs w:val="18"/>
          <w:color w:val="auto"/>
        </w:rPr>
        <w:t>We designed our platform to be used by everyone in an organization, from employees to managers to the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We offer an intuitive, elegant user interface that everyday employees can easily understand and operate from almost any device. We deliver guided workflows for administrators to accurately and quickly approve expenses in accordance with their unique company policies. Our platform is simple enough for SMBs, but powerful features can be enabled for use across enterprises with tens of thousands of employees. We believe that the more intuitive and simple Expensify is, the more employees and administrators will want to use it.</w:t>
      </w:r>
    </w:p>
    <w:p>
      <w:pPr>
        <w:spacing w:after="0" w:line="101" w:lineRule="exact"/>
        <w:rPr>
          <w:rFonts w:ascii="Arial" w:cs="Arial" w:eastAsia="Arial" w:hAnsi="Arial"/>
          <w:sz w:val="18"/>
          <w:szCs w:val="18"/>
          <w:color w:val="auto"/>
        </w:rPr>
      </w:pPr>
    </w:p>
    <w:p>
      <w:pPr>
        <w:ind w:left="340" w:right="20" w:hanging="332"/>
        <w:spacing w:after="0" w:line="25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set up. </w:t>
      </w:r>
      <w:r>
        <w:rPr>
          <w:rFonts w:ascii="Arial" w:cs="Arial" w:eastAsia="Arial" w:hAnsi="Arial"/>
          <w:sz w:val="18"/>
          <w:szCs w:val="18"/>
          <w:color w:val="auto"/>
        </w:rPr>
        <w:t>We designed our platform to be easily implemented and configured without the need to speak with a sales person.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can download our free application from mobile app stores or sign up on the website, create an account and start submitting expenses within minutes. When an expense report is submitted, the manager who receives it also automatically becomes a member. Concierge, our proprietary AI-powered customer support engine, helps new members set up an account, connect teammates, assign company policies and immediately sync Expensify with existing accounting, HR and travel systems. We believe that making our platform easily accessible, simple to set up and easily configurable attracts more members to download and try Expensify.</w:t>
      </w:r>
    </w:p>
    <w:p>
      <w:pPr>
        <w:spacing w:after="0" w:line="114" w:lineRule="exact"/>
        <w:rPr>
          <w:rFonts w:ascii="Arial" w:cs="Arial" w:eastAsia="Arial" w:hAnsi="Arial"/>
          <w:sz w:val="18"/>
          <w:szCs w:val="18"/>
          <w:color w:val="auto"/>
        </w:rPr>
      </w:pPr>
    </w:p>
    <w:p>
      <w:pPr>
        <w:ind w:left="340" w:right="80" w:hanging="332"/>
        <w:spacing w:after="0" w:line="25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Designed to improve experiences for all members. </w:t>
      </w:r>
      <w:r>
        <w:rPr>
          <w:rFonts w:ascii="Arial" w:cs="Arial" w:eastAsia="Arial" w:hAnsi="Arial"/>
          <w:sz w:val="18"/>
          <w:szCs w:val="18"/>
          <w:color w:val="auto"/>
        </w:rPr>
        <w:t>We designed our platform to leverage leading technology, such as our patented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SmartScan and our proprietary AI-powered customer support engine, Concierge, to automate and reduce errors from the cumbersome, manual tasks associated with managing expenses. By doing so, we give employees, contractors and administrators in businesses of all shapes and sizes more time to spend on things they care about, leading to improved costs, enhanced productivity and higher job satisfaction. We believe that always having the pain points of our members at the center of every technology decision and feature we develop enables us to consistently deliver an improved experience for every employee in an organization.</w:t>
      </w:r>
    </w:p>
    <w:p>
      <w:pPr>
        <w:spacing w:after="0" w:line="114" w:lineRule="exact"/>
        <w:rPr>
          <w:rFonts w:ascii="Arial" w:cs="Arial" w:eastAsia="Arial" w:hAnsi="Arial"/>
          <w:sz w:val="18"/>
          <w:szCs w:val="18"/>
          <w:color w:val="auto"/>
        </w:rPr>
      </w:pPr>
    </w:p>
    <w:p>
      <w:pPr>
        <w:ind w:left="340" w:right="340" w:hanging="332"/>
        <w:spacing w:after="0" w:line="291"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One platform, many features. </w:t>
      </w:r>
      <w:r>
        <w:rPr>
          <w:rFonts w:ascii="Arial" w:cs="Arial" w:eastAsia="Arial" w:hAnsi="Arial"/>
          <w:sz w:val="17"/>
          <w:szCs w:val="17"/>
          <w:color w:val="auto"/>
        </w:rPr>
        <w:t>Expensify is one platform, with one price that unlocks access to every feature on the platform,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management to bill payment. Our features are just different configurations of the same underlying tool, and are not different products in some kind of combined suite. We develop our features in a compounding manner, which means that everything we build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right="120"/>
        <w:spacing w:after="0" w:line="287" w:lineRule="auto"/>
        <w:rPr>
          <w:sz w:val="20"/>
          <w:szCs w:val="20"/>
          <w:color w:val="auto"/>
        </w:rPr>
      </w:pPr>
      <w:r>
        <w:rPr>
          <w:rFonts w:ascii="Arial" w:cs="Arial" w:eastAsia="Arial" w:hAnsi="Arial"/>
          <w:sz w:val="18"/>
          <w:szCs w:val="18"/>
          <w:color w:val="auto"/>
        </w:rPr>
        <w:t>improves everything we've already built, and lays a foundation for what we will build next. This enables increasingly rapid deployment of new features that solve other problems for our members and allows us to extend the network effect of our platform.</w:t>
      </w:r>
    </w:p>
    <w:p>
      <w:pPr>
        <w:spacing w:after="0" w:line="72" w:lineRule="exact"/>
        <w:rPr>
          <w:sz w:val="20"/>
          <w:szCs w:val="20"/>
          <w:color w:val="auto"/>
        </w:rPr>
      </w:pPr>
    </w:p>
    <w:p>
      <w:pPr>
        <w:ind w:left="340" w:hanging="332"/>
        <w:spacing w:after="0" w:line="262"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integrated. </w:t>
      </w:r>
      <w:r>
        <w:rPr>
          <w:rFonts w:ascii="Arial" w:cs="Arial" w:eastAsia="Arial" w:hAnsi="Arial"/>
          <w:sz w:val="18"/>
          <w:szCs w:val="18"/>
          <w:color w:val="auto"/>
        </w:rPr>
        <w:t>We designed our platform to easily integrate with other business and consumer applications. We offer over 50 pre-built integrations, allowing Expensify to seamlessly connect with accounting and HR systems, travel management software, business and employee bank accounts and credit cards. These integrations enable our members to synchronize data in real-time across their technology ecosystem and automate expense management with the applications and tools they use every day.</w:t>
      </w:r>
    </w:p>
    <w:p>
      <w:pPr>
        <w:spacing w:after="0" w:line="10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believe that elements of our platform strategy are a critical driver of the viral, widespread adoption of Expensify across and between any type of organization.</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Our Business Model</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platform strategy enables a viral bottom-up business model that is capital efficient and extremely scalable. Anyone can easily download our mobile application or go to our website to sign up for free on their own, and later upgrade to a paid subscription for advanced features. The adoption of Expensify within an organization often starts with the individual employee, who downloads our mobile application or signs up on our website for free and uses it to easily submit expenses to their manager with a few taps. After the employee realizes the benefits of our platform, they become a champion of Expensify and often spread it internally to other employees. With multiple employees using Expensify and valuable features simplifying the manager’s job, the decision maker purchases a subscription to Expensify and becomes a paying customer with a few members. Our usage within an organization expands further as the company adds members and adopts new features such as the Expensify Visa® Commercial Card ("Expensify Card"), Expensify Travel or Bill Pay.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offer simple, transparent and flexible subscription plans for both individuals and businesses that are completely self-service and payable by credit card. Rather than the traditional software sales model of complex pricing, user thresholds and inconsistent fees, we designed our pricing plans to facilitate the easy adoption of our platform by the smallest mom-and-pop stores to the largest and most complex organizations. Purchasers can select a transparent plan with features that best suit their specific needs, all without interacting with a sales representative or paying hidden costs for implementation, maintenance, or support.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individual subscriptions include our </w:t>
      </w:r>
      <w:r>
        <w:rPr>
          <w:rFonts w:ascii="Arial" w:cs="Arial" w:eastAsia="Arial" w:hAnsi="Arial"/>
          <w:sz w:val="18"/>
          <w:szCs w:val="18"/>
          <w:i w:val="1"/>
          <w:iCs w:val="1"/>
          <w:color w:val="auto"/>
        </w:rPr>
        <w:t>Track</w:t>
      </w:r>
      <w:r>
        <w:rPr>
          <w:rFonts w:ascii="Arial" w:cs="Arial" w:eastAsia="Arial" w:hAnsi="Arial"/>
          <w:sz w:val="18"/>
          <w:szCs w:val="18"/>
          <w:color w:val="auto"/>
        </w:rPr>
        <w:t xml:space="preserve"> and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 which include an optional paid monthly upgrade for anyone wishing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SmartScan more than 25 receipts in a given month:</w:t>
      </w:r>
    </w:p>
    <w:p>
      <w:pPr>
        <w:spacing w:after="0" w:line="14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Free Plans </w:t>
      </w:r>
      <w:r>
        <w:rPr>
          <w:rFonts w:ascii="Arial" w:cs="Arial" w:eastAsia="Arial" w:hAnsi="Arial"/>
          <w:sz w:val="18"/>
          <w:szCs w:val="18"/>
          <w:color w:val="auto"/>
        </w:rPr>
        <w:t>(Optional upgrade for unlimited SmartScan)</w:t>
      </w:r>
    </w:p>
    <w:p>
      <w:pPr>
        <w:spacing w:after="0" w:line="157" w:lineRule="exact"/>
        <w:rPr>
          <w:rFonts w:ascii="Arial" w:cs="Arial" w:eastAsia="Arial" w:hAnsi="Arial"/>
          <w:sz w:val="18"/>
          <w:szCs w:val="18"/>
          <w:color w:val="auto"/>
        </w:rPr>
      </w:pPr>
    </w:p>
    <w:p>
      <w:pPr>
        <w:ind w:left="980" w:right="20" w:hanging="324"/>
        <w:spacing w:after="0" w:line="287"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Track. </w:t>
      </w:r>
      <w:r>
        <w:rPr>
          <w:rFonts w:ascii="Arial" w:cs="Arial" w:eastAsia="Arial" w:hAnsi="Arial"/>
          <w:sz w:val="18"/>
          <w:szCs w:val="18"/>
          <w:color w:val="auto"/>
        </w:rPr>
        <w:t>Our free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comes with our SmartScan receipt scanning functionality and is used primarily by individuals and sole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proprietors to streamline their receipt and mileage tracking.</w:t>
      </w:r>
    </w:p>
    <w:p>
      <w:pPr>
        <w:spacing w:after="0" w:line="71" w:lineRule="exact"/>
        <w:rPr>
          <w:rFonts w:ascii="Arial" w:cs="Arial" w:eastAsia="Arial" w:hAnsi="Arial"/>
          <w:sz w:val="18"/>
          <w:szCs w:val="18"/>
          <w:color w:val="auto"/>
        </w:rPr>
      </w:pPr>
    </w:p>
    <w:p>
      <w:pPr>
        <w:ind w:left="980" w:right="80" w:hanging="324"/>
        <w:spacing w:after="0" w:line="287" w:lineRule="auto"/>
        <w:tabs>
          <w:tab w:leader="none" w:pos="976"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Submit. </w:t>
      </w:r>
      <w:r>
        <w:rPr>
          <w:rFonts w:ascii="Arial" w:cs="Arial" w:eastAsia="Arial" w:hAnsi="Arial"/>
          <w:sz w:val="18"/>
          <w:szCs w:val="18"/>
          <w:color w:val="auto"/>
        </w:rPr>
        <w:t>Our free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Submit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includes the same functionality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Track</w:t>
      </w:r>
      <w:r>
        <w:rPr>
          <w:rFonts w:ascii="Arial" w:cs="Arial" w:eastAsia="Arial" w:hAnsi="Arial"/>
          <w:sz w:val="18"/>
          <w:szCs w:val="18"/>
          <w:color w:val="auto"/>
        </w:rPr>
        <w:t>, and also adds the ability to automatically submit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reports to anyone for reimbursement.</w:t>
      </w:r>
    </w:p>
    <w:p>
      <w:pPr>
        <w:spacing w:after="0" w:line="8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Our business subscriptions can be used by teams, organizations, and companies on one of our paid plans, which include our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Control </w:t>
      </w:r>
      <w:r>
        <w:rPr>
          <w:rFonts w:ascii="Arial" w:cs="Arial" w:eastAsia="Arial" w:hAnsi="Arial"/>
          <w:sz w:val="18"/>
          <w:szCs w:val="18"/>
          <w:color w:val="auto"/>
        </w:rPr>
        <w:t>plans, following a free trial. We bill customers on</w:t>
      </w:r>
      <w:r>
        <w:rPr>
          <w:rFonts w:ascii="Arial" w:cs="Arial" w:eastAsia="Arial" w:hAnsi="Arial"/>
          <w:sz w:val="18"/>
          <w:szCs w:val="18"/>
          <w:i w:val="1"/>
          <w:iCs w:val="1"/>
          <w:color w:val="auto"/>
        </w:rPr>
        <w:t xml:space="preserve"> Collect </w:t>
      </w:r>
      <w:r>
        <w:rPr>
          <w:rFonts w:ascii="Arial" w:cs="Arial" w:eastAsia="Arial" w:hAnsi="Arial"/>
          <w:sz w:val="18"/>
          <w:szCs w:val="18"/>
          <w:color w:val="auto"/>
        </w:rPr>
        <w:t>and</w:t>
      </w:r>
      <w:r>
        <w:rPr>
          <w:rFonts w:ascii="Arial" w:cs="Arial" w:eastAsia="Arial" w:hAnsi="Arial"/>
          <w:sz w:val="18"/>
          <w:szCs w:val="18"/>
          <w:i w:val="1"/>
          <w:iCs w:val="1"/>
          <w:color w:val="auto"/>
        </w:rPr>
        <w:t xml:space="preserve"> Control </w:t>
      </w:r>
      <w:r>
        <w:rPr>
          <w:rFonts w:ascii="Arial" w:cs="Arial" w:eastAsia="Arial" w:hAnsi="Arial"/>
          <w:sz w:val="18"/>
          <w:szCs w:val="18"/>
          <w:color w:val="auto"/>
        </w:rPr>
        <w:t>plans at the start of each month based on the number of policy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who were active in the previous month. Each customer has either a "pay per use" plan in which they are billed a flat rate for each active member, or an "annual" plan where they commit to a minimum number of monthly seats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exchange for a discount.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and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customers can access additional discounts if they spend on the Expensify Card:</w:t>
      </w:r>
    </w:p>
    <w:p>
      <w:pPr>
        <w:spacing w:after="0" w:line="144"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Paid Plans</w:t>
      </w:r>
    </w:p>
    <w:p>
      <w:pPr>
        <w:spacing w:after="0" w:line="157" w:lineRule="exact"/>
        <w:rPr>
          <w:rFonts w:ascii="Arial" w:cs="Arial" w:eastAsia="Arial" w:hAnsi="Arial"/>
          <w:sz w:val="18"/>
          <w:szCs w:val="18"/>
          <w:b w:val="1"/>
          <w:bCs w:val="1"/>
          <w:color w:val="auto"/>
        </w:rPr>
      </w:pPr>
    </w:p>
    <w:p>
      <w:pPr>
        <w:ind w:left="980" w:right="240" w:hanging="324"/>
        <w:spacing w:after="0" w:line="268"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enables our members to integrate with popular small business accounting systems, configure simple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report approval workflows, as well as pay employees, contractors and volunteers via Direct Deposit ACH or internationally via Global Reimbursements.</w:t>
      </w:r>
    </w:p>
    <w:p>
      <w:pPr>
        <w:spacing w:after="0" w:line="103" w:lineRule="exact"/>
        <w:rPr>
          <w:rFonts w:ascii="Arial" w:cs="Arial" w:eastAsia="Arial" w:hAnsi="Arial"/>
          <w:sz w:val="18"/>
          <w:szCs w:val="18"/>
          <w:color w:val="auto"/>
        </w:rPr>
      </w:pPr>
    </w:p>
    <w:p>
      <w:pPr>
        <w:ind w:left="980" w:hanging="324"/>
        <w:spacing w:after="0" w:line="268"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which is by far our most popular plan, includes everything in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Collect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adds the ability to configure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rules-based approval workflows and integrate with financial, travel, HR, as well as other internal systems commonly used by mid-market and enterprise companies.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also leverage partnerships with accounting and bookkeeping firms, who provide validation of our platform and refer customers to us. We partner with strategic accounting software partners such as Intuit, NetSuite, Xero and Sage Intacct to integrate our software in their clients’ back offices, and recognize us as a top expense tool when their clients are browsing and selecting integrated solutions. Additionally, our </w:t>
      </w:r>
      <w:r>
        <w:rPr>
          <w:rFonts w:ascii="Arial" w:cs="Arial" w:eastAsia="Arial" w:hAnsi="Arial"/>
          <w:sz w:val="18"/>
          <w:szCs w:val="18"/>
          <w:i w:val="1"/>
          <w:iCs w:val="1"/>
          <w:color w:val="auto"/>
        </w:rPr>
        <w:t xml:space="preserve">ExpensifyApproved! </w:t>
      </w:r>
      <w:r>
        <w:rPr>
          <w:rFonts w:ascii="Arial" w:cs="Arial" w:eastAsia="Arial" w:hAnsi="Arial"/>
          <w:sz w:val="18"/>
          <w:szCs w:val="18"/>
          <w:color w:val="auto"/>
        </w:rPr>
        <w:t>Partner Program trains and supports accountants to use our platform and encourages their customers to use Expensify.</w:t>
      </w:r>
      <w:r>
        <w:rPr>
          <w:rFonts w:ascii="Arial" w:cs="Arial" w:eastAsia="Arial" w:hAnsi="Arial"/>
          <w:sz w:val="18"/>
          <w:szCs w:val="18"/>
          <w:i w:val="1"/>
          <w:iCs w:val="1"/>
          <w:color w:val="auto"/>
        </w:rPr>
        <w:t xml:space="preserve"> </w:t>
      </w:r>
      <w:r>
        <w:rPr>
          <w:rFonts w:ascii="Arial" w:cs="Arial" w:eastAsia="Arial" w:hAnsi="Arial"/>
          <w:sz w:val="18"/>
          <w:szCs w:val="18"/>
          <w:color w:val="auto"/>
        </w:rPr>
        <w:t>We work hard to maintain top expense partner status with all partners to support our market consensus strategy.</w:t>
      </w:r>
    </w:p>
    <w:p>
      <w:pPr>
        <w:spacing w:after="0" w:line="96"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Our Growth Strategies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We intend to drive the growth of our business by executing on the following strategies:</w:t>
      </w:r>
    </w:p>
    <w:p>
      <w:pPr>
        <w:spacing w:after="0" w:line="158" w:lineRule="exact"/>
        <w:rPr>
          <w:sz w:val="20"/>
          <w:szCs w:val="20"/>
          <w:color w:val="auto"/>
        </w:rPr>
      </w:pPr>
    </w:p>
    <w:p>
      <w:pPr>
        <w:ind w:left="340" w:right="120" w:hanging="332"/>
        <w:spacing w:after="0" w:line="259"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create additional value for existing members. </w:t>
      </w:r>
      <w:r>
        <w:rPr>
          <w:rFonts w:ascii="Arial" w:cs="Arial" w:eastAsia="Arial" w:hAnsi="Arial"/>
          <w:sz w:val="18"/>
          <w:szCs w:val="18"/>
          <w:color w:val="auto"/>
        </w:rPr>
        <w:t>Our word-of-mouth model works well because people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genuinely enjoy using Expensify. We intend to continue to invest in building features that increase the value our software delivers to our existing members. Our flat, generalist and democratic structure cultivates a diversity of ideas from every single one of our employees, which enables an efficient, scalable and rigorous product development process. By efficiently investing in new features that prioritize the needs of our members, we can continue to retain existing members and attract new members via word-of-mouth;</w:t>
      </w:r>
    </w:p>
    <w:p>
      <w:pPr>
        <w:spacing w:after="0" w:line="111" w:lineRule="exact"/>
        <w:rPr>
          <w:rFonts w:ascii="Arial" w:cs="Arial" w:eastAsia="Arial" w:hAnsi="Arial"/>
          <w:sz w:val="18"/>
          <w:szCs w:val="18"/>
          <w:color w:val="auto"/>
        </w:rPr>
      </w:pPr>
    </w:p>
    <w:p>
      <w:pPr>
        <w:ind w:left="340" w:right="200" w:hanging="332"/>
        <w:spacing w:after="0" w:line="25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new features that attract new members beyond employees who submit expenses. </w:t>
      </w:r>
      <w:r>
        <w:rPr>
          <w:rFonts w:ascii="Arial" w:cs="Arial" w:eastAsia="Arial" w:hAnsi="Arial"/>
          <w:sz w:val="18"/>
          <w:szCs w:val="18"/>
          <w:color w:val="auto"/>
        </w:rPr>
        <w:t>We have and will continue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developing features complementary and adjacent to expense management. At most companies, not every employee generates expenses that would be submitted via an expense report. As we add additional features that can be used by all employees rather than just those that submit expense reports, we have the potential to monetize the segment of our customers’ employees that are not submitting expense reports on a monthly basis, and increase revenue without adding more customers or raising prices. These features will enable easy financial collaboration within communities and between friends and family;</w:t>
      </w:r>
    </w:p>
    <w:p>
      <w:pPr>
        <w:spacing w:after="0" w:line="101" w:lineRule="exact"/>
        <w:rPr>
          <w:rFonts w:ascii="Arial" w:cs="Arial" w:eastAsia="Arial" w:hAnsi="Arial"/>
          <w:sz w:val="18"/>
          <w:szCs w:val="18"/>
          <w:color w:val="auto"/>
        </w:rPr>
      </w:pPr>
    </w:p>
    <w:p>
      <w:pPr>
        <w:ind w:left="340" w:right="20" w:hanging="332"/>
        <w:spacing w:after="0" w:line="255"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viral loops into our member experience that increase adoption by new customers. </w:t>
      </w:r>
      <w:r>
        <w:rPr>
          <w:rFonts w:ascii="Arial" w:cs="Arial" w:eastAsia="Arial" w:hAnsi="Arial"/>
          <w:sz w:val="18"/>
          <w:szCs w:val="18"/>
          <w:color w:val="auto"/>
        </w:rPr>
        <w:t>We design our expense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and every new feature with the aim of frictionless adoption. Individual employees download the Expensify mobile app or sign up on our website, for free, and use it to submit their expenses to their bosses – turning every expense report into a highly targeted marketing message, straight to a decision maker. Outside of expense management, we have expanded our platform and built invoicing and bill payment features with the goal of replicating the frictionless adoption of our expense management feature. By sending an invoice using Expensify, accounts receivable departments naturally promote Expensify to their clients. A company that adopts Expensify bill payment tacitly promotes Expensify to all of their vendors: any one vendor that sends a manual invoice receives an email notifying them that their invoice was converted into an Expensify invoice, and they should sign in to collect payment online. We continue to focus on maintaining and extending the virality of our features to support our viral, bottom-up business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hanging="332"/>
        <w:spacing w:after="0" w:line="28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and monetize transaction volume from existing and new customers. </w:t>
      </w:r>
      <w:r>
        <w:rPr>
          <w:rFonts w:ascii="Arial" w:cs="Arial" w:eastAsia="Arial" w:hAnsi="Arial"/>
          <w:sz w:val="18"/>
          <w:szCs w:val="18"/>
          <w:color w:val="auto"/>
        </w:rPr>
        <w:t>We intend to continue to increase the promotion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Expensify Card to both new and existing customers to drive growth in adoption;</w:t>
      </w:r>
    </w:p>
    <w:p>
      <w:pPr>
        <w:spacing w:after="0" w:line="71" w:lineRule="exact"/>
        <w:rPr>
          <w:rFonts w:ascii="Arial" w:cs="Arial" w:eastAsia="Arial" w:hAnsi="Arial"/>
          <w:sz w:val="18"/>
          <w:szCs w:val="18"/>
          <w:color w:val="auto"/>
        </w:rPr>
      </w:pPr>
    </w:p>
    <w:p>
      <w:pPr>
        <w:ind w:left="340" w:right="220" w:hanging="332"/>
        <w:spacing w:after="0" w:line="262"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Promote Expensify’s culture and values. </w:t>
      </w:r>
      <w:r>
        <w:rPr>
          <w:rFonts w:ascii="Arial" w:cs="Arial" w:eastAsia="Arial" w:hAnsi="Arial"/>
          <w:sz w:val="18"/>
          <w:szCs w:val="18"/>
          <w:color w:val="auto"/>
        </w:rPr>
        <w:t>We believe that consumers are more likely to both use and recommend products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brands they admire. By consistently acting on and vocally promoting our values, we have the ability to both drive positive change and create brand awareness that can add to the virality of our platform. We believe our company code of ethics and conduct demonstrates our culture and values, including our adherence to Environmental, Social, and Governance ("ESG") principles;</w:t>
      </w:r>
    </w:p>
    <w:p>
      <w:pPr>
        <w:spacing w:after="0" w:line="108" w:lineRule="exact"/>
        <w:rPr>
          <w:rFonts w:ascii="Arial" w:cs="Arial" w:eastAsia="Arial" w:hAnsi="Arial"/>
          <w:sz w:val="18"/>
          <w:szCs w:val="18"/>
          <w:color w:val="auto"/>
        </w:rPr>
      </w:pPr>
    </w:p>
    <w:p>
      <w:pPr>
        <w:ind w:left="340" w:right="60" w:hanging="332"/>
        <w:spacing w:after="0" w:line="278" w:lineRule="auto"/>
        <w:tabs>
          <w:tab w:leader="none" w:pos="335"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strengthen our market consensus. </w:t>
      </w:r>
      <w:r>
        <w:rPr>
          <w:rFonts w:ascii="Arial" w:cs="Arial" w:eastAsia="Arial" w:hAnsi="Arial"/>
          <w:sz w:val="17"/>
          <w:szCs w:val="17"/>
          <w:color w:val="auto"/>
        </w:rPr>
        <w:t>We have worked hard to establish and maintain Expensify as a dominant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platform for SMBs. We leverage a variety of targeted marketing strategies that involve industry conferences, industry influencers, partner marketing, our own conference and more with the goal of achieving market consensus that Expensify is the premier, industry standard expense management platform. This is essential to our viral and word-of-mouth business model. We plan to reinforce the market consensus surrounding our platform, as well as expand on these strategies across new feature verticals and markets;</w:t>
      </w:r>
    </w:p>
    <w:p>
      <w:pPr>
        <w:spacing w:after="0" w:line="96" w:lineRule="exact"/>
        <w:rPr>
          <w:rFonts w:ascii="Arial" w:cs="Arial" w:eastAsia="Arial" w:hAnsi="Arial"/>
          <w:sz w:val="17"/>
          <w:szCs w:val="17"/>
          <w:color w:val="auto"/>
        </w:rPr>
      </w:pPr>
    </w:p>
    <w:p>
      <w:pPr>
        <w:ind w:left="340" w:hanging="332"/>
        <w:spacing w:after="0" w:line="25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integrations and strengthen partnerships. </w:t>
      </w:r>
      <w:r>
        <w:rPr>
          <w:rFonts w:ascii="Arial" w:cs="Arial" w:eastAsia="Arial" w:hAnsi="Arial"/>
          <w:sz w:val="18"/>
          <w:szCs w:val="18"/>
          <w:color w:val="auto"/>
        </w:rPr>
        <w:t>Expense management touches many functions across a company. To provide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seamless experience for our customers, we integrate with the accounting, HR and travel software used by SMBs and their employees every day. We also have frictionless integrations with many of the technology providers that generate the most receipts for our members, such as Uber and Lyft. Through our </w:t>
      </w:r>
      <w:r>
        <w:rPr>
          <w:rFonts w:ascii="Arial" w:cs="Arial" w:eastAsia="Arial" w:hAnsi="Arial"/>
          <w:sz w:val="18"/>
          <w:szCs w:val="18"/>
          <w:i w:val="1"/>
          <w:iCs w:val="1"/>
          <w:color w:val="auto"/>
        </w:rPr>
        <w:t>ExpensifyApproved!</w:t>
      </w:r>
      <w:r>
        <w:rPr>
          <w:rFonts w:ascii="Arial" w:cs="Arial" w:eastAsia="Arial" w:hAnsi="Arial"/>
          <w:sz w:val="18"/>
          <w:szCs w:val="18"/>
          <w:color w:val="auto"/>
        </w:rPr>
        <w:t xml:space="preserve"> Partner Program, we train and support accountants who then encourage their customers to use Expensify. We intend to continue to invest in both integrations and partnerships as they are critical to delivering best-in-class user experiences and ensuring that Expensify is deeply embedded within our customer base; and</w:t>
      </w:r>
    </w:p>
    <w:p>
      <w:pPr>
        <w:spacing w:after="0" w:line="101" w:lineRule="exact"/>
        <w:rPr>
          <w:rFonts w:ascii="Arial" w:cs="Arial" w:eastAsia="Arial" w:hAnsi="Arial"/>
          <w:sz w:val="18"/>
          <w:szCs w:val="18"/>
          <w:color w:val="auto"/>
        </w:rPr>
      </w:pPr>
    </w:p>
    <w:p>
      <w:pPr>
        <w:ind w:left="340" w:right="180" w:hanging="332"/>
        <w:spacing w:after="0" w:line="262"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internationally. </w:t>
      </w:r>
      <w:r>
        <w:rPr>
          <w:rFonts w:ascii="Arial" w:cs="Arial" w:eastAsia="Arial" w:hAnsi="Arial"/>
          <w:sz w:val="18"/>
          <w:szCs w:val="18"/>
          <w:color w:val="auto"/>
        </w:rPr>
        <w:t>We see significant opportunity to acquire new customers internationally. Because word-of-mouth drives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adoption, we have experienced member growth outside of our core geographies without investment in marketing or regional sales forces. We have the opportunity to accelerate international growth by investing in marketing, developing a localized platform experience and expanding international partnership and integrations.</w:t>
      </w:r>
    </w:p>
    <w:p>
      <w:pPr>
        <w:spacing w:after="0" w:line="10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believe that the combination of the strength of our platform, our scalable business model and our special company culture has us well-positioned to achieve these growth strategies.</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Our Platform</w:t>
      </w:r>
    </w:p>
    <w:p>
      <w:pPr>
        <w:spacing w:after="0" w:line="1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Expensify makes money easy for SMBs by enabling them to collaborate and complete financial tasks more efficiently. Our AI-driven, mobile-first, cloud-based platform offers a best-in-class experience for companies looking to modernize their financial processes away from paper and excel spreadsheets for the first time.</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define preaccounting as the systemized set of processes through which employees, or non-accountants, gather, code, aggregate and normalize financial data. While other financial processes have seen vast efficiency improvements with the widespread adoption of cloud-based ecosystems, company-focused preaccounting tasks such as expense management have largely remained unchanged, and therefore are still overwhelmingly inefficient, unscalable and time-consuming. Our comprehensive financial platform offers a wide range of easy-to-use but powerful features that automate the preaccounting processes for businesses of all sizes – including managing expenses, capturing and managing spend via the Expensify Card and more recently, paying bills and sending invoices, all included in the Expensify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Expense Management</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Expenses are among the most complicated preaccounting workflow, no matter the size of a company. Expenses touch every employee, span every layer of the organization and require interaction with a host of internal and external business systems. While the expense management process is incredibly complex, it largely occurs in three distinct, sequential phases: Capture &gt; Approve &gt; Pay.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CAPTURE</w:t>
      </w:r>
    </w:p>
    <w:p>
      <w:pPr>
        <w:spacing w:after="0" w:line="14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Most of today’s financial data still exists on paper. Expensify streamlines the capture and normalization of disparate financial data in the following ways:</w:t>
      </w:r>
    </w:p>
    <w:p>
      <w:pPr>
        <w:spacing w:after="0" w:line="85" w:lineRule="exact"/>
        <w:rPr>
          <w:sz w:val="20"/>
          <w:szCs w:val="20"/>
          <w:color w:val="auto"/>
        </w:rPr>
      </w:pPr>
    </w:p>
    <w:p>
      <w:pPr>
        <w:ind w:left="340" w:right="440" w:hanging="332"/>
        <w:spacing w:after="0" w:line="28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SmartScan. </w:t>
      </w:r>
      <w:r>
        <w:rPr>
          <w:rFonts w:ascii="Arial" w:cs="Arial" w:eastAsia="Arial" w:hAnsi="Arial"/>
          <w:sz w:val="18"/>
          <w:szCs w:val="18"/>
          <w:color w:val="auto"/>
        </w:rPr>
        <w:t>Snap a photo of your receipt, forward receipts from email, or upload attachments directly in the application. SmartScan</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optimizes for high-accuracy data extraction to support our “fire and forget” receipt capture.</w:t>
      </w:r>
    </w:p>
    <w:p>
      <w:pPr>
        <w:spacing w:after="0" w:line="85" w:lineRule="exact"/>
        <w:rPr>
          <w:rFonts w:ascii="Arial" w:cs="Arial" w:eastAsia="Arial" w:hAnsi="Arial"/>
          <w:sz w:val="18"/>
          <w:szCs w:val="18"/>
          <w:color w:val="auto"/>
        </w:rPr>
      </w:pPr>
    </w:p>
    <w:p>
      <w:pPr>
        <w:ind w:left="340" w:right="460" w:hanging="332"/>
        <w:spacing w:after="0" w:line="287"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Credit card matching. </w:t>
      </w:r>
      <w:r>
        <w:rPr>
          <w:rFonts w:ascii="Arial" w:cs="Arial" w:eastAsia="Arial" w:hAnsi="Arial"/>
          <w:sz w:val="18"/>
          <w:szCs w:val="18"/>
          <w:color w:val="auto"/>
        </w:rPr>
        <w:t>Receipts and emails are automatically matched to incoming credit card transactions in real-time, preventing</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and reducing the need to manually reconcile credit card statements at month end.</w:t>
      </w:r>
    </w:p>
    <w:p>
      <w:pPr>
        <w:spacing w:after="0" w:line="71" w:lineRule="exact"/>
        <w:rPr>
          <w:rFonts w:ascii="Arial" w:cs="Arial" w:eastAsia="Arial" w:hAnsi="Arial"/>
          <w:sz w:val="18"/>
          <w:szCs w:val="18"/>
          <w:color w:val="auto"/>
        </w:rPr>
      </w:pPr>
    </w:p>
    <w:p>
      <w:pPr>
        <w:jc w:val="both"/>
        <w:ind w:left="340" w:right="440" w:hanging="332"/>
        <w:spacing w:after="0" w:line="268"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Mobile expense capture. </w:t>
      </w:r>
      <w:r>
        <w:rPr>
          <w:rFonts w:ascii="Arial" w:cs="Arial" w:eastAsia="Arial" w:hAnsi="Arial"/>
          <w:sz w:val="18"/>
          <w:szCs w:val="18"/>
          <w:color w:val="auto"/>
        </w:rPr>
        <w:t>With mobile apps for Android and iOS, it’s possible to capture receipts, mileage expenses and per diems</w:t>
      </w:r>
      <w:r>
        <w:rPr>
          <w:rFonts w:ascii="Arial" w:cs="Arial" w:eastAsia="Arial" w:hAnsi="Arial"/>
          <w:sz w:val="18"/>
          <w:szCs w:val="18"/>
          <w:b w:val="1"/>
          <w:bCs w:val="1"/>
          <w:color w:val="auto"/>
        </w:rPr>
        <w:t xml:space="preserve"> </w:t>
      </w:r>
      <w:r>
        <w:rPr>
          <w:rFonts w:ascii="Arial" w:cs="Arial" w:eastAsia="Arial" w:hAnsi="Arial"/>
          <w:sz w:val="18"/>
          <w:szCs w:val="18"/>
          <w:color w:val="auto"/>
        </w:rPr>
        <w:t>while in the office or anywhere else in the world – online or offline. In addition, members can automatically import receipts from their favorite travel tools, including Uber, Lyft, Grab, Hotel Tonight, among others.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APPROVE</w:t>
      </w:r>
    </w:p>
    <w:p>
      <w:pPr>
        <w:spacing w:after="0" w:line="1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Once financial transactions are captured, we deliver AI-driven insights into the nature of company spend, as well as adherence to company-specific rules and guidelines. Expensify’s robust approval functionality can be scaled up and down in the following ways:</w:t>
      </w:r>
    </w:p>
    <w:p>
      <w:pPr>
        <w:spacing w:after="0" w:line="72" w:lineRule="exact"/>
        <w:rPr>
          <w:sz w:val="20"/>
          <w:szCs w:val="20"/>
          <w:color w:val="auto"/>
        </w:rPr>
      </w:pPr>
    </w:p>
    <w:p>
      <w:pPr>
        <w:ind w:left="340" w:right="120" w:hanging="332"/>
        <w:spacing w:after="0" w:line="268"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Multi-level approval workflows. </w:t>
      </w:r>
      <w:r>
        <w:rPr>
          <w:rFonts w:ascii="Arial" w:cs="Arial" w:eastAsia="Arial" w:hAnsi="Arial"/>
          <w:sz w:val="18"/>
          <w:szCs w:val="18"/>
          <w:color w:val="auto"/>
        </w:rPr>
        <w:t>Customizable approval workflows help companies of all sizes tailor their approval hierarchies, route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expenses to budget or project owners and approve expenses through an intuitive “Guided Review” that highlights specific items requiring review.</w:t>
      </w:r>
    </w:p>
    <w:p>
      <w:pPr>
        <w:spacing w:after="0" w:line="103" w:lineRule="exact"/>
        <w:rPr>
          <w:rFonts w:ascii="Arial" w:cs="Arial" w:eastAsia="Arial" w:hAnsi="Arial"/>
          <w:sz w:val="18"/>
          <w:szCs w:val="18"/>
          <w:color w:val="auto"/>
        </w:rPr>
      </w:pPr>
    </w:p>
    <w:p>
      <w:pPr>
        <w:ind w:left="340" w:right="560" w:hanging="332"/>
        <w:spacing w:after="0" w:line="28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Intelligent auditing. </w:t>
      </w:r>
      <w:r>
        <w:rPr>
          <w:rFonts w:ascii="Arial" w:cs="Arial" w:eastAsia="Arial" w:hAnsi="Arial"/>
          <w:sz w:val="18"/>
          <w:szCs w:val="18"/>
          <w:color w:val="auto"/>
        </w:rPr>
        <w:t>Process data automatically or configure which types of transactions require review. Expensify detects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duplicates by default and automatically verifies that any manually-entered expenses match attached receipts.</w:t>
      </w:r>
    </w:p>
    <w:p>
      <w:pPr>
        <w:spacing w:after="0" w:line="71" w:lineRule="exact"/>
        <w:rPr>
          <w:rFonts w:ascii="Arial" w:cs="Arial" w:eastAsia="Arial" w:hAnsi="Arial"/>
          <w:sz w:val="18"/>
          <w:szCs w:val="18"/>
          <w:color w:val="auto"/>
        </w:rPr>
      </w:pPr>
    </w:p>
    <w:p>
      <w:pPr>
        <w:ind w:left="340" w:right="80" w:hanging="332"/>
        <w:spacing w:after="0" w:line="259"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Powerful integrations. </w:t>
      </w:r>
      <w:r>
        <w:rPr>
          <w:rFonts w:ascii="Arial" w:cs="Arial" w:eastAsia="Arial" w:hAnsi="Arial"/>
          <w:sz w:val="18"/>
          <w:szCs w:val="18"/>
          <w:color w:val="auto"/>
        </w:rPr>
        <w:t>Connect directly with leading cloud accounting and finance platforms such as QuickBooks, Xero, Oracle</w:t>
      </w:r>
      <w:r>
        <w:rPr>
          <w:rFonts w:ascii="Arial" w:cs="Arial" w:eastAsia="Arial" w:hAnsi="Arial"/>
          <w:sz w:val="18"/>
          <w:szCs w:val="18"/>
          <w:b w:val="1"/>
          <w:bCs w:val="1"/>
          <w:color w:val="auto"/>
        </w:rPr>
        <w:t xml:space="preserve"> </w:t>
      </w:r>
      <w:r>
        <w:rPr>
          <w:rFonts w:ascii="Arial" w:cs="Arial" w:eastAsia="Arial" w:hAnsi="Arial"/>
          <w:sz w:val="18"/>
          <w:szCs w:val="18"/>
          <w:color w:val="auto"/>
        </w:rPr>
        <w:t>NetSuite, Sage Intacct and FinancialForce, among others. A continuous real-time sync means that information is dynamically updated across all connected platforms. Expensify connects directly with the top banks in the U.S., as well as leading HR, practice management, tax reclamation, recruiting and travel management systems. A self-service API is available to anyone who wants to integrate Expensify into their technology ecosystem on their own without additional cost.</w:t>
      </w:r>
    </w:p>
    <w:p>
      <w:pPr>
        <w:spacing w:after="0" w:line="111" w:lineRule="exact"/>
        <w:rPr>
          <w:rFonts w:ascii="Arial" w:cs="Arial" w:eastAsia="Arial" w:hAnsi="Arial"/>
          <w:sz w:val="18"/>
          <w:szCs w:val="18"/>
          <w:color w:val="auto"/>
        </w:rPr>
      </w:pPr>
    </w:p>
    <w:p>
      <w:pPr>
        <w:ind w:left="340" w:right="100" w:hanging="332"/>
        <w:spacing w:after="0" w:line="28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visibility. </w:t>
      </w:r>
      <w:r>
        <w:rPr>
          <w:rFonts w:ascii="Arial" w:cs="Arial" w:eastAsia="Arial" w:hAnsi="Arial"/>
          <w:sz w:val="18"/>
          <w:szCs w:val="18"/>
          <w:color w:val="auto"/>
        </w:rPr>
        <w:t>Whether companies require visibility into transaction approvals, help with corporate credit card reconciliation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remittance, or insights into travel spend, financial data is visible throughout the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PAY</w:t>
      </w:r>
    </w:p>
    <w:p>
      <w:pPr>
        <w:spacing w:after="0" w:line="14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After capturing and approving relevant company spend, businesses require an easy and fast method for disbursing funds to employees and vendors. Expensify’s payments platform streamlines how modern payments are made and reconciled in the following ways:</w:t>
      </w:r>
    </w:p>
    <w:p>
      <w:pPr>
        <w:spacing w:after="0" w:line="85" w:lineRule="exact"/>
        <w:rPr>
          <w:sz w:val="20"/>
          <w:szCs w:val="20"/>
          <w:color w:val="auto"/>
        </w:rPr>
      </w:pPr>
    </w:p>
    <w:p>
      <w:pPr>
        <w:ind w:left="340" w:right="580" w:hanging="332"/>
        <w:spacing w:after="0" w:line="28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Next day ACH direct deposit. </w:t>
      </w:r>
      <w:r>
        <w:rPr>
          <w:rFonts w:ascii="Arial" w:cs="Arial" w:eastAsia="Arial" w:hAnsi="Arial"/>
          <w:sz w:val="18"/>
          <w:szCs w:val="18"/>
          <w:color w:val="auto"/>
        </w:rPr>
        <w:t>For companies that enable automatic processing and reimbursement, employees receive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reimbursements in their bank account the following business day.</w:t>
      </w:r>
    </w:p>
    <w:p>
      <w:pPr>
        <w:spacing w:after="0" w:line="85" w:lineRule="exact"/>
        <w:rPr>
          <w:rFonts w:ascii="Arial" w:cs="Arial" w:eastAsia="Arial" w:hAnsi="Arial"/>
          <w:sz w:val="18"/>
          <w:szCs w:val="18"/>
          <w:color w:val="auto"/>
        </w:rPr>
      </w:pPr>
    </w:p>
    <w:p>
      <w:pPr>
        <w:ind w:left="340" w:right="820" w:hanging="332"/>
        <w:spacing w:after="0" w:line="28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Global reimbursement. </w:t>
      </w:r>
      <w:r>
        <w:rPr>
          <w:rFonts w:ascii="Arial" w:cs="Arial" w:eastAsia="Arial" w:hAnsi="Arial"/>
          <w:sz w:val="18"/>
          <w:szCs w:val="18"/>
          <w:color w:val="auto"/>
        </w:rPr>
        <w:t>For companies or employees based outside of the United States, Expensify offers reimbursement in 5</w:t>
      </w:r>
      <w:r>
        <w:rPr>
          <w:rFonts w:ascii="Arial" w:cs="Arial" w:eastAsia="Arial" w:hAnsi="Arial"/>
          <w:sz w:val="18"/>
          <w:szCs w:val="18"/>
          <w:b w:val="1"/>
          <w:bCs w:val="1"/>
          <w:color w:val="auto"/>
        </w:rPr>
        <w:t xml:space="preserve"> </w:t>
      </w:r>
      <w:r>
        <w:rPr>
          <w:rFonts w:ascii="Arial" w:cs="Arial" w:eastAsia="Arial" w:hAnsi="Arial"/>
          <w:sz w:val="18"/>
          <w:szCs w:val="18"/>
          <w:color w:val="auto"/>
        </w:rPr>
        <w:t>currencies across 200 countries and territories.</w:t>
      </w:r>
    </w:p>
    <w:p>
      <w:pPr>
        <w:spacing w:after="0" w:line="71" w:lineRule="exact"/>
        <w:rPr>
          <w:rFonts w:ascii="Arial" w:cs="Arial" w:eastAsia="Arial" w:hAnsi="Arial"/>
          <w:sz w:val="18"/>
          <w:szCs w:val="18"/>
          <w:color w:val="auto"/>
        </w:rPr>
      </w:pPr>
    </w:p>
    <w:p>
      <w:pPr>
        <w:ind w:left="340" w:right="620" w:hanging="332"/>
        <w:spacing w:after="0" w:line="287"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Centralized travel procurement</w:t>
      </w:r>
      <w:r>
        <w:rPr>
          <w:rFonts w:ascii="Arial" w:cs="Arial" w:eastAsia="Arial" w:hAnsi="Arial"/>
          <w:sz w:val="18"/>
          <w:szCs w:val="18"/>
          <w:color w:val="auto"/>
        </w:rPr>
        <w:t>. Manage and centrally pay for travel bookings made with any Expensify Card, all while ensuring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company travel policies.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Corporate card remittance. </w:t>
      </w:r>
      <w:r>
        <w:rPr>
          <w:rFonts w:ascii="Arial" w:cs="Arial" w:eastAsia="Arial" w:hAnsi="Arial"/>
          <w:sz w:val="18"/>
          <w:szCs w:val="18"/>
          <w:color w:val="auto"/>
        </w:rPr>
        <w:t>Streamline the process of managing and remitting corporate card payments.</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Expensify Card</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Expensify Card is a natural extension of our expense management platform and is powered by the Visa network. Companies can use the Expensify Card in conjunction with existing expense policies at no additional cost, or independently as a separate corporate card program through our platform.</w:t>
      </w:r>
    </w:p>
    <w:p>
      <w:pPr>
        <w:spacing w:after="0" w:line="10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Expensify Card leverages our wealth of experience acquired by working directly with finance administrators. The feature is designed to fix the common pain points seen with traditional corporate cards, namely the lack of real-time receipt capture and transaction visibility, enhanced access to credit for small businesses and streamlined setup of corporate card programs.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the Expensify Card include:</w:t>
      </w:r>
    </w:p>
    <w:p>
      <w:pPr>
        <w:spacing w:after="0" w:line="158" w:lineRule="exact"/>
        <w:rPr>
          <w:sz w:val="20"/>
          <w:szCs w:val="20"/>
          <w:color w:val="auto"/>
        </w:rPr>
      </w:pPr>
    </w:p>
    <w:p>
      <w:pPr>
        <w:ind w:left="340" w:right="460" w:hanging="332"/>
        <w:spacing w:after="0" w:line="28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Streamlined card application/setup. </w:t>
      </w:r>
      <w:r>
        <w:rPr>
          <w:rFonts w:ascii="Arial" w:cs="Arial" w:eastAsia="Arial" w:hAnsi="Arial"/>
          <w:sz w:val="18"/>
          <w:szCs w:val="18"/>
          <w:color w:val="auto"/>
        </w:rPr>
        <w:t>Companies receive an automated approval decision in seconds, and card provisioning for an</w:t>
      </w:r>
      <w:r>
        <w:rPr>
          <w:rFonts w:ascii="Arial" w:cs="Arial" w:eastAsia="Arial" w:hAnsi="Arial"/>
          <w:sz w:val="18"/>
          <w:szCs w:val="18"/>
          <w:b w:val="1"/>
          <w:bCs w:val="1"/>
          <w:color w:val="auto"/>
        </w:rPr>
        <w:t xml:space="preserve"> </w:t>
      </w:r>
      <w:r>
        <w:rPr>
          <w:rFonts w:ascii="Arial" w:cs="Arial" w:eastAsia="Arial" w:hAnsi="Arial"/>
          <w:sz w:val="18"/>
          <w:szCs w:val="18"/>
          <w:color w:val="auto"/>
        </w:rPr>
        <w:t>entire organization is possible in a few minutes. Every member receives a virtual card for immediate use.</w:t>
      </w:r>
    </w:p>
    <w:p>
      <w:pPr>
        <w:spacing w:after="0" w:line="71" w:lineRule="exact"/>
        <w:rPr>
          <w:rFonts w:ascii="Arial" w:cs="Arial" w:eastAsia="Arial" w:hAnsi="Arial"/>
          <w:sz w:val="18"/>
          <w:szCs w:val="18"/>
          <w:color w:val="auto"/>
        </w:rPr>
      </w:pPr>
    </w:p>
    <w:p>
      <w:pPr>
        <w:ind w:left="340" w:right="480" w:hanging="332"/>
        <w:spacing w:after="0" w:line="287" w:lineRule="auto"/>
        <w:tabs>
          <w:tab w:leader="none" w:pos="335"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Unlimited virtual cards. </w:t>
      </w:r>
      <w:r>
        <w:rPr>
          <w:rFonts w:ascii="Arial" w:cs="Arial" w:eastAsia="Arial" w:hAnsi="Arial"/>
          <w:sz w:val="18"/>
          <w:szCs w:val="18"/>
          <w:color w:val="auto"/>
        </w:rPr>
        <w:t>Companies can issue an unlimited number of virtual cards with fixed amount or monthly spend limits. This</w:t>
      </w:r>
      <w:r>
        <w:rPr>
          <w:rFonts w:ascii="Arial" w:cs="Arial" w:eastAsia="Arial" w:hAnsi="Arial"/>
          <w:sz w:val="18"/>
          <w:szCs w:val="18"/>
          <w:b w:val="1"/>
          <w:bCs w:val="1"/>
          <w:color w:val="auto"/>
        </w:rPr>
        <w:t xml:space="preserve"> </w:t>
      </w:r>
      <w:r>
        <w:rPr>
          <w:rFonts w:ascii="Arial" w:cs="Arial" w:eastAsia="Arial" w:hAnsi="Arial"/>
          <w:sz w:val="18"/>
          <w:szCs w:val="18"/>
          <w:color w:val="auto"/>
        </w:rPr>
        <w:t>allows for issuing cards for specific merchants or subscriptions and ensuring spend does not exceed your budget.</w:t>
      </w:r>
    </w:p>
    <w:p>
      <w:pPr>
        <w:spacing w:after="0" w:line="85" w:lineRule="exact"/>
        <w:rPr>
          <w:rFonts w:ascii="Arial" w:cs="Arial" w:eastAsia="Arial" w:hAnsi="Arial"/>
          <w:sz w:val="18"/>
          <w:szCs w:val="18"/>
          <w:b w:val="1"/>
          <w:bCs w:val="1"/>
          <w:color w:val="auto"/>
        </w:rPr>
      </w:pPr>
    </w:p>
    <w:p>
      <w:pPr>
        <w:ind w:left="340" w:right="40" w:hanging="332"/>
        <w:spacing w:after="0" w:line="28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Continuous automatic reconciliation</w:t>
      </w:r>
      <w:r>
        <w:rPr>
          <w:rFonts w:ascii="Arial" w:cs="Arial" w:eastAsia="Arial" w:hAnsi="Arial"/>
          <w:sz w:val="18"/>
          <w:szCs w:val="18"/>
          <w:color w:val="auto"/>
        </w:rPr>
        <w:t>. Card transactions are synchronized in real-time between Expensify and a company’s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This removes the need for an arduous once-a-month statement reconciliation.</w:t>
      </w:r>
    </w:p>
    <w:p>
      <w:pPr>
        <w:spacing w:after="0" w:line="85" w:lineRule="exact"/>
        <w:rPr>
          <w:rFonts w:ascii="Arial" w:cs="Arial" w:eastAsia="Arial" w:hAnsi="Arial"/>
          <w:sz w:val="18"/>
          <w:szCs w:val="18"/>
          <w:color w:val="auto"/>
        </w:rPr>
      </w:pPr>
    </w:p>
    <w:p>
      <w:pPr>
        <w:ind w:left="340" w:right="120" w:hanging="332"/>
        <w:spacing w:after="0" w:line="268"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Real-time compliance. </w:t>
      </w:r>
      <w:r>
        <w:rPr>
          <w:rFonts w:ascii="Arial" w:cs="Arial" w:eastAsia="Arial" w:hAnsi="Arial"/>
          <w:sz w:val="18"/>
          <w:szCs w:val="18"/>
          <w:color w:val="auto"/>
        </w:rPr>
        <w:t>Cardholders receive an immediate push notification when their card is charged, which helps protect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fraud. In addition, eReceipts mean that no receipt capture is required for nearly all purchases, though companies can stipulate their own receipt policy where preferred.</w:t>
      </w:r>
    </w:p>
    <w:p>
      <w:pPr>
        <w:spacing w:after="0" w:line="89"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Spend control with Smart Limits. </w:t>
      </w:r>
      <w:r>
        <w:rPr>
          <w:rFonts w:ascii="Arial" w:cs="Arial" w:eastAsia="Arial" w:hAnsi="Arial"/>
          <w:sz w:val="18"/>
          <w:szCs w:val="18"/>
          <w:color w:val="auto"/>
        </w:rPr>
        <w:t>Companies control the maximum exposure they will accept for each employee by stipulating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unapproved spend, which is another cash control feature. If a cardholder fails to submit their expenses in a timely fashion, card activity is suspended until historical card spend is approved.</w:t>
      </w:r>
    </w:p>
    <w:p>
      <w:pPr>
        <w:spacing w:after="0" w:line="103" w:lineRule="exact"/>
        <w:rPr>
          <w:rFonts w:ascii="Arial" w:cs="Arial" w:eastAsia="Arial" w:hAnsi="Arial"/>
          <w:sz w:val="18"/>
          <w:szCs w:val="18"/>
          <w:color w:val="auto"/>
        </w:rPr>
      </w:pPr>
    </w:p>
    <w:p>
      <w:pPr>
        <w:ind w:left="340" w:right="20" w:hanging="332"/>
        <w:spacing w:after="0" w:line="268"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Cashback. </w:t>
      </w:r>
      <w:r>
        <w:rPr>
          <w:rFonts w:ascii="Arial" w:cs="Arial" w:eastAsia="Arial" w:hAnsi="Arial"/>
          <w:sz w:val="18"/>
          <w:szCs w:val="18"/>
          <w:color w:val="auto"/>
        </w:rPr>
        <w:t>Companies with settled spend in the United States ("U.S.") over $250,000 per month on their Expensify Cards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Updated Card Program (defined below) receive 2% cashback for all U.S. purchases or 1% for all U.S. purchases if monthly settled spend in the U.S. is under $250,000.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right="220" w:hanging="332"/>
        <w:spacing w:after="0" w:line="268"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Daily settlement option</w:t>
      </w:r>
      <w:r>
        <w:rPr>
          <w:rFonts w:ascii="Arial" w:cs="Arial" w:eastAsia="Arial" w:hAnsi="Arial"/>
          <w:sz w:val="18"/>
          <w:szCs w:val="18"/>
          <w:color w:val="auto"/>
        </w:rPr>
        <w:t>. Ensure that employees never overspend what a company is able to pay. Daily settlement also helps smooth</w:t>
      </w:r>
      <w:r>
        <w:rPr>
          <w:rFonts w:ascii="Arial" w:cs="Arial" w:eastAsia="Arial" w:hAnsi="Arial"/>
          <w:sz w:val="18"/>
          <w:szCs w:val="18"/>
          <w:b w:val="1"/>
          <w:bCs w:val="1"/>
          <w:color w:val="auto"/>
        </w:rPr>
        <w:t xml:space="preserve"> </w:t>
      </w:r>
      <w:r>
        <w:rPr>
          <w:rFonts w:ascii="Arial" w:cs="Arial" w:eastAsia="Arial" w:hAnsi="Arial"/>
          <w:sz w:val="18"/>
          <w:szCs w:val="18"/>
          <w:color w:val="auto"/>
        </w:rPr>
        <w:t>cash flows throughout the month, as opposed to one large, uncertain lump sum at month end. Companies can also choose monthly settlement if they prefer a more classic experience.</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believe we have growth potential in many areas in regards to the Expensify Card. Our goal is to continue increasing the number of companies that have adopted the Expensify Card and the number of members that have a card provisioned per company, both of which would increase the amount of total spend converted to the Expensify Card.</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original Expensify Card program launched in 2020 (“Legacy Card Program”), Expensify has an agreement with the payment processor, Marqeta, Inc. ("Marqeta"), and relied on Marqeta to manage the relationship with the issuing bank, Sutton Bank, and the card network, Visa, in authorizing and settling transactions. In October 2023, the Company amended the Expensify Card program (“Updated Card Program”) to separately enter into an agreement with a new issuing bank, The Bancorp Bank, N.A. ("Bancorp"), to issue Expensify Cards to customers and authorize and settle transactions on the Visa card network, in providing overall card program management services. The Updated Card Program launched in February 2024 and all new Expensify Cards issued subsequent to the launch of the Updated Card Program operate under that program. As of December 31, 2024, our transition of cardholders from the Legacy Card Program to the Updated Card Program was substantially complete.</w:t>
      </w:r>
    </w:p>
    <w:p>
      <w:pPr>
        <w:spacing w:after="0" w:line="10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Expensify Travel</w:t>
      </w:r>
    </w:p>
    <w:p>
      <w:pPr>
        <w:spacing w:after="0" w:line="16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Expensify Travel is a travel platform that simplifies business travel by integrating booking, approvals, payments, and collaboration into one seamless experience. It has the following key capabilities:</w:t>
      </w:r>
    </w:p>
    <w:p>
      <w:pPr>
        <w:spacing w:after="0" w:line="85" w:lineRule="exact"/>
        <w:rPr>
          <w:sz w:val="20"/>
          <w:szCs w:val="20"/>
          <w:color w:val="auto"/>
        </w:rPr>
      </w:pPr>
    </w:p>
    <w:p>
      <w:pPr>
        <w:jc w:val="both"/>
        <w:ind w:left="660" w:right="52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Seamless bookings. </w:t>
      </w:r>
      <w:r>
        <w:rPr>
          <w:rFonts w:ascii="Arial" w:cs="Arial" w:eastAsia="Arial" w:hAnsi="Arial"/>
          <w:sz w:val="18"/>
          <w:szCs w:val="18"/>
          <w:color w:val="auto"/>
        </w:rPr>
        <w:t>Easily book flights, hotels, rail, and car rentals all from the Expensify app, with options tailored to fit your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travel policy. This is designed to provide travelers the best options while staying within their company's budget and compliance guidelines.</w:t>
      </w:r>
    </w:p>
    <w:p>
      <w:pPr>
        <w:spacing w:after="0" w:line="8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Smart approvals. </w:t>
      </w:r>
      <w:r>
        <w:rPr>
          <w:rFonts w:ascii="Arial" w:cs="Arial" w:eastAsia="Arial" w:hAnsi="Arial"/>
          <w:sz w:val="18"/>
          <w:szCs w:val="18"/>
          <w:color w:val="auto"/>
        </w:rPr>
        <w:t>Real-time, policy-driven approvals ensure trips are authorized quickly, reducing the risk of unnecessary change or</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fees. Managers can approve trips with confidence, knowing they align with company policies.</w:t>
      </w:r>
    </w:p>
    <w:p>
      <w:pPr>
        <w:spacing w:after="0" w:line="85"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Streamlined payments and reporting. </w:t>
      </w:r>
      <w:r>
        <w:rPr>
          <w:rFonts w:ascii="Arial" w:cs="Arial" w:eastAsia="Arial" w:hAnsi="Arial"/>
          <w:sz w:val="18"/>
          <w:szCs w:val="18"/>
          <w:color w:val="auto"/>
        </w:rPr>
        <w:t>Centralized virtual card payments simplify expense reconciliation, while automated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instantly captures every receipt and change fee for hassle-free tracking. This eliminates manual expense reporting and speeds up reimbursements.</w:t>
      </w:r>
    </w:p>
    <w:p>
      <w:pPr>
        <w:spacing w:after="0" w:line="103"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Real-time collaboration. </w:t>
      </w:r>
      <w:r>
        <w:rPr>
          <w:rFonts w:ascii="Arial" w:cs="Arial" w:eastAsia="Arial" w:hAnsi="Arial"/>
          <w:sz w:val="18"/>
          <w:szCs w:val="18"/>
          <w:color w:val="auto"/>
        </w:rPr>
        <w:t>Dedicated chat rooms connect travelers and travel managers, keeping everyone on the same page with</w:t>
      </w:r>
      <w:r>
        <w:rPr>
          <w:rFonts w:ascii="Arial" w:cs="Arial" w:eastAsia="Arial" w:hAnsi="Arial"/>
          <w:sz w:val="18"/>
          <w:szCs w:val="18"/>
          <w:b w:val="1"/>
          <w:bCs w:val="1"/>
          <w:color w:val="auto"/>
        </w:rPr>
        <w:t xml:space="preserve"> </w:t>
      </w:r>
      <w:r>
        <w:rPr>
          <w:rFonts w:ascii="Arial" w:cs="Arial" w:eastAsia="Arial" w:hAnsi="Arial"/>
          <w:sz w:val="18"/>
          <w:szCs w:val="18"/>
          <w:color w:val="auto"/>
        </w:rPr>
        <w:t>instant updates, approvals, and duty-of-care communication throughout the trip. This facilitates smooth coordination and immediate support when needed.</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Invoicing &amp; Bill Pay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Key capabilities of our invoicing and bill payment features include:</w:t>
      </w:r>
    </w:p>
    <w:p>
      <w:pPr>
        <w:spacing w:after="0" w:line="158" w:lineRule="exact"/>
        <w:rPr>
          <w:sz w:val="20"/>
          <w:szCs w:val="20"/>
          <w:color w:val="auto"/>
        </w:rPr>
      </w:pPr>
    </w:p>
    <w:p>
      <w:pPr>
        <w:ind w:left="340" w:right="340" w:hanging="332"/>
        <w:spacing w:after="0" w:line="28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Payments made easy. </w:t>
      </w:r>
      <w:r>
        <w:rPr>
          <w:rFonts w:ascii="Arial" w:cs="Arial" w:eastAsia="Arial" w:hAnsi="Arial"/>
          <w:sz w:val="18"/>
          <w:szCs w:val="18"/>
          <w:color w:val="auto"/>
        </w:rPr>
        <w:t>With multiple payment options, including credit/debit card, ACH and check, customers across the globe have</w:t>
      </w:r>
      <w:r>
        <w:rPr>
          <w:rFonts w:ascii="Arial" w:cs="Arial" w:eastAsia="Arial" w:hAnsi="Arial"/>
          <w:sz w:val="18"/>
          <w:szCs w:val="18"/>
          <w:b w:val="1"/>
          <w:bCs w:val="1"/>
          <w:color w:val="auto"/>
        </w:rPr>
        <w:t xml:space="preserve"> </w:t>
      </w:r>
      <w:r>
        <w:rPr>
          <w:rFonts w:ascii="Arial" w:cs="Arial" w:eastAsia="Arial" w:hAnsi="Arial"/>
          <w:sz w:val="18"/>
          <w:szCs w:val="18"/>
          <w:color w:val="auto"/>
        </w:rPr>
        <w:t>access to quick, easy and frictionless payment options.</w:t>
      </w:r>
    </w:p>
    <w:p>
      <w:pPr>
        <w:spacing w:after="0" w:line="85" w:lineRule="exact"/>
        <w:rPr>
          <w:rFonts w:ascii="Arial" w:cs="Arial" w:eastAsia="Arial" w:hAnsi="Arial"/>
          <w:sz w:val="18"/>
          <w:szCs w:val="18"/>
          <w:color w:val="auto"/>
        </w:rPr>
      </w:pPr>
    </w:p>
    <w:p>
      <w:pPr>
        <w:ind w:left="340" w:right="460" w:hanging="332"/>
        <w:spacing w:after="0" w:line="28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Eliminate manual entry. </w:t>
      </w:r>
      <w:r>
        <w:rPr>
          <w:rFonts w:ascii="Arial" w:cs="Arial" w:eastAsia="Arial" w:hAnsi="Arial"/>
          <w:sz w:val="18"/>
          <w:szCs w:val="18"/>
          <w:color w:val="auto"/>
        </w:rPr>
        <w:t>Bills sent to a company’s @expensify.cash address are automatically SmartScanned, which captures key</w:t>
      </w:r>
      <w:r>
        <w:rPr>
          <w:rFonts w:ascii="Arial" w:cs="Arial" w:eastAsia="Arial" w:hAnsi="Arial"/>
          <w:sz w:val="18"/>
          <w:szCs w:val="18"/>
          <w:b w:val="1"/>
          <w:bCs w:val="1"/>
          <w:color w:val="auto"/>
        </w:rPr>
        <w:t xml:space="preserve"> </w:t>
      </w:r>
      <w:r>
        <w:rPr>
          <w:rFonts w:ascii="Arial" w:cs="Arial" w:eastAsia="Arial" w:hAnsi="Arial"/>
          <w:sz w:val="18"/>
          <w:szCs w:val="18"/>
          <w:color w:val="auto"/>
        </w:rPr>
        <w:t>details for easy review and processing.</w:t>
      </w:r>
    </w:p>
    <w:p>
      <w:pPr>
        <w:spacing w:after="0" w:line="71" w:lineRule="exact"/>
        <w:rPr>
          <w:rFonts w:ascii="Arial" w:cs="Arial" w:eastAsia="Arial" w:hAnsi="Arial"/>
          <w:sz w:val="18"/>
          <w:szCs w:val="18"/>
          <w:color w:val="auto"/>
        </w:rPr>
      </w:pPr>
    </w:p>
    <w:p>
      <w:pPr>
        <w:ind w:left="340" w:right="500" w:hanging="332"/>
        <w:spacing w:after="0" w:line="287" w:lineRule="auto"/>
        <w:tabs>
          <w:tab w:leader="none" w:pos="33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Real-time communication. </w:t>
      </w:r>
      <w:r>
        <w:rPr>
          <w:rFonts w:ascii="Arial" w:cs="Arial" w:eastAsia="Arial" w:hAnsi="Arial"/>
          <w:sz w:val="18"/>
          <w:szCs w:val="18"/>
          <w:color w:val="auto"/>
        </w:rPr>
        <w:t>Customers can leave comments or ask questions on the invoice and both parties can chat in real time</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in Expensify, or receive an email instantly.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40" w:right="120" w:hanging="332"/>
        <w:spacing w:after="0" w:line="268"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Extensive integrations. </w:t>
      </w:r>
      <w:r>
        <w:rPr>
          <w:rFonts w:ascii="Arial" w:cs="Arial" w:eastAsia="Arial" w:hAnsi="Arial"/>
          <w:sz w:val="18"/>
          <w:szCs w:val="18"/>
          <w:color w:val="auto"/>
        </w:rPr>
        <w:t>Companies can save time by exporting invoices and bills to QuickBooks, Xero, Sage Intacct, Oracle NetSuite</w:t>
      </w:r>
      <w:r>
        <w:rPr>
          <w:rFonts w:ascii="Arial" w:cs="Arial" w:eastAsia="Arial" w:hAnsi="Arial"/>
          <w:sz w:val="18"/>
          <w:szCs w:val="18"/>
          <w:b w:val="1"/>
          <w:bCs w:val="1"/>
          <w:color w:val="auto"/>
        </w:rPr>
        <w:t xml:space="preserve"> </w:t>
      </w:r>
      <w:r>
        <w:rPr>
          <w:rFonts w:ascii="Arial" w:cs="Arial" w:eastAsia="Arial" w:hAnsi="Arial"/>
          <w:sz w:val="18"/>
          <w:szCs w:val="18"/>
          <w:color w:val="auto"/>
        </w:rPr>
        <w:t>and more. Invoices are automatically linked to the corresponding customer and exported as a receivable in the accounting system. Bills are automatically linked to the corresponding vendor and exported as a payable.</w:t>
      </w:r>
    </w:p>
    <w:p>
      <w:pPr>
        <w:spacing w:after="0" w:line="74"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Expensify.org</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started Expensify.org with a goal to “create a just and generous world” with the belief that doing good is good for business. We aim to integrate the Expensify.org mission into everything we do. If nothing else, it's good for employee retention and morale, by framing our work in a more powerful context than it might otherwise seem. Everyone here knows that we cannot succeed as a business without also giving back and making the world a better place than we found it.</w:t>
      </w:r>
    </w:p>
    <w:p>
      <w:pPr>
        <w:spacing w:after="0" w:line="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Though Expensify.org launched in January 2020 and is now a 501(c)(3) non-profit, the concept was set into motion before Expensify was founded when David Barrett, Expensify's founder and CEO, had an idea of how to help feed unhoused neighbors he passed every day walking through San Francisco. He developed a platform to load gift cards on-demand from his personal credit card to offer funds immediately for individuals in his neighborhood to purchase food. While this idea didn’t take off, David held onto the concept for more than a decade until it became a reality with the launch of Expensify.org.</w:t>
      </w:r>
    </w:p>
    <w:p>
      <w:pPr>
        <w:spacing w:after="0" w:line="1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Through Expensify.org, we seek to empower individuals and communities to eliminate injustice around the world by making giving and volunteering more convenient, accountable, meaningful and collaborative. The foundation of Expensify.org was built on applying our expertise in expense management to increase the transparency of how funds are used, the convenience of how donations are gathered and — most importantly — the emotional connection between donors, volunteers and recipients.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Our Compliance and Data Security</w:t>
      </w:r>
    </w:p>
    <w:p>
      <w:pPr>
        <w:spacing w:after="0" w:line="1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PCI-DSS Level 1, SOC1 Type II, and SOC2 Type II compliant, with external parties performing "grey box" testing. We are integrated with most major banks in the United States, and we process billions of dollars in expense reimbursements every year and are audited periodically by our processing bank. We take privacy and data security seriously and design our systems and processes based on applicable domestic and international data privacy regulations, which sometimes change faster than the wind.</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Our Data</w:t>
      </w:r>
    </w:p>
    <w:p>
      <w:pPr>
        <w:spacing w:after="0" w:line="18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December 31, 2024, we have processed over 1.7 billion expense transactions for our customers. These expenses span across employees from all functions and layers in organizations of all sizes, industries and geographies. To process these expenses, our platform runs on our proprietary distributed and fully replicated technology architecture that is built to process many multiples of our current transaction volume. We also designed our platform to be deeply integrated and connected with a broad suite of back office systems, consumer applications and banking technology infrastructures that our customers use every day. The combination of the scale and diversity of the expenses we process, the breadth and depth of our integrations and the scalability of our infrastructure has enabled us to build a massive data asset that continually enhances the value of our platform.</w:t>
      </w:r>
    </w:p>
    <w:p>
      <w:pPr>
        <w:spacing w:after="0" w:line="1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derive powerful insights from our data such as the unique buying behavior of our members, the spending trends of the businesses they work for and changes in the technologies businesses use for multiple back-office workflows. These insights provide continuous and real-time input into our product development and enable us to develop features that reflect the behavior and preferences of our members and the organizations they work for. Our data asset also benefits from significant network effects, with every new member and transaction adding incremental value to our platform. Every receipt we process through our OCR technology makes our SmartScan technology more accurate, every transaction we process and backtest enhances our fraud protection capabilities and every customer inquiry we resolve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allows Concierge to answer future questions faster. We believe that our data asset will continue to expand the value of our platform and drive future growth.</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Our Culture, Employees and Human Capital</w:t>
      </w:r>
    </w:p>
    <w:p>
      <w:pPr>
        <w:spacing w:after="0" w:line="18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Expensify, our culture is deeply embedded in everything we do. We strive to create a diverse, inclusive and collaborative workplace that prioritizes and fosters the long-term happiness of our employees. We operate with a flat, generalist organizational structure, where everybody is encouraged to participate in the discussions and contribute to the decisions they choose to. Our culture is centered on the belief that a life well lived is one that enables you to achieve the following three goals, which we all work towards with a long-term mindset:</w:t>
      </w:r>
    </w:p>
    <w:p>
      <w:pPr>
        <w:spacing w:after="0" w:line="95" w:lineRule="exact"/>
        <w:rPr>
          <w:sz w:val="20"/>
          <w:szCs w:val="20"/>
          <w:color w:val="auto"/>
        </w:rPr>
      </w:pPr>
    </w:p>
    <w:p>
      <w:pPr>
        <w:ind w:left="340" w:right="200" w:hanging="332"/>
        <w:spacing w:after="0" w:line="262"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Live Rich. </w:t>
      </w:r>
      <w:r>
        <w:rPr>
          <w:rFonts w:ascii="Arial" w:cs="Arial" w:eastAsia="Arial" w:hAnsi="Arial"/>
          <w:sz w:val="18"/>
          <w:szCs w:val="18"/>
          <w:color w:val="auto"/>
        </w:rPr>
        <w:t>This means we want to have ample means, and the time to enjoy it. We want to participate in a diverse, equitable, inclusive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fundamentally just society — both inside and outside our own walls. We want to have a “comfortable baseline,” where on a dull, ordinary day we wake up refreshed and excited to take on the day’s challenges, and go to bed each night fully satisfied in life well lived and a job well done.</w:t>
      </w:r>
    </w:p>
    <w:p>
      <w:pPr>
        <w:spacing w:after="0" w:line="108" w:lineRule="exact"/>
        <w:rPr>
          <w:rFonts w:ascii="Arial" w:cs="Arial" w:eastAsia="Arial" w:hAnsi="Arial"/>
          <w:sz w:val="18"/>
          <w:szCs w:val="18"/>
          <w:color w:val="auto"/>
        </w:rPr>
      </w:pPr>
    </w:p>
    <w:p>
      <w:pPr>
        <w:ind w:left="340" w:right="60" w:hanging="332"/>
        <w:spacing w:after="0" w:line="270" w:lineRule="auto"/>
        <w:tabs>
          <w:tab w:leader="none" w:pos="335"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Have Fun. </w:t>
      </w:r>
      <w:r>
        <w:rPr>
          <w:rFonts w:ascii="Arial" w:cs="Arial" w:eastAsia="Arial" w:hAnsi="Arial"/>
          <w:sz w:val="17"/>
          <w:szCs w:val="17"/>
          <w:color w:val="auto"/>
        </w:rPr>
        <w:t>Sometimes, we want to do stuff that is awesome just for the sake of awesomeness. Not too often, but often enough to remind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ourselves that we are living life to its fullest, and enabling others to do the same. For example, we aim to bring the whole company, plus families and kids, to a warm and sunny international location every year for a month-long "working vacation" to enable our employees to collaborate in person from a remote beach, build friendships with their colleagues, broaden their perspective and have a great time.</w:t>
      </w:r>
    </w:p>
    <w:p>
      <w:pPr>
        <w:spacing w:after="0" w:line="2"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These “Offshore” trips are productivity powerhouses that have resulted in some of our most impressive platform developments to date.</w:t>
      </w:r>
    </w:p>
    <w:p>
      <w:pPr>
        <w:spacing w:after="0" w:line="139" w:lineRule="exact"/>
        <w:rPr>
          <w:rFonts w:ascii="Arial" w:cs="Arial" w:eastAsia="Arial" w:hAnsi="Arial"/>
          <w:sz w:val="17"/>
          <w:szCs w:val="17"/>
          <w:color w:val="auto"/>
        </w:rPr>
      </w:pPr>
    </w:p>
    <w:p>
      <w:pPr>
        <w:ind w:left="340" w:right="160" w:hanging="332"/>
        <w:spacing w:after="0" w:line="262"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Save The World. </w:t>
      </w:r>
      <w:r>
        <w:rPr>
          <w:rFonts w:ascii="Arial" w:cs="Arial" w:eastAsia="Arial" w:hAnsi="Arial"/>
          <w:sz w:val="18"/>
          <w:szCs w:val="18"/>
          <w:color w:val="auto"/>
        </w:rPr>
        <w:t>We like the phrasing of this goal precisely because it is bombastic. We want to play an active role in unwinding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systemic bias that has prevented so many from living rich. We believe that even a small team with limited resources, given enough time and focus, can move the world. This is why we started Expensify.org, to “create a just and generous world”, and we are all wholly committed to its mission.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there are three common qualities critical to achieving these three goals and the success of our company:</w:t>
      </w:r>
    </w:p>
    <w:p>
      <w:pPr>
        <w:spacing w:after="0" w:line="158"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w:t>
      </w:r>
      <w:r>
        <w:rPr>
          <w:rFonts w:ascii="Arial" w:cs="Arial" w:eastAsia="Arial" w:hAnsi="Arial"/>
          <w:sz w:val="18"/>
          <w:szCs w:val="18"/>
          <w:color w:val="auto"/>
        </w:rPr>
        <w:t>Each of us can learn without being taught, and can teach whatever we’ve learned.</w:t>
      </w:r>
    </w:p>
    <w:p>
      <w:pPr>
        <w:spacing w:after="0" w:line="157"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Ambition. </w:t>
      </w:r>
      <w:r>
        <w:rPr>
          <w:rFonts w:ascii="Arial" w:cs="Arial" w:eastAsia="Arial" w:hAnsi="Arial"/>
          <w:sz w:val="18"/>
          <w:szCs w:val="18"/>
          <w:color w:val="auto"/>
        </w:rPr>
        <w:t>Each of us has a genuine desire to accomplish something meaningful to us individually, to create more than we consume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world.</w:t>
      </w:r>
    </w:p>
    <w:p>
      <w:pPr>
        <w:spacing w:after="0" w:line="71" w:lineRule="exact"/>
        <w:rPr>
          <w:rFonts w:ascii="Arial" w:cs="Arial" w:eastAsia="Arial" w:hAnsi="Arial"/>
          <w:sz w:val="18"/>
          <w:szCs w:val="18"/>
          <w:color w:val="auto"/>
        </w:rPr>
      </w:pPr>
    </w:p>
    <w:p>
      <w:pPr>
        <w:ind w:left="340" w:right="60" w:hanging="332"/>
        <w:spacing w:after="0" w:line="287" w:lineRule="auto"/>
        <w:tabs>
          <w:tab w:leader="none" w:pos="335"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Humility. </w:t>
      </w:r>
      <w:r>
        <w:rPr>
          <w:rFonts w:ascii="Arial" w:cs="Arial" w:eastAsia="Arial" w:hAnsi="Arial"/>
          <w:sz w:val="18"/>
          <w:szCs w:val="18"/>
          <w:color w:val="auto"/>
        </w:rPr>
        <w:t>Each of us genuinely values the opinions and perspectives of others, and seeks above all to find the right solution to any given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problem, no matter who came up with it.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Finally, our long-term commitment to our three life goals is guided by two simple rules:</w:t>
      </w:r>
    </w:p>
    <w:p>
      <w:pPr>
        <w:spacing w:after="0" w:line="144" w:lineRule="exact"/>
        <w:rPr>
          <w:sz w:val="20"/>
          <w:szCs w:val="20"/>
          <w:color w:val="auto"/>
        </w:rPr>
      </w:pPr>
    </w:p>
    <w:p>
      <w:pPr>
        <w:ind w:left="340" w:right="340" w:hanging="332"/>
        <w:spacing w:after="0" w:line="287"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Get Shit Done. </w:t>
      </w:r>
      <w:r>
        <w:rPr>
          <w:rFonts w:ascii="Arial" w:cs="Arial" w:eastAsia="Arial" w:hAnsi="Arial"/>
          <w:sz w:val="18"/>
          <w:szCs w:val="18"/>
          <w:color w:val="auto"/>
        </w:rPr>
        <w:t>We have little-to-no internal hierarchy; nobody reports to anyone else. Everyone is responsible for their own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empowered to spend it in the way they feel will best advance their own goals, and the goals of the company.</w:t>
      </w:r>
    </w:p>
    <w:p>
      <w:pPr>
        <w:spacing w:after="0" w:line="85"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Don’t Ruin It for Everyone Else. </w:t>
      </w:r>
      <w:r>
        <w:rPr>
          <w:rFonts w:ascii="Arial" w:cs="Arial" w:eastAsia="Arial" w:hAnsi="Arial"/>
          <w:sz w:val="18"/>
          <w:szCs w:val="18"/>
          <w:color w:val="auto"/>
        </w:rPr>
        <w:t>Whenever there is some complicated scenario with an unclear resolution, we always brainstorm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fairest possible solution — and then put in the hard work to make that ideal solution our actual solution. Fairness rarely comes easy, and is typically far, far from the norm.</w:t>
      </w:r>
    </w:p>
    <w:p>
      <w:pPr>
        <w:spacing w:after="0" w:line="1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believe that our unique culture and our employees’ happiness and long-term commitment to Expensify is a critical component of our success. As of December 31, 2024 we had 115 full-time employees. None of our employees are represented by a labor union or covered by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also engage third-party vendors to supply on-demand workers as needed to support our operations. We have not experienced any work stoppages, and we believe that our employee relations are strong. We remain committed to reevaluating ourselves and continuing to foster a workplace environment that prioritizes the well-being of each and every Expensify employee.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employees with competitive compensation, comprehensive healthcare options and equity ownership across our organization.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encourage a balanced lifestyle by offering our employees the flexibility to work remotely and set their own schedules.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RESEARCH AND DEVELOPMENT</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 product-led growth strategy, so our ability to scale our platform depends on our ability to innovate and continue to deliver quality and valuable features for members. As such, we prioritize our research and development above all other investments. Our Customer Success team works closely with our customers to identify our members’ greatest needs and act as our primary Product Managers to develop features that reflect their feedback. We build our software with the end user at the center of every decision, investing substantial time, energy and resources to ensure we have a deep understanding of our members’ needs.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CUSTOMER SUCCESS</w:t>
      </w:r>
    </w:p>
    <w:p>
      <w:pPr>
        <w:spacing w:after="0" w:line="15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Concierge is our customer support engine. Concierge is designed for speed and accuracy and optimized for cost. Concierge is powered by AI and trained by customer support agents, with different levels of skill and training, spread out across the world.</w:t>
      </w:r>
    </w:p>
    <w:p>
      <w:pPr>
        <w:spacing w:after="0" w:line="8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Concierge is also supported with generative AI trained on how to use Expensify. All customer inquiries are screened to see if they can be answered from our help documentation. If they can be, Concierge will automatically respond with an answer formulated by generative AI using the help documentation as its source. Approximately 80% of initial inquiries are able to be answered automatically by Concierge without escalation.</w:t>
      </w:r>
    </w:p>
    <w:p>
      <w:pPr>
        <w:spacing w:after="0" w:line="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First Responders provide simple support that requires minimal training, with the primary requirement being English proficiency. Second Responders receive more in depth training and answer more complex questions, as well as those that require a deeper understanding of the platform. The costs of maintaining a team of First and Second Responders scales according to support volume, but thanks to Concierge, benefits from extraordinary economies of scale as well as consistency in speed and quality. First and Second Responders are employed and managed by vendors, which helps us efficiently scale up and down based on support volumes.</w:t>
      </w:r>
    </w:p>
    <w:p>
      <w:pPr>
        <w:spacing w:after="0" w:line="1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Success Coaches are full-time employees who manage the bulk of our product management. Approximately 25% of Success Coach time is spent on traditional product management activity (i.e., writing product proposals, engaging with the product development team, testing new functionality, updating documentation). The remaining approximately 75% is spent doing traditional account management tasks and performing "supervised training" of the Concierge AI in response to edge case conversations escalated from Second Responders. We believe that by keeping our product managers involved with the customers we design and develop features that customers like to use — supporting our product-led growth.</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MARKETING</w:t>
      </w:r>
    </w:p>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members are our best marketers. They have adopted, championed and spread Expensify to their colleagues, managers and friends. We have empowered employees to simplify and streamline expense management and in the process we have created champions of our solutions who naturally demonstrate the value of Expensify to decision makers at their broader organizations.</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make our platform available for free trial online, which facilitates rapid and widespread adoption. The strength of our solution and its user-friendly nature creates advocates of our platform and allows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Expensify to spread virally, through word-of-mouth, across teams, departments and organizations. This word-of-mouth marketing increases organically as more individual members and teams discover our platform.</w:t>
      </w:r>
    </w:p>
    <w:p>
      <w:pPr>
        <w:spacing w:after="0" w:line="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marketing efforts are designed to support the bottom-up viral nature of our platform by establishing our brand as a premiere option in preaccounting software. We invest in brand and platform promotion through partners, conference participation, thought leadership, direct marketing and advertising and content development to educate the market about the benefits of our platform and create market consensus.</w:t>
      </w:r>
    </w:p>
    <w:p>
      <w:pPr>
        <w:spacing w:after="0" w:line="1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Creating market consensus requires a major investment to establish and requires ongoing commitment to our product to maintain. So long as the market agrees in the strength of our platform, it is relatively inexpensive to maintain that perception. This creates an asymmetric advantage against challengers to our brand. This market consensus strategy enables us to attract new customers without needing to pay a high marginal cost to acquire each new customer.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SALES</w:t>
      </w:r>
    </w:p>
    <w:p>
      <w:pPr>
        <w:spacing w:after="0" w:line="14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viral and word-of-mouth lead generation enables us to employ a self-service and inbound sales model. Potential customers are generally first introduced to Expensify when an employee submits an expense report using Expensify, when they hear of us through their networks, or indirectly through accountants and accounting platforms. Customers then seek out our mobile app and website to try, adopt and use our platform.</w:t>
      </w:r>
    </w:p>
    <w:p>
      <w:pPr>
        <w:spacing w:after="0" w:line="10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sales model focuses on enabling customer self-service and low-friction entry points enhanced with AI powered customer service. Our customers can access free and fully functional trials. When a member has completed their platform evaluation, purchasing is coordinated online through an automated, easy-to-use web or mobile based process. Any customer can get on the phone with our team during or after the sales process, but due to the segment of the market we serve, the overwhelming majority prefer to complete the sales and onboarding process online.</w:t>
      </w:r>
    </w:p>
    <w:p>
      <w:pPr>
        <w:spacing w:after="0" w:line="96"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Our Competition</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primary competition remains the antiquated manual processes that SMBs have been relied upon for decades. Other competitors include traditional horizontal platform solutions with basic expense management features, corporate card providers, and niche expense management point solutions. Because of the strength, flexibility and interoperability of our offering, many of our customers use Expensify in tandem with some of our competitors’ products. We differentiate ourselves from our competition by remaining hyper-focused on our members, continuing to innovate features that add value to our members and maintaining market consensus to facilitate word-of-mouth marketing and support our viral, bottom-up go-to-market motion.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competitive factors that drive leadership in the markets we compete in include the following:</w:t>
      </w:r>
    </w:p>
    <w:p>
      <w:pPr>
        <w:spacing w:after="0" w:line="144"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End user design focus;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Ease of access, adoption, deployment and use;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Platform functionality and ability to automate processes;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Mobile access across devices;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purchase without a sales representative;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Viral, bottom-up business model supported by word-of-mouth adoption;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 interoperability with internal and third party systems and consumer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Flexible, employee-centric legal terms regarding data ownership;</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Data security and privacy;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Speed and scalability of architecture underlying the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 reputation and market consensus around platform superiority;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we compete favorably with our competitors on the basis of the factors described above. We believe our unique approach, business model, and company culture drive significant competitive differentiation. We continue our intense design focus on the employee experience, to support our viral bottom-up business model to drive profitable growth and to nurture our one-of-a-kind company structure and culture to maintain this competitive advantage.</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Intellectual Property</w:t>
      </w:r>
    </w:p>
    <w:p>
      <w:pPr>
        <w:spacing w:after="0" w:line="1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intellectual property is an important aspect of our business and helps us maintain our competitive position. To establish and protect our rights in our proprietary intellectual property, we rely upon a combination of patent, copyright, trade secret and trademark laws, and contractual restrictions such as confidentiality agreements, licenses and intellectual property assignment agreements.</w:t>
      </w:r>
    </w:p>
    <w:p>
      <w:pPr>
        <w:spacing w:after="0" w:line="103" w:lineRule="exact"/>
        <w:rPr>
          <w:sz w:val="20"/>
          <w:szCs w:val="20"/>
          <w:color w:val="auto"/>
        </w:rPr>
      </w:pPr>
    </w:p>
    <w:p>
      <w:pPr>
        <w:jc w:val="both"/>
        <w:ind w:right="440"/>
        <w:spacing w:after="0" w:line="272" w:lineRule="auto"/>
        <w:rPr>
          <w:sz w:val="20"/>
          <w:szCs w:val="20"/>
          <w:color w:val="auto"/>
        </w:rPr>
      </w:pPr>
      <w:r>
        <w:rPr>
          <w:rFonts w:ascii="Arial" w:cs="Arial" w:eastAsia="Arial" w:hAnsi="Arial"/>
          <w:sz w:val="17"/>
          <w:szCs w:val="17"/>
          <w:color w:val="auto"/>
        </w:rPr>
        <w:t>As of December 31, 2024, we had 16 trademark registrations in the United States, including EXPENSIFY, EXPENSICON, PERSONAL KARMA, EXPENSIFY THIS, SMARTSCAN, CONCEIRGE, CORPORATE KARMA, YOU WEREN’T BORN TO DO EXPENSES, LAT* TALKS, LAT TALKS, SWIPE TO WIN, and LONG ASS TABLE TALKS. Various other marks have also been published by us such as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EXPENSIFY PAYMENTS, AT THE SPEED OF CHAT, TRAVEL AND EXPENSE AT THE SPEED OF CHAT, EASY MONEY, EXPENSIFY IS EASY MONEY, EXPENSIFY – IT’S EASY MONEY, NEW EXPENSIFY, KARMA POINTS and the Expensify “E” Logo. We also had approximately 101 trademark registrations (including international registrations) and approximately 11 pending applications in certain foreign jurisdictions, including Canada, the European Union, the United Kingdom, Mexico, Brazil, Australia and New Zealand. We will pursue additional trademark registrations to the extent we believe it would be beneficial and cost effective. We also own several domain names, including www.expensify.com, use.expensiffy.com, www.expensify.org, and new.expensify.com.</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December 31, 2024, we had 26 issued patents and 12 pending patent applications in the United States. Our issued patents expire between August 18, 2028 and March 26, 2040. We have 2 pending applications in each of Europe, Australia and Canada, and 1 pending application in the Patent Cooperation Treaty. We continually review our development efforts to assess the existence and patentability of new intellectual property.</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control access to our intellectual property and confidential information through internal and external controls. We maintain a policy requiring our employees, contractors, consultants and other third parties involved in the development of intellectual property on our behalf to enter into confidentiality and proprietary rights agreements to control access to our proprietary information. Intellectual property laws and our procedures and restrictions provide only limited protection, and any of our intellectual property rights may be challenged, invalidated, circumvented, infringed, or misappropriated.</w:t>
      </w:r>
    </w:p>
    <w:p>
      <w:pPr>
        <w:spacing w:after="0" w:line="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Government Regulation</w:t>
      </w:r>
    </w:p>
    <w:p>
      <w:pPr>
        <w:spacing w:after="0" w:line="1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“Risk Factors—Risks Related to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Corporate Information</w:t>
      </w:r>
    </w:p>
    <w:p>
      <w:pPr>
        <w:spacing w:after="0" w:line="1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were incorporated on April 29, 2009 as Expensify, Inc., a Delaware corporation. Our principal executive offices are located at 401 SW 5th Street, Portland, Oregon 97204.</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Available Information</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website address is www.expensify.com. Information contained on, or that can be accessed through, our website does not constitute part of this Annual Report on Form 10-K. The U.S. Securities and Exchange Commission (“SEC”) maintains an Internet site that contains reports, proxy and information statements, and other information regarding issuers that file electronically with the SEC at www.sec.gov. Our Annual Reports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investors.expensify.com as soon as reasonably practicable after we electronically file such material with, or furnish it to, the SEC.</w:t>
      </w:r>
    </w:p>
    <w:p>
      <w:pPr>
        <w:spacing w:after="0" w:line="102"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We provide notifications of news or announcements regarding our financial performance, including SEC filings, investor events, press and earnings releases, on our investor relations website. The contents of these websites are not intended to be incorporated by reference into this report or in any other report or document we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1A. Risk Factors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Our business involves a high degree of risk. You should carefully consider the risks described below, as well as the other information contained or incorporated by reference in this Annual Report on Form 10-K, including our consolidated financial statements and related notes, as well as our other filings with the SEC.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Risks Related to Our Business</w:t>
      </w:r>
    </w:p>
    <w:p>
      <w:pPr>
        <w:spacing w:after="0" w:line="17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Our quarterly and annual results of operations have fluctuated in the past and may fluctuate significantly in the future and may not meet our expectations or those of investors or securities analysts.</w:t>
      </w:r>
    </w:p>
    <w:p>
      <w:pPr>
        <w:spacing w:after="0" w:line="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quarterly and annual results of operations, including the levels of our revenue, working capital and cash flows, have varied significantly in the past and may vary significantly in the future, such that period-to-period comparisons of our results of operations may not be meaningful. Our quarterly and annual financial results may fluctuate due to a variety of factors, many of which are outside of our control and may be difficult to predict, including, but not limited to:</w:t>
      </w:r>
    </w:p>
    <w:p>
      <w:pPr>
        <w:spacing w:after="0" w:line="10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demand across our platform and for individual features within our platform;</w:t>
      </w:r>
    </w:p>
    <w:p>
      <w:pPr>
        <w:spacing w:after="0" w:line="157" w:lineRule="exact"/>
        <w:rPr>
          <w:rFonts w:ascii="Arial" w:cs="Arial" w:eastAsia="Arial" w:hAnsi="Arial"/>
          <w:sz w:val="18"/>
          <w:szCs w:val="18"/>
          <w:color w:val="auto"/>
        </w:rPr>
      </w:pPr>
    </w:p>
    <w:p>
      <w:pPr>
        <w:ind w:left="340" w:right="260" w:hanging="332"/>
        <w:spacing w:after="0" w:line="262"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grow or maintain our gross logo retention rate and net seat retention rate (each as described under the section titled "Management's Discussion and Analysis of Financial Condition and Results of Operations—Key Factors Affecting Our Performance— Retaining Existing Customers"), expand usage within organizations, retain and increase sales to existing customers and attract new members and customers;</w:t>
      </w:r>
    </w:p>
    <w:p>
      <w:pPr>
        <w:spacing w:after="0" w:line="95"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predictably generate revenue through marketing and sales efforts;</w:t>
      </w:r>
    </w:p>
    <w:p>
      <w:pPr>
        <w:spacing w:after="0" w:line="157" w:lineRule="exact"/>
        <w:rPr>
          <w:rFonts w:ascii="Arial" w:cs="Arial" w:eastAsia="Arial" w:hAnsi="Arial"/>
          <w:sz w:val="18"/>
          <w:szCs w:val="18"/>
          <w:color w:val="auto"/>
        </w:rPr>
      </w:pPr>
    </w:p>
    <w:p>
      <w:pPr>
        <w:ind w:left="340" w:right="100" w:hanging="332"/>
        <w:spacing w:after="0" w:line="28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71" w:lineRule="exact"/>
        <w:rPr>
          <w:rFonts w:ascii="Arial" w:cs="Arial" w:eastAsia="Arial" w:hAnsi="Arial"/>
          <w:sz w:val="18"/>
          <w:szCs w:val="18"/>
          <w:color w:val="auto"/>
        </w:rPr>
      </w:pPr>
    </w:p>
    <w:p>
      <w:pPr>
        <w:ind w:left="340" w:right="660" w:hanging="332"/>
        <w:spacing w:after="0" w:line="28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grow and maintain our relationships and/or integrations with our network of third-party partners, including integration partners, channel partners and professional service partners;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regulate members and member interactions on an increasingly collaborative platform;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grow revenue share and customer referrals from our partner ecosystem;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customers’ businesses;</w:t>
      </w:r>
    </w:p>
    <w:p>
      <w:pPr>
        <w:spacing w:after="0" w:line="157" w:lineRule="exact"/>
        <w:rPr>
          <w:rFonts w:ascii="Arial" w:cs="Arial" w:eastAsia="Arial" w:hAnsi="Arial"/>
          <w:sz w:val="18"/>
          <w:szCs w:val="18"/>
          <w:color w:val="auto"/>
        </w:rPr>
      </w:pPr>
    </w:p>
    <w:p>
      <w:pPr>
        <w:ind w:left="340" w:right="220" w:hanging="332"/>
        <w:spacing w:after="0" w:line="28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 and features, including the Expensify Card and any new features we may introduce;</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retain customers on annual subscriptions;</w:t>
      </w:r>
    </w:p>
    <w:p>
      <w:pPr>
        <w:spacing w:after="0" w:line="157" w:lineRule="exact"/>
        <w:rPr>
          <w:rFonts w:ascii="Arial" w:cs="Arial" w:eastAsia="Arial" w:hAnsi="Arial"/>
          <w:sz w:val="18"/>
          <w:szCs w:val="18"/>
          <w:color w:val="auto"/>
        </w:rPr>
      </w:pPr>
    </w:p>
    <w:p>
      <w:pPr>
        <w:ind w:left="340" w:right="460" w:hanging="332"/>
        <w:spacing w:after="0" w:line="28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and improve employee efficiency, and our ability to manage third party, outsourced or open source workers to provide value-added services like receipt processing, customer support and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and features, which would lead to lower revenue, increased costs, or both;</w:t>
      </w:r>
    </w:p>
    <w:p>
      <w:pPr>
        <w:spacing w:after="0" w:line="144" w:lineRule="exact"/>
        <w:rPr>
          <w:rFonts w:ascii="Arial" w:cs="Arial" w:eastAsia="Arial" w:hAnsi="Arial"/>
          <w:sz w:val="18"/>
          <w:szCs w:val="18"/>
          <w:color w:val="auto"/>
        </w:rPr>
      </w:pPr>
    </w:p>
    <w:p>
      <w:pPr>
        <w:ind w:left="340" w:right="540" w:hanging="332"/>
        <w:spacing w:after="0" w:line="28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to our platform and features;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ineffective pricing strategies that could limit customer base expansion, revenue growth and subscription renewals;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57" w:lineRule="exact"/>
        <w:rPr>
          <w:rFonts w:ascii="Arial" w:cs="Arial" w:eastAsia="Arial" w:hAnsi="Arial"/>
          <w:sz w:val="18"/>
          <w:szCs w:val="18"/>
          <w:color w:val="auto"/>
        </w:rPr>
      </w:pPr>
    </w:p>
    <w:p>
      <w:pPr>
        <w:ind w:left="340" w:right="440" w:hanging="332"/>
        <w:spacing w:after="0" w:line="28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talent, technologies, businesses or intellectual property, and their integration, including potentially significant amortization costs and possible write-downs;</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health crises, such as the COVID-19 pandemic, or other conditions that impact travel and business spending; and</w:t>
      </w:r>
    </w:p>
    <w:p>
      <w:pPr>
        <w:spacing w:after="0" w:line="157" w:lineRule="exact"/>
        <w:rPr>
          <w:rFonts w:ascii="Arial" w:cs="Arial" w:eastAsia="Arial" w:hAnsi="Arial"/>
          <w:sz w:val="18"/>
          <w:szCs w:val="18"/>
          <w:color w:val="auto"/>
        </w:rPr>
      </w:pPr>
    </w:p>
    <w:p>
      <w:pPr>
        <w:ind w:left="340" w:right="100" w:hanging="332"/>
        <w:spacing w:after="0" w:line="28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market conditions in either domestic or international markets, including geopolitical uncertainty and instability and their effects on software spending.</w:t>
      </w:r>
    </w:p>
    <w:p>
      <w:pPr>
        <w:spacing w:after="0" w:line="8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Any one or more of the factors above may result in significant fluctuations in our quarterly and annual results of operations, which may negatively impact the trading price of our Class A common stock. You should not rely on our past results as an indicator of our future performance.</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variability and unpredictability of our quarterly and annual results of operations or other operating metrics could result in our failure to meet our expectations or those of investors or analysts with respect to revenue or other metrics for a particular period. If we fail to meet or exceed such expectations for these or any other reasons, the trading price of our Class A common stock could fall, and we would face litigation, including securities class action lawsuits, which could subject us to substantial costs, divert resources and the attention of management from our business and adversely affect our business, results of operations, and financial condition.</w:t>
      </w:r>
    </w:p>
    <w:p>
      <w:pPr>
        <w:spacing w:after="0" w:line="114"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We may not be able to successfully implement our growth strategies on a timely basis or at all. Even if we are successful, if we fail to effectively manage our growth, our business and results of operations could be harmed.</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operate in a relatively new and rapidly changing category of preaccounting software, and widespread acceptance and use of our platform and features, particularly our expense management feature, is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to our future growth and success. We believe our growth depends on a number of factors, including, but not limited to, our ability to:</w:t>
      </w:r>
    </w:p>
    <w:p>
      <w:pPr>
        <w:spacing w:after="0" w:line="144"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new individuals and organizations to use our features, particularly our expense management feature;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convert individuals and organizations using our free features or trial subscriptions into paying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 or maintain our gross logo retention rate and net seat retention rate, and expand usage within organizations;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our subscription plans effectively and competitively;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retain our existing individual and organizational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features, including in markets outside of the United States;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successfully advance our bottom-up sales strategy as well as strategic relationships with our channel partners;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maintain and build a platform and brand that drives word-of-mouth exposure to new potential members;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 or maintain our brand through marketing, advertising campaigns, partnerships and other methods;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gain member traction for and generate revenue from our new features and services;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 or maintain current levels of consideration from a vendor and/or fees generated through transaction-based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 and features;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 and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 the trust of our customers;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successfully respond to other competitive challenges in the United States and globally;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hire and retain highly skilled personnel;</w:t>
      </w:r>
    </w:p>
    <w:p>
      <w:pPr>
        <w:spacing w:after="0" w:line="157" w:lineRule="exact"/>
        <w:rPr>
          <w:rFonts w:ascii="Arial" w:cs="Arial" w:eastAsia="Arial" w:hAnsi="Arial"/>
          <w:sz w:val="18"/>
          <w:szCs w:val="18"/>
          <w:color w:val="auto"/>
        </w:rPr>
      </w:pPr>
    </w:p>
    <w:p>
      <w:pPr>
        <w:ind w:left="340" w:right="620" w:hanging="332"/>
        <w:spacing w:after="0" w:line="28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 of any future pandemic, epidemic or other public health crisis and the corresponding pace and rate of recovery on our business;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grow our member and customer base in new countries and/or markets, and increase awareness of our brand on a global basis; and</w:t>
      </w:r>
    </w:p>
    <w:p>
      <w:pPr>
        <w:spacing w:after="0" w:line="157"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and maintain compliance and licenses material to our current and future businesses, and comply with existing and new applicable laws and regulations including in markets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tasks, our growth, including our revenue growth, would be harmed.</w:t>
      </w:r>
    </w:p>
    <w:p>
      <w:pPr>
        <w:spacing w:after="0" w:line="14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ability to accurately plan for and model future growth is limited and subject to a number of risks and uncertainties, due in part to our global operations, customer preferences and mix of products and features. If our assumptions regarding these risks and uncertainties, which we use to plan our business strategies and operations, are incorrect or change due to industry or market developments, or if we do not address these risks successfully, our operating results could differ materially from our expectations and our business could suffer. Additionally, the growth and expansion of our business and platform may place a significant strain on our management and our administrative, operational and financial reporting resources. For example, we are required to manage multiple relationships with various strategic, integration and channel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growth, we must continue to implement and improve our operational, financial and management information and reporting systems and manage our employee base. If future revenue growth does not offset any increases in our operating expenses, our business, results of operations, and financial condition will be harmed, and we may not be able to maintain profitability. In addition, as we seek to continue to expand internationally, we will likely encounter unexpected challenges and expenses due to unfamiliarity with local regulations, requirements, practices and markets.</w:t>
      </w:r>
    </w:p>
    <w:p>
      <w:pPr>
        <w:spacing w:after="0" w:line="122"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expense management feature drives the majority of our subscriptions, and any failure of this feature to satisfy customer demands or to achieve increased market acceptance could adversely affect our business, results of operations, financial condition and growth prospects.</w:t>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majority of our subscriptions are driven by bottom-up adoption related to our expense management feature. Although we have added, and expect to continue to add, new features to expand our offerings, and all of our features are accessible under a single subscription, at least in the near term, we expect our expense management feature to continue to drive the majority of our subscriptions. As a result, market acceptance of our expense management feature is critical to our success. Demand for our expense management feature, as well as our other features, is affected by a number of factors, many of which are beyond our control, such as the adoption of our features by new and existing customers; the timing of development and release of upgraded or new features on our platform; products and services introduced or upgraded by our competitors or partners; our ability to determine optimal pricing for our platform, including in international markets; pricing offered by our competitors; technological change; and growth or contraction in our addressable market. We increased our subscription prices in 2020, and although the increased prices have not substantially affected our business to date, we cannot guarantee any future price increases we choose to implement will not adversely affect our business. If we are unable to meet customer demand for our expense management feature; do not price our subscriptions optimally or make changes to our subscription or pricing models that are not accepted by the market; or fail to convert members of our free expense management feature or trial subscriptions to paying subscribers, our business, results of operations, financial condition and growth prospects will suffer.</w:t>
      </w:r>
    </w:p>
    <w:p>
      <w:pPr>
        <w:spacing w:after="0" w:line="108"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by continually modifying and enhancing our features to keep pace with changes in hardware systems and software applications,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operating results could be adversely affected. If new technologies emerge that deliver competitive products at lower prices, more efficiently, more conveniently, or more securely, it could adversely impact our ability to 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platform must also integrate with a variety of network, hardware, mobile and software platforms and technologies. We need to continuously modify and enhance our platform to adapt to changes and innovation in these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 effective manner, our platform may become less marketable and less competitive or obsolete, and our operating results may be negatively affected.</w:t>
      </w:r>
    </w:p>
    <w:p>
      <w:pPr>
        <w:spacing w:after="0" w:line="103" w:lineRule="exact"/>
        <w:rPr>
          <w:sz w:val="20"/>
          <w:szCs w:val="20"/>
          <w:color w:val="auto"/>
        </w:rPr>
      </w:pPr>
    </w:p>
    <w:p>
      <w:pPr>
        <w:jc w:val="both"/>
        <w:ind w:right="120"/>
        <w:spacing w:after="0" w:line="272" w:lineRule="auto"/>
        <w:rPr>
          <w:sz w:val="20"/>
          <w:szCs w:val="20"/>
          <w:color w:val="auto"/>
        </w:rPr>
      </w:pPr>
      <w:r>
        <w:rPr>
          <w:rFonts w:ascii="Arial" w:cs="Arial" w:eastAsia="Arial" w:hAnsi="Arial"/>
          <w:sz w:val="18"/>
          <w:szCs w:val="18"/>
          <w:b w:val="1"/>
          <w:bCs w:val="1"/>
          <w:i w:val="1"/>
          <w:iCs w:val="1"/>
          <w:color w:val="auto"/>
        </w:rPr>
        <w:t>If we are unable to attract new customers on a cost-effective basis, convert individuals using our free basic expense management feature and organizations using our trial subscriptions into paying customers, retain existing customers and expand usage within organizations, our revenue growth will be harmed.</w:t>
      </w:r>
    </w:p>
    <w:p>
      <w:pPr>
        <w:spacing w:after="0" w:line="9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To increase our revenue, we must increase our customer base through various methods, including but not limited to, retaining existing customers, adding new customers, converting individuals using our free basic expense management feature and organizations using our trial subscriptions into paying customers, and expanding usage within organizations. Our business is subscription-based, with monthly and annual subscriptions, and customers are not obligated to and may not renew their subscriptions after their existing subscriptions expire.</w:t>
      </w:r>
    </w:p>
    <w:p>
      <w:pPr>
        <w:spacing w:after="0" w:line="1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One of our primary marketing strategies is to offer a free basic version of our expense management feature to individuals within organizations. We rely on these individuals to expose others within their organizations to our platform and features and to convince those individuals to become new members, which could eventually lead to the engagement of the organization or individuals or departments within the organization as paying customers. To encourage viral adoption, we offer viral features that are free and accessible without a paid subscription, and we also offer time-limited trial subscriptions. We believe these free basic features and trial subscriptions promote brand awareness and organic adoption of our platform. While our viral model means that employees or contractors often introduce Expensify into SMBs, companies subscribe and pay for the majority of our paid members. To the extent that increasing numbers of these individuals and organizations who utilize the free aspects of our platform do not become, or lead others to become, paying customers, we will not realize the intended benefits of these marketing strategies, we will continue to pay the costs associated with hosting such free basic features and trial subscriptions, our ability to grow our business will be harmed, and our business, results of operations and financial condition will suffer.</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Numerous factors may impede our ability to attract new customers, convert individuals and organizations using our free basic features and trial subscriptions into paying customers, expand usage within organizations, increase use of our other features such as the Expensify Card and gain new subscriptions, including but not limited to, failure to retain and motivate our personnel; failure to establish, maintain or expand relationships with channel and integration partners; failure to compete effectively against alternative products or services; our ability to determine optimal pricing for our subscriptions, including in international markets; failure to successfully deploy new features and integrations; failure to provide a quality customer experience and customer support; or failure to ensure the effectiveness of our bottom-up sales approach and other marketing programs. Channel partnerships are also an important aspect of our growth strategy, and we will need to maintain our partnerships with existing channel partners and identify and attract new channel partners in order to maintain the effectiveness of this strategy. Moreover, we believe that many of our new customers originate from word-of-mouth and other non-paid referrals from existing customers, so we must ensure that our existing customers remain loyal to our platform in order to continue receiving those referrals.</w:t>
      </w:r>
    </w:p>
    <w:p>
      <w:pPr>
        <w:spacing w:after="0" w:line="1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is subscription-based, and customers are not obligated to and may not renew their subscriptions after their existing subscriptions expire. We cannot ensure that customers will renew subscriptions with the same or greater number of members or for the same level of subscription plan or that they will upgrade to use features such as bi-directional accounting sync and invoicing features or the Expensify Card. Customers may or may not renew their subscriptions as a result of a number of factors, including their satisfaction or dissatisfaction with our platform; changes we may implement in our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or structure; the pricing or capabilities of the products and services offered by our competitors; the effects of general economic conditions; or customers’ budgetary constraints. If customers do not renew their subscriptions, renew on less favorable terms, or fail to add members, or if we fail to convert individuals and organizations into paying members, or expand the adoption of our platform within their organizations, our revenue may decline or grow less quickly than anticipated, which would harm our business, results of operations and financial condition. Our future success also depends in part on our ability to provide additional features to attract new members at existing customers, as well as increase transaction monetization from the Expensify Card. If our efforts to do so are not successful, our revenue may decline or grow less quickly than anticipated, which would harm our business, results of operations and financial condition.</w:t>
      </w:r>
    </w:p>
    <w:p>
      <w:pPr>
        <w:spacing w:after="0" w:line="104"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We may fail to accurately predict the optimal pricing strategies necessary to attract new customers, retain existing customers and respond to changing market conditions.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 the past, and may in the future, need to change our pricing model from time to time. As the market for our platform matures, or as competitors introduce new solutions that compete with ours, we may be unable to attract new customers at the same prices or based on the same pricing models that we have used historically. While we do and will attempt to set prices based on our prior experiences and customer feedback, our assessments may not be accurate and we could be underpricing or overpricing our platform. In addition, if the offerings on our platform change, then we may need to revise our pricing strategies. Any such changes to our pricing strategies or our ability to efficiently price our offerings could adversely affect our business, operating results and financial condition. Pricing pressures and decisions could result in reduced sales, reduced margins, losses or the failure of our platform to achieve or maintain more widespread market acceptance, any of which could negatively impact our overall business, operating results and financial condition. Moreover, the organizations which we target may demand substantial price concessions. As a result, we may be required to price below our targets in the future, which could adversely affect our revenue, profitability, cash flows and financial condition.</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may not successfully develop or introduce new features, enhancements, integrations, capabilities and versions of our existing features that achieve market acceptance, and our business could be harmed and our revenue could suffer as a result.</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ability to attract new customers and increase revenue from existing customers depends in large part upon the successful development, introduction and customer acceptance of new features, enhancements, integrations, capabilities and versions of our existing features. If we are unable to expand our platform offerings in a manner that increases retention of existing customers and attracts new customers, our customers could migrate to competitors who may offer a broader or more attractive range of products and services. Unexpected delays in releasing new or enhanced features or versions of our features, or errors following their release, could result in loss of sales, delay in market acceptance of our features, or customer claims against us, any of which could harm our business. The success of any new feature, enhancement, integration, capability or version depends on several factors, including timely completion and delivery, competitive pricing, adequate quality testing, integration with existing technologies, proper marketing of the feature and market acceptance. We may not be able to develop new features successfully or to introduce and gain market acceptance of new features in a timely manner, or at all.</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successful development, introduction and customer acceptance of new features, enhancements, integrations, capabilities and versions of our existing features is costly and time-consuming, and our business could be harmed if we fail to deliver new features, enhancements, integrations, capabilities and versions of our existing features that meet customer needs on a timely and cost effective basis.</w:t>
      </w:r>
    </w:p>
    <w:p>
      <w:pPr>
        <w:spacing w:after="0" w:line="10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example, in 2021 we released the first version of an open-source financial group chat optimized for financial conversations, designed to be used both in and outside of work, and maintained by a community of open source developers. The current version has a subset of the features of our legacy app available as we continue development. We expect our open-source offering to be a complete rewrite of the Expensify front end, built on a new React Native platform that uses the same codebase across iOS, Android, web and desktop once completed. Although we see this direction as a natural next step in our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product vision, we have not developed an open-source financial group chat (or similar feature) before, and it may not meet customer needs, gain member traction or generate revenue sufficient to offset the costs of development, which could harm our business even if and when the feature complete version is released.</w:t>
      </w:r>
    </w:p>
    <w:p>
      <w:pPr>
        <w:spacing w:after="0" w:line="92"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We face significant competition, the market in which we operate is rapidly evolving, and if we do not compete effectively, our results of operations and financial condition could be harmed.</w:t>
      </w:r>
    </w:p>
    <w:p>
      <w:pPr>
        <w:spacing w:after="0" w:line="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face significant competitive challenges from do-it-yourself approaches as well as companies that provide traditional horizontal platform solutions with expense management features, corporate card providers and niche expense management solutions. Traditional do-it-yourself approaches (for example, using spreadsheets, email, messaging and legacy project management tools) are people-intensive and involve internal personnel manually performing expense management processes. Many businesses using do-it-yourself approaches believe that these manual processes are adequate and may be unaware that Expensify can replace several expensive, disconnected services with one fully connected preaccounting platform for a fraction of the cost, resulting in an inertia that can be difficult to overcome. It is difficult to predict adoption rates and demand for our platform, the future growth rate and size of the market for expense management and other preaccounting products, or the entry of competitive offerings. The expansion of the expense management and other preaccounting products market depends on a number of factors, including the cost, performance and perceived value associated with these solutions. If expense management and other preaccounting solutions do not achieve widespread adoption, or there is a reduction in demand for expense management and other preaccounting products caused by a lack of customer acceptance, technological challenges, weakening economic conditions, security or privacy concerns, competing technologies and products, decreases in corporate spending, or otherwise, it could result in decreased revenue, and our business, results of operations and financial condition would be adversely affected.</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there are a number of competing companies that provide traditional horizontal platform solutions with expense management features, some of which have substantially greater revenue, personnel and other resources than we do. These firms have historically targeted primarily large enterprise customers, but many of them also market to SMBs in search of growth in revenue or market share. We also face competition from a growing number of other businesses offering expense management solutions and corporate cards. Our smaller competitors who currently focus their product offerings on SMBs may be better positioned than larger competitors to increase their market share with SMBs, whether by competing based on price, service, or otherwise. Increased competition may impact our ability to add new customers at the rates we have historically achieved. Additionally, competition may increase in the future from new market entrants. With the introduction of new technologies and the entry of new companies into the market, we expect competition to persist and intensify. This could harm our ability to increase our customer base, maintain subscription renewals and maintain our prices.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it is possible that large enterprises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 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including the addition of bottom-up adoption features. Some of our larger competitors use broader product offerings to compete, including by selling at zero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new customers, lower revenue and loss of market share. Any failure to successfully and effectively compete with current or future competitors could cause us to lose business and harm our revenue growth, business, results of operations and financial condition.</w:t>
      </w:r>
    </w:p>
    <w:p>
      <w:pPr>
        <w:spacing w:after="0" w:line="103"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An economic downturn or economic uncertainty could negatively impact our customers and materially and adversely affect our business, financial condition and results of operations.</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depends on the economic health of our current and prospective customers and the overall state of the economy. Declining levels of economic activity may lead to declines or delays in business spending, declines in the number of paid monthly members of our platform and fewer transactions for which our platform may be used, which may result in decreased revenue for us. Uncertain and adverse economic conditions may cause customers to change their company policies to limit expense reimbursement and have led to increased requests for, and may lead to, increased refunds and chargebacks. Additionally, economic uncertainty and negative economic pressures may cause prospective or existing customers to defer investment or expansion in their business, and they may become more price-sensitive and perceive our platform as too costly. As of December 31, 2024, businesses with fewer than 1,000 employees accounted for approximately 95% of our customers by revenue, and we focus our product, marketing and sales efforts on these businesses, including SMBs. These customers may be more susceptible to general economic conditions than larger businesses, which may have greater liquidity and access to capital. Our competitors, many of whom are larger and more established than we are, may respond to market conditions by lowering their prices and attempting to lure away our customers. Many of our larger competitors currently focus their product offerings on larger customers who may be less susceptible to general economic conditions. As a result, our larger competitors may be better positioned than we are to increase their market share with businesses of all sizes. In addition, the increased pace of consolidation in certain industries may result in reduced overall spending on our platform offerings.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14"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b w:val="1"/>
          <w:bCs w:val="1"/>
          <w:i w:val="1"/>
          <w:iCs w:val="1"/>
          <w:color w:val="auto"/>
        </w:rPr>
        <w:t>Payments and other financial services-related laws and regulations and government oversight are material to our business. The actions of various policymakers across government levels may create a complexity of multiple, conflicting and changing governmental laws and regulations. Our failure to comply with such laws and regulations could materially harm our business and can subject us to criminal and civil liability.</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regulatory environment in which we conduct our business is extensive and complex. The local, state, and federal laws, rules, regulations, licensing and other authorization schemes, and industry standards that govern our business, including our payment services, include, or may in the future include, those relating to banking, invoicing, cross-border and domestic money transmission, foreign exchange, payments services (such as payment processing and settlement services), anti-money laundering, combating terrorist financing, escheatment, U.S. and international sanctions regimes, and compliance with the Payment Card Industry Data Security Standard ("PCI-DSS"), a set of requirements designed to ensure that all companies that process, store, or transmit payment card information maintain a secure environment to protect cardholder data.</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These laws, rules, regulations, licensing and other authorization schemes, and industry standards are administered and enforced by multiple authorities and governing bodies in the United States, including but not limited to the U.S. Department of the Treasury, the Federal Deposit Insurance Corporation, the Board of Governors of the Federal Reserve System, Office of Foreign Assets Control, self-regulatory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organizations, and numerous state and local governmental and regulatory authorities. These various authorities and governing bodies may enact conflicting laws or regulations that are complex and may change frequently. Responding to such conflicting, complex or changing rules and regulations entails inherent costs, and any actual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result in additional compliance and licensure requirements, and increased regulatory scrutiny of our business. In addition, we may be forced to restrict or change our operations or business practices, make product changes, or delay planned product launches or improvements. Any of the foregoing could materially adversely affect our brand, reputation, business, results of operations, and financial condition.</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Expensify Payments LLC (“Expensify Payments”) is a licensed money transmitter (or its equivalent) in various U.S. states and territories and is in the process of obtaining money transmission licenses in a number of additional states and territories. As a licensed money transmitter, Expensify Payments, its ultimate beneficial owners, and its control persons are subject to a range of restrictions and ongoing compliance obligations under the money transmitter statutes (or their equivalent) administered by the banking departments (or their equivalent) of the various U.S. states and territories where it is licensed, including requirements with respect to the investment of customer funds, financial recordkeeping and reporting, reconciliation of customer funds, bonding, minimum capital, minimum net worth, disclosure, and inspection by regulatory authorities concerning various aspects of its business. In a number of cases, evaluation of our compliance efforts, as well as questions of whether and to what extent our activities in connection with the provision of certain products and services (both current and historical) are considered money transmission, are matters of regulatory interpretation and could change over time. In the past, regulators have identified violations or alleged violations by us of certain statutory and regulatory requirements, and we have been subject to fines and other penalties by state regulatory authorities due to their interpretation and application of their respective state money transmitter regime to our activities. As a result of the laws and regulations applicable to us and our business, we are and could in the future be subject to investigations, inspections, examinations, and supervision, and resulting liability, including governmental fines, restrictions on our business, or other similar enforcement actions, and we could be forced to cease conducting certain aspects of our business with residents of certain jurisdictions, be forced to change our business practices in certain jurisdictions, or be required to obtain additional licenses, regulatory approvals, or other similar authorizations. We cannot make any assurances that we will be able to obtain or maintain any such licenses, regulatory approvals, and other similar authorizations, and there could be substantial costs and potential product changes involved in obtaining and maintaining any such licenses, approvals, or other similar authorizations, which could have a material adverse effect on our business. In addition, there are substantial costs and potential product changes involved in maintaining and renewing any licenses, regulatory approvals, and other similar authorizations, and we could be subject to fines or other enforcement action if we are found to violate disclosure, reporting, anti-money laundering, capitalization, net worth, corporate governance, or other requirements applicable to us, including those required in connection with maintaining such licenses, approvals, or authorizations. These factors could impose substantial additional costs on us, involve considerable delay to the development or provision of our products or services to our customers, require significant and costly operational changes, or prevent us from providing our products or services in any given market.</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Governmental and regulatory bodies and authorities may also impose new or additional requirements on our business or issue or promulgate new laws, regulations, or rules applicable to persons engaged in money transmission that adversely affect our business, including those that:</w:t>
      </w:r>
    </w:p>
    <w:p>
      <w:pPr>
        <w:spacing w:after="0" w:line="85" w:lineRule="exact"/>
        <w:rPr>
          <w:sz w:val="20"/>
          <w:szCs w:val="20"/>
          <w:color w:val="auto"/>
        </w:rPr>
      </w:pPr>
    </w:p>
    <w:p>
      <w:pPr>
        <w:ind w:left="340" w:right="820" w:hanging="332"/>
        <w:spacing w:after="0" w:line="28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or entities;</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 additional customer identification and customer due diligence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157" w:lineRule="exact"/>
        <w:rPr>
          <w:rFonts w:ascii="Arial" w:cs="Arial" w:eastAsia="Arial" w:hAnsi="Arial"/>
          <w:sz w:val="18"/>
          <w:szCs w:val="18"/>
          <w:color w:val="auto"/>
        </w:rPr>
      </w:pPr>
    </w:p>
    <w:p>
      <w:pPr>
        <w:ind w:left="340" w:right="120" w:hanging="332"/>
        <w:spacing w:after="0" w:line="28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interest earned on customer funds, transaction fees, and revenue derived from foreign exchange;</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customers;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originated in a country to be invested in that country or held in trust until paid;</w:t>
      </w:r>
    </w:p>
    <w:p>
      <w:pPr>
        <w:spacing w:after="0" w:line="157" w:lineRule="exact"/>
        <w:rPr>
          <w:rFonts w:ascii="Arial" w:cs="Arial" w:eastAsia="Arial" w:hAnsi="Arial"/>
          <w:sz w:val="18"/>
          <w:szCs w:val="18"/>
          <w:color w:val="auto"/>
        </w:rPr>
      </w:pPr>
    </w:p>
    <w:p>
      <w:pPr>
        <w:ind w:left="340" w:right="680" w:hanging="332"/>
        <w:spacing w:after="0" w:line="28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w:t>
      </w:r>
    </w:p>
    <w:p>
      <w:pPr>
        <w:spacing w:after="0" w:line="71" w:lineRule="exact"/>
        <w:rPr>
          <w:rFonts w:ascii="Arial" w:cs="Arial" w:eastAsia="Arial" w:hAnsi="Arial"/>
          <w:sz w:val="18"/>
          <w:szCs w:val="18"/>
          <w:color w:val="auto"/>
        </w:rPr>
      </w:pPr>
    </w:p>
    <w:p>
      <w:pPr>
        <w:ind w:left="340" w:right="200" w:hanging="332"/>
        <w:spacing w:after="0" w:line="28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 or</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other requirements in furtherance of their missions.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example, as a result of the bankruptcy and collapse of Synapse Financial Technologies, Inc., Expensify Payments has become subject to further recordkeeping requirements and received increased inquiries from regulators regarding our record keeping systems and process. These increased requirements and inquiries could lead to increased costs for maintaining our compliance with required regulations.</w:t>
      </w:r>
    </w:p>
    <w:p>
      <w:pPr>
        <w:spacing w:after="0" w:line="92"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The success of our business largely depends on our senior management team, and we depend on professional services firms for a portion of our finance function. The loss of any key employees or our outsourced finance team could adversely affect our business.</w:t>
      </w:r>
    </w:p>
    <w:p>
      <w:pPr>
        <w:spacing w:after="0" w:line="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success depends largely upon the continued services of our key executive officers and employees, including our founder and CEO, David Barrett. We also rely on our leadership team in the areas of research and development, marketing, sales, services and general and administrative functions, and on mission-critical individual contributors in research and development.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could have a serious adverse effect on our business.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we depend on certain professional services firms for a portion of our finance function. If we lose the services of these outsourced finance teams for any reason, our ability to complete key accounting processes and reviews and provide timely and accurate financial reporting could be seriously harmed, and we could experience material weaknesses in our disclosure controls and procedures and our internal control over financial reporting. In addition, we may be unable to retain a new outside professional services firm or expand the size and expertise of our internal accounting team sufficiently and quickly enough to implement the processes and reviews necessary to ensure that material misstatements do not occur, which could seriously harm our business. Any failure to provide timely and accurate financial reporting or to maintain effective disclosure controls and internal control over financial reporting could harm our business, results of operations and financial condition, and could cause investors to lose confidence in our financial reports and our financial reporting generally, which could cause a decline in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180"/>
        <w:spacing w:after="0" w:line="272"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common stock and could diminish our cash reserves.</w:t>
      </w:r>
    </w:p>
    <w:p>
      <w:pPr>
        <w:spacing w:after="0" w:line="7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February 25, 2025, the Executive Committee authorized a share repurchase program to repurchase up to $50 million of our outstanding Class A common stock, which replaces the Company's share repurchase program that was approved in 2022. Although the Executive Committee has authorized this repurchase program, the program does not obligate us to repurchase any specific dollar amount or to acquire any specific number of shares.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share repurchase program may be modified, suspended, or terminated at any time, and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this program could diminish our cash and cash equivalents and marketable securities.</w:t>
      </w:r>
    </w:p>
    <w:p>
      <w:pPr>
        <w:spacing w:after="0" w:line="108"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We rely on a single third-party vendor, issuing bank and card network for our Expensify Card, and if we lose any of these services, our business, results of operations, financial condition and growth prospects could be harmed.</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Expensify Card is an important element of our growth strategy, and we believe that, over time, the Expensify Card will be a prominent corporate card solution for SMBs in our core markets. For our Legacy Card Program, launched in 2020, we rely on a single third-party vendor, Marqeta, for the Expensify Card, who also manages the relationship with the card's issuing bank, Sutton Bank, and the card network, Visa. In the annual periods ended December 31, 2024, 2023 and 2022, consideration from this vendor representing monetized Expensify Card activities reduced our cost of revenue by $7.2 million, $10.1 million, and $6.2 million, respectively. Our agreement with Marqeta initially had a three year term that was renewed in June 2022 and now automatically renews annually thereafter unless either party provides 90 days’ notice prior to renewal.</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our Updated Card Program, which launched in February 2024, we rely on Marqeta as the payment processor, Bancorp as the card’s issuing bank, and Visa as the card network. In the annual period ended December 31, 2024, interchange revenue earned under the Updated Card Program was $9.2 million. Under the Updated Card Program, our agreement with Marqeta has an initial term of approximately four years, and will automatically renew annually thereafter. Our agreement with Bancorp has an initial five year term, and will automatically renew annually thereafter.</w:t>
      </w:r>
    </w:p>
    <w:p>
      <w:pPr>
        <w:spacing w:after="0" w:line="1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standard termination for cause provisions, either party can terminate without cause upon 180 days' notice, and under certain circumstances Marqeta may terminate with reduced or no notice, including if required to do so by the issuing bank or any regulator with jurisdiction over the issuing bank or Marqeta, or in the event of that we issue cards outside of approved use cases. In the event of termination or expiration of the agreement with Marqeta, we have the right to request Marqeta's assistance in transitioning to a new vendor, and during the transition period the agreement will continue on the same terms. If such transition is not successful, or if we otherwise lose our Expensify Card vendor, issuing bank or card network for any reason, we could experience service interruptions as well as delays and additional expenses, and we may be unable to replace these services on competitive terms, or at all, which could harm our business, results of operations, financial condition and growth prospects.</w:t>
      </w:r>
    </w:p>
    <w:p>
      <w:pPr>
        <w:spacing w:after="0" w:line="119"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rely on a single third-party vendor and travel management company ("TMC") for Expensify Travel, and if we lose any of these services, our business, results of operations, financial condition and growth prospects could be harmed.</w:t>
      </w:r>
    </w:p>
    <w:p>
      <w:pPr>
        <w:spacing w:after="0" w:line="5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Expensify Travel is an important element of our growth strategy, and we believe that, over time, Expensify Travel will be a prominent travel booking solution for SMBs in our core markets. We rely on a single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party vendor, Spotnana, for Expensify Travel who manages the booking platform and interfaces with the TMC, Solutions Travel, LLC, to complete bookings. Our agreement with the TMC has a three year term that automatically renews annually thereafter unless either party provides 30 days' notice prior to renewal.</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standard termination for cause provisions, either party can terminate without cause upon 90 days' notice after the first year term is completed. In the event of termination, we have the right to request transition services for up to three months after termination, and during the transition period the agreement will continue on the same terms. If such transition is not successful, or if we otherwise lose the TMC for any reason, we could experience service interruptions as well as delays and additional expenses, and we may be unable to replace these services on competitive terms, or at all, which could harm our business, results of operations, financial condition, and growth prospects. Such termination or loss could lead to our customers having to go directly to airlines, hotels, or other providers for support instead of through Expensify or the TMC.</w:t>
      </w:r>
    </w:p>
    <w:p>
      <w:pPr>
        <w:spacing w:after="0" w:line="117"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b w:val="1"/>
          <w:bCs w:val="1"/>
          <w:i w:val="1"/>
          <w:iCs w:val="1"/>
          <w:color w:val="auto"/>
        </w:rPr>
        <w:t>If we or our third party providers fail to protect our IT Systems against security incidents, or otherwise to protect our Confidential Information, there may be damage to our reputation and brand, material financial penalties, and legal liability, which could substantially harm our business, financial condition, and results of operations.</w:t>
      </w:r>
    </w:p>
    <w:p>
      <w:pPr>
        <w:spacing w:after="0" w:line="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rely on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We and certain of our third-party providers also collect, maintain, and process data about our customers, including personal information and information about their financial transactions. We also process personal information about our employees, vendors, and business partners, and those who purchase products or services from our customers – as well as proprietary information such as trade secrets (collectively, “Confidential Information”).</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face numerous and evolving cybersecurity risks that threaten the confidentiality, integrity, and availability of our IT Systems and Confidential Information, through diverse attack vectors, such as social engineering/phishing, malware (including ransomware), malfeasance by insiders, human or technological error, and as a result of malicious code embedded in open-source software, or misconfigurations, “bugs” or other vulnerabilities in commercial software that is integrated into our (or our suppliers’ or service providers’) IT Systems, products, or services. Attacks upon information technology systems are increasing, and expected to continue increasing, in their frequency, levels of persistence, sophistication and intensity – including through the use of artificial intelligence – and are being conducted by diverse threat actors including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be subject to vulnerabilities or experience security incidents that may remain undetected for an extended period as attacks may circumvent security controls, evade detection, and remove forensic evidence. As a result, we may be unable to detect, investigate, remediate or recover from future attacks or incidents, or to avoid a material adverse impact to our IT Systems, Confidential Information, or business.</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can be no assurance that our cybersecurity risk management program and processes, including our policies, controls, or procedures, will be fully implemented, complied with or effective in protecting our IT Systems and Confidential Information. Because we make extensive use of third party suppliers and service providers, successful cyberattacks that disrupt or result in unauthorized access to third party IT Systems can materially impact our operations and financial results. Additionally, many of our employees and service providers work remotely, in part due to a significant increase in remote work stemming from the COVID-19 pandemic that has been maintained. As a result, we may be more vulnerable to cybersecurity-related events such as phishing attacks and other security challenges. Many companies that provide cloud based services have reported a significant increase in cyberattack activity since the beginning of the COVID-19 pandemic and related increase in remote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and certain of our third-party providers regularly experience cyberattacks and other incidents, and we expect such attacks and incidents to continue in varying degrees. While to date no incidents have had a material impact on our operations or financial results, we cannot guarantee that material incidents will not occur in the future. Any adverse impact to the availability, integrity, or confidentiality of our IT Systems or Confidential Information can result in intentional or accidental unauthorized access to our IT Systems or our customers’ or partners’ sites, networks, systems and accounts; unauthorized access to, and misappropriation or disclosure of Confidential Information; viruses, worms, spyware, ransomware, or other malware being served from our platform, mobile application, networks, or systems, including as a result of supply chain attacks; deletion or modification of content or the display of unauthorized content on our platform; interruption, disruption, or malfunction of operations; costs relating to remediation, deployment of additional personnel and protection technologies, and response to governmental investigations and media inquiries and coverage; engagement of third-party experts and consultants; or risk of loss, litigation, regulatory action and other potential liabilities. If any of these adverse impacts should occur, we cannot guarantee data loss can be prevented. Additionally, if any adverse impacts occur, our reputation and brand could be damaged, our business may suffer, and we could be required to expend significant capital and other resources to alleviate problems caused by such breaches. Actual or anticipated cyber security attacks may cause us to incur increasing costs, including costs to deploy additional personnel and protection technologies, train employees and engage third-party experts and consultants. Any computer malware, viruses, computer hacking, fraudulent use attempts, phishing attacks, or other data security incidents among other things, could harm our reputation and our ability to retain existing customers and attract new customers.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actual or perceived compromise of our IT Systems or Confidential Information, or those of our customers, partners, or third-party service providers, could also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In addition, any insurance we maintain may be insufficient to cover our losses resulting from disasters, cyber-attacks, or other business interruptions, and any incidents may result in loss of, or increased costs of, such insurance. We may need to devote significant resources in the future to address problems caused by cyber attacks, including notifying affected individuals and responding to any resulting litigation, which in turn, diverts resources from the growth and expansion of our business.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Moreover,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14"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believe that the brand identity that we have developed has significantly contributed to the success of our business. We also believe that maintaining and enhancing the “Expensify” brand is critical to expanding our customer base and establishing and maintaining relationships with partners. Successful promotion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core expense management service but also in newer features, such as our financial chat services, and to make substantial investments in foreign markets, and these investments may not be successful. We also plan to enhance our brand and drive interest in our overall platform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introducing certain consumer-focused features, which may not be successful. Substantial advertising expenditures may be required to maintain and enhance our brand, which may not prove successful. Advertising and other brand promotion activities may not generate customer awareness or increase revenue, and even if they do, any increase in revenue may not offset the expenses we incur in building our brand. For example, in 2023 we opened the Expensify Lounge in San Francisco, CA as a brand awareness campaign, but it ultimately did not yield the expected results and was shut down in late 2023. Further, in 2023 we hosted our third ExpensiCon, an invite-only, all-expenses paid industry conference set in an exotic location that included a full itinerary of events and excursions. We spent significant resources on ExpensiCon and achieved mixed results. There can be no assurance that similar initiatives will achieve desired results. Additionally, there could be a negative reaction to certain advertising campaigns and values-based activity and communications. If we fail to promote and maintain the “Expensify”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to make substantial investments and expenditures related to the growth of our business.</w:t>
      </w:r>
    </w:p>
    <w:p>
      <w:pPr>
        <w:spacing w:after="0" w:line="15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To improve the scalability, security, efficiency and failover aspects of our features, and to support our ongoing efforts to expand and enhance our platform and our business, we are continually updating our software and content and investing in the development, introduction and customer acceptance of new features, enhancements, integrations, capabilities and versions of our existing features. Additionally, we have and will need to continue to make substantial investments and expenditures to, among other things:</w:t>
      </w:r>
    </w:p>
    <w:p>
      <w:pPr>
        <w:spacing w:after="0" w:line="109"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hire new and retain existing employees;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expand, update and improve our infrastructure;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 our sales and marketing activities, including to obtain channel partners and to expand our SMB and consumer advertising;</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expand our operations across multiple geographies;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for increasing costs associated with our general and administrative organization.</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may also review or revise our software architecture as we grow, which may require significant resources and investments. For example, in 2021 we released the first version of an open-source financial group chat optimized for financial conversations, designed to be used both in and outside of work, and maintained by a community of open source developers. We expect our open-source offering to be a complete rewrite of the Expensify front end, built on a new React Native platform that uses the same codebase across iOS, Android, web and desktop once it is completed. There can be no assurance that this direction will achieve customer acceptance or that we will realize the anticipated return on our investment even if and when the feature complete version is released.</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If we experience increasing demand for our features, we may not be able to augment our infrastructure quickly enough to accommodate this demand, which may limit our growth or cause disruptions, outages and other performance problems that could lead to financial liabilities or affect our brand and reputation. If our subscription sales decrease, certain of our fixed costs, such as for capital equipment, may make it difficult for us to adjust our expenses downward quickly.</w:t>
      </w:r>
    </w:p>
    <w:p>
      <w:pPr>
        <w:spacing w:after="0" w:line="97"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Our business is substantially dependent upon the continued development of the market for, and acceptance of, cloud based software features.</w:t>
      </w:r>
    </w:p>
    <w:p>
      <w:pPr>
        <w:spacing w:after="0" w:line="71"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We have derived, and expect to continue to derive, substantially all of our revenue from the sale of subscriptions for our cloud based platform. The market for cloud based software is not as mature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market for on premises software applications. We do not know whether the trend of adoption of cloud based software that we have experienced in the past will continue in the future, and the adoption rate of cloud based software may be slower at companies in industries with heightened data security interests or sensitivity to communication network slowdowns or outages. Additionally, international acceptance of cloud-based software varies by country, and is limited in certain countries where we may seek to expand. Our success will depend to a substantial extent on the widespread adoption of cloud based software products in general, and of cloud based preaccounting products in particular. Many businesses have invested substantial personnel and financial resources to integrate on premises software products into their businesses and have been reluctant or unwilling to migrate to cloud based software products. Furthermore, some businesses may be reluctant or unwilling to use cloud based products because they have concerns regarding the risks associated with the security of their data and the reliability of the technology and service delivery model associated with solutions like ours. Additionally, integration opportunities for our cloud-based platform may be limited without widespread adoption of other cloud-based software products, which may prevent a member from maximizing their experience with our platform. In addition, if we or other cloud based providers experience security incidents, loss of customer data, disruptions in delivery, or other problems, the market for cloud based software solutions as a whole, including for our solutions, may be negatively impacted. If the adoption of cloud based software solutions does not continue at the rate we anticipate, the market for these solutions may stop developing or may develop more slowly than we expect, either of which would harm our business.</w:t>
      </w:r>
    </w:p>
    <w:p>
      <w:pPr>
        <w:spacing w:after="0" w:line="106" w:lineRule="exact"/>
        <w:rPr>
          <w:sz w:val="20"/>
          <w:szCs w:val="20"/>
          <w:color w:val="auto"/>
        </w:rPr>
      </w:pPr>
    </w:p>
    <w:p>
      <w:pPr>
        <w:ind w:right="820"/>
        <w:spacing w:after="0" w:line="294" w:lineRule="auto"/>
        <w:rPr>
          <w:sz w:val="20"/>
          <w:szCs w:val="20"/>
          <w:color w:val="auto"/>
        </w:rPr>
      </w:pPr>
      <w:r>
        <w:rPr>
          <w:rFonts w:ascii="Arial" w:cs="Arial" w:eastAsia="Arial" w:hAnsi="Arial"/>
          <w:sz w:val="18"/>
          <w:szCs w:val="18"/>
          <w:b w:val="1"/>
          <w:bCs w:val="1"/>
          <w:i w:val="1"/>
          <w:iCs w:val="1"/>
          <w:color w:val="auto"/>
        </w:rPr>
        <w:t>We use third-party artificial intelligence technologies in our business, and the deployment, use, and maintenance of these technologies involve technological and legal risks.</w:t>
      </w:r>
    </w:p>
    <w:p>
      <w:pPr>
        <w:spacing w:after="0" w:line="71" w:lineRule="exact"/>
        <w:rPr>
          <w:sz w:val="20"/>
          <w:szCs w:val="20"/>
          <w:color w:val="auto"/>
        </w:rPr>
      </w:pPr>
    </w:p>
    <w:p>
      <w:pPr>
        <w:ind w:right="1220"/>
        <w:spacing w:after="0" w:line="287" w:lineRule="auto"/>
        <w:rPr>
          <w:sz w:val="20"/>
          <w:szCs w:val="20"/>
          <w:color w:val="auto"/>
        </w:rPr>
      </w:pPr>
      <w:r>
        <w:rPr>
          <w:rFonts w:ascii="Arial" w:cs="Arial" w:eastAsia="Arial" w:hAnsi="Arial"/>
          <w:sz w:val="18"/>
          <w:szCs w:val="18"/>
          <w:color w:val="auto"/>
        </w:rPr>
        <w:t>We use third-party artificial intelligence (“AI”), machine learning, and automated decision-making technologies (collectively, “AI Technologies”) throughout our business, and are making significant investments in this area.</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example we use AI Technologies to optimize our internal processes, including analyzing and processing receipts, responding to customer support requests, and drafting personalized marketing communications.</w:t>
      </w:r>
    </w:p>
    <w:p>
      <w:pPr>
        <w:spacing w:after="0" w:line="7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1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particular, if the models underlying our AI Technologies are: incorrectly implemented; reliant on incomplete, inadequate, inaccurate, biased or otherwise poor quality data;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third-party AI Technologies and infrastructure which may pose operational and data security risks.</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AI Technologies licensed from third parties, such as OpenAI, in our technologies and our ability to continue to use such technologies at the scale we need may be dependent on access to OpenAI’s software and infrastructure. While we believe that there are alternative third-party AI Technologies which would be suitable,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hosted services could disrupt our operations or solutions, damage our reputation, cause a loss of confidence in our solutions, or result in legal claims or proceedings, for which we may be unable to recover damages from the affected provider.</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our reliance on third-party AI Technologies, such as those licensed from OpenAI, involves certain data privacy and security risks. While we generally seek to obtain contractual commitments from the applicable providers that prohibit the use of our data to train or refine their AI models, we may not be able to implement technical measures to prevent such providers from doing so in contravention to their contractual obligations. For more information on data privacy and security risks, see the risk factor “</w:t>
      </w:r>
      <w:r>
        <w:rPr>
          <w:rFonts w:ascii="Arial" w:cs="Arial" w:eastAsia="Arial" w:hAnsi="Arial"/>
          <w:sz w:val="18"/>
          <w:szCs w:val="18"/>
          <w:i w:val="1"/>
          <w:iCs w:val="1"/>
          <w:color w:val="auto"/>
        </w:rPr>
        <w:t>We receive, process, store and use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personal data, which subjects us to governmental regulation and other legal obligations related to data privacy, protection and security, and our actual or perceived failure to comply with such obligations could harm our business and expose us to liability.”</w:t>
      </w:r>
    </w:p>
    <w:p>
      <w:pPr>
        <w:spacing w:after="0" w:line="117"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The use of generative AI Technologies may produce inaccurate or infringing content, leading to reputational damage and legal challenges.</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While we take measures designed to ensure the accuracy of such AI generated content and to monitor for potential inaccuracies, those measures may not always be successful, and in some cases, we may need to rely on end users to report such inaccuracies.</w:t>
      </w:r>
    </w:p>
    <w:p>
      <w:pPr>
        <w:spacing w:after="0" w:line="100"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The regulatory framework governing the use of AI Technologies is rapidly evolving, and we cannot predict how future legislation and regulation will impact our ability to offer products or services that we develop which leverage AI Technologies.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w:t>
      </w:r>
    </w:p>
    <w:p>
      <w:pPr>
        <w:spacing w:after="0" w:line="11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Already, certain existing legal regimes (e.g., relating to data privacy) regulate certain aspects of AI Technologies, and new laws regulating AI Technologies have been enacted in China and either entered into force in the United States and the EU in 2024 or are expected to enter into force in 2025.</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In the United States,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 making relating to AI Technologies in the future.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the California Privacy Protection Agency is currently in the process of finalizing regulations under the CCPA regarding the use of automated decision-making. California also enacted seventeen new laws in 2024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 Such additional regulations may impact our ability to develop, use, procure and commercialize AI Technologies in the future.</w:t>
      </w:r>
    </w:p>
    <w:p>
      <w:pPr>
        <w:spacing w:after="0" w:line="9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and—depending on the AI use case—includes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EU Product Liability Directive will have a material impact on the way AI is regulated in the EU. The EU AI Act,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w:t>
      </w:r>
    </w:p>
    <w:p>
      <w:pPr>
        <w:spacing w:after="0" w:line="1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a high-quality customer experience, our business and reputation will suffer.</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we have designed our platform and features to be easy to adopt and use, once individuals and organizations begin using Expensify, they rely on our support services to resolve any related issues. High-quality member and customer education and customer experience have been key to the adoption of our platform and features and for the conversion of individuals and organizations using our free features and trial subscriptions into paying customers. The importance of high-quality customer experience will increase as we expand our business and pursue new customers. For instance, if we do not help organizations on our platform quickly resolve issues and provide effective ongoing member experience at the individual and organizational levels, our ability to convert organizations on our trial subscription into paying customers will suffer, and our reputation with existing or potential customers will be harmed. Further, the success of our bottom-up business model is highly dependent on our business reputation and on word-of-mouth positive recommendations from existing individuals and organizations using our platform and features. Any failure to maintain high -quality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as we continue to grow our operations and reach a larger and increasingly global customer and member base, we need to be able to provide efficient customer support that meets the needs of organizations using our platform and features globally at scale. Our platform is designed to leverage our proprietary AI-powered customer support engine, Concierge. Our Concierge service is powered by AI and trained by customer support agents. As we continue to grow and add features, we will need to hire additional support personnel to be able to continue to provide efficient customer support globally at scale, and if we are unable to provide such support, our business, results of operations and financial condition would be harmed.</w:t>
      </w:r>
    </w:p>
    <w:p>
      <w:pPr>
        <w:spacing w:after="0" w:line="103"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including an on-demand workforce in certain jurisdictions and for certain aspects of our business, to continue to execute on our business strategy and growth plans.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order to continue to execute on our business strategy and growth plans, including the development of new features, and to maintain and upgrade our existing features, we will need to attract a sufficient number of highly qualified personnel, especially software engineers. Competition for software engineers and other key personnel in our industry is intense, especially for engineers with high levels of experience in designing and developing software for Internet-related services. As we become a more mature company, we may find our recruiting efforts more challenging.</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one of our business strategies is to supplement our small core team of generalists with a large number of specialist contractors, managed by third-party vendors, from around the world. For example, we rely on certain third-party vendors to provide a specialized on-demand workforce to provide 24/7 real-time chat support and free phone onboarding for every Expensify member. We have used and will continue to use this strategy to pair our core group of engineering generalists with a global network of open source engineering specialists, such as for the development and maintenance of our open-source financial group chat. If we are unable attract a sufficient number of specialized on-demand workers, or if changes to applicable foreign, state and local laws governing the definition or classification of independent contractors make it difficult or impossible for us to hire a sufficient number of specialized on-demand workers in a cost-effective manner, our costs could increase and our business, results of operations and financial condition could be harmed.</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Job candidates and existing employees often consider the value of the equity awards they receive in connection with their employment. The incentives to attract, retain and motivate employees provided by our equity awards or other compensation arrangements may not be as effective as in the past. If the perceived value of our stock declines, it may adversely affect our ability to recruit and retain highly skilled employees.</w:t>
      </w:r>
    </w:p>
    <w:p>
      <w:pPr>
        <w:spacing w:after="0" w:line="10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Many of the companies with which we compete for experienced personnel have greater resources than we have. If we hire employees from competitors or other companies, their former employers may attempt to assert that these employees or our company have breached their legal obligations, resulting in a diversion of our time and resources.</w:t>
      </w:r>
    </w:p>
    <w:p>
      <w:pPr>
        <w:spacing w:after="0" w:line="1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recruiting efforts may also be limited by laws and regulations, such as restrictive immigration laws, and restrictions on travel or availability of visas. If we do not succeed in attracting excellent personnel or retaining or motivating existing personnel, we may be unable to innovate quickly enough to support our business model or grow effectively.</w:t>
      </w:r>
    </w:p>
    <w:p>
      <w:pPr>
        <w:spacing w:after="0" w:line="92"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7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believe that a critical component of our success has been our culture, which is deeply embedded in everything we do. Our culture is centered on a belief that a life well lived is one that enables you to achieve the following three goals: Live Rich, Have Fun and Save the World. We have invested substantial time and resources in building our team with an emphasis on collaboration and innovation, ensuring customer success and a commitment to diversity and inclusion. We invest in our culture to create fun,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diverse and memorable experiences for our employees, including certain employee travel to company-wide meetings in the U.S. and abroad.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w:t>
      </w:r>
    </w:p>
    <w:p>
      <w:pPr>
        <w:spacing w:after="0" w:line="97"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payments services and our Expensify Card are targets for illegal or improper uses, and our risk management efforts may not be effective, which could expose us to losses and liability and otherwise harm our business.</w:t>
      </w:r>
    </w:p>
    <w:p>
      <w:pPr>
        <w:spacing w:after="0" w:line="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offer payments services and the Expensify Card to our customers, and we are responsible for vetting and monitoring these customers and determining whether the transactions we process for them are legitimate. When our features and services are used to process illegitimate transactions, and we settle those funds to sellers and are unable to recover them, we suffer losses and liability. These types of illegitimate transactions can also expose us to governmental and regulatory sanctions. The highly automated nature of, and liquidity offered by, our payments services make us a target for illegal or improper uses, including fraudulent or illegal sales of goods or services, money laundering and terrorist financing. Identity thieves and those committing fraud using stolen or fabricated credit card or bank account numbers, or other deceptive or malicious practices, can potentially steal significant amounts of money from our business. In configuring our payments services, we face an inherent trade-off between security and customer convenience. Our risk management policies, procedures, techniques and processes may not be sufficient to identify all of the risks to which we are exposed, to enable us to mitigate the risks we have identified, or to identify additional risks to which we may become subject in the future. In addition, when we introduce new services, focus on new business types, or begin to operate in markets where we have a limited history of fraud loss, we may be less equipped to forecast and reserve accurately for those losses. Furthermore, if our risk management policies and processes contain errors or are otherwise ineffective, we may suffer large financial losses, we may be subject to civil and criminal liability, and our business may be materially and adversely affected.</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currently, and will continue to be, exposed to risks associated with chargebacks and refunds in connection with payment card fraud or relating to the goods or services provided by our sellers. In the event that a billing dispute between a cardholder and a seller is not resolved in favor of the seller, including in situations where the seller engaged in fraud, the transaction is typically “charged back” to the seller and the purchase price is credited or otherwise refunded to the cardholder. If we are unable to collect chargeback or refunds from the seller’s account, or if the seller refuses to or is unable to reimburse us for a chargeback or refunds due to closure, bankruptcy, or other reasons, we may bear the loss for the amounts paid to the cardholder. We do not collect and maintain reserves from our sellers to cover these potential losses. The risk of chargebacks is typically greater with those of our sellers that promise future delivery of goods and services, which we allow on our service. If we are unable to maintain our losses from chargebacks at acceptable levels, the payment card networks could fine us, increase our transaction fees, or terminate our ability to process payment cards. Any increase in our transaction fees could damage our business, and if we were unable to accept payment cards, our business would be materially and adversely affected.</w:t>
      </w:r>
    </w:p>
    <w:p>
      <w:pPr>
        <w:spacing w:after="0" w:line="106" w:lineRule="exact"/>
        <w:rPr>
          <w:sz w:val="20"/>
          <w:szCs w:val="20"/>
          <w:color w:val="auto"/>
        </w:rPr>
      </w:pPr>
    </w:p>
    <w:p>
      <w:pPr>
        <w:ind w:right="720"/>
        <w:spacing w:after="0" w:line="294"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large portion of our paying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chargebacks from the credit card companies for claims that the customer did not authorize the credit card transaction for subscription plans, something that we have experienced in the past. If the number of claims of unauthorized credit card transactions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00"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Sales to customers outside the United States and our international operations expose us to risks inherent in international sales and operations.</w:t>
      </w:r>
    </w:p>
    <w:p>
      <w:pPr>
        <w:spacing w:after="0" w:line="71"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Our revenue generated from customers outside the United States was $12.4 million (9% of our revenue), $13.3 million (9% of our revenue), and $14.7 million (9% of our revenue) for the annual periods ended December 31, 2024, 2023 and 2022, respectively. Our core geographies are the United States, the United Kingdom, Canada and Australia. In the future, we may pursue expansion of our international operations.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Operating in international markets requires significant resources and management attention and subjects us to regulatory, economic and political risks that are different from those in the United States. In addition, we face risks in doing business internationally that could adversely affect our business and results of operations, including:</w:t>
      </w:r>
    </w:p>
    <w:p>
      <w:pPr>
        <w:spacing w:after="0" w:line="111" w:lineRule="exact"/>
        <w:rPr>
          <w:sz w:val="20"/>
          <w:szCs w:val="20"/>
          <w:color w:val="auto"/>
        </w:rPr>
      </w:pPr>
    </w:p>
    <w:p>
      <w:pPr>
        <w:ind w:left="340" w:right="540" w:hanging="332"/>
        <w:spacing w:after="0" w:line="28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need to localize and adapt our platform and features for specific countries, including translation into foreign languages, tax and regulatory updates and associated expenses;</w:t>
      </w:r>
    </w:p>
    <w:p>
      <w:pPr>
        <w:spacing w:after="0" w:line="71" w:lineRule="exact"/>
        <w:rPr>
          <w:rFonts w:ascii="Arial" w:cs="Arial" w:eastAsia="Arial" w:hAnsi="Arial"/>
          <w:sz w:val="18"/>
          <w:szCs w:val="18"/>
          <w:color w:val="auto"/>
        </w:rPr>
      </w:pPr>
    </w:p>
    <w:p>
      <w:pPr>
        <w:ind w:left="340" w:right="260" w:hanging="332"/>
        <w:spacing w:after="0" w:line="28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more fragmented partner market which proves to be harder for our platform to integrate with;</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pricing environments, longer accounts receivable payment cycles and collections issues;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44" w:lineRule="exact"/>
        <w:rPr>
          <w:rFonts w:ascii="Arial" w:cs="Arial" w:eastAsia="Arial" w:hAnsi="Arial"/>
          <w:sz w:val="18"/>
          <w:szCs w:val="18"/>
          <w:color w:val="auto"/>
        </w:rPr>
      </w:pPr>
    </w:p>
    <w:p>
      <w:pPr>
        <w:ind w:left="340" w:right="60" w:hanging="332"/>
        <w:spacing w:after="0" w:line="28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w:t>
      </w:r>
    </w:p>
    <w:p>
      <w:pPr>
        <w:spacing w:after="0" w:line="144" w:lineRule="exact"/>
        <w:rPr>
          <w:rFonts w:ascii="Arial" w:cs="Arial" w:eastAsia="Arial" w:hAnsi="Arial"/>
          <w:sz w:val="18"/>
          <w:szCs w:val="18"/>
          <w:color w:val="auto"/>
        </w:rPr>
      </w:pPr>
    </w:p>
    <w:p>
      <w:pPr>
        <w:ind w:left="340" w:right="560" w:hanging="332"/>
        <w:spacing w:after="0" w:line="287"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U.S. bribery laws, the UK Bribery Act and similar laws and regulations in other jurisdictions;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tax laws or tax regulations;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health or similar issues, such as a pandemic or epidemic;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we seek to expand our business globally,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credit, equity and foreign exchange markets, bankruptcies and health crises, as well as war, terrorist activity, political unrest, civil strife and other geopolitical uncertainty, and the resulting impact on business continuity and travel, supply chain disruptions, inflation, security issues, and overall uncertainty with respect to the economy, including with respect to tariff and trade issues. See the risk factor titled, “—Changes in government trade policies, including the imposition of tariffs, could materially adversely affect our results of operations” for more information.</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example, the invasion of Ukraine by Russian military forces in February 2022 and Hamas's attack on Israel in October 2023 has resulted in sustained conflict and disruption in those regions and the surrounding areas. The length, impact and outcome of these conflicts are highly unpredictable; however, they caused and could continue to cause significant market and other disruptions, some of which have already been experienced, including significant volatility in commodity prices and supply of energy resources, instability in financial markets, supply chain interruptions, political and social instability and changes in consumer or purchaser preferences, as well as an increase in cyberattacks and espionage. Additionally, sanctions or other measures implemented by other countries, as well as potential responses from other countries, could adversely affect the global economy and financial markets, which could in turn have a material adverse effect on our business, financial condition and results of operations. In addition, political instability or adverse political developments and new or continued economic deterioration in any of the countries in which we operate could harm our business, results of operations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 and results of operations due to remeasurement that is reflected in our earnings. Also, fluctuations in the values of foreign currencies relative to the U.S. dollar could make it more difficult to detect underlying trends in our business and results of operations.</w:t>
      </w:r>
    </w:p>
    <w:p>
      <w:pPr>
        <w:spacing w:after="0" w:line="114"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must comply with anti-corruption laws and regulations imposed by governments around the world with jurisdiction over our operations, which may include the U.S. Foreign Corrupt Practices Act of 1977 (“FCPA”) and the U.K. Bribery Act 2010 (“Bribery Act”), as well as the laws of the countries where we do business. These laws and regulations apply to companies, individual directors, officers, employees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also are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wholly owned subsidiary, Expensify Payments LLC, is registered as a “Money Services Business” with the U.S. Department of Treasury’s Financial Crimes Enforcement Network (“FinCEN”), and subject to regulatory oversight and enforcement by FinCEN under the Bank Secrecy Act, as amended by the USA PATRIOT Act of 2001 (“BSA”). Among other things, the BSA requires money services businesses to develop and implement risk-based anti-money laundering programs, report large cash transactions and suspicious activity and maintain transaction records. The BSA prohibits, among other things, our involvement in transferring the proceeds of criminal activities. Regulators in the United States and globally may require us to further revise or expand our compliance program, including the procedures we use to verify the identity of our customers and to monitor international and domestic transactions. In addition, we are contemplating offering certain products in the future that may require us to obtain licenses to operate as a money transmitter (or its equivalent) in various states and territories where such licenses are required. We have already obtained such licenses in certain states and have pending license applications in others. If we are unable to obtain a license to operate as a money transmitter, our ability to grow certain of our services may be limited. As a licensed money transmitter, we would be subject to obligations and restrictions with respect to the handling and investment of customer funds, record keeping and reporting requirements, bonding requirements and inspection by state regulatory agencies.</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are substantial costs and potential changes to our offerings involved in obtaining, maintaining and renewing these licenses and registrations. We could be subject to significant fines or other enforcement actions if we are found to violate disclosure, reporting, anti-money laundering, economic and trade sanctions, corporate governance and internal controls, banking secrecy, or other laws and requirements. These factors could involve considerable delay to the development or provision of our offerings or services, require significant and costly operational changes, impose restrictions, limitations, or additional requirements on our business, or prevent us from providing our offerings or services in a given geography.</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also must be conducted in compliance with applicable economic and trade sanctions and export control laws and regulations, such as those administered and enforced by the U.S. Department of Treasury’s Office of Foreign Assets Control, the U.S. Department of State, the U.S. Department of Commerce, the United Nations Security Council and other relevant sanctions authorities, which impose restrictions or prohibitions on the sale or supply of certain products or services to embargoed or sanctioned countries, governments, persons, and entities. Although we take precautions to prevent our platform from being provided in violation of such laws, our platform may have been in the past, and could in the future be, provided inadvertently in violation of such laws, despite the precautions we take. Our global operations expose us to the risk of violating, or being accused of violating, anti-corruption, anti-money laundering, export control and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violation could materially adversely affect our reputation, business, financial condition and results of operations.</w:t>
      </w:r>
    </w:p>
    <w:p>
      <w:pPr>
        <w:spacing w:after="0" w:line="146" w:lineRule="exact"/>
        <w:rPr>
          <w:sz w:val="20"/>
          <w:szCs w:val="20"/>
          <w:color w:val="auto"/>
        </w:rPr>
      </w:pPr>
    </w:p>
    <w:p>
      <w:pPr>
        <w:jc w:val="both"/>
        <w:ind w:right="400"/>
        <w:spacing w:after="0" w:line="272" w:lineRule="auto"/>
        <w:rPr>
          <w:sz w:val="20"/>
          <w:szCs w:val="20"/>
          <w:color w:val="auto"/>
        </w:rPr>
      </w:pPr>
      <w:r>
        <w:rPr>
          <w:rFonts w:ascii="Arial" w:cs="Arial" w:eastAsia="Arial" w:hAnsi="Arial"/>
          <w:sz w:val="18"/>
          <w:szCs w:val="18"/>
          <w:b w:val="1"/>
          <w:bCs w:val="1"/>
          <w:i w:val="1"/>
          <w:iCs w:val="1"/>
          <w:color w:val="auto"/>
        </w:rPr>
        <w:t>We receive, process, store and use business and personal data, which subjects us to governmental regulation and other legal obligations related to data privacy, protection and security, and our actual or perceived failure to comply with such obligations could harm our business and expose us to liability.</w:t>
      </w:r>
    </w:p>
    <w:p>
      <w:pPr>
        <w:spacing w:after="0" w:line="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receive, process, store and use business and personal data relating to our employees, business contacts, members and customers around the world (collectively, “Personal Data”), including the United States and the European Economic Area (“EEA”). As a result, our business is subject to a number of federal, state, local and foreign laws, regulations, regulatory codes and guidelines governing data privacy, data protection and security, including with respect to the collection, storage, use, processing, transmission, disclosure and protection of Personal Data.</w:t>
      </w:r>
    </w:p>
    <w:p>
      <w:pPr>
        <w:spacing w:after="0" w:line="1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example, in the United States, the data protection landscape is rapidly growing and evolving on both the state and federal level. As our operations and business grow, we may become subject to or affected by new or additional data protection laws and regulations and face increased scrutiny or attention from regulatory authorities. For example, over a third of U.S. states have passed their own comprehensive consumer privacy laws that have or will soon go into effect that introduce new data privacy rights for consumers and new operational requirements for companies. For instance, the California Consumer Privacy Act (“CCPA”) provides data privacy rights for California residents and operational requirements for covered businesses. Among other things, companies covered by the CCPA must provide new disclosures to California residents and afford such residents certain privacy rights relating to their Personal Data. The CCPA also considers certain financial information to be “sensitive personal information” imposing additional requirements on businesses. The CCPA is enforceable by the California Attorney General and the California Privacy Protection Agency, a new, additional enforcement bureau. The California Privacy Protection Agency is continuously amending the CCPA regulations, building upon the requirements in the CCPA, including with respect to automated decision making, risk assessment, and cybersecurity audits. In the event of an actual or perceived violation of the CCPA, these regulators could seek severe statutory damages, injunctive relief or agreed settlements providing for ongoing audit and reporting requirements. There is also a private right of action relating to certain data security incidents. Additionally, laws in all fifty U.S. states require notification of certain incidents to a number of third parties, such as impacted customers, regulators, credit reporting agencies or others when certain information has been compromised as a result of a security breach. We cannot fully predict the impact of these laws, or subsequent guidance, regulations or rules on our business or operations, but they may increase our compliance costs and potential liability, particularly in the event of a data breach, and could have a material adverse effect on our business, including how we use Personal Data, our financial condition, and the results of our operations or prospects. Further, if we become subject to new state-level privacy laws, guidelines or regulations in the future, we may be required again to modify our data collection or processing practices and policies and to incur substantial costs and expenses in an effort to comply and increase our potential exposure to regulatory enforcement and/or litigation.</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Furthermore, at the federal level, we are also subject to laws, regulations and standards covering financial institutions, marketing, advertising, cookies, tracking technologies, e-marketing, and other activities conducted by telephone, email, mobile devices and the internet, such as the Gramm-Leach-Bliley Act (“GLBA”), the Federal Wiretap Act, the Telephone Consumer Protection Act, the Controlling the Assault of Non-Solicited Pornography and Marketing Act, and similar state consumer protection and communication privacy laws. The GLBA regulates, among other things, the use of certain information about individuals (“non-public personal information”) in the context of the provision of financial services. The GLBA includes both a “Privacy Rule,” which imposes obligations on financial institutions relating to the use or disclosure of non-public personal information, and a “Safeguards Rule,” which imposes obligations on financial institutions and, indirectly, their service providers to implement and maintain physical, administrative and technological measures to protect the security of non-public personal financial information. Any failure to comply with the GLBA could result in substantial financial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Additionally, the Federal Trade Commission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Data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There are a number of legislative proposals in the United States, at both the federal and state level, and in the EU and more globally,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0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the EU General Data Protection Regulation (the “EU GDPR”) and to the United Kingdom General Data Protection Regulation and Data Protection Act 2018 (collectively, the “UK GDPR”) (the EU GDPR and UK GDPR together referred to as the "GDPR") which impose stringent data protection requirements for processing the Personal Data of individuals. The GDPR places data protection obligations on processors and controllers of personal data, including, for example, disclosure and transparency requirements, limitations on retention and processing of personal data, and mandatory data breach notification requirements. In addition, the GDPR regulates transfers of Personal Data subject to the GDPR to third countries that have not been found to provide adequate protection to such Personal Data, and we expect the existing legal complexity and uncertainty regarding international personal data transfers to continue. In particular, we expect the European Commission approval of the current EU-US Data Privacy Framework for data transfers to certified entities in the United States to be challenged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we may have to stop using certain tools and vendors and make other operational changes; we may have to implement alternative data transfer mechanisms under the GDPR and/or take additional compliance and operational measures; and/or it could otherwise affect the manner in which we provide our services, and could adversely affect our business, operations and financial condition.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we are under the supervision of relevant data protection authorities in both the EEA and the UK, we may be fined under both the EU GDPR and UK GDPR for the same breach. Penalties for certain breaches are up to the greater of EUR 20 million/ GBP 17.5 million or 4% of our global annual turnover. In addition to fines, a breach of the GDPR may result in regulatory investigations, reputational damage, orders to cease/ change our data processing activities, enforcement notices, assessment notices for a compulsory audit and/or civil claims (including class actions).</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also subject to evolving EU and UK privacy laws on cookies, tracking technologies and e-marketing. In the EU and UK, informed consent is required for the placement of certain cookies or similar tracking technologies on an individual’s device and for direct electronic marketing. Consent is tightly defined and includes a prohibition on pre-checked consents and a requirement to obtain separate consents for each type of cookie or similar technology. Recent European court and regulator decisions are driving increased attention to cookies and similar tracking technologies.</w:t>
      </w:r>
    </w:p>
    <w:p>
      <w:pPr>
        <w:spacing w:after="0" w:line="98"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addition to the EU, a growing number of other global jurisdictions are considering or have passed legislation implementing data protection requirements or requiring local storage and processing of Personal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seek to comply with applicable laws, regulations, policies, legal obligations and industry standards and have developed privacy policies, data processing addenda and internal privacy procedures to reflect our practices designed to achieve such compliance. However, such laws, regulations, regulatory codes and guidelines regulations are complex, may be inconsistent across jurisdictions or conflict with other rules and their interpretation is rapidly evolving, making implementation and enforcement, and thus compliance requirements, ambiguous, uncertain, and potentially inconsistent and therefore, there can be no assurance that our policies and process will be fully implemented, complied with, or effective. For instance, laws in all fifty U.S. states and outside the United States (and sometimes contractual and/or other obligations) and certain international laws and regulations require notification of certain incidents to a number of third parties, such as impacted customers, regulators, credit reporting agencies or others when certain information has been compromised as a result of a security breach. Compliance with such laws may require changes to our data collection, use, transfer, disclosure, other processing, and certain other related business practices and may thereby increase compliance costs or have other material adverse effects on our business. Further, any significant change in applicable laws, regulations, or industry practices regarding the use or disclosure of our Personal Data, could require us to modify our platform, possibly in a material manner, and may limit our ability to develop new services and features that make use of Personal Data regarding our members and customers.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we are unable to develop and offer features that meet legal requirements or help our members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laws relating to data privacy and security, we are subject to self-regulatory standards and industry certifications that may legally or contractually apply to us. These include the Payment Card Industry Data Security Standards ("PCI-DSS") with which we are currently compliant. In the event that we fail to comply with the PCI-DSS, we could be in breach of our obligations under customer and other contracts, fines and other penalties could result, and we may suffer reputational harm and damage to our operations, financial performance, reputation and business. Further, our clients may expect us to comply with more stringent privacy and data security requirements than those imposed by laws, regulations, or self-regulatory requirements, and we may be obligated contractually to comply with additional or different standards relating to our handling or protection of data on or by our offerings.</w:t>
      </w:r>
    </w:p>
    <w:p>
      <w:pPr>
        <w:spacing w:after="0" w:line="117" w:lineRule="exact"/>
        <w:rPr>
          <w:sz w:val="20"/>
          <w:szCs w:val="20"/>
          <w:color w:val="auto"/>
        </w:rPr>
      </w:pPr>
    </w:p>
    <w:p>
      <w:pPr>
        <w:ind w:right="880"/>
        <w:spacing w:after="0" w:line="294"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5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Because our operations involve delivering a suite of preaccounting features to our customers through a cloud-based software platform, our continued growth depends in part on the ability of our platform and related computer equipment, infrastructure and systems to continue to support our features. In the past, we have experienced temporary platform disruptions, outages in our features and degraded levels of performance due to human and software errors, file corruption and capacity constraints associated with the number of customers accessing our platform simultaneously. While our past experiences have not materially impacted us, in the future we may face more disruptions, outages, or performance problems. Factors that may cause such disruptions or problems include:</w:t>
      </w:r>
    </w:p>
    <w:p>
      <w:pPr>
        <w:spacing w:after="0" w:line="115"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telecommunications failures or outages from third-party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computer viruses, malware, vulnerability exploits, or cyber-attacks;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software errors, failures, vulnerabilities or bugs in our features;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acts of terrorism, sabotage or other intentional acts of vandalism;</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unforeseen interruption or damages;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pandemics and epidemics;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tornados, fires, earthquakes, floods and other natural disasters;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power loss.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continued growth in our customer base could place additional demands on our platform and features and could cause or exacerbate slowdowns or interrupt the availability of our platform. As we expand our platform capabilities to other features, like the Expensify Card, those new features may come with different technological demands, like real time transactions. If we are unable to plan or develop our platform accordingly, it could have a negative impact on our business. If there is a substantial increase in the volume of usage across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members are not able to access our platform and features or encounter slowdowns when doing so, we may lose customers or partners, which would adversely impact our reputation and revenue. Further, any changes in the service levels at our data centers or any errors, defects, disruptions or other performance problems with our network infrastructure may result in lengthy interruptions in the availability of our platform and features. In such cases, we may lose our customers’ trust and confidence in our platform, and customer and employee data from recent transactions may be permanently lost and we could be exposed to significant claims by clients, particularly if the access interruption is associated with problems in the timely delivery of funds due to employees. In order to remain competitive, we must continue to enhance and improve the responsiveness, functionality and features of our platform and products. Our disaster recovery plan may not be sufficient to address all aspects or any unanticipated consequence or incidents, and our insurance may not be sufficient to compensate us for the losses that could occur.</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lease the cloud computing infrastructure that we use to host our platform, mobile application and many of the internal tools we use to operate our business. Any significant disruption of, limitation of our access to, or other interference with our use of the cloud services would negatively impact our operations and could seriously harm our business. Our business relies on the availability of our platform for our members and customers, and we may lose members or customers if they are not able to access our platform or encounter difficulties in doing so.</w:t>
      </w:r>
    </w:p>
    <w:p>
      <w:pPr>
        <w:spacing w:after="0" w:line="112"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In addition, we rely on third-party hosting services,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our platform and features depend on our customers’ high speed broadband or wireless access to the Internet. Increasing numbers of customers and bandwidth requirements may degrade the performance of our features due to capacity constraints and other Internet infrastructure limitations, and additional network capacity to maintain adequate data transmission speeds may be unavailable or unacceptably expensive. If adequate capacity is not available to us, our features may be unable to achieve or maintain sufficient data transmission, reliability, or performance. In addition, if Internet service providers and other third parties providing Internet services, including incumbent phone companies,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companies and wireless companies, have outages or suffer deterioration in their quality of service, our customers may not have access to or may experience a decrease in the quality of our platform and features. These providers may take measures that block, degrade, discriminate, disrupt, or increase the cost of customer access to our features. Any of these disruptions to data transmission could lead customers to switch to our competitors or avoid using our features, which could negatively impact our revenue or harm our opportunities for growth.</w:t>
      </w:r>
    </w:p>
    <w:p>
      <w:pPr>
        <w:spacing w:after="0" w:line="97"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b w:val="1"/>
          <w:bCs w:val="1"/>
          <w:i w:val="1"/>
          <w:iCs w:val="1"/>
          <w:color w:val="auto"/>
        </w:rPr>
        <w:t>We rely upon data centers and other systems and technologies provided by third parties to operate our business, and interruptions or performance problems with these centers, systems and technologies may adversely affect our business and operating results.</w:t>
      </w:r>
    </w:p>
    <w:p>
      <w:pPr>
        <w:spacing w:after="0" w:line="9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rely on data centers and other technologies and services provided by third parties in order to operate our business. If any of these services becomes unavailable or otherwise is unable to serve our requirements, there could be a delay in activating a mirrored data center or our disaster recovery system.</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business depends on our ability to protect the growing amount of information stored in our data centers and related systems, offices and hosting facilities, against damage from earthquake, floods, fires, other extreme weather conditions, power loss, telecommunications failures, hardware failures, unauthorized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and disruptions to our operations, or damage to our important facilities.</w:t>
      </w:r>
    </w:p>
    <w:p>
      <w:pPr>
        <w:spacing w:after="0" w:line="10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data center providers have no obligations to renew their agreements with us on commercially reasonable terms, or at all, and it is possible that we will not be able to switch our operations to another provider in a timely and cost 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10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Any unavailability of, or failure to meet our requirements by, third party data centers, technologies, or services, could impede our ability to provide services to our customers, harm our reputation, subject us to potential liabilities, result in contract terminations and adversely affect our customer relationships. Any of these circumstances could adversely affect our business and operating results.</w:t>
      </w:r>
    </w:p>
    <w:p>
      <w:pPr>
        <w:spacing w:after="0" w:line="105" w:lineRule="exact"/>
        <w:rPr>
          <w:sz w:val="20"/>
          <w:szCs w:val="20"/>
          <w:color w:val="auto"/>
        </w:rPr>
      </w:pPr>
    </w:p>
    <w:p>
      <w:pPr>
        <w:ind w:right="500"/>
        <w:spacing w:after="0" w:line="272"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business, results of operations and financial condition may be harmed.</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115"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modifies its terms of service or other policies, including fees charged to, or other restrictions on us, or other application developers;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Further, our platform includes a mobile application to enable individuals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Expensify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103"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or any new marketplaces will not charge us additional fees to list our application for download. We are also dependent on these third-party marketplaces to enable us and our members to timely update our mobile application, and to incorporate new features, integrations and capabilities.</w:t>
      </w:r>
    </w:p>
    <w:p>
      <w:pPr>
        <w:spacing w:after="0" w:line="11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92"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b w:val="1"/>
          <w:bCs w:val="1"/>
          <w:i w:val="1"/>
          <w:iCs w:val="1"/>
          <w:color w:val="auto"/>
        </w:rPr>
        <w:t>We rely on traditional web search engines and prominence in mobile application marketplaces to drive interest in our platform. If our website fails to rank prominently in organic search results, or our mobile application is not featured prominently in marketplaces, the discoverability of our platform could decline and our business would be adversely affected.</w:t>
      </w:r>
    </w:p>
    <w:p>
      <w:pPr>
        <w:spacing w:after="0" w:line="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success depends in part on our discoverability – our ability to attract new members through unpaid Internet search results on traditional web search engines such as Google and through the prominence of our mobile application in open marketplaces. The number of members we are able to attract through these platforms is due in large part to how our website ranks in organic search results and how our mobile application ranks against similar applications. These rankings can be affected by a number of factors, many of which are not in our direct control, and they may change frequently. For example, a search engine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may change its ranking algorithms, methodologies, or design layouts. As a result, links to our website may not be prominent enough to drive traffic to our website, and we may not know how or otherwise be in a position to influence the results. Any reduction in our discoverability could reduce our revenue or require us to increase our sales and marketing expenditures.</w:t>
      </w:r>
    </w:p>
    <w:p>
      <w:pPr>
        <w:spacing w:after="0" w:line="92"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Federal, state and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impose taxes, fees or other charges for accessing the Internet or commerce conducted via the Internet. These laws or charges could limit the growth of Internet-related commerce or communications generally, or result in reductions in the demand for Internet-based applications such as ours.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use of the Internet as a means of conducting business could be adversely affected due to delays in the development or adoption of new standards and protocols to handle increased demands of Internet activity, security, reliability, cost, ease of use, accessibility and quality of service. The performance of the Internet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00"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There is considerable patent and other intellectual property litigation in our industry. Our competitors, as well as a number of other entities, including non-practicing entities and individuals, may own or claim to own intellectual property relating to our industry. There may be third-party intellectual property rights, including issued or pending patents, that cover significant aspects of our technologies or business methods.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success depends, in part, on our ability to develop and commercialize our solutions and services without infringing, misappropriating or otherwise violating the intellectual property rights of third parties.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or invalidity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We may also be unaware of the intellectual property rights of others that may cover some or all of our technology. Because patent applications can take years to issue and are often afforded confidentiality for some period of time, there may currently be pending applications, unknown to us, that later result in issued patents that could cover one or more of our products and there is also a risk that we could adopt a technology without knowledge of a pending patent application, which technology would infringe a third-party patent once that patent is issued. Any litigation may also involve non-practicing entities or other adverse patent owners that have no relevant solution revenue, and therefore,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our patent portfolio may provide little or no deterrence as we would not be able to assert our patents against such entities or individuals.</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features. Any intellectual property claims, with or without merit, could be very time-consuming and expensive to settle or litigate, could cause us to incur significant expenses, pay substantial amounts in damages, ongoing royalty or license fees, or other payments, or could prevent us from offering all or aspects of our platform or using certain technologies, require us to re-engineer all or a portion of our platform or require that we comply with other unfavorable terms. The costs of litigation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that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117"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Our trademarks and service marks include EXPENSIFY, SMARTSCAN and various marketing slogans.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If we lose valuable personnel, our ability to develop, market and support potential features or enhancements could also be hampered, which could severely harm our business. Furthermore,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steps we have taken and may take in the future may not prevent misappropriation of our proprietary features or technologies, particularly with respect to officers and employees who are no longer employed by us.</w:t>
      </w:r>
    </w:p>
    <w:p>
      <w:pPr>
        <w:spacing w:after="0" w:line="7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Moreover, third parties may knowingly or unknowingly infringe or circumvent our intellectual property rights, and we may not be able to prevent infringement without incurring substantial expense. Litigation brought to protect and enforce our intellectual property rights may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19" w:lineRule="exact"/>
        <w:rPr>
          <w:sz w:val="20"/>
          <w:szCs w:val="20"/>
          <w:color w:val="auto"/>
        </w:rPr>
      </w:pPr>
    </w:p>
    <w:p>
      <w:pPr>
        <w:ind w:right="680"/>
        <w:spacing w:after="0" w:line="294"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platform without compensating us and negatively affect our business.</w:t>
      </w:r>
    </w:p>
    <w:p>
      <w:pPr>
        <w:spacing w:after="0" w:line="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We rely primarily on patent, trademark, copyright and trade secrets laws and confidentiality procedures and contractual provisions to protect our technology.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issue or that the claims allowed on any issued patents will be sufficiently broad to protect our technology or platform and provide us with competitive advantages. Moreover, failure to comply with applicable procedural, documentary, fee payment and other similar requirements with the United States Patent and Trademark Office could result in abandonment or lapse of the affected patent, trademark or application. Furthermore, any issued patents may be challenged, invalidated, or circumvented by third parties.</w:t>
      </w:r>
    </w:p>
    <w:p>
      <w:pPr>
        <w:spacing w:after="0" w:line="1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Many patent applications in the United States may not be public for at least 18 months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In addition, recent changes to the patent laws in the United States may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rely on unpatented proprietary technology. Despite our efforts to protect our proprietary rights, unauthorized parties may attempt to copy aspects of our technology or obtain and use information that we regard as proprietary.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However, such agreements may not be enforceable in full or in part in all jurisdictions and any breach could have a negative effect on our business and our remedy for such breach may be limited.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property rights. As such, we cannot guarantee that the steps taken by us will prevent misappropriation of our technology.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9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rely on our trademarks, trade names and brand names to distinguish our features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features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Occasionally trademark offices have taken the view that certain of our trademarks, including SMARTSCAN, are merely descriptive or not inherently protectable.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For example, our applications to register KARMA POINTS as a trademark in the European Union and United Kingdom have been opposed by a third party. In the event that our trademarks are successfully challenged or we do not adequately protect our trademarks, we could be forced to rebrand our platform, which would result in loss of brand recognition and would require us to devote resources to advertising and marketing new brands.</w:t>
      </w:r>
    </w:p>
    <w:p>
      <w:pPr>
        <w:spacing w:after="0" w:line="1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Policing unauthorized use of our technology and trademarks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For example, many foreign countries limit the enforceability of patents against certain third parties, including government agencies or government contractors. In these countries, any patents that we may obtain may provide limited or no benefit. Effective trade secret protection may also not be available in every country in which our features are available or where we have employees or independent contractors. The loss of trade secret protection could make it easier for third parties to compete with our features by copying functionality. In addition, any changes in, or unexpected interpretations of, the trade secret and employment laws in any country in which we operate may compromise our ability to enforce our trade secret and intellectual property rights.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and other innovative features that have enabled us to be successful to date. Moreover, we may need to expend additional resources to defend our intellectual property rights in foreign countries, and our inability to do so could impair our business or adversely affect our international expansion.</w:t>
      </w:r>
    </w:p>
    <w:p>
      <w:pPr>
        <w:spacing w:after="0" w:line="129" w:lineRule="exact"/>
        <w:rPr>
          <w:sz w:val="20"/>
          <w:szCs w:val="20"/>
          <w:color w:val="auto"/>
        </w:rPr>
      </w:pPr>
    </w:p>
    <w:p>
      <w:pPr>
        <w:ind w:right="880"/>
        <w:spacing w:after="0" w:line="294"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features and could subject us to possible litigation.</w:t>
      </w:r>
    </w:p>
    <w:p>
      <w:pPr>
        <w:spacing w:after="0" w:line="5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 portion of the technologies we use in our platform, database infrastructure (Bedrock), Expensify.com, new.expensify.com and mobile application incorporate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suits by parties claiming ownership of what we believe to be open source software, or claiming non-compliance with the applicable open source licensing terms.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allow them to create similar products with lower development effort and time, and ultimately result in a loss of sales for us.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may also have to expend substantial time and resources to re-engineer some or all of our software, incur significant legal expenses defending against such allegations, be subject to significant damages, or be enjoined from the sale of our platform that contained the open source software.</w:t>
      </w:r>
    </w:p>
    <w:p>
      <w:pPr>
        <w:spacing w:after="0" w:line="1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results of operations, or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Licensing technologies from third parties also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sell our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features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features and increase our costs.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would disrupt the distribution and sale of subscriptions to our platform and harm our business, results of operations and financial condition.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litigation against us could be costly and time-consuming to defend.</w:t>
      </w:r>
    </w:p>
    <w:p>
      <w:pPr>
        <w:spacing w:after="0" w:line="1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 the past and may in the future become subject to legal proceedings and claims that arise in the ordinary course of business. We could be subject to claims, lawsuits (including class actions and individual lawsuits), government investigations and other proceedings involving consumer protection, labor and employment, immigration, import and export practices, product labeling, competition, accessibility, securities, tax, marketing and communications practices, commercial disputes, defamation, civil rights infringement, negligence, intellectual property rights infringement, invasion of privacy, product liability, regulatory compliance, or other legal claims, including claims relating to information that is published or made available via our platform. For example, in November 2020, the Federal Election Commission ("FEC") notified us of a number of complaints filed against us in connection with David Barrett's email on October 23, 2020 urging customers to protect democracy. We responded to the complaints in November and December 2020, requesting dismissal of all complaints. On May 31, 2022 we received notice from the FEC clearing us of any wrongdoings in relation to these complaints. However, we cannot assure you that the matter will not result in further complaints, regulatory inquiries or future proceedings. See Part I, Item 3 "Legal Proceedings" for additional information regarding our legal proceedings.</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number and significance of our legal disputes and inquiries have increased as we have grown larger, as our business has expanded in scope and geographic reach, and as our features and services have increased in complexity, and we expect the potential for future legal proceedings, claims and disputes will continue to increase.</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Regardless of the outcome, legal proceedings might result in substantial costs and may divert management and key personnel’s attention and resources, which might seriously harm our business, results of operations and financial condition. Plaintiffs may seek, and we may become subject to, preliminary or provisional rulings in the course of litigation, including preliminary injunctions requiring us to cease some or all of our operations. We may decide to settle legal disputes on terms that are unfavorable to us; for example, we may be required to cease some or all of our operations or pay substantial amounts to the other party, which could materially and adversely affect our business. Furthermore, if any litigation to which we are a party is resolved adversely, we may be subject to an unfavorable judgment that we may not choose to appeal or that may not be reversed upon appeal. We may have to seek a license to continue practices found to be in violation of a third party’s rights. If we are required, or choose to enter into, royalty or licensing arrangements, such arrangements may not be available on reasonable terms or at all and may significantly increase our operating costs and expenses. As a result, we may also be required to develop or procure alternative non-infringing technology or discontinue use of technology, and doing so could require significant effort and expense or may not be feasible. In addition, insurance might not cover these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120" w:lineRule="exact"/>
        <w:rPr>
          <w:sz w:val="20"/>
          <w:szCs w:val="20"/>
          <w:color w:val="auto"/>
        </w:rPr>
      </w:pPr>
    </w:p>
    <w:p>
      <w:pPr>
        <w:ind w:right="1260"/>
        <w:spacing w:after="0" w:line="294" w:lineRule="auto"/>
        <w:rPr>
          <w:sz w:val="20"/>
          <w:szCs w:val="20"/>
          <w:color w:val="auto"/>
        </w:rPr>
      </w:pPr>
      <w:r>
        <w:rPr>
          <w:rFonts w:ascii="Arial" w:cs="Arial" w:eastAsia="Arial" w:hAnsi="Arial"/>
          <w:sz w:val="18"/>
          <w:szCs w:val="18"/>
          <w:b w:val="1"/>
          <w:bCs w:val="1"/>
          <w:i w:val="1"/>
          <w:iCs w:val="1"/>
          <w:color w:val="auto"/>
        </w:rPr>
        <w:t>Our employees, commercial partners and vendors may engage in misconduct or other improper activities, including noncompliance with regulatory standards and requirements.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exposed to the risk that our employees, commercial partners and vendors may engage in fraudulent or illegal activity. Misconduct by these parties could include intentional, reckless and/or negligent conduct or disclosure of unauthorized activities to us that violate: (i) the rules of the applicable regulatory bodies; (ii) data privacy laws or other similar non-United States laws; or (iii) laws that require the true, complete and accurate reporting of financial information or data. It is not always possible to identify and deter misconduct by our employees and other third parties, and the precautions we take to detect and prevent these activities may not be effective in controlling unknown or unmanaged risks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result in the imposition of significant fines or other sanctions, including the imposition of civil, criminal and administrative penalties, additional integrity reporting and oversight obligations.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future, we may raise additional capital through additional debt or equity financings to support our business growth, to respond to business opportunities, challenges, or unforeseen circumstances, or for other reasons. On an ongoing basis, we evaluate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existing stockholders, and existing stockholders may experience dilution. Debt financing, if available, may involve restrictive covenants relating to our capital raising activities and other financial and operational matters, which could reduce our operational flexibility or make it more difficult for us to obtain additional capital and to pursue business opportunities. In addition, subject to limited exceptions, our loan and security agreement with Canadian Imperial Bank of Commerce ("CIBC"), as amended and restated on February 21, 2024 and as amended on February 13, 2025, and as may be further amended from time to time, ("2024 Amended Loan and Security Agreement"), restricts us from incurring indebtedness without the prior written consent of the lender.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20"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2024 Amended Loan and Security Agreement and/or future indebtedness, and we may be required to repay the outstanding indebtedness in an event of default, which would have an adverse effect on our business.</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2024 Amended Loan and Security Agreement consists of a $25.0 million revolving line of credit, which matures in September 2025, and subjects us, and any future indebtedness would likely subject us, to various customary covenants, including requirements as to financial reporting, insurance and certain liquidity and leverage thresholds and restrictions on our ability to maintain cash deposits outside of CIBC above certain thresholds,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 to encumber our intellectual property and certain other restrictions on our activities. Our business may be adversely affected by these restrictions on our ability to operate our business.</w:t>
      </w:r>
    </w:p>
    <w:p>
      <w:pPr>
        <w:spacing w:after="0" w:line="11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Additionally, our ability to meet our debt obligations and other expenses will depend on our future performance, which will be affected by financial, business, economic, regulatory and other factors, many of which we are unable to control. We may be required to repay any outstanding indebtedness if an event of default occurs under the 2024 Amended Loan and Security Agreement. Under the 2024 Amended Loan and Security Agreement, an event of default will occur if, among other things, we fail to make payments under such agreement; we breach certain of our covenants under such agreement, subject to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cure periods with respect to certain breaches; we or our assets become subject to certain legal proceedings, such as bankruptcy proceedings; we are unable to pay our debts as they become due; or we default on contracts with third parties which would permit CIBC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CIBC could also exercise its rights as collateral agent to take possession of, and to dispose of, the collateral securing the loan, which collateral includes substantially all of our personal property (including intellectual property). Our business, financial condition and results of operations could be materially adversely affected as a result of any of these events. We may seek to enter into an extension of the 2024 Amended Loan and Security Agreement or enter into a new facility with another lender. We may not be able to extend the term or obtain other debt financing on terms that are favorable to us, if at all, and we could be subject to additional restrictions on our business operations. If we are unable to obtain adequate financing or financing on satisfactory terms when required, our ability to support our business growth and to respond to business challenges could be significantly impaired, and our business may be harmed.</w:t>
      </w:r>
    </w:p>
    <w:p>
      <w:pPr>
        <w:spacing w:after="0" w:line="10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2024, we were not in compliance with all debt covenants under the 2024 Amended Loan and Security Agreement, specifically the covenant restricting the amount of repurchases of common stock, which includes net share settlements of stock-based awards. On February 13, 2025, we entered into a third amendment to the 2024 Amended Loan and Security Agreement, which amended the covenant restricting the amount of repurchases of common stock, which includes net share settlements of stock-based awards, to allow for certain additional net share settlement activity and which provided a waiver from CIBC for our non-compliance with the previous version of such covenant as of December 31, 2024. We do not believe non-compliance with this covenant had any material impact on our operations.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expect to be in compliance with all debt covenants under the 2024 Amended Loan and Security Agreement by the end of the fiscal quarter ended March 31, 2025. However, if a waiver from CIBC is required in the future for potential non-compliance, CIBC may be unwilling to provide a waiver and could, as a result, call our outstanding debt obligations immediately which could have a material adverse effect on our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Because a substantial portion of our debt is variable-rate debt, fluctuations in interest rates could have a material effect on our business. We incur higher interest costs if interest rates increase. We are currently experiencing a high interest rate environment, and there is no guarantee that there will not be any further increases in the future. Any such increase in interest costs could have a material adverse impact on our financial condition and the levels of cash we maintain for working capital.</w:t>
      </w:r>
    </w:p>
    <w:p>
      <w:pPr>
        <w:spacing w:after="0" w:line="111" w:lineRule="exact"/>
        <w:rPr>
          <w:sz w:val="20"/>
          <w:szCs w:val="20"/>
          <w:color w:val="auto"/>
        </w:rPr>
      </w:pPr>
    </w:p>
    <w:p>
      <w:pPr>
        <w:ind w:right="960"/>
        <w:spacing w:after="0" w:line="294"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could materially adversely affect our results of operations.</w:t>
      </w:r>
    </w:p>
    <w:p>
      <w:pPr>
        <w:spacing w:after="0" w:line="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lease servers and other hardware in order to provide our services. These servers are highly custom, built to order servers, which from time to time need to be upgraded, repaired or replaced. Many of these servers contain parts that are manufactured in Taiwan, China, and other international regions. The Trump Administration has threatened to impose severe tariffs on imports from some or all of these regions. The imposition of such tariffs could materially increase the cost of maintenance for our servers or prevent us from being able to obtain parts all together. While our systems are designed to be redundant and fault tolerant, our inability to upgrade or repair them could result in our inability to continue to provide services to the expectations of our customers, which could lead to a loss of customers and materially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A failure to maintain an effective system of disclosure controls and internal control over financial reporting could adversely affect our ability to produce timely and accurate financial statements or comply with applicable regulations. Additionally, investors may lose confidence in the accuracy and completeness of our financial reports, and the market price of our Class A common stock may be seriously harmed.</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Sarbanes-Oxley Act of 2002 (the "Sarbanes-Oxley Act") requires, among other things, that we maintain effective disclosure controls and procedures and internal control over financial reporting. In order to develop, maintain and, if required, improve the effectiveness of our disclosure controls and procedures and internal control over financial reporting, we have expended, and may continue to expend, significant resources, including accounting-related costs and investments to strengthen our accounting systems. If any of these new or improved controls and systems do not perform as expected, we may experience material weaknesses in our controls.</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we are unable to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We could also become subject to litigation or investigations by the stock exchange on which our securities are listed, the SEC or other regulatory authorities, which could require additional financial and management resources.</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Additionally, our current controls and any new controls that we develop may become inadequate because of changes in conditions in our business, and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Such failure could also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LLC ("Nasdaq").</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and we may need to expend additional significant resources, each of which could harm our business, results of operations and financial condition.</w:t>
      </w:r>
    </w:p>
    <w:p>
      <w:pPr>
        <w:spacing w:after="0" w:line="117"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71"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("GAAP") requires management to make estimates and assumptions that affect the amounts reported in our consolidated financial statements. We base our estimates on historical experience and on various other assumptions that we believe to be reasonable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useful lives and recoverability of long-lived assets, the fair value of common stock prior to being a publicly traded company and stock-based compensation expense, as well as those used to allocate our employee and employee related expense, which consist of contractor costs, employee salary and wages, stock-based compensation and travel and other employee-related costs, to their appropriate financial statement line items due to our generalist model and organizational structure.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06"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 Moreover, we may choose not to provide guidance regarding our projected business or financial performance, which may have an adverse impact on our stock price.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w:t>
      </w:r>
    </w:p>
    <w:p>
      <w:pPr>
        <w:spacing w:after="0" w:line="117"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We could be required to collect additional sales, use, value-added and other indirect taxes, or be subject to other tax liabilities in various jurisdictions, which could adversely affect our results of operations.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application of indirect taxes, such as sales and use, value-added tax, provincial, goods and services, business, digital services and gross receipts taxes, to businesses like ours is a complex and evolving issue. Significant judgment is required to evaluate applicable tax obligations and, as a result, amounts recorded are estimates and are subject to adjustments. In many cases, the ultimate tax determination is uncertain because it is not clear when and how new and existing statutes might apply to our business. If we are found to have not adequately addressed our tax obligations, our business could be adversely impacted.</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U.S. Supreme Court held in South Dakota v. Wayfair that a U.S. state may require an online retailer to collect sales taxes imposed by the state in which the buyer is located, even if the retailer has no physical presence in that state, thus permitting a wider enforcement of such sales tax collection requirements. If our calculation, collection and remittance of taxes in the jurisdictions in which we do business were determined to be deficient, our business and results of operations could be adversely impacted. A successful assertion by a taxing authority that we should collect additional sales, use or other taxes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remit such taxes directly to states could result in substantial tax liabilities for past sales and additional administrative expenses, which could seriously harm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adversely affect our operating results.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58" w:lineRule="exact"/>
        <w:rPr>
          <w:sz w:val="20"/>
          <w:szCs w:val="20"/>
          <w:color w:val="auto"/>
        </w:rPr>
      </w:pPr>
    </w:p>
    <w:p>
      <w:pPr>
        <w:ind w:left="340" w:right="40" w:hanging="332"/>
        <w:spacing w:after="0" w:line="287"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due to differing statutory tax rates in various jurisdictions;</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57" w:lineRule="exact"/>
        <w:rPr>
          <w:rFonts w:ascii="Arial" w:cs="Arial" w:eastAsia="Arial" w:hAnsi="Arial"/>
          <w:sz w:val="18"/>
          <w:szCs w:val="18"/>
          <w:color w:val="auto"/>
        </w:rPr>
      </w:pPr>
    </w:p>
    <w:p>
      <w:pPr>
        <w:ind w:left="340" w:right="500" w:hanging="332"/>
        <w:spacing w:after="0" w:line="318" w:lineRule="auto"/>
        <w:tabs>
          <w:tab w:leader="none" w:pos="335"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62" w:lineRule="exact"/>
        <w:rPr>
          <w:rFonts w:ascii="Arial" w:cs="Arial" w:eastAsia="Arial" w:hAnsi="Arial"/>
          <w:sz w:val="17"/>
          <w:szCs w:val="17"/>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of these developments could adversely affect our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w:t>
      </w:r>
    </w:p>
    <w:p>
      <w:pPr>
        <w:spacing w:after="0" w:line="14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tax obligations are varied and include U.S., federal, state and local taxes and international taxes due to the nature of our business. The tax laws that are applicable to our business are subject to interpretation and require significant judgment. We may recognize additional tax expense and be subject to additional tax liabilities due to changes in tax laws, regulations, and administrative practices and principles, including changes to the tax framework in the jurisdictions in which we operate.</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regular review and audit by U.S. federal, state, and foreign tax authorities. Tax authorities may disagree with certain positions we have taken, and any adverse outcome of such a review or audit could increase the amount of taxes imposed on our business, and harm our financial position, results of operations, and cash flows. In particular, we are currently under examination by the Internal Revenue Service ("IRS") for our 2021 and 2022 tax years. We are continuing to respond to inquiries related to these examinations. These examinations could result in challenges to various positions we have asserted in our tax filings and could impact our tax liability. The ultimate resolution of these examinations, and any other reviews, audits or litigation, may differ from the amounts recorded in our financial statements and may materially affect our financial results in the period or periods for which such determination is made.</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economic and political pressures to increase tax revenue in various jurisdictions may make resolving tax disputes in our favor more difficult. While to date no material adjustments have been requested by tax authorities, including by the IRS related to its examination of the 2021 and 2022 tax years, an unfavorable outcome from any tax examination or audit could result in higher tax costs, penalties and interest, thereby adversely affecting our financial condition or results of operations. We regularly assess the likely outcomes of any audits and other tax disputes to determine the appropriateness of our tax provision and establish reserves for material, known tax exposures. However, the calculation of such tax exposures involves the application of complex tax laws and regulations in many jurisdictions. Therefore, there can be no assurance that we will accurately predict the outcomes of any tax examination, audit or other tax dispute or that issues raised by tax authorities will be resolved at a financial cost that does not exceed our related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60"/>
        <w:spacing w:after="0" w:line="288" w:lineRule="auto"/>
        <w:rPr>
          <w:sz w:val="20"/>
          <w:szCs w:val="20"/>
          <w:color w:val="auto"/>
        </w:rPr>
      </w:pPr>
      <w:r>
        <w:rPr>
          <w:rFonts w:ascii="Arial" w:cs="Arial" w:eastAsia="Arial" w:hAnsi="Arial"/>
          <w:sz w:val="29"/>
          <w:szCs w:val="29"/>
          <w:b w:val="1"/>
          <w:bCs w:val="1"/>
          <w:color w:val="002E22"/>
        </w:rPr>
        <w:t>Risks Related to the Multiple Class Structure of Our Common Stock and the Voting Trust Agreement</w:t>
      </w:r>
    </w:p>
    <w:p>
      <w:pPr>
        <w:spacing w:after="0" w:line="5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The multiple class structure of our common stock and the ownership of all of our LT10 and LT50 common stock by Trust Beneficiaries through the Voting Trust have the effect of concentrating voting control with the Voting Trust for the foreseeable future, which will limit your ability to influence corporate matters, including a change in control. We are controlled by the Voting Trust, whose interests may differ from those of our public stockholders. Our amended and restated certificate of incorporation also delegates significant authority to an Executive Committee.</w:t>
      </w:r>
    </w:p>
    <w:p>
      <w:pPr>
        <w:spacing w:after="0" w:line="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Each share of our LT10 and LT50 common stock is entitled to 10 and 50 votes per share, respectively, and each share of our Class A common stock is entitled to one vote per share. All shares of LT10 and LT50 common stock are held directly by the Voting Trust established in connection with our initial public offering pursuant to a voting trust agreement ("Voting Trust Agreement"). As of December 31, 2024, the Voting Trust held 4,209,827 and 7,695,524 shares of LT10 and LT50 common stock, respectively, representing approximately 13.0% of the economic interest and 84.3% of the voting power of outstanding capital stock. All decisions with respect to the voting (but not the disposition) of shares held in the Voting Trust from time to time will be made by the trustees of the Voting Trust ("Trustees") in their sole and absolute discretion, and with no responsibility under the Voting Trust Agreement as stockholder, trustee or otherwise, except for his or her own individual malfeasance. The Voting Trust and its Trustees will, for the foreseeable future, have significant influence over our corporate management and affairs, and will be able to control virtually all matters requiring stockholder approval. The Voting Trust is able to, subject to applicable law, elect all of the members of our Board of Directors and control actions to be taken by us and our Board of Directors, including amendments to our amended and restated certificate of incorporation and amended and restated bylaws, compensation matters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This concentrated control will limit your ability to influence corporate matters for the foreseeable future and may materially adversely affect the market price of our Class A common stock. It is possible that the interests of the Voting Trust may, in some circumstances, conflict with our interests and the interests of our other stockholders, including you. For example, the Voting Trust may have different tax positions or other differing incentives from other stockholders that could influence its decisions regarding whether and when to cause us to dispose of assets, incur new or refinance existing indebtedness, or take other actions. Additionally, the Voting Trust and the holders of our LT10 and LT50 common stock may cause us to make strategic decisions or pursue acquisitions that could involve risks to you or may not be aligned with your interests.</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for as long as the Voting Trust holds securities representing at least 50% of the voting power of our outstanding capital stock, our amended and restated certificate of incorporation delegates to the Executive Committee all of the power and authority of the Board of Directors in the management of our business and affairs, provided that the Executive Committee will not have power or authority in reference to (i) matters that must be approved by the Audit Committee of the board, (ii) matters that must be approved by a committee qualified to grant equity to persons subject to Section 16 of the Exchange Act for purposes of exempting transactions pursuant to Section 16b-3 thereunder,</w:t>
      </w:r>
    </w:p>
    <w:p>
      <w:pPr>
        <w:spacing w:after="0" w:line="3" w:lineRule="exact"/>
        <w:rPr>
          <w:sz w:val="20"/>
          <w:szCs w:val="20"/>
          <w:color w:val="auto"/>
        </w:rPr>
      </w:pPr>
    </w:p>
    <w:p>
      <w:pPr>
        <w:ind w:right="220" w:firstLine="8"/>
        <w:spacing w:after="0" w:line="255" w:lineRule="auto"/>
        <w:tabs>
          <w:tab w:leader="none" w:pos="2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matters required under Delaware law to be approved by the full Board of Directors, or (iv) as otherwise required by SEC rules and the rules of Nasdaq. The members of the Executive Committee currently are, and their successors are generally expected to be, directors who are also our employees or service providers, and the Executive Committee currently consists of David Barrett, Ryan Schaffer, Anu Muralidharan, Jason Mills and Daniel Vidal.</w:t>
      </w:r>
    </w:p>
    <w:p>
      <w:pPr>
        <w:spacing w:after="0" w:line="10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concentrated control is also likely to have the effect of limiting the likelihood of an unsolicited merger proposal, unsolicited tender offer, or proxy contest for the removal of directors. As a result, our governance structure and the Voting Trust may have the effect of depriving our stockholders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color w:val="auto"/>
        </w:rPr>
        <w:t>opportunity to sell their shares at a premium over prevailing market prices and make it more difficult to replace our directors and management.</w:t>
      </w:r>
    </w:p>
    <w:p>
      <w:pPr>
        <w:spacing w:after="0" w:line="7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Delaware law could also require holders of our LT10 and LT50 common stock to vote separately as a single class in the event we seek to amend our amended and restated certificate of incorporation to increase or decrease the par value of a class of our common stock or in a manner that alters or changes the powers, preferences or special rights of LT10 or LT50 common stock in a manner that affects its holders adversely. Future transfers by holders of LT10 and LT50 common stock may result in those shares converting on a one-for-one basis to Class A common stock, which will have the effect, over time, of increasing the relative voting power of those holders of LT10 and LT50 common stock who retain their shares.</w:t>
      </w:r>
    </w:p>
    <w:p>
      <w:pPr>
        <w:spacing w:after="0" w:line="117"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We are a “controlled company” within the meaning of Nasdaq listing standards and, as a result, qualify for, and rely on, exemptions from certain corporate governance requirements. You will not have the same protections afforded to stockholders of companies that are subject to such requirements.</w:t>
      </w:r>
    </w:p>
    <w:p>
      <w:pPr>
        <w:spacing w:after="0" w:line="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Voting Trust controls a majority of the voting power of our outstanding common stock. As a result, we qualify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a majority of the Board of Directors consist of independent directors, the requirement that we have a nominating and corporate governance committee that is composed entirely of independent directors, and the requirement that we have a compensation committee that is composed entirely of independent directors.</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rely on some or all of these exceptions. As a result, we do not have a majority of independent directors, we do not have a nominating and corporate governance committee, and the members of our compensation committee are not independent directors. Accordingly, you do not have the same protections afforded to stockholders of companies that are subject to all of the corporate governance requirements of Nasdaq.</w:t>
      </w:r>
    </w:p>
    <w:p>
      <w:pPr>
        <w:spacing w:after="0" w:line="105" w:lineRule="exact"/>
        <w:rPr>
          <w:sz w:val="20"/>
          <w:szCs w:val="20"/>
          <w:color w:val="auto"/>
        </w:rPr>
      </w:pPr>
    </w:p>
    <w:p>
      <w:pPr>
        <w:ind w:right="1000"/>
        <w:spacing w:after="0" w:line="294" w:lineRule="auto"/>
        <w:rPr>
          <w:sz w:val="20"/>
          <w:szCs w:val="20"/>
          <w:color w:val="auto"/>
        </w:rPr>
      </w:pPr>
      <w:r>
        <w:rPr>
          <w:rFonts w:ascii="Arial" w:cs="Arial" w:eastAsia="Arial" w:hAnsi="Arial"/>
          <w:sz w:val="18"/>
          <w:szCs w:val="18"/>
          <w:b w:val="1"/>
          <w:bCs w:val="1"/>
          <w:i w:val="1"/>
          <w:iCs w:val="1"/>
          <w:color w:val="auto"/>
        </w:rPr>
        <w:t>The multiple class structure of our common stock features certain provisions that are novel or uncommon among other corporations with multiple class structures.</w:t>
      </w:r>
    </w:p>
    <w:p>
      <w:pPr>
        <w:spacing w:after="0" w:line="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number of provisions relating to the multiple class structure of our common stock are novel or uncommon among other corporations with multiple class structures. For example, whenever a holder of LT10 or LT50 common stock desires to transfer or convert shares of his or her LT10 or LT50 common stock, our amended and restated certificate of incorporation and the Voting Trust Agreement contain certain provisions that require, subject to certain exceptions, the trustees of the Voting Trust to attempt to find a holder of shares of Class A common stock to exchange such shares for such shares of LT10 or LT50 common stock, and such shares of LT10 or LT50 common stock will only convert into shares of Class A common stock if no such Class A stockholder is identified. As a result, shares of our LT10 and LT50 common stock may convert into shares of Class A common stock at a slower rate.</w:t>
      </w:r>
    </w:p>
    <w:p>
      <w:pPr>
        <w:spacing w:after="0" w:line="104" w:lineRule="exact"/>
        <w:rPr>
          <w:sz w:val="20"/>
          <w:szCs w:val="20"/>
          <w:color w:val="auto"/>
        </w:rPr>
      </w:pPr>
    </w:p>
    <w:p>
      <w:pPr>
        <w:ind w:right="320"/>
        <w:spacing w:after="0" w:line="294" w:lineRule="auto"/>
        <w:rPr>
          <w:sz w:val="20"/>
          <w:szCs w:val="20"/>
          <w:color w:val="auto"/>
        </w:rPr>
      </w:pPr>
      <w:r>
        <w:rPr>
          <w:rFonts w:ascii="Arial" w:cs="Arial" w:eastAsia="Arial" w:hAnsi="Arial"/>
          <w:sz w:val="18"/>
          <w:szCs w:val="18"/>
          <w:b w:val="1"/>
          <w:bCs w:val="1"/>
          <w:i w:val="1"/>
          <w:iCs w:val="1"/>
          <w:color w:val="auto"/>
        </w:rPr>
        <w:t>We cannot predict the impact our capital structure, governance structure, and the concentrated control by the Voting Trust may have on our stock price or business.</w:t>
      </w:r>
    </w:p>
    <w:p>
      <w:pPr>
        <w:spacing w:after="0" w:line="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cannot predict whether our multiple share class capital structure, combined with the concentrated control by the Voting Trust and other aspects of our governance structure, will result in a lower trading price or greater fluctuations in the trading price of our Class A common stock, or will result in adverse publicity or other adverse consequences. The holding of low-voting stock, such as our Class A common stock, may not be permitted by the investment policies of certain institutional investors or may be less attractive to the portfolio managers of certain institutional investors. For example, in July 2017, FTSE Russell, a provider of widely followed stock indexes, stated that it plans to require new constituents of its indexes to have at least five percent of their voting rights in the hands of public stockholders. In addition, in July 2017, S&amp;P Dow Jones, another provider of widely followed stock indexes, stated that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with multiple share classes will not be eligible for certain of their indexes. As a result, our Class A common stock will likely not be eligible for these stock indexes. We cannot assure you that other stock indexes will not take a similar approach to FTSE Russell or S&amp;P Dow Jones in the future. Exclusion from indexes could make our Class A common stock less attractive to investors and, as a result, the market price of our Class A common stock could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Risks Related to Ownership of Our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14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market price of our Class A common stock has been and may continue to be volatile and could be subject to wide fluctuations in response to the risk factors described in this Annual Report on Form 10-K, and others beyond our control, including:</w:t>
      </w:r>
    </w:p>
    <w:p>
      <w:pPr>
        <w:spacing w:after="0" w:line="8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44" w:lineRule="exact"/>
        <w:rPr>
          <w:rFonts w:ascii="Arial" w:cs="Arial" w:eastAsia="Arial" w:hAnsi="Arial"/>
          <w:sz w:val="18"/>
          <w:szCs w:val="18"/>
          <w:color w:val="auto"/>
        </w:rPr>
      </w:pPr>
    </w:p>
    <w:p>
      <w:pPr>
        <w:ind w:left="340" w:right="840" w:hanging="332"/>
        <w:spacing w:after="0" w:line="28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financial projections we provide to the public, our failure to meet these projections or our failure to provide such projections;</w:t>
      </w:r>
    </w:p>
    <w:p>
      <w:pPr>
        <w:spacing w:after="0" w:line="85" w:lineRule="exact"/>
        <w:rPr>
          <w:rFonts w:ascii="Arial" w:cs="Arial" w:eastAsia="Arial" w:hAnsi="Arial"/>
          <w:sz w:val="18"/>
          <w:szCs w:val="18"/>
          <w:color w:val="auto"/>
        </w:rPr>
      </w:pPr>
    </w:p>
    <w:p>
      <w:pPr>
        <w:ind w:left="340" w:right="240" w:hanging="332"/>
        <w:spacing w:after="0" w:line="28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economy as a whole in the United States and internationally, and market conditions in our industry;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57" w:lineRule="exact"/>
        <w:rPr>
          <w:rFonts w:ascii="Arial" w:cs="Arial" w:eastAsia="Arial" w:hAnsi="Arial"/>
          <w:sz w:val="18"/>
          <w:szCs w:val="18"/>
          <w:color w:val="auto"/>
        </w:rPr>
      </w:pPr>
    </w:p>
    <w:p>
      <w:pPr>
        <w:ind w:left="340" w:right="640" w:hanging="332"/>
        <w:spacing w:after="0" w:line="28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legal and regulatory landscape and changes in the application of existing laws or adoption of new laws that impact our business;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legal and regulatory claims, litigation, or pre-litigation disputes and other proceedings;</w:t>
      </w:r>
    </w:p>
    <w:p>
      <w:pPr>
        <w:spacing w:after="0" w:line="157" w:lineRule="exact"/>
        <w:rPr>
          <w:rFonts w:ascii="Arial" w:cs="Arial" w:eastAsia="Arial" w:hAnsi="Arial"/>
          <w:sz w:val="18"/>
          <w:szCs w:val="18"/>
          <w:color w:val="auto"/>
        </w:rPr>
      </w:pPr>
    </w:p>
    <w:p>
      <w:pPr>
        <w:ind w:left="340" w:right="300" w:hanging="332"/>
        <w:spacing w:after="0" w:line="28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economic, political, and social impact of, and uncertainty relating to, the outbreaks of pandemics, epidemics and other contagious diseases;</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or expected sales of our Class A common stock by us, our officers, directors, principal stockholders and employees.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 prices of many companies, including technology companies, have fluctuated in a manner often unrelated to the operating performance of those companies. In the past, stockholders have instituted securities class action litigation following periods of stock volatility. If we were to become involved in securities litigation, it could subject us to substantial costs, divert resources and the attention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management from our business, and adversely affect our business, results of operations and financial condition. See Part I, Item 3 "Legal Proceedings" for additional information regarding our legal proceedings.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Class A common stock in the public market could cause our share price to fall.</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of a substantial number of shares of our Class A common stock in the public market or the perception that these sales might occur in large quantities, could cause the market price of our Class A common stock to decline and could impair our ability to raise capital through the sale of additional equity securities. As of December 31, 2024, we had 79,471,414 shares of Class A common stock outstanding, 4,209,827 shares of LT10 common stock outstanding and 7,695,524 shares of LT50 common stock outstanding. Our amended and restated certificate of incorporation imposes transfer restrictions on shares of our LT10 and LT50 common stock.</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were 3,744,480 shares of Class A common stock issuable upon the exercise of exercisable options outstanding as of December 31, 2024. We registered all of the shares of Class A common stock issuable upon the exercise of outstanding options, upon the settlement of restricted stock units ("RSUs") issued following our initial public offering ("IPO") or in connection with other equity incentives we may grant in the future, for public resale under the Securities Act. The shares of Class A common stock will become eligible for sale once issued, subject to compliance with applicable securities laws.</w:t>
      </w:r>
    </w:p>
    <w:p>
      <w:pPr>
        <w:spacing w:after="0" w:line="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Class A common stock to decline.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may cause the market price of our Class A common stock to decline.</w:t>
      </w:r>
    </w:p>
    <w:p>
      <w:pPr>
        <w:spacing w:after="0" w:line="15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Increases in interest rates, like what has been experienced in recent years, may cause a corresponding decline in demand for equity investments. Any such increase in interest rates or reduction in demand for our Class A common stock resulting from other relatively more attractive investment opportunities may cause the market price of our Class A common stock to decline.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5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have never declared or paid any cash dividends on our capital stock, and we do not intend to pay any cash dividends in the foreseeable future. Our current indebtedness, including our loan and security agreement with CIBC, contains, and our future indebtedness may contain, restrictions on our ability to pay cash dividends on our capital stock. Any determination to pay dividends in the future will be at the discretion of our Executive Committee, for as long as the Voting Trust controls a majority of the voting power of our outstanding common stock, and at the discretion of our Board of Directors thereafter. Accordingly, investors in our Class A common stock must rely on sales of their Class A common stock after price appreciation, which may never occur, as the only way to realize any future gains on their investments.</w:t>
      </w:r>
    </w:p>
    <w:p>
      <w:pPr>
        <w:spacing w:after="0" w:line="103"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our Class A common stock, including pursuant to our equity incentive plans, or other equity securities or securities convertible into our Class A common stock, could result in additional dilution of the percentage ownership of our stockholders and could cause the stock price of our Class A common stock to decline.</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future, we may sell Class A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convertible securities, or other equity securities in subsequent transactions, or Class A common stock or LT10 or LT50 common stock is issued pursuant to equity incentive plans, investors may be materially diluted. New investors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subsequent transactions could gain rights, preferences and privileges senior to those of holders of our Class A common stock.</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 and could also reduce the market price of our Class A common stock.</w:t>
      </w:r>
    </w:p>
    <w:p>
      <w:pPr>
        <w:spacing w:after="0" w:line="9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which could have the effect of rendering more difficult, delaying or preventing an acquisition deemed undesirable by our Board of Directors. Our corporate governance documents include provisions:</w:t>
      </w:r>
    </w:p>
    <w:p>
      <w:pPr>
        <w:spacing w:after="0" w:line="103" w:lineRule="exact"/>
        <w:rPr>
          <w:sz w:val="20"/>
          <w:szCs w:val="20"/>
          <w:color w:val="auto"/>
        </w:rPr>
      </w:pPr>
    </w:p>
    <w:p>
      <w:pPr>
        <w:ind w:left="340" w:right="80" w:hanging="332"/>
        <w:spacing w:after="0" w:line="28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with voting, liquidation, dividend and other rights superior to our common stock;</w:t>
      </w:r>
    </w:p>
    <w:p>
      <w:pPr>
        <w:spacing w:after="0" w:line="71" w:lineRule="exact"/>
        <w:rPr>
          <w:rFonts w:ascii="Arial" w:cs="Arial" w:eastAsia="Arial" w:hAnsi="Arial"/>
          <w:sz w:val="18"/>
          <w:szCs w:val="18"/>
          <w:color w:val="auto"/>
        </w:rPr>
      </w:pPr>
    </w:p>
    <w:p>
      <w:pPr>
        <w:ind w:left="340" w:right="60" w:hanging="332"/>
        <w:spacing w:after="0" w:line="28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eliminating the ability of our stockholders to take action by consent in lieu of a meeting following the date on which the Voting Trust holds less than a majority of the voting power of our outstanding capital stock;</w:t>
      </w:r>
    </w:p>
    <w:p>
      <w:pPr>
        <w:spacing w:after="0" w:line="85" w:lineRule="exact"/>
        <w:rPr>
          <w:rFonts w:ascii="Arial" w:cs="Arial" w:eastAsia="Arial" w:hAnsi="Arial"/>
          <w:sz w:val="18"/>
          <w:szCs w:val="18"/>
          <w:color w:val="auto"/>
        </w:rPr>
      </w:pPr>
    </w:p>
    <w:p>
      <w:pPr>
        <w:ind w:left="340" w:right="200" w:hanging="332"/>
        <w:spacing w:after="0" w:line="28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85" w:lineRule="exact"/>
        <w:rPr>
          <w:rFonts w:ascii="Arial" w:cs="Arial" w:eastAsia="Arial" w:hAnsi="Arial"/>
          <w:sz w:val="18"/>
          <w:szCs w:val="18"/>
          <w:color w:val="auto"/>
        </w:rPr>
      </w:pPr>
    </w:p>
    <w:p>
      <w:pPr>
        <w:ind w:left="340" w:right="60" w:hanging="332"/>
        <w:spacing w:after="0" w:line="268"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providing to our Board of Directors the exclusive right to determine the size of the board, and providing that any vacancies or newly created seats on the board may only be filled by the Board of Directors, unless the board determines that such vacancies be filled by the stockholders;</w:t>
      </w:r>
    </w:p>
    <w:p>
      <w:pPr>
        <w:spacing w:after="0" w:line="89"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maintaining our current multi-class structure; and</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0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Class A common stock.</w:t>
      </w:r>
    </w:p>
    <w:p>
      <w:pPr>
        <w:spacing w:after="0" w:line="105"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amended and restated bylaws provide that we will indemnify our directors and officers, in each case to the fullest extent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40"/>
        <w:spacing w:after="0" w:line="28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72" w:lineRule="exact"/>
        <w:rPr>
          <w:sz w:val="20"/>
          <w:szCs w:val="20"/>
          <w:color w:val="auto"/>
        </w:rPr>
      </w:pPr>
    </w:p>
    <w:p>
      <w:pPr>
        <w:ind w:left="340" w:right="180" w:hanging="332"/>
        <w:spacing w:after="0" w:line="262"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08"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57" w:lineRule="exact"/>
        <w:rPr>
          <w:rFonts w:ascii="Arial" w:cs="Arial" w:eastAsia="Arial" w:hAnsi="Arial"/>
          <w:sz w:val="18"/>
          <w:szCs w:val="18"/>
          <w:color w:val="auto"/>
        </w:rPr>
      </w:pPr>
    </w:p>
    <w:p>
      <w:pPr>
        <w:ind w:left="340" w:right="260" w:hanging="332"/>
        <w:spacing w:after="0" w:line="268"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9" w:lineRule="exact"/>
        <w:rPr>
          <w:rFonts w:ascii="Arial" w:cs="Arial" w:eastAsia="Arial" w:hAnsi="Arial"/>
          <w:sz w:val="18"/>
          <w:szCs w:val="18"/>
          <w:color w:val="auto"/>
        </w:rPr>
      </w:pPr>
    </w:p>
    <w:p>
      <w:pPr>
        <w:ind w:left="340" w:right="880" w:hanging="332"/>
        <w:spacing w:after="0" w:line="318" w:lineRule="auto"/>
        <w:tabs>
          <w:tab w:leader="none" w:pos="3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62" w:lineRule="exact"/>
        <w:rPr>
          <w:rFonts w:ascii="Arial" w:cs="Arial" w:eastAsia="Arial" w:hAnsi="Arial"/>
          <w:sz w:val="17"/>
          <w:szCs w:val="17"/>
          <w:color w:val="auto"/>
        </w:rPr>
      </w:pPr>
    </w:p>
    <w:p>
      <w:pPr>
        <w:ind w:left="340" w:right="580" w:hanging="332"/>
        <w:spacing w:after="0" w:line="287" w:lineRule="auto"/>
        <w:tabs>
          <w:tab w:leader="none" w:pos="3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8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92"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for an exclusive forum in the Court of Chancery of the State of Delaware for certain disputes between us and our stockholders, and that the federal district courts of the United States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(or, if such court does not have subject matter jurisdiction thereof, the federal district court of the State of Delaware) is the exclusive forum for any derivative action or proceeding brought on our behalf, any action asserting a breach of fiduciary duty owed by any of our current or former directors, officers, other employees, agents or stockholders to us or our stockholders,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jurisdiction on the Court of Chancery of the State of Delaware, or any action asserting a claim against us that is governed by the internal affairs doctrine of the State of Delaware; provided that the exclusive forum provision will not apply to suits brought to enforce any liability or duty created by the Exchange Act to the extent that the Exchange Act confers exclusive federal jurisdiction over such claims, subject to applicable law. Our amended and restated certificate of incorporation will also provide that the federal district courts of the United States of America will be the exclusive forum for the resolution of any complaint asserting a cause of action against us or any of our directors, officers, or employees arising under the Securities Act.</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materially adversely affect our business,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General Risk Factors</w:t>
      </w:r>
    </w:p>
    <w:p>
      <w:pPr>
        <w:spacing w:after="0" w:line="183"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Pandemics, epidemics or other health crises may have a negative effect on our business, financial condition, results of operations, cash flows, and liquidity.</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could be materially and adversely affected by the risks, or the public perception of the risks, related to a pandemic, epidemic, or other health crises. The COVID-19 pandemic disrupted our business and impacted our employees, partners, third-party service providers and customers. In particular, effects of the COVID-19 pandemic, such as economic instability, remote work and travel restrictions negatively affected demand for our platform as employees incurred fewer work- and travel-related expenses and submitted fewer expense reimbursement requests to their employers, and as SMBs downsized or went out of business. Many very small businesses ("VSBs") and SMBs experienced substantial revenue and cash liquidity declines in the early months of the COVID-19 pandemic, and there were high observed rates of small business failures. The COVID-19 pandemic also negatively impacted the amount of expenses incurred by our paid members, our annual gross logo retention, our net seat retention, the launch of our Expensify Card and the roll-out of our co-working spaces.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degree to which pandemics, epidemics and other public health crises will affect our business in the future will depend on developments that are highly uncertain and cannot currently be predicted. These developments include, but are not limited to, the duration, extent and severity of any such crisis; actions taken to contain any such crisis; the ultimate societal impact of any such crisis and any lasting changes in business and consumer behavior, including with respect to remote work, business travel and business expense spending and reimbursement; the duration and nature of related restrictions on economic activity and domestic and international trade; and the extent of the impact of these and other factors on our employees, partners, third-party service providers and customers. The effects of future pandemics, epidemics or other public health crises could have a material adverse impact on our business, results of operations, financial condition and growth prospects.</w:t>
      </w:r>
    </w:p>
    <w:p>
      <w:pPr>
        <w:spacing w:after="0" w:line="119"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5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11"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research about our business, our stock price and trading volume could decline.</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our operating results do not meet the expectations of the investor community, one or more of the analysts who cover our company may change their recommendations regarding our company, and our stock price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risks associated with climate change and other environmental, social, and governance matters.</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There is increased scrutiny from investors, customers, policymakers, and other stakeholders regarding companies’ management of climate change, human capital, and various other ESG matters. For example, there are inherent environmental risks wherever business is conducted, and climate change is expected to increase the frequency or severity of certain disasters or result in chronic changes that result in additional risks.</w:t>
      </w:r>
    </w:p>
    <w:p>
      <w:pPr>
        <w:spacing w:after="0" w:line="10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engage in various initiatives to manage ESG matters and address related stakeholder expectations; however, such initiatives can be costly and may not have the desired effect. Methodologies and data for such initiatives are complex and continue to evolve. Moreover, stakeholder expectations are not uniform and, at times, conflict. Any failure to successfully navigate such expectations, including any regulatory requirements or interpretations, may result in reputational harm or other adverse impacts to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1B. Unresolved Staff Comments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1C. Cybersecurity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Cybersecurity Risk Management and Strategy</w:t>
      </w:r>
    </w:p>
    <w:p>
      <w:pPr>
        <w:spacing w:after="0" w:line="144"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8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design and assess our program based on applicable laws and regulations, and informed by industry standards and industry-recognized practices including but not limited to following the latest NIST and CISA guidance and SOC 2 Principles and Framework. This does not imply that we meet any particular technical standards, specifications, or requirements, only that we use such laws and regulations and industry standards and practices as a guide to help us identify, assess, and manage cybersecurity risks relevant to our business.</w:t>
      </w:r>
    </w:p>
    <w:p>
      <w:pPr>
        <w:spacing w:after="0" w:line="10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cybersecurity risk management program include but are not limited to the following:</w:t>
      </w:r>
    </w:p>
    <w:p>
      <w:pPr>
        <w:spacing w:after="0" w:line="158"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risk assessments designed to help identify material cybersecurity risks to our critical systems, and information;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security team principally responsible for managing (1) our cybersecurity risk assessment processes, (2) our security controls, and</w:t>
      </w:r>
    </w:p>
    <w:p>
      <w:pPr>
        <w:spacing w:after="0" w:line="2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(3) our response to cybersecurity incidents;</w:t>
      </w:r>
    </w:p>
    <w:p>
      <w:pPr>
        <w:spacing w:after="0" w:line="12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processes;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cybersecurity awareness training of our employees, incident response personnel, and senior management;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44"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third-party risk management process for key service providers based on our assessment of their criticality to our operations and respective risk profile.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w:t>
      </w:r>
      <w:r>
        <w:rPr>
          <w:rFonts w:ascii="Arial" w:cs="Arial" w:eastAsia="Arial" w:hAnsi="Arial"/>
          <w:sz w:val="17"/>
          <w:szCs w:val="17"/>
          <w:i w:val="1"/>
          <w:iCs w:val="1"/>
          <w:color w:val="auto"/>
        </w:rPr>
        <w:t>See</w:t>
      </w:r>
      <w:r>
        <w:rPr>
          <w:rFonts w:ascii="Arial" w:cs="Arial" w:eastAsia="Arial" w:hAnsi="Arial"/>
          <w:sz w:val="17"/>
          <w:szCs w:val="17"/>
          <w:color w:val="auto"/>
        </w:rPr>
        <w:t xml:space="preserve"> Risk Factor </w:t>
      </w:r>
      <w:r>
        <w:rPr>
          <w:rFonts w:ascii="Arial" w:cs="Arial" w:eastAsia="Arial" w:hAnsi="Arial"/>
          <w:sz w:val="17"/>
          <w:szCs w:val="17"/>
          <w:i w:val="1"/>
          <w:iCs w:val="1"/>
          <w:color w:val="auto"/>
        </w:rPr>
        <w:t>If we or our third party providers fail to protect our</w:t>
      </w:r>
      <w:r>
        <w:rPr>
          <w:rFonts w:ascii="Arial" w:cs="Arial" w:eastAsia="Arial" w:hAnsi="Arial"/>
          <w:sz w:val="17"/>
          <w:szCs w:val="17"/>
          <w:color w:val="auto"/>
        </w:rPr>
        <w:t xml:space="preserve"> </w:t>
      </w:r>
      <w:r>
        <w:rPr>
          <w:rFonts w:ascii="Arial" w:cs="Arial" w:eastAsia="Arial" w:hAnsi="Arial"/>
          <w:sz w:val="17"/>
          <w:szCs w:val="17"/>
          <w:i w:val="1"/>
          <w:iCs w:val="1"/>
          <w:color w:val="auto"/>
        </w:rPr>
        <w:t>IT Systems against security incidents, or otherwise to protect our Confidential Information, there may be damage to our reputation and brand, material financial penalties, and legal liability, which could substantially harm our business, financial condition, and results of operations</w:t>
      </w:r>
      <w:r>
        <w:rPr>
          <w:rFonts w:ascii="Arial" w:cs="Arial" w:eastAsia="Arial" w:hAnsi="Arial"/>
          <w:sz w:val="17"/>
          <w:szCs w:val="17"/>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Cybersecurity Governance</w:t>
      </w:r>
    </w:p>
    <w:p>
      <w:pPr>
        <w:spacing w:after="0" w:line="15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Our Board considers cybersecurity risk as part of its risk oversight function, including oversight of cybersecurity and other information technology risks. The Board oversees management’s implementation of our cybersecurity risk management program.</w:t>
      </w:r>
    </w:p>
    <w:p>
      <w:pPr>
        <w:spacing w:after="0" w:line="8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Board receives periodic reports from management on our cybersecurity risks. In addition, management updates the Board, where it deems appropriate, regarding any cybersecurity incidents it considers to be significant.</w:t>
      </w:r>
    </w:p>
    <w:p>
      <w:pPr>
        <w:spacing w:after="0" w:line="7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management team, including our Chief Compliance Officer and Director of Engineering, is responsible for assessing and managing our material risks from cybersecurity threats. The team has primary responsibility for our overall cybersecurity risk management program and supervises both our internal cybersecurity personnel and external cybersecurity consultants. Our Chief Compliance Officer and Director of Engineering have over 8 and 12 years of experience, respectively, in various software development, cybersecurity, product management, and other technology-related roles. Our Chief Compliance Officer and Director of Engineering have each served in a number of significant leadership roles at our company since 2017 and 2013, respectively, including oversight of security, safety, and integrity initiatives.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management team takes steps to stay informed about and monitor efforts to prevent, detect, mitigate, and remediate cybersecurity risks and incidents through various means, which may include threat intelligence and other information obtained from governmental, public or private sources, including external consultants engaged by us; and alerts and reports produced by security tools deployed in our IT environment.</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2. Properties</w:t>
      </w:r>
    </w:p>
    <w:p>
      <w:pPr>
        <w:spacing w:after="0" w:line="1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the United States, our company has offices in Portland, Oregon, San Francisco, California, and Ironwood, Michigan. We own our office space in Portland, which consists of approximately 38,500 square feet. Our office space in San Francisco, consisting of approximately 10,500 square feet, is leased through May 31, 2034. Our office space in Ironwood, consisting of approximately 2,700 square feet, is leased through April 30, 2026. Our Company leases a lot adjacent to our Portland office space which is leased through April 30, 2030.</w:t>
      </w:r>
    </w:p>
    <w:p>
      <w:pPr>
        <w:spacing w:after="0" w:line="10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also lease co-working spaces in Phoenix, Arizona, New York, New York and London, United Kingdom. We give all employees the ability to rent a co-working space if we do not provide one.</w:t>
      </w:r>
    </w:p>
    <w:p>
      <w:pPr>
        <w:spacing w:after="0" w:line="7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We believe our facilities are adequate and suitable for our current needs and that, should it be needed, suitable additional or alternative space on commercially reasonable terms will be available to accommodate our operations.</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3. Legal Proceedings</w:t>
      </w:r>
    </w:p>
    <w:p>
      <w:pPr>
        <w:spacing w:after="0" w:line="1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On November 29, 2023, a putative securities class action (the “Putative Class Action”) was filed in the United States District Court for the District of Oregon captioned Wilhite v. Expensify, Inc., et al., Case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3:23-cv-01784-JR, naming us, two of our executive officers and two of our former directors as defendants (collectively, the “Defendants”). The lawsuit is purportedly brought on behalf of all those who purchase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naming six of our current board members as additional defendants (together with the Defendants, the “Amended Defendants”). Amended Defendants’ motion to dismiss the amended complaint was filed on July 9, 2024. The lead plaintiff’s opposition was filed on September 6, 2024, and the Amended Defendants’ reply was filed on October 18, 2024. On December 30, 2024, the magistrate judge issued findings and recommendation that the Amended Defendants’ motion to dismiss be granted in part and denied in part. The lead plaintiff and Amended Defendants each filed objections to the magistrate judge’s findings and recommendation on January 21, 2025, and responses to the objections on February 4, 2025. The district court has not yet ruled on the Amended Defendants’ motion to dismiss or on the parties’ objections to the magistrate judge’s findings and recommendation. The defendants intend to deny the allegations of wrongdoing and vigorously defend against the claims in the Putative Class Action.</w:t>
      </w:r>
    </w:p>
    <w:p>
      <w:pPr>
        <w:spacing w:after="0" w:line="1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May 9, 2024, a shareholder derivative lawsuit was filed in the United States District Court for the District of Oregon captioned O’Halloran v. Barrett, et al., Case No. 3:24-cv-00775 (the “O’Halloran Action”), purportedly on our behalf, naming us as nominal defendant, and all of our current board members and executive officers and two of our former directors as defendants (collectively, the “Derivative Defendants”). On August 14, 2024, the Court stayed the O’Halloran Action pending resolution of any and all motion(s) to dismiss the Putative Class Action.</w:t>
      </w:r>
    </w:p>
    <w:p>
      <w:pPr>
        <w:spacing w:after="0" w:line="1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18, 2024, a shareholder derivative lawsuit was filed in the United States District Court for the District of Oregon captioned Da Silva v. Barrett, et al., Case No. 3:24-cv-02095 (the “Da Silva Action” and with the O’Halloran Action, the “Derivative Action”), purportedly on our behalf against the Derivative Defendants and asserting substantively the same claims as those asserted in the O’Halloran Action. On January 2, 2025, the parties to the Derivative Action filed a stipulation to consolidate the O’Halloran and Da Silva Actions and apply the stay entered in the O’Halloran Action to the Derivative Action. On February 10, 2025, the Court consolidated the O’Halloran and Da Silva Actions and applied the existing stay to the consolidated action under the caption In re Expensify, Inc. Derivative Litigation, Case No. 3:24-cv-00775-SI. The Derivative Defendants deny the allegations of wrongdoing and will continue to vigorously defend against the claims in the Derivative Action.</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to the matter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pacing w:after="0" w:line="7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4. Mine Safety Disclosures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II</w:t>
      </w:r>
    </w:p>
    <w:p>
      <w:pPr>
        <w:spacing w:after="0" w:line="303" w:lineRule="exact"/>
        <w:rPr>
          <w:sz w:val="20"/>
          <w:szCs w:val="20"/>
          <w:color w:val="auto"/>
        </w:rPr>
      </w:pPr>
    </w:p>
    <w:p>
      <w:pPr>
        <w:ind w:right="140"/>
        <w:spacing w:after="0" w:line="288" w:lineRule="auto"/>
        <w:rPr>
          <w:sz w:val="20"/>
          <w:szCs w:val="20"/>
          <w:color w:val="auto"/>
        </w:rPr>
      </w:pPr>
      <w:r>
        <w:rPr>
          <w:rFonts w:ascii="Arial" w:cs="Arial" w:eastAsia="Arial" w:hAnsi="Arial"/>
          <w:sz w:val="29"/>
          <w:szCs w:val="29"/>
          <w:b w:val="1"/>
          <w:bCs w:val="1"/>
          <w:color w:val="002E22"/>
        </w:rPr>
        <w:t>Item 5. Market for Registrant’s Common Equity, Related Stockholder Matters and Issuer Purchases of Equity Securities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MARKET INFORMATION FOR CLASS A COMMON STOCK</w:t>
      </w:r>
    </w:p>
    <w:p>
      <w:pPr>
        <w:spacing w:after="0" w:line="14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Class A Common Stock has been listed on the Nasdaq Global Select Market under the symbol "EXFY" since November 10, 2021. Our LT10 and LT50 common stock are neither listed nor publicly traded.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HOLDERS OF OUR COMMON STOCK</w:t>
      </w:r>
    </w:p>
    <w:p>
      <w:pPr>
        <w:spacing w:after="0" w:line="15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As of February 24, 2025, there were 17 stockholders of record of our Class A common stock. This number does not include beneficial owners whose shares are held by nominees in street name.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24, 2025, the Expensify Voting Trust held all of the outstanding shares of our LT10 common stock and LT50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DIVIDEND POLICY</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and therefore we do not anticipate declaring or paying any cash dividends on any class of our common stock in the foreseeable future. Any future determination as to the declaration and payment of dividends, if any, will be at the discretion of our Board of Directors (or duly authorized committee thereof, including our Executive Committee), subject to compliance with contractual restrictions and covenants in the agreements governing our current and future indebtedness, including our loan and security agreement with CIBC. Any such determination will also depend upon our business prospects, results of operations, financial condition, cash requirements and availability, and other factors that our Executive Committee or our Board of Directors may deem relevant. The holders of our Class A, LT10 and LT50 common stock are entitled to receive dividends if, as and when declared from time to time by our Board of Directors out of legally available funds.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RECENT SALES OF UNREGISTERED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ISSUER PURCHASES OF EQUITY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purchases of shares of Class A common stock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8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number (or</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approximate dollar</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9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8"/>
              </w:rPr>
              <w:t>Weighted average</w:t>
            </w:r>
          </w:p>
        </w:tc>
        <w:tc>
          <w:tcPr>
            <w:tcW w:w="1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shares purchased as</w:t>
            </w:r>
          </w:p>
        </w:tc>
        <w:tc>
          <w:tcPr>
            <w:tcW w:w="80" w:type="dxa"/>
            <w:vAlign w:val="bottom"/>
          </w:tcPr>
          <w:p>
            <w:pPr>
              <w:spacing w:after="0"/>
              <w:rPr>
                <w:sz w:val="15"/>
                <w:szCs w:val="15"/>
                <w:color w:val="auto"/>
              </w:rPr>
            </w:pPr>
          </w:p>
        </w:tc>
        <w:tc>
          <w:tcPr>
            <w:tcW w:w="19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9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part of publicly</w:t>
            </w:r>
          </w:p>
        </w:tc>
        <w:tc>
          <w:tcPr>
            <w:tcW w:w="80" w:type="dxa"/>
            <w:vAlign w:val="bottom"/>
          </w:tcPr>
          <w:p>
            <w:pPr>
              <w:spacing w:after="0"/>
              <w:rPr>
                <w:sz w:val="16"/>
                <w:szCs w:val="16"/>
                <w:color w:val="auto"/>
              </w:rPr>
            </w:pPr>
          </w:p>
        </w:tc>
        <w:tc>
          <w:tcPr>
            <w:tcW w:w="19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rPr>
              <w:t>may yet be purchased</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19"/>
                <w:szCs w:val="19"/>
                <w:color w:val="auto"/>
              </w:rPr>
            </w:pPr>
          </w:p>
        </w:tc>
        <w:tc>
          <w:tcPr>
            <w:tcW w:w="1920" w:type="dxa"/>
            <w:vAlign w:val="bottom"/>
          </w:tcPr>
          <w:p>
            <w:pPr>
              <w:ind w:left="18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19"/>
                <w:szCs w:val="19"/>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price paid 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announced programs</w:t>
            </w:r>
          </w:p>
        </w:tc>
        <w:tc>
          <w:tcPr>
            <w:tcW w:w="80" w:type="dxa"/>
            <w:vAlign w:val="bottom"/>
          </w:tcPr>
          <w:p>
            <w:pPr>
              <w:spacing w:after="0"/>
              <w:rPr>
                <w:sz w:val="19"/>
                <w:szCs w:val="19"/>
                <w:color w:val="auto"/>
              </w:rPr>
            </w:pPr>
          </w:p>
        </w:tc>
        <w:tc>
          <w:tcPr>
            <w:tcW w:w="194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7"/>
              </w:rPr>
              <w:t>under the program</w:t>
            </w:r>
            <w:r>
              <w:rPr>
                <w:rFonts w:ascii="Arial" w:cs="Arial" w:eastAsia="Arial" w:hAnsi="Arial"/>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1 - 31, 2024</w:t>
            </w:r>
          </w:p>
        </w:tc>
        <w:tc>
          <w:tcPr>
            <w:tcW w:w="192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39,490,003</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November 1 - 30, 2024</w:t>
            </w:r>
          </w:p>
        </w:tc>
        <w:tc>
          <w:tcPr>
            <w:tcW w:w="1920" w:type="dxa"/>
            <w:vAlign w:val="bottom"/>
          </w:tcPr>
          <w:p>
            <w:pPr>
              <w:ind w:left="172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920" w:type="dxa"/>
            <w:vAlign w:val="bottom"/>
          </w:tcPr>
          <w:p>
            <w:pPr>
              <w:ind w:left="172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39,490,003</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1 - 31, 2024</w:t>
            </w:r>
          </w:p>
        </w:tc>
        <w:tc>
          <w:tcPr>
            <w:tcW w:w="192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39,490,003</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340" w:right="260" w:hanging="332"/>
        <w:spacing w:after="0" w:line="272" w:lineRule="auto"/>
        <w:tabs>
          <w:tab w:leader="none" w:pos="37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May 12, 2022, we announced the approval of a share repurchase program with authorization to purchase up to $50.0 million of our Class A common stock at management’s discretion. The 2022 repurchase program was scheduled to expire in March 2025. On February 27, 2025, we announced the approval of a new share repurchase program with authorization to purchase up to $50.0 million of our Class A common stock at management's discretion, which replaced the 2022 share repurchase program. The 2025 repurchase program expires on March 31, 2028 and does not obligate us to repurchase any specific number of shares and may be modified, suspended or terminated at any time at our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PERFORMANCE GRAPH</w:t>
      </w:r>
    </w:p>
    <w:p>
      <w:pPr>
        <w:spacing w:after="0" w:line="146" w:lineRule="exact"/>
        <w:rPr>
          <w:sz w:val="20"/>
          <w:szCs w:val="20"/>
          <w:color w:val="auto"/>
        </w:rPr>
      </w:pPr>
    </w:p>
    <w:p>
      <w:pPr>
        <w:ind w:right="580"/>
        <w:spacing w:after="0" w:line="285" w:lineRule="auto"/>
        <w:rPr>
          <w:sz w:val="20"/>
          <w:szCs w:val="20"/>
          <w:color w:val="auto"/>
        </w:rPr>
      </w:pPr>
      <w:r>
        <w:rPr>
          <w:rFonts w:ascii="Arial" w:cs="Arial" w:eastAsia="Arial" w:hAnsi="Arial"/>
          <w:sz w:val="18"/>
          <w:szCs w:val="18"/>
          <w:i w:val="1"/>
          <w:iCs w:val="1"/>
          <w:color w:val="auto"/>
        </w:rPr>
        <w:t>This performance graph shall not be deemed “filed” with the SEC for purposes of Section 18 of the Exchange Act or incorporated by reference into any filing of Expensify, Inc. under the Securities Act or the Exchange Act.</w:t>
      </w:r>
    </w:p>
    <w:p>
      <w:pPr>
        <w:spacing w:after="0" w:line="8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graph below compares the cumulative total stockholder return on our Class A common stock with the cumulative total return on the Nasdaq Composite Index (“Nasdaq Composite”), S&amp;P 500 Index (“S&amp;P 500”), and the S&amp;P 500 Information Technology Index (“S&amp;P 500 IT”). The graph assumes $100 was invested at the market close on November 10, 2021, which was the first day our Class A common stock began trading. Data for the Nasdaq Composite, S&amp;P 500 and S&amp;P 500 IT indexes assumes reinvestment of dividends. The graph uses the closing market price on November 10, 2021 of $ 41.06 per share as the initial value of our Class A common stock. The comparisons in the graph below are based upon historical data and are not indicative of, nor intended to forecast, future performance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5254625" cy="32575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80"/>
        <w:spacing w:after="0" w:line="288" w:lineRule="auto"/>
        <w:rPr>
          <w:sz w:val="20"/>
          <w:szCs w:val="20"/>
          <w:color w:val="auto"/>
        </w:rPr>
      </w:pPr>
      <w:r>
        <w:rPr>
          <w:rFonts w:ascii="Arial" w:cs="Arial" w:eastAsia="Arial" w:hAnsi="Arial"/>
          <w:sz w:val="29"/>
          <w:szCs w:val="29"/>
          <w:b w:val="1"/>
          <w:bCs w:val="1"/>
          <w:color w:val="002E22"/>
        </w:rPr>
        <w:t>Item 7. Management's Discussion and Analysis of Financial Condition and Results of Operations</w:t>
      </w:r>
    </w:p>
    <w:p>
      <w:pPr>
        <w:spacing w:after="0" w:line="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w:t>
      </w:r>
    </w:p>
    <w:p>
      <w:pPr>
        <w:spacing w:after="0" w:line="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generally discusses 2024 and 2023 items and year-to-year comparisons between 2024 and 2023. A discussion of 2022 items and year-to-year comparisons between 2023 and 2022 can be found in "Management’s Discussion and Analysis of Financial Condition and Results of Operations" in Part II, Item 7 of our Annual Report on Form 10-K for the year ended December 31, 2023, filed with the SEC on February 26, 2024.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OVERVIEW</w:t>
      </w:r>
    </w:p>
    <w:p>
      <w:pPr>
        <w:spacing w:after="0" w:line="14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over 1.7 billion expense transactions on our platform as of December 31, 2024, freeing people to spend less time managing expenses and more time doing the things they love. For the year ended December 31, 2024, an average of 687,000 paid members across an average of 47,600 companies and over 200 countries and territories used Expensify to make money easy.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OUR BUSINESS MODEL</w:t>
      </w:r>
    </w:p>
    <w:p>
      <w:pPr>
        <w:spacing w:after="0" w:line="158"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Our employee-centric product strategy, viral and bottom-up business model, word-of-mouth adoption and unique company culture come together to drive value for our members and a competitive advantage for us. We believe that if we remain hyper-focused on our end-user members, and build great products, our members will continue to drive adoption.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primarily generate revenue from annual subscriptions to our cloud-based platform, driven by the number of paid members active on a monthly basis. Individuals or companies pay for subscriptions on behalf of themselves, their employees and contractors, who we collectively refer to as members. We define a customer as any member who pays for themselves and zero or more other members, grouped into one or more "expense policies." This might be an individual, an entire company, or a department of a larger company. The definition of customer inherently excludes sole proprietors on </w:t>
      </w:r>
      <w:r>
        <w:rPr>
          <w:rFonts w:ascii="Arial" w:cs="Arial" w:eastAsia="Arial" w:hAnsi="Arial"/>
          <w:sz w:val="18"/>
          <w:szCs w:val="18"/>
          <w:i w:val="1"/>
          <w:iCs w:val="1"/>
          <w:color w:val="auto"/>
        </w:rPr>
        <w:t>Track</w:t>
      </w:r>
      <w:r>
        <w:rPr>
          <w:rFonts w:ascii="Arial" w:cs="Arial" w:eastAsia="Arial" w:hAnsi="Arial"/>
          <w:sz w:val="18"/>
          <w:szCs w:val="18"/>
          <w:color w:val="auto"/>
        </w:rPr>
        <w:t xml:space="preserve"> or </w:t>
      </w:r>
      <w:r>
        <w:rPr>
          <w:rFonts w:ascii="Arial" w:cs="Arial" w:eastAsia="Arial" w:hAnsi="Arial"/>
          <w:sz w:val="18"/>
          <w:szCs w:val="18"/>
          <w:i w:val="1"/>
          <w:iCs w:val="1"/>
          <w:color w:val="auto"/>
        </w:rPr>
        <w:t>Submit</w:t>
      </w:r>
      <w:r>
        <w:rPr>
          <w:rFonts w:ascii="Arial" w:cs="Arial" w:eastAsia="Arial" w:hAnsi="Arial"/>
          <w:sz w:val="18"/>
          <w:szCs w:val="18"/>
          <w:color w:val="auto"/>
        </w:rPr>
        <w:t xml:space="preserve"> plans.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monetize transactions from the Expensify Card by receiving a percentage of the interchange for all spend on the card. As we expand our platform, we continue to increase the number of integrations and to more actively promote the Expensify Card with complementary use cases beyond expense management to both new and existing customers to drive increased adoption.</w:t>
      </w:r>
    </w:p>
    <w:p>
      <w:pPr>
        <w:spacing w:after="0" w:line="103" w:lineRule="exact"/>
        <w:rPr>
          <w:sz w:val="20"/>
          <w:szCs w:val="20"/>
          <w:color w:val="auto"/>
        </w:rPr>
      </w:pPr>
    </w:p>
    <w:p>
      <w:pPr>
        <w:ind w:right="340"/>
        <w:spacing w:after="0" w:line="318" w:lineRule="auto"/>
        <w:rPr>
          <w:sz w:val="20"/>
          <w:szCs w:val="20"/>
          <w:color w:val="auto"/>
        </w:rPr>
      </w:pPr>
      <w:r>
        <w:rPr>
          <w:rFonts w:ascii="Arial" w:cs="Arial" w:eastAsia="Arial" w:hAnsi="Arial"/>
          <w:sz w:val="17"/>
          <w:szCs w:val="17"/>
          <w:color w:val="auto"/>
        </w:rPr>
        <w:t>We monetize bookings via Expensify Travel by charging a booking fee on each booking. We intend to continue to develop complimentary features to Expensify Travel to increase the number of existing companies using Expensify Travel and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Key Factors Affecting Our Performance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depends on many factors, including the following: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INVESTING IN PRODUCT-LED GROWTH</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continue to focus on growing the number of paid members on our platform. Relative to other software companies, we invest more in product development and less in sales. This investment in product allows us to develop easy-to -use but powerful features that encourage adoption of our platform. Our ability to grow our paid members depends on our viral, bottom-up adoption cycle that starts with an individual employee. After downloading our free app to submit expenses and realizing the benefits of Expensify, our enthusiastic members champion our platform internally, spread it via word-of-mouth or invites to other employees and often convince decision makers to adopt Expensify company-wide. In order to continue to grow, we believe we must continue prioritizing investments in our platform to delight our members and drive viral expansion.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CONVERTING FREE MEMBERS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success depends on converting users who try the free aspects of the Expensify platform into paid members. While our viral model means that employees or contractors often introduce Expensify into small and medium-sized businesses (“SMBs"), companies subscribe and pay for the majority of our paid members.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INVESTING TO MAINTAIN MARKET CONSENSUS</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viral and word-of-mouth adoption model is effective in part because we have established ourselves as a recognized leader in expense management for SMBs. We deploy large scale brand advertising to promote our platform strength and create market consensus that Expensify is a category leader for expense management software. Additionally, in 2023 we hosted our third ExpensiCon, an invite-only, all-expenses paid industry conference, with the goal of increasing our market consensus among our Approved! Accounting partners and increasing adoption of our platform. We believe investing in market consensus enables us to focus on creating great viral features for our members rather than relying on low-margin, unscalable activities of traditional sales and marketing to drive customer acquisition. In 2024 we invested in a promotional marketing opportunity to have Expensify heavily featured in Apple's biggest budget film, F1, which is scheduled to be released in theaters on June 27, 2025. Our goal is that this will increase our brand awareness and support our bottom-up, word of mouth marketing.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RETAINING EXISTING CUSTOMERS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Expense management touches many functions across a company. To provide a seamless experience for our customers, we integrate with accounting, ERP and travel software used by SMBs and their employees every day. We also have frictionless integrations with many of the technology providers that generate the most receipts for our members, such as Uber and Lyft. Expensify delivers an expense management platform that we believe customers like, and that embeds us within organizations. Because of these two factors, we have historically enjoyed high customer retention rates that often outperform enterprise retention rates. We believe an additional factor that drives our retention rates is that SMBs generally re-evaluate their technology solutions less frequently, and as such, there is rarely a conscious choice around whether to choose to continue using Expensify for another year.</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Gross logo retention and net seat retention are important indicators of customer satisfaction and usage of our platform. We calculate our gross logo retention rate as of the end of a period by using (a) the number of distinct companies who have ever had five or more paid members paying for a subscription during the period ending one year prior as the denominator and (b) the number of those same companies that are still paying for at least one subscription during the more recent period as the numerator. In 2024 and 2023, our annual gross logo retention was 81% and 74%, respectively. We calculate our net seat retention rate as of the end of a period by using (a) the number of paid member seats from companies who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ever had five or more paid members paying for a subscription during the period ending one year prior as the denominator and (b) the number of paid member seats at those same companies during the more recent period as the numerator. In 2024 and 2023, our net seat retention was 86% and 99%, respectively. Our growth will depend on our ability to retain existing customers.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INTRODUCING FEATURES TO EXPAND OUR RELATIONSHIP WITH EXISTING CUSTOMERS</w:t>
      </w:r>
    </w:p>
    <w:p>
      <w:pPr>
        <w:spacing w:after="0" w:line="15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fully launched the Expensify Card in 2020 and we intend to actively promote the Expensify Card to both new and existing customers to drive increased adoption. In 2024, we launched our travel platform, Expensify Travel, as a natural extension of our expense management product. Many companies look for combined travel and expenses solutions in order to streamline the booking to reimbursement flow. Outside of the Expensify Card and Expensify Travel, we have invested, and will continue to invest, in developing features complementary and adjacent to expense management. At most companies, not every employee generates expenses that would be submitted via an expense report on a monthly basis. As we add additional features that are used by all employers, we have the potential to monetize the segment of our customers’ employees that are not submitting expense reports.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MACROECONOMIC TRENDS</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business and the operations of our customers, the majority of which are SMBs, depend on the overall state of the economy, and we and they could be negatively impacted by slower economic growth and a potential for a recession. Although certain indicators have suggested that inflation has made downward progress, the economy continues to be impacted by elevated inflation rates and faces further inflation risk. Tariff and trade issues also continue to cause overall uncertainty with respect to the economy. See the section titled "Risk Factors" in this Annual Report on Form 10-K for further discussion of the possible impact of such macroeconomic trends on our business. Additionally, other potential challenging macroeconomic conditions, and the resulting impact on business continuity and travel,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generate revenue from subscription fees based on the usage of our cloud-based expense management software platform under arrangements paid monthly in arrears that are either (i) month-to-month and can be terminated by either party without penalty at any time or</w:t>
      </w:r>
    </w:p>
    <w:p>
      <w:pPr>
        <w:ind w:right="20" w:firstLine="8"/>
        <w:spacing w:after="0" w:line="253" w:lineRule="auto"/>
        <w:tabs>
          <w:tab w:leader="none" w:pos="2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spacing w:after="0" w:line="10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During the year ended December 31, 2024, the Expensify Card consisted of two card programs operating concurrently: the "Legacy Card Program," which was the original program when the Expensify Card launched in 2020, and the "Updated Card Program," which launched in February 2024. All new Expensify Cards issued subsequent to the launch of the Updated Card Program operate under that program. As of December 31, 2024, our transition of cardholders from the Legacy Card Program to the Updated Card Program was substantially complete.</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Under the Updated Card Program, we generate revenue from the authorization and settlement of Expensify Card transactions and are contractually entitled to all interchange generated on Expensify Card transactions based on our agreement with the issuing bank. Under the Updated Card Program, we are the principal in the transaction and recognize interchange as revenue on a gross basis within Revenue on the accompanying Consolidated Statements of Operations. Interchange revenue was $9.2 million for the year ended December 31, 2024.</w:t>
      </w:r>
    </w:p>
    <w:p>
      <w:pPr>
        <w:spacing w:after="0" w:line="9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offer a cashback rewards program to all customers on the Updated Card Program based on volume of Expensify Card transactions. Cashback rewards are earned on a monthly basis and are applied against outstanding customer receivables or are paid out the following month. We consider our cashback rewards as consideration payable to a customer, and it is recorded as contra revenue within Revenue on the Consolidated Statements of Operations. Cashback rewards applied against outstanding customer receivables are reflected as a reduction to Accounts receivable, net on the Consolidated Balance Sheets. Cashback rewards liability is recorded within Accrued expenses and other liabilities on the Consolidated Balance Sheets. The cashback rewards fluctuate over time as customers meet eligibility requirements and timing of payments made to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revenue, net primarily consists of expenses related to hosting our service, including the costs of data center capacity, credit card processing fees, third-party software license fees, outsourcing engineering costs to maintain our platform, outsourcing costs to support customer service and outsourcing costs to support our patented scanning technology SmartScan, net of consideration from a vendor for monetizing Expensify Card activities. Additional costs include amortization of finance right-of-use assets, amortization expense on capitalized software development costs and personnel-related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expenses, including stock-based compensation and employee costs attributable to supporting our customers and maintenance of our platform.</w:t>
      </w:r>
    </w:p>
    <w:p>
      <w:pPr>
        <w:spacing w:after="0" w:line="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Consideration from a vendor is related to the Expensify Card under the Legacy Card Program, where we use a third-party vendor to issue Expensify Cards and process the related transactions.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(our remainder portion, "Expensify interchange amount"). The vendor also charges us fees ("vendor fees") for the services it provides to us. Due to the nature of the vendor agreement, we do not record the Expensify interchange amount as revenue under the Legacy Card Program. Instead, the net of the Expensify interchange amount and vendor fees are paid to us, which we record as "Consideration from a vendor, net," a contra expense in Cost of revenue, net on the Consolidated Statements of Operations. The following summarizes these various amounts for each of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980" w:type="dxa"/>
            <w:vAlign w:val="bottom"/>
            <w:tcBorders>
              <w:top w:val="single" w:sz="8" w:color="auto"/>
            </w:tcBorders>
          </w:tcPr>
          <w:p>
            <w:pPr>
              <w:spacing w:after="0"/>
              <w:rPr>
                <w:sz w:val="22"/>
                <w:szCs w:val="22"/>
                <w:color w:val="auto"/>
              </w:rPr>
            </w:pPr>
          </w:p>
        </w:tc>
        <w:tc>
          <w:tcPr>
            <w:tcW w:w="3260" w:type="dxa"/>
            <w:vAlign w:val="bottom"/>
            <w:tcBorders>
              <w:top w:val="single" w:sz="8" w:color="auto"/>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9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2023</w:t>
            </w:r>
          </w:p>
        </w:tc>
      </w:tr>
      <w:tr>
        <w:trPr>
          <w:trHeight w:val="223"/>
        </w:trPr>
        <w:tc>
          <w:tcPr>
            <w:tcW w:w="7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000" w:type="dxa"/>
            <w:vAlign w:val="bottom"/>
          </w:tcPr>
          <w:p>
            <w:pPr>
              <w:spacing w:after="0"/>
              <w:rPr>
                <w:sz w:val="19"/>
                <w:szCs w:val="19"/>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 net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OPERATING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and external contributor costs incurred related to the planning and preliminary project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on property and equipment, amortization of operating lease right-of-use assets, information technology and external professional services, including finance and accounting, audit, tax, legal and compliance, and human resources. We expect that general and administrative expenses will remain consistent as it relates to costs associated with being a publicly traded company, including legal, audit, business insurance and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we provide to our referral and affiliate partners. We expect sales and marketing expenses will increase as we expand our brand marketing.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the results of operations of our Fifth &amp; Harvey, LLC subsidiary, which holds title to and manages operations of the operating lease for lots in Portland, Oregon that are currently used to host multiple portable food vendors open to the general public, realized gains and losses on foreign currency transactions and foreign currency remeasurement. We expect interest and other expenses, net will decrease as all outstanding debt has been paid off as of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Results of Operations</w:t>
      </w:r>
    </w:p>
    <w:p>
      <w:pPr>
        <w:spacing w:after="0" w:line="1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results of operations presented below should be reviewed in conjunction with the consolidated financial statements and notes included elsewhere in this Annual Report on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3400" w:type="dxa"/>
            <w:vAlign w:val="bottom"/>
            <w:tcBorders>
              <w:top w:val="single" w:sz="8" w:color="auto"/>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139,236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150,687</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64,239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66,888</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74,997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83,799</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23,368</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38,382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49,228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12,797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44,352</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75,817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116,948</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(33,149)</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(38,476)</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(7,663)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(10,055)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(41,456)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used to compute net loss per share:</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87,380,708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82,493,226</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5"/>
        </w:trPr>
        <w:tc>
          <w:tcPr>
            <w:tcW w:w="7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Borders>
              <w:top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top w:val="single" w:sz="8" w:color="auto"/>
              <w:bottom w:val="single" w:sz="8" w:color="auto"/>
            </w:tcBorders>
          </w:tcPr>
          <w:p>
            <w:pPr>
              <w:spacing w:after="0"/>
              <w:rPr>
                <w:sz w:val="19"/>
                <w:szCs w:val="19"/>
                <w:color w:val="auto"/>
              </w:rPr>
            </w:pPr>
          </w:p>
        </w:tc>
      </w:tr>
      <w:tr>
        <w:trPr>
          <w:trHeight w:val="196"/>
        </w:trPr>
        <w:tc>
          <w:tcPr>
            <w:tcW w:w="80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r>
      <w:tr>
        <w:trPr>
          <w:trHeight w:val="196"/>
        </w:trPr>
        <w:tc>
          <w:tcPr>
            <w:tcW w:w="8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7"/>
                <w:szCs w:val="17"/>
                <w:color w:val="auto"/>
              </w:rPr>
            </w:pP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 net</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13,868</w:t>
            </w: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11,900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10,870</w:t>
            </w: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9,842</w:t>
            </w: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Sales and marketing</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6,632</w:t>
            </w: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 expense</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33,537</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41,212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5220"/>
        <w:spacing w:after="0" w:line="441" w:lineRule="auto"/>
        <w:rPr>
          <w:sz w:val="20"/>
          <w:szCs w:val="20"/>
          <w:color w:val="auto"/>
        </w:rPr>
      </w:pPr>
      <w:r>
        <w:rPr>
          <w:rFonts w:ascii="Arial" w:cs="Arial" w:eastAsia="Arial" w:hAnsi="Arial"/>
          <w:sz w:val="18"/>
          <w:szCs w:val="18"/>
          <w:b w:val="1"/>
          <w:bCs w:val="1"/>
          <w:color w:val="auto"/>
        </w:rPr>
        <w:t xml:space="preserve">COMPARISON OF THE YEARS ENDED DECEMBER 31, 2024 AND 2023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37"/>
        </w:trPr>
        <w:tc>
          <w:tcPr>
            <w:tcW w:w="4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140" w:type="dxa"/>
            <w:vAlign w:val="bottom"/>
            <w:tcBorders>
              <w:top w:val="single" w:sz="8" w:color="auto"/>
            </w:tcBorders>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r>
      <w:tr>
        <w:trPr>
          <w:trHeight w:val="223"/>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w w:val="99"/>
              </w:rPr>
              <w:t>(in thousands, except percentages)</w:t>
            </w:r>
          </w:p>
        </w:tc>
        <w:tc>
          <w:tcPr>
            <w:tcW w:w="114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(11,451)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54"/>
        </w:trPr>
        <w:tc>
          <w:tcPr>
            <w:tcW w:w="4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decreased $11.5 million, or 8%, for the year ended December, 31, 2024 compared to the same period in 2023, primarily due to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 These decreases were partially offset by an increase in interchange revenue driven primarily by a shift in cardholder spend from the Legacy Card Program to the Updated Card Program.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180" w:type="dxa"/>
            <w:vAlign w:val="bottom"/>
            <w:tcBorders>
              <w:top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100" w:type="dxa"/>
            <w:vAlign w:val="bottom"/>
            <w:tcBorders>
              <w:top w:val="single" w:sz="8" w:color="auto"/>
            </w:tcBorders>
          </w:tcPr>
          <w:p>
            <w:pPr>
              <w:spacing w:after="0"/>
              <w:rPr>
                <w:sz w:val="22"/>
                <w:szCs w:val="22"/>
                <w:color w:val="auto"/>
              </w:rPr>
            </w:pPr>
          </w:p>
        </w:tc>
      </w:tr>
      <w:tr>
        <w:trPr>
          <w:trHeight w:val="223"/>
        </w:trPr>
        <w:tc>
          <w:tcPr>
            <w:tcW w:w="44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223"/>
        </w:trPr>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w w:val="99"/>
              </w:rPr>
              <w:t>(in thousands, except percentages)</w:t>
            </w:r>
          </w:p>
        </w:tc>
        <w:tc>
          <w:tcPr>
            <w:tcW w:w="110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64,239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(2,649)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74,997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83,799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(8,802)</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Cost of revenue, net decreased by $2.6 million, or 4%, for the year ended December 31, 2024 compared to the same period in 2023. Cost of revenue, net decreased primarily due to (i) a decrease in outsourcing activities related to maintaining our platform, and (ii) a decrease in total employee and employee related expenses subject to allocation. These were partially offset by a decrease in Consideration from a vendor, net driven primarily by a shift in cardholder spend from the Legacy Card Program to the Updated Card Program.</w:t>
      </w:r>
    </w:p>
    <w:p>
      <w:pPr>
        <w:spacing w:after="0" w:line="109"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Gross margin decreased to 54% in 2024 compared to 56% in the same period in 2023 due to the factors described in the preceding paragraphs for Revenue and Cost of revenue, net.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140" w:type="dxa"/>
            <w:vAlign w:val="bottom"/>
            <w:tcBorders>
              <w:top w:val="single" w:sz="8" w:color="auto"/>
            </w:tcBorders>
          </w:tcPr>
          <w:p>
            <w:pPr>
              <w:spacing w:after="0"/>
              <w:rPr>
                <w:sz w:val="22"/>
                <w:szCs w:val="22"/>
                <w:color w:val="auto"/>
              </w:rPr>
            </w:pPr>
          </w:p>
        </w:tc>
      </w:tr>
      <w:tr>
        <w:trPr>
          <w:trHeight w:val="223"/>
        </w:trPr>
        <w:tc>
          <w:tcPr>
            <w:tcW w:w="46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r>
      <w:tr>
        <w:trPr>
          <w:trHeight w:val="223"/>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w w:val="99"/>
              </w:rPr>
              <w:t>(in thousands, except percentages)</w:t>
            </w:r>
          </w:p>
        </w:tc>
        <w:tc>
          <w:tcPr>
            <w:tcW w:w="114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1,270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54"/>
        </w:trPr>
        <w:tc>
          <w:tcPr>
            <w:tcW w:w="4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Research and development expenses increased by $1.3 million, or 5%, for the year ended December 31, 2024 compared to the same period in 2023, primarily due to an increase in employee time spent on project initiatives and new product features, partially offset by a decrease in total employee and employee related expenses subject to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Borders>
              <w:top w:val="single" w:sz="8" w:color="auto"/>
            </w:tcBorders>
          </w:tcPr>
          <w:p>
            <w:pPr>
              <w:spacing w:after="0"/>
              <w:rPr>
                <w:sz w:val="22"/>
                <w:szCs w:val="22"/>
                <w:color w:val="auto"/>
              </w:rPr>
            </w:pPr>
          </w:p>
        </w:tc>
        <w:tc>
          <w:tcPr>
            <w:tcW w:w="1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140" w:type="dxa"/>
            <w:vAlign w:val="bottom"/>
            <w:tcBorders>
              <w:top w:val="single" w:sz="8" w:color="auto"/>
            </w:tcBorders>
          </w:tcPr>
          <w:p>
            <w:pPr>
              <w:spacing w:after="0"/>
              <w:rPr>
                <w:sz w:val="22"/>
                <w:szCs w:val="22"/>
                <w:color w:val="auto"/>
              </w:rPr>
            </w:pPr>
          </w:p>
        </w:tc>
      </w:tr>
      <w:tr>
        <w:trPr>
          <w:trHeight w:val="223"/>
        </w:trPr>
        <w:tc>
          <w:tcPr>
            <w:tcW w:w="46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r>
      <w:tr>
        <w:trPr>
          <w:trHeight w:val="223"/>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w w:val="99"/>
              </w:rPr>
              <w:t>(in thousands, except percentages)</w:t>
            </w:r>
          </w:p>
        </w:tc>
        <w:tc>
          <w:tcPr>
            <w:tcW w:w="114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38,382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(10,846)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54"/>
        </w:trPr>
        <w:tc>
          <w:tcPr>
            <w:tcW w:w="46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General and administrative expenses decreased $10.8 million, or 22%, for the year ended December 31, 2024 compared to the same period in 2023, primarily due to (i) a decrease in total employee related expenses subject to allocation, (ii) a decrease in settlement losses, and (iii) a decrease in business insurance expense.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6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140" w:type="dxa"/>
            <w:vAlign w:val="bottom"/>
            <w:tcBorders>
              <w:top w:val="single" w:sz="8" w:color="auto"/>
            </w:tcBorders>
          </w:tcPr>
          <w:p>
            <w:pPr>
              <w:spacing w:after="0"/>
              <w:rPr>
                <w:sz w:val="22"/>
                <w:szCs w:val="22"/>
                <w:color w:val="auto"/>
              </w:rPr>
            </w:pPr>
          </w:p>
        </w:tc>
      </w:tr>
      <w:tr>
        <w:trPr>
          <w:trHeight w:val="223"/>
        </w:trPr>
        <w:tc>
          <w:tcPr>
            <w:tcW w:w="4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r>
      <w:tr>
        <w:trPr>
          <w:trHeight w:val="223"/>
        </w:trPr>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9"/>
              </w:rPr>
              <w:t>(in thousands, except percentages)</w:t>
            </w:r>
          </w:p>
        </w:tc>
        <w:tc>
          <w:tcPr>
            <w:tcW w:w="1140" w:type="dxa"/>
            <w:vAlign w:val="bottom"/>
          </w:tcPr>
          <w:p>
            <w:pPr>
              <w:spacing w:after="0"/>
              <w:rPr>
                <w:sz w:val="19"/>
                <w:szCs w:val="19"/>
                <w:color w:val="auto"/>
              </w:rPr>
            </w:pP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(31,555)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Sales and marketing expenses decreased $31.6 million, or 71%, for the year ended December 31, 2024 compared to the same period in 2023, primarily due to (i) a decrease in outsourcing activities related to sales and product demos, (ii) a decrease in total employee and employee related expenses subject to allocation and a decrease in time spent on sales and marketing activities, (iii) a decrease in advertising spend, and (iv) a decrease in marketing event spend.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140" w:type="dxa"/>
            <w:vAlign w:val="bottom"/>
            <w:tcBorders>
              <w:top w:val="single" w:sz="8" w:color="auto"/>
            </w:tcBorders>
          </w:tcPr>
          <w:p>
            <w:pPr>
              <w:spacing w:after="0"/>
              <w:rPr>
                <w:sz w:val="22"/>
                <w:szCs w:val="22"/>
                <w:color w:val="auto"/>
              </w:rPr>
            </w:pPr>
          </w:p>
        </w:tc>
      </w:tr>
      <w:tr>
        <w:trPr>
          <w:trHeight w:val="223"/>
        </w:trPr>
        <w:tc>
          <w:tcPr>
            <w:tcW w:w="4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r>
      <w:tr>
        <w:trPr>
          <w:trHeight w:val="223"/>
        </w:trPr>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9"/>
              </w:rPr>
              <w:t>(in thousands, except percentages)</w:t>
            </w:r>
          </w:p>
        </w:tc>
        <w:tc>
          <w:tcPr>
            <w:tcW w:w="114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3,755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Interest and other expenses, net decreased by $3.8 million, or 70%, for the year ended December 31, 2024 compared to the same period in 2023 primarily due to a decrease in interest expense incurred due to the repayments of the term loan component of the 2021 Amended Loan and Security Agreement (as defined below), the revolving line of credit and the amortizing term mortgage.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140" w:type="dxa"/>
            <w:vAlign w:val="bottom"/>
            <w:tcBorders>
              <w:top w:val="single" w:sz="8" w:color="auto"/>
            </w:tcBorders>
          </w:tcPr>
          <w:p>
            <w:pPr>
              <w:spacing w:after="0"/>
              <w:rPr>
                <w:sz w:val="22"/>
                <w:szCs w:val="22"/>
                <w:color w:val="auto"/>
              </w:rPr>
            </w:pPr>
          </w:p>
        </w:tc>
      </w:tr>
      <w:tr>
        <w:trPr>
          <w:trHeight w:val="223"/>
        </w:trPr>
        <w:tc>
          <w:tcPr>
            <w:tcW w:w="4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Amount</w:t>
            </w:r>
          </w:p>
        </w:tc>
        <w:tc>
          <w:tcPr>
            <w:tcW w:w="11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r>
      <w:tr>
        <w:trPr>
          <w:trHeight w:val="223"/>
        </w:trPr>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9"/>
              </w:rPr>
              <w:t>(in thousands, except percentages)</w:t>
            </w:r>
          </w:p>
        </w:tc>
        <w:tc>
          <w:tcPr>
            <w:tcW w:w="114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(4,683)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recorded a provision for income taxes of $7.7 million for the year ended December 31, 2024 compared to a $3.0 million provision for income taxes for the year ended December 31, 2023. We follow the asset and liability method of accounting for income taxes, whereby we recognize deferred income taxes for the tax consequences of temporary differences between the financial statement carrying amounts and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basis of the assets and liabilities. Valuation allowances are recorded to reduce deferred tax assets when it is more likely than not that a tax benefit will not be realized. During the years ended December 31, 2024 and 2023, we recorded an incremental valuation allowance of $0.9 million and $3.7 million, respectively. The provision for income taxes reflects taxable income earned and taxed in U.S. federal and state, and non-U.S. jurisdictions.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effective income tax rate was (320.4)% and (7.7)%, for the years ended December 31, 2024 and 2023, respectively. The effective income tax rate differs from the statutory rate in 2024 primarily due to nondeductible stock-based compensation, the compensation limitations imposed by Internal Revenue Code ("IRC") Section 162(m), and the change in the valuation allowance. The effective income tax rate differs from the statutory rate in 2023 primarily due to nondeductible stock-based compensation, the change in the valuation allowance, and the compensation limitations imposed by IRC Section 162(m).</w:t>
      </w:r>
    </w:p>
    <w:p>
      <w:pPr>
        <w:spacing w:after="0" w:line="96"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Liquidity and Capital Resources</w:t>
      </w:r>
    </w:p>
    <w:p>
      <w:pPr>
        <w:spacing w:after="0" w:line="168"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As of December 31, 2024, we had $48.8 million in cash and cash equivalents with no outstanding indebtedness and $24.0 million of capacity available for borrowings under the revolving line of credit.</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the foreseeable future.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9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920" w:type="dxa"/>
            <w:vAlign w:val="bottom"/>
            <w:tcBorders>
              <w:top w:val="single" w:sz="8" w:color="auto"/>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2023</w:t>
            </w:r>
          </w:p>
        </w:tc>
      </w:tr>
      <w:tr>
        <w:trPr>
          <w:trHeight w:val="223"/>
        </w:trPr>
        <w:tc>
          <w:tcPr>
            <w:tcW w:w="7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(7,294)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(51,052)</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OPERATING ACTIVITIES</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cash provided by operating activities was $ 23.9 million for the year ended December 31, 2024 as compared to $1.6 million for the same period in 2023. The increase is primarily due to a decrease in marketing and advertising spend and a decrease in outsourcing activities related to sales and product demos, partially offset by a decrease in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INVESTING ACTIVITIES</w:t>
      </w:r>
    </w:p>
    <w:p>
      <w:pPr>
        <w:spacing w:after="0" w:line="158"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color w:val="auto"/>
        </w:rPr>
        <w:t>During the year ended December 31, 2024, net cash used in investing activities was $7.6 million, primarily consisting of software development costs.</w:t>
      </w:r>
    </w:p>
    <w:p>
      <w:pPr>
        <w:spacing w:after="0" w:line="8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cash used in investing activities increased for the year ended December 31, 2024 compared to the same period in 2023, primarily due to an increase in employee and external contributor software development costs offset by a decrease in the purchase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CASH FLOWS FROM FINANCING ACTIVITIES</w:t>
      </w:r>
    </w:p>
    <w:p>
      <w:pPr>
        <w:spacing w:after="0" w:line="14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the year ended December 31, 2024, net cash used in financing activities was $22.1 million, primarily consisting of the repayment of the revolving line of credit and the amortizing term mortgage, and the repurchase and retirement of common stock, which was partially offset by proceeds from common stock purchased under our 2021 Stock Purchase and Matching Plan ("Matching Plan").</w:t>
      </w:r>
    </w:p>
    <w:p>
      <w:pPr>
        <w:spacing w:after="0" w:line="10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year ended December 31, 2023, net cash used in financing activities was $45.3 million, primarily consisting of principal payments on the term loan, the repurchase and retirement of common stock, and payment for employees taxes withheld from stock-based awards, which was partially offset by proceeds from common stock purchased under the Matching Plan.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10, 2022, the Executive Committee approved a share repurchase program with authorization to purchase up to $50.0 million of shares of Class A common stock ("2022 Share Repurchase Program"). We may repurchase shares from time to time through open market purchases, in privately negotiated transactions or by other means, including the use of trading plans intended to qualify under Rule 10b5-1 of the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us to acquire any particular amount of Class A common stock, and the program may be suspended or terminated by us at any time at our discretion without prior notice. As of December 31, 2024, there was approximately $39.5 million remaining under the share repurchase authorization.</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2022 Share Repurchase Program was scheduled to expire on March 31, 2025. On February 25, 2025, the Executive Committee approved a new share repurchase program with authorization to purchase up to $50.0 million of shares of Class A common stock ("2025 Share Repurchase Program") that replaces the 2022 Share Repurchase Program. Pursuant to the 2025 Share Repurchase Program, we may repurchase shares from time to time through open market purchases, in privately negotiated transactions or by other means, including the use of trading plans intended to qualify under Rule 10b5-1 of the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2025 Share Repurchase Program does not obligate us to acquire any particular amount of Class A common stock, and the program may be suspended or terminated by us at any time at our discretion without prior notice.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See Note 8 to our consolidated financial statements included elsewhere in this Annual Report on Form 10-K for further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CREDIT FACILITIES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August 2019, we entered into an $8.3 million amortizing term mortgage agreement with CIBC for our commercial building located in Portland, Oregon. The agreement required principal and interest payments due each month over a five-year period. Interest accrued at a fixed rate of 5.00% per year until August 2024, at which point the remaining outstanding principal balance on the amortizing term mortgage was due in full. The borrowings were secured by the building. On August 29, 2024, we repaid in full the then-outstanding balance of $7.6 million and an immaterial amount of accrued interest and terminated the associated mortgage agreement with CIBC and secured promissory note. See Note 7 to our condensed consolidated financial statements included elsewhere in this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Loan and Security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2021, we amended and restated our loan and security agreement with CIBC (the "2021 Amended Loan and Security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 which consisted of a $45.0 million initial term loan, the option to enter into an additional $30.0 million delayed term loan that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 in March 2023, and a monthly revolving line of credit of $25.0 million. Under the 2021 Amended Loan and Security Agreement,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term loan of $45.0 million was payable over a 60-month period with principal and accrued interest payments due each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commencing on September 30, 2021. The term loan amortized in equal quarterly installments of $0.1 million through September 30, 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 million beginning October 1, 2024 and $0.6 million beginning October 1, 2025, with any remaining principal balance due and payable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maturity in September 2026. The amounts borrowed accrued interest at the bank’s reference rate plus 2.25% beginning on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2021 and continued on a quarterly basis through maturity of the term loan. The borrowings were secured by substantially all our assets.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then-outstanding balance of $36.0 million and $0.1 million of accrued interest on the term loan were repaid in full on October 12,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Loan and Security Agreement</w:t>
      </w:r>
    </w:p>
    <w:p>
      <w:pPr>
        <w:spacing w:after="0" w:line="15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February 2024, we entered into a Second Amended and Restated Loan and Security Agreement (as amended by the amendments described below, and as may be further amended from time to time, the "2024 Amended Loan and Security Agreement") with CIBC. The 2024 Amended Loan and Security Agreement amended and restated the 2021 Amended Loan and Security Agreement in its entirety, to extend the maturity date of the revolving line of credit from September 2024 to September 2025, remove certain provisions related to the term loan that was repaid in full in October 2023, and make certain changes to the positive and negative covenants intended to better align with our operations. The 2024 Amended Loan and Security Agreement provides for a $25.0 million revolving credit facility. Borrowings under the revolving line of credit accrue interest at CIBC’s reference rate plus 1.00% and are secured by substantially all our assets.</w:t>
      </w:r>
    </w:p>
    <w:p>
      <w:pPr>
        <w:spacing w:after="0" w:line="10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incurred an immaterial amount of costs in connection with entering into the 2024 Amended Loan and Security Agreement. These debt issuance costs are reflected as a deferred asset within Other current assets on the Consolidated Balance Sheets and are being amortized to interest expense on a straight-line basis over the term of the agreement.</w:t>
      </w:r>
    </w:p>
    <w:p>
      <w:pPr>
        <w:spacing w:after="0" w:line="1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April 24, 2024, we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The Bancorp Bank, N.A. and expires on March 20, 2025. No amounts have been drawn on the Letter of Credit as of December 31, 2024.</w:t>
      </w:r>
    </w:p>
    <w:p>
      <w:pPr>
        <w:spacing w:after="0" w:line="1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May 2024, we entered into a First Amendment to the 2024 Amended Loan and Security Agreement, which amended the covenant restricting the amount of repurchases of common stock to allow for certain additional repurchase activity and provided a waiver for our non-compliance during prior periods with the previous version of such covenant.</w:t>
      </w:r>
    </w:p>
    <w:p>
      <w:pPr>
        <w:spacing w:after="0" w:line="9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then-outstanding balance of $15.0 million and an immaterial amount of accrued interest on the revolving line of credit were repaid in full on July 10, 2024.</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full repayment of the amortizing term mortgage on August 29, 2024, we entered into a Second Amendment to the 2024 Amended Loan and Security Agreement, which permits our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spacing w:after="0" w:line="11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 February 2025, we entered into a Third Amendment to the 2024 Amended Loan and Security Agreement, which amended the covenant restricting the amount of repurchases of common stock,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includes net share settlements of stock-based awards, to allow for certain additional net share settlement activity and provided a waiver for our non-compliance of this covenant as of December 31, 2024 with the previous version of such covenant.</w:t>
      </w:r>
    </w:p>
    <w:p>
      <w:pPr>
        <w:spacing w:after="0" w:line="72" w:lineRule="exact"/>
        <w:rPr>
          <w:sz w:val="20"/>
          <w:szCs w:val="20"/>
          <w:color w:val="auto"/>
        </w:rPr>
      </w:pPr>
    </w:p>
    <w:p>
      <w:pPr>
        <w:ind w:right="780"/>
        <w:spacing w:after="0" w:line="422" w:lineRule="auto"/>
        <w:rPr>
          <w:sz w:val="20"/>
          <w:szCs w:val="20"/>
          <w:color w:val="auto"/>
        </w:rPr>
      </w:pPr>
      <w:r>
        <w:rPr>
          <w:rFonts w:ascii="Arial" w:cs="Arial" w:eastAsia="Arial" w:hAnsi="Arial"/>
          <w:sz w:val="18"/>
          <w:szCs w:val="18"/>
          <w:color w:val="auto"/>
        </w:rPr>
        <w:t xml:space="preserve">See Note 7 to our consolidated financial statements included elsewhere in this Annual Report on Form 10-K for further information. </w:t>
      </w:r>
      <w:r>
        <w:rPr>
          <w:rFonts w:ascii="Arial" w:cs="Arial" w:eastAsia="Arial" w:hAnsi="Arial"/>
          <w:sz w:val="18"/>
          <w:szCs w:val="18"/>
          <w:b w:val="1"/>
          <w:bCs w:val="1"/>
          <w:i w:val="1"/>
          <w:iCs w:val="1"/>
          <w:color w:val="auto"/>
        </w:rPr>
        <w:t>Certain Covenants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customary covenants under the 2024 Amended Loan and Security Agreement, which, unless waived by CIBC, restrict our and our subsidiaries' ability to, among other things, incur additional indebtedness, create or incur liens, permit a change of control,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liquidity ratio, as defined in the 2024 Amended Loan and Security Agreement, tested each quarter, of not less than 1.10 to 1.00 from the quarter ending March 31, 2024, not less than 1.20 to 1.00 from the quarter ending June 30, 2024 and each quarter thereafter, and a total EBITDA net leverage ratio, as defined in the 2024 Amended Loan and Security Agreement, tested each quarter, of not less than 2.50 to 1.00 from the quarter ended March 31, 2025 and each quarter thereafter.</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full repayment of the amortizing term mortgage on August 29, 2024, we entered into a second amendment to the 2024 Amended Loan and Security Agreement, which permits our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spacing w:after="0" w:line="11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2024, we were not in compliance with all debt covenants under the 2024 Amended Loan and Security Agreement, specifically the covenant restricting the amount of repurchases of common stock, which includes net share settlements of stock-based awards. As described above, in February 2025, we entered into the Third Amendment to the 2024 Amended Loan and Security Agreement, which included a waiver for our non-compliance of this covenant as of December 31, 2024. We do not believe non-compliance with this covenant had any material impact on our operations.</w:t>
      </w:r>
    </w:p>
    <w:p>
      <w:pPr>
        <w:spacing w:after="0" w:line="8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Key Business Metrics and Non-GAAP Financial Measures</w:t>
      </w:r>
    </w:p>
    <w:p>
      <w:pPr>
        <w:spacing w:after="0" w:line="18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KEY BUSINESS METRICS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SMBs or sole proprietors with only one employee, the business owner may also be the only paid member.</w:t>
      </w:r>
    </w:p>
    <w:p>
      <w:pPr>
        <w:spacing w:after="0" w:line="11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table sets forth the average number of paid members for the quarters ended March 31, 2023 through December 31,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Quarter ended</w:t>
            </w:r>
          </w:p>
        </w:tc>
        <w:tc>
          <w:tcPr>
            <w:tcW w:w="2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Paid members</w:t>
            </w:r>
          </w:p>
        </w:tc>
      </w:tr>
      <w:tr>
        <w:trPr>
          <w:trHeight w:val="223"/>
        </w:trPr>
        <w:tc>
          <w:tcPr>
            <w:tcW w:w="8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2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June 30, 2023</w:t>
            </w:r>
          </w:p>
        </w:tc>
        <w:tc>
          <w:tcPr>
            <w:tcW w:w="288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30"/>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December 31, 2023</w:t>
            </w:r>
          </w:p>
        </w:tc>
        <w:tc>
          <w:tcPr>
            <w:tcW w:w="288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2024</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June 30, 2024</w:t>
            </w:r>
          </w:p>
        </w:tc>
        <w:tc>
          <w:tcPr>
            <w:tcW w:w="288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29"/>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2024</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39"/>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December 31, 2024</w:t>
            </w:r>
          </w:p>
        </w:tc>
        <w:tc>
          <w:tcPr>
            <w:tcW w:w="2880" w:type="dxa"/>
            <w:vAlign w:val="bottom"/>
          </w:tcPr>
          <w:p>
            <w:pPr>
              <w:jc w:val="right"/>
              <w:spacing w:after="0"/>
              <w:rPr>
                <w:sz w:val="20"/>
                <w:szCs w:val="20"/>
                <w:color w:val="auto"/>
              </w:rPr>
            </w:pPr>
            <w:r>
              <w:rPr>
                <w:rFonts w:ascii="Arial" w:cs="Arial" w:eastAsia="Arial" w:hAnsi="Arial"/>
                <w:sz w:val="18"/>
                <w:szCs w:val="18"/>
                <w:color w:val="auto"/>
              </w:rPr>
              <w:t>687</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NON-GAAP FINANCIAL MEASURES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4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define adjusted EBITDA as net loss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illustrate underlying trends in our business that could otherwise be masked by the effect of the income or expenses that are not indicative of the core operating performance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9"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17780</wp:posOffset>
            </wp:positionV>
            <wp:extent cx="22371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 w:lineRule="exact"/>
        <w:rPr>
          <w:sz w:val="20"/>
          <w:szCs w:val="20"/>
          <w:color w:val="auto"/>
        </w:rPr>
      </w:pPr>
    </w:p>
    <w:p>
      <w:pPr>
        <w:ind w:left="8380"/>
        <w:spacing w:after="0"/>
        <w:tabs>
          <w:tab w:leader="none" w:pos="1016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15240</wp:posOffset>
            </wp:positionV>
            <wp:extent cx="22371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(in thousands, except percentages)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39,372</w:t>
            </w:r>
          </w:p>
        </w:tc>
        <w:tc>
          <w:tcPr>
            <w:tcW w:w="56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13,174</w:t>
            </w: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5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c>
          <w:tcPr>
            <w:tcW w:w="5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45"/>
        </w:trPr>
        <w:tc>
          <w:tcPr>
            <w:tcW w:w="77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4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define non-GAAP net income as net loss from operations in accordance with GAAP excluding stock-based compensation. We define non-GAAP net income margin as non-GAAP net income divided by total revenue for the same period. We are focused on profitable growth and we consider non-GAAP net income to be an important measure because it helps illustrate underlying trends in our business that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otherwise be masked by the effect of stock-based compensation, which is not considered indicative of the core operating performance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9"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288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 w:lineRule="exact"/>
        <w:rPr>
          <w:sz w:val="20"/>
          <w:szCs w:val="20"/>
          <w:color w:val="auto"/>
        </w:rPr>
      </w:pPr>
    </w:p>
    <w:p>
      <w:pPr>
        <w:ind w:left="8380"/>
        <w:spacing w:after="0"/>
        <w:tabs>
          <w:tab w:leader="none" w:pos="1016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15240</wp:posOffset>
            </wp:positionV>
            <wp:extent cx="22288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(in thousands, except percentages)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23,482</w:t>
            </w:r>
          </w:p>
        </w:tc>
        <w:tc>
          <w:tcPr>
            <w:tcW w:w="6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(244)</w:t>
            </w: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Non-GAAP net income (loss) margin</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17 %</w:t>
            </w:r>
          </w:p>
        </w:tc>
        <w:tc>
          <w:tcPr>
            <w:tcW w:w="6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45"/>
        </w:trPr>
        <w:tc>
          <w:tcPr>
            <w:tcW w:w="77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4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define free cash flow as net cash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2885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 w:lineRule="exact"/>
        <w:rPr>
          <w:sz w:val="20"/>
          <w:szCs w:val="20"/>
          <w:color w:val="auto"/>
        </w:rPr>
      </w:pPr>
    </w:p>
    <w:p>
      <w:pPr>
        <w:ind w:left="8380"/>
        <w:spacing w:after="0"/>
        <w:tabs>
          <w:tab w:leader="none" w:pos="1016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15240</wp:posOffset>
            </wp:positionV>
            <wp:extent cx="22288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(in thousands, except percentages)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23,863</w:t>
            </w:r>
          </w:p>
        </w:tc>
        <w:tc>
          <w:tcPr>
            <w:tcW w:w="68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555</w:t>
            </w: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Free cash flow margin</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17 %</w:t>
            </w:r>
          </w:p>
        </w:tc>
        <w:tc>
          <w:tcPr>
            <w:tcW w:w="6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45"/>
        </w:trPr>
        <w:tc>
          <w:tcPr>
            <w:tcW w:w="77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340" w:type="dxa"/>
            <w:vAlign w:val="bottom"/>
            <w:tcBorders>
              <w:top w:val="single" w:sz="8" w:color="auto"/>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(in thousands, except percentages)</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(41,456)</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7,663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2,980</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5,327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6,655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5,111</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33,537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41,212</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39,372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13,174</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54"/>
        </w:trPr>
        <w:tc>
          <w:tcPr>
            <w:tcW w:w="7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net income and non-GAAP net income margin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340" w:type="dxa"/>
            <w:vAlign w:val="bottom"/>
            <w:tcBorders>
              <w:top w:val="single" w:sz="8" w:color="auto"/>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(in thousands, except percentages)</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(10,055)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(41,456)</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33,537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41,212</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23,482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Non-GAAP net income (loss)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5"/>
        </w:trPr>
        <w:tc>
          <w:tcPr>
            <w:tcW w:w="7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7"/>
        </w:trPr>
        <w:tc>
          <w:tcPr>
            <w:tcW w:w="7720" w:type="dxa"/>
            <w:vAlign w:val="bottom"/>
          </w:tcPr>
          <w:p>
            <w:pPr>
              <w:spacing w:after="0"/>
              <w:rPr>
                <w:sz w:val="20"/>
                <w:szCs w:val="20"/>
                <w:color w:val="auto"/>
              </w:rPr>
            </w:pPr>
            <w:r>
              <w:rPr>
                <w:rFonts w:ascii="Arial" w:cs="Arial" w:eastAsia="Arial" w:hAnsi="Arial"/>
                <w:sz w:val="18"/>
                <w:szCs w:val="18"/>
                <w:i w:val="1"/>
                <w:iCs w:val="1"/>
                <w:color w:val="auto"/>
              </w:rPr>
              <w:t>Adjusted Operating Cash Flow and Free Cash Flow</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(in thousands, except percentages)</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23,877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Operating cash flow margin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changes in assets and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Settlement assets, net</w:t>
            </w:r>
          </w:p>
        </w:tc>
        <w:tc>
          <w:tcPr>
            <w:tcW w:w="18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2,469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6,398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5,145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operating cash flow</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31,491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 development costs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(7,628)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23,863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 margin</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54"/>
        </w:trPr>
        <w:tc>
          <w:tcPr>
            <w:tcW w:w="7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Contractual Obligations and Commitments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tcBorders>
              <w:top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420" w:type="dxa"/>
            <w:vAlign w:val="bottom"/>
            <w:tcBorders>
              <w:top w:val="single" w:sz="8" w:color="auto"/>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99"/>
              </w:rPr>
              <w:t>Payments due by period</w:t>
            </w: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r>
      <w:tr>
        <w:trPr>
          <w:trHeight w:val="218"/>
        </w:trPr>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9"/>
              </w:rPr>
              <w:t>(in thousands)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5"/>
        </w:trPr>
        <w:tc>
          <w:tcPr>
            <w:tcW w:w="4700" w:type="dxa"/>
            <w:vAlign w:val="bottom"/>
          </w:tcPr>
          <w:p>
            <w:pPr>
              <w:spacing w:after="0"/>
              <w:rPr>
                <w:sz w:val="20"/>
                <w:szCs w:val="20"/>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Less than 1 year</w:t>
            </w:r>
          </w:p>
        </w:tc>
        <w:tc>
          <w:tcPr>
            <w:tcW w:w="24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1-3 years</w:t>
            </w:r>
          </w:p>
        </w:tc>
        <w:tc>
          <w:tcPr>
            <w:tcW w:w="1660" w:type="dxa"/>
            <w:vAlign w:val="bottom"/>
            <w:gridSpan w:val="3"/>
          </w:tcPr>
          <w:p>
            <w:pPr>
              <w:ind w:left="20"/>
              <w:spacing w:after="0"/>
              <w:rPr>
                <w:sz w:val="20"/>
                <w:szCs w:val="20"/>
                <w:color w:val="auto"/>
              </w:rPr>
            </w:pPr>
            <w:r>
              <w:rPr>
                <w:rFonts w:ascii="Arial" w:cs="Arial" w:eastAsia="Arial" w:hAnsi="Arial"/>
                <w:sz w:val="18"/>
                <w:szCs w:val="18"/>
                <w:b w:val="1"/>
                <w:bCs w:val="1"/>
                <w:color w:val="auto"/>
              </w:rPr>
              <w:t>More than 3 years</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commitments</w:t>
            </w: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commitments</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8,692</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Indemnification Agreements</w:t>
      </w:r>
    </w:p>
    <w:p>
      <w:pPr>
        <w:spacing w:after="0" w:line="1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Changes in Stockholders' Equity, or Consolidated Statements of Cash Flows.</w:t>
      </w:r>
    </w:p>
    <w:p>
      <w:pPr>
        <w:spacing w:after="0" w:line="10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Off-Balance Sheet Arrangements</w:t>
      </w:r>
    </w:p>
    <w:p>
      <w:pPr>
        <w:spacing w:after="0" w:line="1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Critical Accounting Policies and Estimates</w:t>
      </w:r>
    </w:p>
    <w:p>
      <w:pPr>
        <w:spacing w:after="0" w:line="168"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consolidated financial statements included elsewhere herein have been prepared in accordance with GAAP. The preparation of our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 For our accounting policies, see Note 2 to our consolidated financial statements contained elsewhere herein for a description of our significant accounting policies.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EMPLOYEE AND EMPLOYEE-RELATED EXPENSES</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Allocating our employee and employee-related expenses, which consist of contractor costs, employee salary and wages, stock-based compensation and travel and other employee-related costs, to their appropriate financial statement line items on the Consolidated Statements of Operations, requires us to make estimates and judgments as a result of our generalist model and organizational structure. We base our estimates for allocating employee and employee related expenses on our internal productivity and team management tools. Management reviews the estimates each reporting period to evaluate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amounts allocated to Cost of revenue, net, Research and development, General and administrative, and Sales and marketing on the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REVENUE RECOGNITION</w:t>
      </w:r>
    </w:p>
    <w:p>
      <w:pPr>
        <w:spacing w:after="0" w:line="15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generate revenue from subscription fees paid by our customers to access and use our hosted software services, as well as standard customer support.</w:t>
      </w:r>
    </w:p>
    <w:p>
      <w:pPr>
        <w:spacing w:after="0" w:line="85"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we expect to be entitled to in exchange for those goods or services.</w:t>
      </w:r>
    </w:p>
    <w:p>
      <w:pPr>
        <w:spacing w:after="0" w:line="7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contracts are either month-to-month arrangements billed monthly in arrears based on a specified number of members or annual arrangements billed monthly in arrears based on a minimum number of monthly members.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charge customers subscription fees for access to our platform based on the number of monthly members and level of service. The contractual price per member is based on either negotiated fees or rates published on our website. Our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We satisfy our performance obligation over time each month as it provides the SaaS and support services to customers and as such generally recognizes revenue monthly based on the number of monthly members and contractual rate per member.</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spacing w:after="0" w:line="9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Revenue is recognized net of applicable taxes imposed on the related transaction. We charge customers on a monthly basis, in arrears, with typical payment terms being 30 days. Since our performance obligation is satisfied monthly, at any reporting period, we have no unsatisfied, or partially unsatisfied, performance obligations.</w:t>
      </w:r>
    </w:p>
    <w:p>
      <w:pPr>
        <w:spacing w:after="0" w:line="10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Updated Card Program, we generate revenue from the authorization and settlement of Expensify Card transactions. We partner with an issuing bank to issue Expensify Cards to customers as a feature of the Company’s SaaS. Our agreement with the issuing bank allows for card transactions to be authorized and settled on the Visa network. We are contractually entitled to all interchange generated on Expensify Card transactions based on our agreement with the issuing bank. Based on our agreements with the payment processor and issuing bank, we are the principal in the transaction. As such, we recognize interchange as revenue on a gross basis within Revenue on the accompanying 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Recent Accounting Pronouncements</w:t>
      </w:r>
    </w:p>
    <w:p>
      <w:pPr>
        <w:spacing w:after="0" w:line="16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See Note 2 to our consolidated financial statements in this Annual Report on Form 10-K for recently issued and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7A. Quantitative and Qualitative Disclosures About Market Risk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FOREIGN CURRENCY EXCHANGE RISK</w:t>
      </w:r>
    </w:p>
    <w:p>
      <w:pPr>
        <w:spacing w:after="0" w:line="1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report our results in U.S. dollars, which is our reporting currency. For our foreign operations, the majority of our revenues and expenses are denominated in other currencies, such as the British pound and the Australian dollar. Foreign currency assets and liabilities are remeasured into the U.S. dollar at end-of-period exchange rates except for prepaid expenses, property and equipment and related depreciation and amortization and lease right-of-use assets and related amortization, which are remeasured at historical exchange rates. Revenues and expenses are remeasured at average exchange rates in effect during each period. Gains or losses from foreign currency transactions are included in the Consolidated Statements of Operations.</w:t>
      </w:r>
    </w:p>
    <w:p>
      <w:pPr>
        <w:spacing w:after="0" w:line="101"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If the value of the U.S. dollar weakens relative to foreign currencies, this may have an unfavorable impact on our cash flows and operating results. We do not believe that a 10% change in the relative value of the U.S. dollar to other foreign currencies would have a material effect on our cash flows and operating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INTEREST RATE RISK</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subject to interest rate risk in connection with borrowings under our amortizing term mortgage, our monthly revolving line of credit and our amortizing term loan. Interest rate changes generally impact the amount of our interest payments and, therefore, our future profitability and cash flows. Assuming the amounts outstanding under these borrowing facilities are fully drawn, a hypothetical 10% change in interest rates would not have a material impact on our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INFLATION RISK</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do not believe that inflation has had a material impact on our business, results of operations or financial condition. Nonetheless, if our costs were to become subject to significant inflationary pressures, we may not be able to fully offset such higher costs through price increases.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line="11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900" w:type="dxa"/>
            <w:vAlign w:val="bottom"/>
            <w:gridSpan w:val="9"/>
          </w:tcPr>
          <w:p>
            <w:pPr>
              <w:spacing w:after="0"/>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3051F2"/>
              </w:rPr>
              <w:t>42</w:t>
            </w:r>
            <w:r>
              <w:rPr>
                <w:rFonts w:ascii="Arial" w:cs="Arial" w:eastAsia="Arial" w:hAnsi="Arial"/>
                <w:sz w:val="18"/>
                <w:szCs w:val="18"/>
                <w:u w:val="single" w:color="auto"/>
                <w:color w:val="0000FF"/>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0000FF"/>
              </w:rPr>
              <w:t>93</w:t>
            </w:r>
          </w:p>
        </w:tc>
      </w:tr>
      <w:tr>
        <w:trPr>
          <w:trHeight w:val="245"/>
        </w:trPr>
        <w:tc>
          <w:tcPr>
            <w:tcW w:w="20" w:type="dxa"/>
            <w:vAlign w:val="bottom"/>
          </w:tcPr>
          <w:p>
            <w:pPr>
              <w:spacing w:after="0"/>
              <w:rPr>
                <w:sz w:val="21"/>
                <w:szCs w:val="21"/>
                <w:color w:val="auto"/>
              </w:rPr>
            </w:pPr>
          </w:p>
        </w:tc>
        <w:tc>
          <w:tcPr>
            <w:tcW w:w="568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00" w:type="dxa"/>
            <w:vAlign w:val="bottom"/>
            <w:tcBorders>
              <w:top w:val="single" w:sz="8" w:color="3051F2"/>
            </w:tcBorders>
          </w:tcPr>
          <w:p>
            <w:pPr>
              <w:spacing w:after="0"/>
              <w:rPr>
                <w:sz w:val="21"/>
                <w:szCs w:val="21"/>
                <w:color w:val="auto"/>
              </w:rPr>
            </w:pPr>
          </w:p>
        </w:tc>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520" w:type="dxa"/>
            <w:vAlign w:val="bottom"/>
            <w:gridSpan w:val="8"/>
          </w:tcPr>
          <w:p>
            <w:pPr>
              <w:spacing w:after="0" w:line="195" w:lineRule="exact"/>
              <w:rPr>
                <w:sz w:val="20"/>
                <w:szCs w:val="20"/>
                <w:color w:val="auto"/>
              </w:rPr>
            </w:pPr>
            <w:r>
              <w:rPr>
                <w:rFonts w:ascii="Arial" w:cs="Arial" w:eastAsia="Arial" w:hAnsi="Arial"/>
                <w:sz w:val="18"/>
                <w:szCs w:val="18"/>
                <w:color w:val="0000FF"/>
              </w:rPr>
              <w:t>Consolidated Balance Sheets</w:t>
            </w:r>
          </w:p>
        </w:tc>
        <w:tc>
          <w:tcPr>
            <w:tcW w:w="3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rPr>
              <w:t>97</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2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0000FF"/>
              </w:rPr>
              <w:t>98</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gridSpan w:val="5"/>
          </w:tcPr>
          <w:p>
            <w:pPr>
              <w:spacing w:after="0"/>
              <w:rPr>
                <w:sz w:val="20"/>
                <w:szCs w:val="20"/>
                <w:color w:val="auto"/>
              </w:rPr>
            </w:pPr>
            <w:r>
              <w:rPr>
                <w:rFonts w:ascii="Arial" w:cs="Arial" w:eastAsia="Arial" w:hAnsi="Arial"/>
                <w:sz w:val="18"/>
                <w:szCs w:val="18"/>
                <w:color w:val="0000FF"/>
                <w:w w:val="99"/>
              </w:rPr>
              <w:t>Consolidated Statements of Changes in Stockholders’ Equity</w:t>
            </w:r>
          </w:p>
        </w:tc>
        <w:tc>
          <w:tcPr>
            <w:tcW w:w="566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99</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gridSpan w:val="5"/>
          </w:tcPr>
          <w:p>
            <w:pPr>
              <w:spacing w:after="0"/>
              <w:rPr>
                <w:sz w:val="20"/>
                <w:szCs w:val="20"/>
                <w:color w:val="auto"/>
              </w:rPr>
            </w:pPr>
            <w:r>
              <w:rPr>
                <w:rFonts w:ascii="Arial" w:cs="Arial" w:eastAsia="Arial" w:hAnsi="Arial"/>
                <w:sz w:val="18"/>
                <w:szCs w:val="18"/>
                <w:color w:val="0000FF"/>
              </w:rPr>
              <w:t>Consolidated Statements of Cash Flows</w:t>
            </w:r>
          </w:p>
        </w:tc>
        <w:tc>
          <w:tcPr>
            <w:tcW w:w="5660" w:type="dxa"/>
            <w:vAlign w:val="bottom"/>
            <w:gridSpan w:val="3"/>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101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5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0000FF"/>
                <w:w w:val="93"/>
              </w:rPr>
              <w:t>103</w:t>
            </w:r>
          </w:p>
        </w:tc>
        <w:tc>
          <w:tcPr>
            <w:tcW w:w="20" w:type="dxa"/>
            <w:vAlign w:val="bottom"/>
          </w:tcPr>
          <w:p>
            <w:pPr>
              <w:spacing w:after="0"/>
              <w:rPr>
                <w:sz w:val="18"/>
                <w:szCs w:val="18"/>
                <w:color w:val="auto"/>
              </w:rPr>
            </w:pPr>
          </w:p>
        </w:tc>
      </w:tr>
      <w:tr>
        <w:trPr>
          <w:trHeight w:val="74"/>
        </w:trPr>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360" w:type="dxa"/>
            <w:vAlign w:val="bottom"/>
            <w:tcBorders>
              <w:top w:val="single" w:sz="8" w:color="0000FF"/>
              <w:bottom w:val="single" w:sz="8" w:color="auto"/>
            </w:tcBorders>
          </w:tcPr>
          <w:p>
            <w:pPr>
              <w:spacing w:after="0"/>
              <w:rPr>
                <w:sz w:val="6"/>
                <w:szCs w:val="6"/>
                <w:color w:val="auto"/>
              </w:rPr>
            </w:pPr>
          </w:p>
        </w:tc>
        <w:tc>
          <w:tcPr>
            <w:tcW w:w="780" w:type="dxa"/>
            <w:vAlign w:val="bottom"/>
            <w:tcBorders>
              <w:top w:val="single" w:sz="8" w:color="0000FF"/>
              <w:bottom w:val="single" w:sz="8" w:color="auto"/>
            </w:tcBorders>
          </w:tcPr>
          <w:p>
            <w:pPr>
              <w:spacing w:after="0"/>
              <w:rPr>
                <w:sz w:val="6"/>
                <w:szCs w:val="6"/>
                <w:color w:val="auto"/>
              </w:rPr>
            </w:pPr>
          </w:p>
        </w:tc>
        <w:tc>
          <w:tcPr>
            <w:tcW w:w="60" w:type="dxa"/>
            <w:vAlign w:val="bottom"/>
            <w:tcBorders>
              <w:top w:val="single" w:sz="8" w:color="0000FF"/>
              <w:bottom w:val="single" w:sz="8" w:color="auto"/>
            </w:tcBorders>
          </w:tcPr>
          <w:p>
            <w:pPr>
              <w:spacing w:after="0"/>
              <w:rPr>
                <w:sz w:val="6"/>
                <w:szCs w:val="6"/>
                <w:color w:val="auto"/>
              </w:rPr>
            </w:pPr>
          </w:p>
        </w:tc>
        <w:tc>
          <w:tcPr>
            <w:tcW w:w="300" w:type="dxa"/>
            <w:vAlign w:val="bottom"/>
            <w:tcBorders>
              <w:top w:val="single" w:sz="8" w:color="0000FF"/>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020" w:type="dxa"/>
            <w:vAlign w:val="bottom"/>
            <w:tcBorders>
              <w:bottom w:val="single" w:sz="8" w:color="auto"/>
            </w:tcBorders>
          </w:tcPr>
          <w:p>
            <w:pPr>
              <w:spacing w:after="0"/>
              <w:rPr>
                <w:sz w:val="6"/>
                <w:szCs w:val="6"/>
                <w:color w:val="auto"/>
              </w:rPr>
            </w:pPr>
          </w:p>
        </w:tc>
        <w:tc>
          <w:tcPr>
            <w:tcW w:w="100" w:type="dxa"/>
            <w:vAlign w:val="bottom"/>
            <w:tcBorders>
              <w:top w:val="single" w:sz="8" w:color="0000FF"/>
              <w:bottom w:val="single" w:sz="8" w:color="auto"/>
            </w:tcBorders>
          </w:tcPr>
          <w:p>
            <w:pPr>
              <w:spacing w:after="0"/>
              <w:rPr>
                <w:sz w:val="6"/>
                <w:szCs w:val="6"/>
                <w:color w:val="auto"/>
              </w:rPr>
            </w:pPr>
          </w:p>
        </w:tc>
        <w:tc>
          <w:tcPr>
            <w:tcW w:w="200" w:type="dxa"/>
            <w:vAlign w:val="bottom"/>
            <w:tcBorders>
              <w:top w:val="single" w:sz="8" w:color="0000FF"/>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Expensify,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Opinion on the Financial Statements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Expensify, Inc. (the Company) as of December 31, 2024 and 2023, the related consolidated statements of operations,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Basis for Opinion</w:t>
      </w:r>
    </w:p>
    <w:p>
      <w:pPr>
        <w:spacing w:after="0" w:line="14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Critical Audit Matter</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described in Note 2 to the consolidated financial statements, the Company primarily generates revenue from subscription fees that are based on the number of monthly members accessing and using the Company’s hosted software services. Subscription revenue is generally recognized monthly based on the number of monthly members and contractual rate per member.</w:t>
      </w:r>
    </w:p>
    <w:p>
      <w:pPr>
        <w:spacing w:after="0" w:line="9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Given the process is highly automated and is dependent on the effective design and operation of certain systems which are specifically designed for the Company’s business, auditing the Company's calculation of subscription revenue required significant audit effort and a high degree of auditor judgment to evaluate the relevance and reliability of audit evidence.</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over the Company's calculation of subscription revenue. For example, with the assistance of IT professionals, we tested the controls over the initiation of subscriptions, the determination of monthly members and the calculation of billings. We also tested controls related to interfaces between the Company’s relevant systems as well as the relevant information technology general controls over those systems.</w:t>
      </w:r>
    </w:p>
    <w:p>
      <w:pPr>
        <w:spacing w:after="0" w:line="20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To test the Company's subscription revenue, we performed substantive audit procedures that included, among others, extracting data from the relevant systems to evaluate the completeness and accuracy of recorded revenue amounts through data analytics, recalculating billings, and tracing a sample of billings to cash receipts.</w:t>
      </w:r>
    </w:p>
    <w:p>
      <w:pPr>
        <w:spacing w:after="0" w:line="677" w:lineRule="exact"/>
        <w:rPr>
          <w:sz w:val="20"/>
          <w:szCs w:val="20"/>
          <w:color w:val="auto"/>
        </w:rPr>
      </w:pPr>
    </w:p>
    <w:p>
      <w:pPr>
        <w:sectPr>
          <w:pgSz w:w="11900" w:h="16838" w:orient="portrait"/>
          <w:cols w:equalWidth="0" w:num="2">
            <w:col w:w="2640" w:space="680"/>
            <w:col w:w="7880"/>
          </w:cols>
          <w:pgMar w:left="340" w:top="1440" w:right="35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166370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97" w:name="page98"/>
    <w:bookmarkEnd w:id="97"/>
    <w:p>
      <w:pPr>
        <w:spacing w:after="0" w:line="11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Expensify,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Opinion on Internal Control Over Financial Reporting</w:t>
      </w:r>
    </w:p>
    <w:p>
      <w:pPr>
        <w:spacing w:after="0" w:line="14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audited Expensify, Inc.’s internal control over financial reporting as of December 31, 2024, based on criteria established in Internal Control—Integrated Framework issued by the Committee of Sponsoring Organizations of the Treadway Commission (2013 framework) (the COSO criteria). In our opinion, Expensify, Inc. (the Company) maintained, in all material respects, effective internal control over financial reporting as of December 31, 2024, based on the COSO criteria.</w:t>
      </w:r>
    </w:p>
    <w:p>
      <w:pPr>
        <w:spacing w:after="0" w:line="109"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2024 consolidated financial statements of the Company and our report dated February 27, 2025 expressed an unqualified opinion thereon.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Basis for Opinion</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Definition and Limitations of Internal Control Over Financial Reporting</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8" w:name="page99"/>
    <w:bookmarkEnd w:id="98"/>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167640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Expensify, Inc.</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Consolidated Balance Sheets</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78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4"/>
          </w:tcPr>
          <w:p>
            <w:pPr>
              <w:jc w:val="right"/>
              <w:ind w:right="667"/>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7"/>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67"/>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48,772</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47,510</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12,701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13,834</w:t>
            </w:r>
          </w:p>
        </w:tc>
        <w:tc>
          <w:tcPr>
            <w:tcW w:w="0" w:type="dxa"/>
            <w:vAlign w:val="bottom"/>
          </w:tcPr>
          <w:p>
            <w:pPr>
              <w:spacing w:after="0"/>
              <w:rPr>
                <w:sz w:val="1"/>
                <w:szCs w:val="1"/>
                <w:color w:val="auto"/>
              </w:rPr>
            </w:pP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Settlement assets, net</w:t>
            </w:r>
          </w:p>
        </w:tc>
        <w:tc>
          <w:tcPr>
            <w:tcW w:w="34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42,406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39,261</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12,089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9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20,908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30,978</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136,876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137,232</w:t>
            </w:r>
          </w:p>
        </w:tc>
        <w:tc>
          <w:tcPr>
            <w:tcW w:w="0" w:type="dxa"/>
            <w:vAlign w:val="bottom"/>
          </w:tcPr>
          <w:p>
            <w:pPr>
              <w:spacing w:after="0"/>
              <w:rPr>
                <w:sz w:val="1"/>
                <w:szCs w:val="1"/>
                <w:color w:val="auto"/>
              </w:rPr>
            </w:pP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Capitalized software, net</w:t>
            </w:r>
          </w:p>
        </w:tc>
        <w:tc>
          <w:tcPr>
            <w:tcW w:w="34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16,232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12,494</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13,621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14,372</w:t>
            </w:r>
          </w:p>
        </w:tc>
        <w:tc>
          <w:tcPr>
            <w:tcW w:w="0" w:type="dxa"/>
            <w:vAlign w:val="bottom"/>
          </w:tcPr>
          <w:p>
            <w:pPr>
              <w:spacing w:after="0"/>
              <w:rPr>
                <w:sz w:val="1"/>
                <w:szCs w:val="1"/>
                <w:color w:val="auto"/>
              </w:rPr>
            </w:pP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34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5,441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6,435</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9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1,011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5,794</w:t>
            </w: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173,680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176,784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196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34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8,240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9,390</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under line of credit</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Current portion of long-term debt, net of original issue discount and debt issuance costs</w:t>
            </w:r>
          </w:p>
        </w:tc>
        <w:tc>
          <w:tcPr>
            <w:tcW w:w="3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7,655</w:t>
            </w:r>
          </w:p>
        </w:tc>
        <w:tc>
          <w:tcPr>
            <w:tcW w:w="0" w:type="dxa"/>
            <w:vAlign w:val="bottom"/>
          </w:tcPr>
          <w:p>
            <w:pPr>
              <w:spacing w:after="0"/>
              <w:rPr>
                <w:sz w:val="1"/>
                <w:szCs w:val="1"/>
                <w:color w:val="auto"/>
              </w:rPr>
            </w:pP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current</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729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9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liabilities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28,845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33,990</w:t>
            </w:r>
          </w:p>
        </w:tc>
        <w:tc>
          <w:tcPr>
            <w:tcW w:w="0" w:type="dxa"/>
            <w:vAlign w:val="bottom"/>
          </w:tcPr>
          <w:p>
            <w:pPr>
              <w:spacing w:after="0"/>
              <w:rPr>
                <w:sz w:val="1"/>
                <w:szCs w:val="1"/>
                <w:color w:val="auto"/>
              </w:rPr>
            </w:pPr>
          </w:p>
        </w:tc>
      </w:tr>
      <w:tr>
        <w:trPr>
          <w:trHeight w:val="200"/>
        </w:trPr>
        <w:tc>
          <w:tcPr>
            <w:tcW w:w="78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38,010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67,892</w:t>
            </w:r>
          </w:p>
        </w:tc>
        <w:tc>
          <w:tcPr>
            <w:tcW w:w="0" w:type="dxa"/>
            <w:vAlign w:val="bottom"/>
          </w:tcPr>
          <w:p>
            <w:pPr>
              <w:spacing w:after="0"/>
              <w:rPr>
                <w:sz w:val="1"/>
                <w:szCs w:val="1"/>
                <w:color w:val="auto"/>
              </w:rPr>
            </w:pPr>
          </w:p>
        </w:tc>
      </w:tr>
      <w:tr>
        <w:trPr>
          <w:trHeight w:val="199"/>
        </w:trPr>
        <w:tc>
          <w:tcPr>
            <w:tcW w:w="7820" w:type="dxa"/>
            <w:vAlign w:val="bottom"/>
          </w:tcPr>
          <w:p>
            <w:pPr>
              <w:ind w:left="20"/>
              <w:spacing w:after="0"/>
              <w:rPr>
                <w:sz w:val="20"/>
                <w:szCs w:val="20"/>
                <w:color w:val="auto"/>
              </w:rPr>
            </w:pPr>
            <w:r>
              <w:rPr>
                <w:rFonts w:ascii="Arial" w:cs="Arial" w:eastAsia="Arial" w:hAnsi="Arial"/>
                <w:sz w:val="14"/>
                <w:szCs w:val="14"/>
                <w:color w:val="auto"/>
              </w:rPr>
              <w:t>Lease liabilities, non-current</w:t>
            </w:r>
          </w:p>
        </w:tc>
        <w:tc>
          <w:tcPr>
            <w:tcW w:w="340" w:type="dxa"/>
            <w:vAlign w:val="bottom"/>
          </w:tcPr>
          <w:p>
            <w:pPr>
              <w:spacing w:after="0"/>
              <w:rPr>
                <w:sz w:val="17"/>
                <w:szCs w:val="17"/>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5,738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6,467</w:t>
            </w: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1,689</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92"/>
        </w:trPr>
        <w:tc>
          <w:tcPr>
            <w:tcW w:w="7820" w:type="dxa"/>
            <w:vAlign w:val="bottom"/>
          </w:tcPr>
          <w:p>
            <w:pPr>
              <w:ind w:left="78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6"/>
                <w:szCs w:val="16"/>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45,437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76,040</w:t>
            </w:r>
          </w:p>
        </w:tc>
        <w:tc>
          <w:tcPr>
            <w:tcW w:w="0" w:type="dxa"/>
            <w:vAlign w:val="bottom"/>
          </w:tcPr>
          <w:p>
            <w:pPr>
              <w:spacing w:after="0"/>
              <w:rPr>
                <w:sz w:val="1"/>
                <w:szCs w:val="1"/>
                <w:color w:val="auto"/>
              </w:rPr>
            </w:pP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12)</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7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par value $0.0001; 10,000,000 shares of preferred stock authorized as of December 31, 2024 and 2023,</w:t>
            </w:r>
          </w:p>
        </w:tc>
        <w:tc>
          <w:tcPr>
            <w:tcW w:w="340" w:type="dxa"/>
            <w:vAlign w:val="bottom"/>
            <w:shd w:val="clear" w:color="auto" w:fill="CCEEFF"/>
          </w:tcPr>
          <w:p>
            <w:pPr>
              <w:spacing w:after="0"/>
              <w:rPr>
                <w:sz w:val="13"/>
                <w:szCs w:val="13"/>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 no shares of preferred stock issued and outstanding as of December 31, 2024 and 2023</w:t>
            </w:r>
          </w:p>
        </w:tc>
        <w:tc>
          <w:tcPr>
            <w:tcW w:w="34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820" w:type="dxa"/>
            <w:vAlign w:val="bottom"/>
          </w:tcPr>
          <w:p>
            <w:pPr>
              <w:ind w:left="20"/>
              <w:spacing w:after="0" w:line="149" w:lineRule="exact"/>
              <w:rPr>
                <w:sz w:val="20"/>
                <w:szCs w:val="20"/>
                <w:color w:val="auto"/>
              </w:rPr>
            </w:pPr>
            <w:r>
              <w:rPr>
                <w:rFonts w:ascii="Arial" w:cs="Arial" w:eastAsia="Arial" w:hAnsi="Arial"/>
                <w:sz w:val="14"/>
                <w:szCs w:val="14"/>
                <w:color w:val="auto"/>
              </w:rPr>
              <w:t>Common stock, par value $0.0001; 1,000,000,000 shares of Class A common stock authorized as of December 31, 2024</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20" w:type="dxa"/>
            <w:vAlign w:val="bottom"/>
          </w:tcPr>
          <w:p>
            <w:pPr>
              <w:ind w:left="180"/>
              <w:spacing w:after="0" w:line="139" w:lineRule="exact"/>
              <w:rPr>
                <w:sz w:val="20"/>
                <w:szCs w:val="20"/>
                <w:color w:val="auto"/>
              </w:rPr>
            </w:pPr>
            <w:r>
              <w:rPr>
                <w:rFonts w:ascii="Arial" w:cs="Arial" w:eastAsia="Arial" w:hAnsi="Arial"/>
                <w:sz w:val="14"/>
                <w:szCs w:val="14"/>
                <w:color w:val="auto"/>
              </w:rPr>
              <w:t>and 2023; 79,471,414 and 70,569,815 shares of Class A common stock issued and outstanding as of December 31,</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2024 and 2023, respectively; 21,871,197 and 24,994,989 shares of LT10 common stock authorized as of December 31,</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20" w:type="dxa"/>
            <w:vAlign w:val="bottom"/>
          </w:tcPr>
          <w:p>
            <w:pPr>
              <w:ind w:left="180"/>
              <w:spacing w:after="0" w:line="145" w:lineRule="exact"/>
              <w:rPr>
                <w:sz w:val="20"/>
                <w:szCs w:val="20"/>
                <w:color w:val="auto"/>
              </w:rPr>
            </w:pPr>
            <w:r>
              <w:rPr>
                <w:rFonts w:ascii="Arial" w:cs="Arial" w:eastAsia="Arial" w:hAnsi="Arial"/>
                <w:sz w:val="14"/>
                <w:szCs w:val="14"/>
                <w:color w:val="auto"/>
              </w:rPr>
              <w:t>2024 and 2023, respectively; 4,209,827 and 7,333,619 shares of LT10 common stock issued and outstanding as of</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820" w:type="dxa"/>
            <w:vAlign w:val="bottom"/>
          </w:tcPr>
          <w:p>
            <w:pPr>
              <w:ind w:left="180"/>
              <w:spacing w:after="0" w:line="139" w:lineRule="exact"/>
              <w:rPr>
                <w:sz w:val="20"/>
                <w:szCs w:val="20"/>
                <w:color w:val="auto"/>
              </w:rPr>
            </w:pPr>
            <w:r>
              <w:rPr>
                <w:rFonts w:ascii="Arial" w:cs="Arial" w:eastAsia="Arial" w:hAnsi="Arial"/>
                <w:sz w:val="14"/>
                <w:szCs w:val="14"/>
                <w:color w:val="auto"/>
              </w:rPr>
              <w:t>December 31, 2024 and 2023, respectively; 24,967,114 and 24,998,941 shares of LT50 common stock authorized as of</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December 31, 2024 and 2023, respectively; 7,695,524 and 7,321,894 shares of LT50 common stock issued and</w:t>
            </w:r>
          </w:p>
        </w:tc>
        <w:tc>
          <w:tcPr>
            <w:tcW w:w="340" w:type="dxa"/>
            <w:vAlign w:val="bottom"/>
          </w:tcPr>
          <w:p>
            <w:pPr>
              <w:spacing w:after="0"/>
              <w:rPr>
                <w:sz w:val="12"/>
                <w:szCs w:val="12"/>
                <w:color w:val="auto"/>
              </w:rPr>
            </w:pPr>
          </w:p>
        </w:tc>
        <w:tc>
          <w:tcPr>
            <w:tcW w:w="1240" w:type="dxa"/>
            <w:vAlign w:val="bottom"/>
            <w:vMerge w:val="restart"/>
          </w:tcPr>
          <w:p>
            <w:pPr>
              <w:jc w:val="right"/>
              <w:ind w:right="7"/>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restart"/>
          </w:tcPr>
          <w:p>
            <w:pPr>
              <w:jc w:val="right"/>
              <w:ind w:right="7"/>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4"/>
        </w:trPr>
        <w:tc>
          <w:tcPr>
            <w:tcW w:w="7820" w:type="dxa"/>
            <w:vAlign w:val="bottom"/>
          </w:tcPr>
          <w:p>
            <w:pPr>
              <w:ind w:left="180"/>
              <w:spacing w:after="0"/>
              <w:rPr>
                <w:sz w:val="20"/>
                <w:szCs w:val="20"/>
                <w:color w:val="auto"/>
              </w:rPr>
            </w:pPr>
            <w:r>
              <w:rPr>
                <w:rFonts w:ascii="Arial" w:cs="Arial" w:eastAsia="Arial" w:hAnsi="Arial"/>
                <w:sz w:val="14"/>
                <w:szCs w:val="14"/>
                <w:color w:val="auto"/>
              </w:rPr>
              <w:t>outstanding as of December 31, 2024 and 2023, respectively</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279,062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241,509</w:t>
            </w:r>
          </w:p>
        </w:tc>
        <w:tc>
          <w:tcPr>
            <w:tcW w:w="0" w:type="dxa"/>
            <w:vAlign w:val="bottom"/>
          </w:tcPr>
          <w:p>
            <w:pPr>
              <w:spacing w:after="0"/>
              <w:rPr>
                <w:sz w:val="1"/>
                <w:szCs w:val="1"/>
                <w:color w:val="auto"/>
              </w:rPr>
            </w:pPr>
          </w:p>
        </w:tc>
      </w:tr>
      <w:tr>
        <w:trPr>
          <w:trHeight w:val="19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(150,828)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(140,773)</w:t>
            </w:r>
          </w:p>
        </w:tc>
        <w:tc>
          <w:tcPr>
            <w:tcW w:w="0" w:type="dxa"/>
            <w:vAlign w:val="bottom"/>
          </w:tcPr>
          <w:p>
            <w:pPr>
              <w:spacing w:after="0"/>
              <w:rPr>
                <w:sz w:val="1"/>
                <w:szCs w:val="1"/>
                <w:color w:val="auto"/>
              </w:rPr>
            </w:pPr>
          </w:p>
        </w:tc>
      </w:tr>
      <w:tr>
        <w:trPr>
          <w:trHeight w:val="196"/>
        </w:trPr>
        <w:tc>
          <w:tcPr>
            <w:tcW w:w="78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128,243</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100,744</w:t>
            </w:r>
          </w:p>
        </w:tc>
        <w:tc>
          <w:tcPr>
            <w:tcW w:w="0" w:type="dxa"/>
            <w:vAlign w:val="bottom"/>
          </w:tcPr>
          <w:p>
            <w:pPr>
              <w:spacing w:after="0"/>
              <w:rPr>
                <w:sz w:val="1"/>
                <w:szCs w:val="1"/>
                <w:color w:val="auto"/>
              </w:rPr>
            </w:pPr>
          </w:p>
        </w:tc>
      </w:tr>
      <w:tr>
        <w:trPr>
          <w:trHeight w:val="200"/>
        </w:trPr>
        <w:tc>
          <w:tcPr>
            <w:tcW w:w="7820" w:type="dxa"/>
            <w:vAlign w:val="bottom"/>
          </w:tcPr>
          <w:p>
            <w:pPr>
              <w:ind w:left="76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173,680</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176,784</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Expensify, Inc.</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6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3400" w:type="dxa"/>
            <w:vAlign w:val="bottom"/>
            <w:tcBorders>
              <w:top w:val="single" w:sz="8" w:color="auto"/>
              <w:bottom w:val="single" w:sz="8" w:color="auto"/>
            </w:tcBorders>
            <w:gridSpan w:val="6"/>
          </w:tcPr>
          <w:p>
            <w:pPr>
              <w:jc w:val="right"/>
              <w:ind w:right="99"/>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169,495</w:t>
            </w:r>
          </w:p>
        </w:tc>
        <w:tc>
          <w:tcPr>
            <w:tcW w:w="0" w:type="dxa"/>
            <w:vAlign w:val="bottom"/>
          </w:tcPr>
          <w:p>
            <w:pPr>
              <w:spacing w:after="0"/>
              <w:rPr>
                <w:sz w:val="1"/>
                <w:szCs w:val="1"/>
                <w:color w:val="auto"/>
              </w:rPr>
            </w:pPr>
          </w:p>
        </w:tc>
      </w:tr>
      <w:tr>
        <w:trPr>
          <w:trHeight w:val="21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 net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66,888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62,669</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74,997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83,799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106,826</w:t>
            </w:r>
          </w:p>
        </w:tc>
        <w:tc>
          <w:tcPr>
            <w:tcW w:w="0" w:type="dxa"/>
            <w:vAlign w:val="bottom"/>
          </w:tcPr>
          <w:p>
            <w:pPr>
              <w:spacing w:after="0"/>
              <w:rPr>
                <w:sz w:val="1"/>
                <w:szCs w:val="1"/>
                <w:color w:val="auto"/>
              </w:rPr>
            </w:pPr>
          </w:p>
        </w:tc>
      </w:tr>
      <w:tr>
        <w:trPr>
          <w:trHeight w:val="195"/>
        </w:trPr>
        <w:tc>
          <w:tcPr>
            <w:tcW w:w="61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13,692</w:t>
            </w:r>
          </w:p>
        </w:tc>
        <w:tc>
          <w:tcPr>
            <w:tcW w:w="0" w:type="dxa"/>
            <w:vAlign w:val="bottom"/>
          </w:tcPr>
          <w:p>
            <w:pPr>
              <w:spacing w:after="0"/>
              <w:rPr>
                <w:sz w:val="1"/>
                <w:szCs w:val="1"/>
                <w:color w:val="auto"/>
              </w:rPr>
            </w:pPr>
          </w:p>
        </w:tc>
      </w:tr>
      <w:tr>
        <w:trPr>
          <w:trHeight w:val="215"/>
        </w:trPr>
        <w:tc>
          <w:tcPr>
            <w:tcW w:w="61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38,382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49,228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58,490</w:t>
            </w: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Sales and marketing</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49,876</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116,948</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122,058</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(15,232)</w:t>
            </w:r>
          </w:p>
        </w:tc>
        <w:tc>
          <w:tcPr>
            <w:tcW w:w="0" w:type="dxa"/>
            <w:vAlign w:val="bottom"/>
          </w:tcPr>
          <w:p>
            <w:pPr>
              <w:spacing w:after="0"/>
              <w:rPr>
                <w:sz w:val="1"/>
                <w:szCs w:val="1"/>
                <w:color w:val="auto"/>
              </w:rPr>
            </w:pPr>
          </w:p>
        </w:tc>
      </w:tr>
      <w:tr>
        <w:trPr>
          <w:trHeight w:val="21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expenses, net</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(5,411)</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(38,476)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(20,643)</w:t>
            </w:r>
          </w:p>
        </w:tc>
        <w:tc>
          <w:tcPr>
            <w:tcW w:w="0" w:type="dxa"/>
            <w:vAlign w:val="bottom"/>
          </w:tcPr>
          <w:p>
            <w:pPr>
              <w:spacing w:after="0"/>
              <w:rPr>
                <w:sz w:val="1"/>
                <w:szCs w:val="1"/>
                <w:color w:val="auto"/>
              </w:rPr>
            </w:pPr>
          </w:p>
        </w:tc>
      </w:tr>
      <w:tr>
        <w:trPr>
          <w:trHeight w:val="215"/>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(6,366)</w:t>
            </w:r>
          </w:p>
        </w:tc>
        <w:tc>
          <w:tcPr>
            <w:tcW w:w="0" w:type="dxa"/>
            <w:vAlign w:val="bottom"/>
          </w:tcPr>
          <w:p>
            <w:pPr>
              <w:spacing w:after="0"/>
              <w:rPr>
                <w:sz w:val="1"/>
                <w:szCs w:val="1"/>
                <w:color w:val="auto"/>
              </w:rPr>
            </w:pPr>
          </w:p>
        </w:tc>
      </w:tr>
      <w:tr>
        <w:trPr>
          <w:trHeight w:val="23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1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Weighted average shares of common stock used to compute net loss per share: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87,380,708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82,493,226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80,786,725</w:t>
            </w:r>
          </w:p>
        </w:tc>
        <w:tc>
          <w:tcPr>
            <w:tcW w:w="0" w:type="dxa"/>
            <w:vAlign w:val="bottom"/>
          </w:tcPr>
          <w:p>
            <w:pPr>
              <w:spacing w:after="0"/>
              <w:rPr>
                <w:sz w:val="1"/>
                <w:szCs w:val="1"/>
                <w:color w:val="auto"/>
              </w:rPr>
            </w:pPr>
          </w:p>
        </w:tc>
      </w:tr>
      <w:tr>
        <w:trPr>
          <w:trHeight w:val="54"/>
        </w:trPr>
        <w:tc>
          <w:tcPr>
            <w:tcW w:w="6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Consolidated Statements of Changes in Stockholders’ Equity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1214755</wp:posOffset>
            </wp:positionV>
            <wp:extent cx="7132320" cy="4920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9206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Preferred stock</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2700" w:type="dxa"/>
            <w:vAlign w:val="bottom"/>
          </w:tcPr>
          <w:p>
            <w:pPr>
              <w:spacing w:after="0"/>
              <w:rPr>
                <w:sz w:val="20"/>
                <w:szCs w:val="20"/>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6"/>
              </w:rPr>
              <w:t>Shares</w:t>
            </w: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08"/>
        </w:trPr>
        <w:tc>
          <w:tcPr>
            <w:tcW w:w="2700" w:type="dxa"/>
            <w:vAlign w:val="bottom"/>
          </w:tcPr>
          <w:p>
            <w:pPr>
              <w:spacing w:after="0"/>
              <w:rPr>
                <w:sz w:val="20"/>
                <w:szCs w:val="20"/>
                <w:color w:val="auto"/>
              </w:rPr>
            </w:pPr>
            <w:r>
              <w:rPr>
                <w:rFonts w:ascii="Arial" w:cs="Arial" w:eastAsia="Arial" w:hAnsi="Arial"/>
                <w:sz w:val="16"/>
                <w:szCs w:val="16"/>
                <w:color w:val="auto"/>
              </w:rPr>
              <w:t>Balance at December 31, 2021</w:t>
            </w:r>
          </w:p>
        </w:tc>
        <w:tc>
          <w:tcPr>
            <w:tcW w:w="8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upon</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exercise of stock options</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Vesting of early exercised stock</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options</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Repurchases of early exercised</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stock options</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under</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Matching Plan</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in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connection with restricted stock</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units vesting</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Shares withheld from 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issued to pay employee payroll</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taxes</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Repurchase and retirement of</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common stock</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6"/>
                <w:szCs w:val="16"/>
                <w:color w:val="auto"/>
              </w:rPr>
              <w:t>Balance at December 31, 2022</w:t>
            </w: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3"/>
        </w:trPr>
        <w:tc>
          <w:tcPr>
            <w:tcW w:w="2700" w:type="dxa"/>
            <w:vAlign w:val="bottom"/>
          </w:tcPr>
          <w:p>
            <w:pPr>
              <w:ind w:left="40"/>
              <w:spacing w:after="0" w:line="144" w:lineRule="exact"/>
              <w:rPr>
                <w:sz w:val="20"/>
                <w:szCs w:val="20"/>
                <w:color w:val="auto"/>
              </w:rPr>
            </w:pPr>
            <w:r>
              <w:rPr>
                <w:rFonts w:ascii="Arial" w:cs="Arial" w:eastAsia="Arial" w:hAnsi="Arial"/>
                <w:sz w:val="16"/>
                <w:szCs w:val="16"/>
                <w:color w:val="auto"/>
              </w:rPr>
              <w:t>Issuance of common stock upon</w:t>
            </w:r>
          </w:p>
        </w:tc>
        <w:tc>
          <w:tcPr>
            <w:tcW w:w="84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exercise of stock options</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Vesting of early exercised stock</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options</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Issuance of restricted stock units</w:t>
            </w: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Repurchases of early exercised</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stock options</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stuck under</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Matching Plan</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Issuance of common stock in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connection with restricted stock</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units vesting</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gridSpan w:val="2"/>
          </w:tcPr>
          <w:p>
            <w:pPr>
              <w:ind w:left="40"/>
              <w:spacing w:after="0" w:line="164" w:lineRule="exact"/>
              <w:rPr>
                <w:sz w:val="20"/>
                <w:szCs w:val="20"/>
                <w:color w:val="auto"/>
              </w:rPr>
            </w:pPr>
            <w:r>
              <w:rPr>
                <w:rFonts w:ascii="Arial" w:cs="Arial" w:eastAsia="Arial" w:hAnsi="Arial"/>
                <w:sz w:val="16"/>
                <w:szCs w:val="16"/>
                <w:color w:val="auto"/>
              </w:rPr>
              <w:t>Shares withheld from 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gridSpan w:val="2"/>
          </w:tcPr>
          <w:p>
            <w:pPr>
              <w:ind w:left="120"/>
              <w:spacing w:after="0" w:line="162" w:lineRule="exact"/>
              <w:rPr>
                <w:sz w:val="20"/>
                <w:szCs w:val="20"/>
                <w:color w:val="auto"/>
              </w:rPr>
            </w:pPr>
            <w:r>
              <w:rPr>
                <w:rFonts w:ascii="Arial" w:cs="Arial" w:eastAsia="Arial" w:hAnsi="Arial"/>
                <w:sz w:val="16"/>
                <w:szCs w:val="16"/>
                <w:color w:val="auto"/>
              </w:rPr>
              <w:t>issued to pay employee payroll</w:t>
            </w:r>
          </w:p>
        </w:tc>
        <w:tc>
          <w:tcPr>
            <w:tcW w:w="3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40" w:type="dxa"/>
            <w:vAlign w:val="bottom"/>
            <w:vMerge w:val="restart"/>
          </w:tcPr>
          <w:p>
            <w:pPr>
              <w:ind w:left="7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tcPr>
          <w:p>
            <w:pPr>
              <w:ind w:left="120"/>
              <w:spacing w:after="0"/>
              <w:rPr>
                <w:sz w:val="20"/>
                <w:szCs w:val="20"/>
                <w:color w:val="auto"/>
              </w:rPr>
            </w:pPr>
            <w:r>
              <w:rPr>
                <w:rFonts w:ascii="Arial" w:cs="Arial" w:eastAsia="Arial" w:hAnsi="Arial"/>
                <w:sz w:val="16"/>
                <w:szCs w:val="16"/>
                <w:color w:val="auto"/>
              </w:rPr>
              <w:t>taxes</w:t>
            </w:r>
          </w:p>
        </w:tc>
        <w:tc>
          <w:tcPr>
            <w:tcW w:w="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380" w:type="dxa"/>
            <w:vAlign w:val="bottom"/>
            <w:gridSpan w:val="5"/>
          </w:tcPr>
          <w:p>
            <w:pPr>
              <w:ind w:left="5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18"/>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rPr>
              <w:t>paid-in</w:t>
            </w:r>
          </w:p>
        </w:tc>
        <w:tc>
          <w:tcPr>
            <w:tcW w:w="126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Accumulated</w:t>
            </w:r>
          </w:p>
        </w:tc>
        <w:tc>
          <w:tcPr>
            <w:tcW w:w="1220" w:type="dxa"/>
            <w:vAlign w:val="bottom"/>
            <w:gridSpan w:val="2"/>
            <w:vMerge w:val="restart"/>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48"/>
        </w:trPr>
        <w:tc>
          <w:tcPr>
            <w:tcW w:w="12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4"/>
                <w:szCs w:val="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deficit</w:t>
            </w:r>
          </w:p>
        </w:tc>
        <w:tc>
          <w:tcPr>
            <w:tcW w:w="240" w:type="dxa"/>
            <w:vAlign w:val="bottom"/>
          </w:tcPr>
          <w:p>
            <w:pPr>
              <w:spacing w:after="0"/>
              <w:rPr>
                <w:sz w:val="21"/>
                <w:szCs w:val="21"/>
                <w:color w:val="auto"/>
              </w:rPr>
            </w:pPr>
          </w:p>
        </w:tc>
        <w:tc>
          <w:tcPr>
            <w:tcW w:w="980" w:type="dxa"/>
            <w:vAlign w:val="bottom"/>
          </w:tcPr>
          <w:p>
            <w:pPr>
              <w:jc w:val="right"/>
              <w:ind w:right="258"/>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8"/>
        </w:trPr>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81,400,860</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142,515</w:t>
            </w:r>
          </w:p>
        </w:tc>
        <w:tc>
          <w:tcPr>
            <w:tcW w:w="8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(65,906)</w:t>
            </w:r>
          </w:p>
        </w:tc>
        <w:tc>
          <w:tcPr>
            <w:tcW w:w="80" w:type="dxa"/>
            <w:vAlign w:val="bottom"/>
          </w:tcPr>
          <w:p>
            <w:pPr>
              <w:spacing w:after="0"/>
              <w:rPr>
                <w:sz w:val="18"/>
                <w:szCs w:val="18"/>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76,615</w:t>
            </w:r>
          </w:p>
        </w:tc>
        <w:tc>
          <w:tcPr>
            <w:tcW w:w="0" w:type="dxa"/>
            <w:vAlign w:val="bottom"/>
          </w:tcPr>
          <w:p>
            <w:pPr>
              <w:spacing w:after="0"/>
              <w:rPr>
                <w:sz w:val="1"/>
                <w:szCs w:val="1"/>
                <w:color w:val="auto"/>
              </w:rPr>
            </w:pPr>
          </w:p>
        </w:tc>
      </w:tr>
      <w:tr>
        <w:trPr>
          <w:trHeight w:val="377"/>
        </w:trPr>
        <w:tc>
          <w:tcPr>
            <w:tcW w:w="1120" w:type="dxa"/>
            <w:vAlign w:val="bottom"/>
          </w:tcPr>
          <w:p>
            <w:pPr>
              <w:jc w:val="right"/>
              <w:spacing w:after="0"/>
              <w:rPr>
                <w:sz w:val="20"/>
                <w:szCs w:val="20"/>
                <w:color w:val="auto"/>
              </w:rPr>
            </w:pPr>
            <w:r>
              <w:rPr>
                <w:rFonts w:ascii="Arial" w:cs="Arial" w:eastAsia="Arial" w:hAnsi="Arial"/>
                <w:sz w:val="16"/>
                <w:szCs w:val="16"/>
                <w:color w:val="auto"/>
              </w:rPr>
              <w:t>478,547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378"/>
        </w:trPr>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14,719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(17,079)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294,397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3,672</w:t>
            </w:r>
          </w:p>
        </w:tc>
        <w:tc>
          <w:tcPr>
            <w:tcW w:w="0" w:type="dxa"/>
            <w:vAlign w:val="bottom"/>
          </w:tcPr>
          <w:p>
            <w:pPr>
              <w:spacing w:after="0"/>
              <w:rPr>
                <w:sz w:val="1"/>
                <w:szCs w:val="1"/>
                <w:color w:val="auto"/>
              </w:rPr>
            </w:pPr>
          </w:p>
        </w:tc>
      </w:tr>
      <w:tr>
        <w:trPr>
          <w:trHeight w:val="540"/>
        </w:trPr>
        <w:tc>
          <w:tcPr>
            <w:tcW w:w="1120" w:type="dxa"/>
            <w:vAlign w:val="bottom"/>
          </w:tcPr>
          <w:p>
            <w:pPr>
              <w:jc w:val="right"/>
              <w:spacing w:after="0"/>
              <w:rPr>
                <w:sz w:val="20"/>
                <w:szCs w:val="20"/>
                <w:color w:val="auto"/>
              </w:rPr>
            </w:pPr>
            <w:r>
              <w:rPr>
                <w:rFonts w:ascii="Arial" w:cs="Arial" w:eastAsia="Arial" w:hAnsi="Arial"/>
                <w:sz w:val="16"/>
                <w:szCs w:val="16"/>
                <w:color w:val="auto"/>
              </w:rPr>
              <w:t>1,268,026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0"/>
        </w:trPr>
        <w:tc>
          <w:tcPr>
            <w:tcW w:w="1120" w:type="dxa"/>
            <w:vAlign w:val="bottom"/>
          </w:tcPr>
          <w:p>
            <w:pPr>
              <w:jc w:val="right"/>
              <w:spacing w:after="0"/>
              <w:rPr>
                <w:sz w:val="20"/>
                <w:szCs w:val="20"/>
                <w:color w:val="auto"/>
              </w:rPr>
            </w:pPr>
            <w:r>
              <w:rPr>
                <w:rFonts w:ascii="Arial" w:cs="Arial" w:eastAsia="Arial" w:hAnsi="Arial"/>
                <w:sz w:val="16"/>
                <w:szCs w:val="16"/>
                <w:color w:val="auto"/>
              </w:rPr>
              <w:t>(411,023)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(599,080)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6"/>
        </w:trPr>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54,089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54,089</w:t>
            </w:r>
          </w:p>
        </w:tc>
        <w:tc>
          <w:tcPr>
            <w:tcW w:w="0" w:type="dxa"/>
            <w:vAlign w:val="bottom"/>
          </w:tcPr>
          <w:p>
            <w:pPr>
              <w:spacing w:after="0"/>
              <w:rPr>
                <w:sz w:val="1"/>
                <w:szCs w:val="1"/>
                <w:color w:val="auto"/>
              </w:rPr>
            </w:pPr>
          </w:p>
        </w:tc>
      </w:tr>
      <w:tr>
        <w:trPr>
          <w:trHeight w:val="217"/>
        </w:trPr>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(27,009)</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82,429,367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194,807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(97,573)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97,241</w:t>
            </w:r>
          </w:p>
        </w:tc>
        <w:tc>
          <w:tcPr>
            <w:tcW w:w="0" w:type="dxa"/>
            <w:vAlign w:val="bottom"/>
          </w:tcPr>
          <w:p>
            <w:pPr>
              <w:spacing w:after="0"/>
              <w:rPr>
                <w:sz w:val="1"/>
                <w:szCs w:val="1"/>
                <w:color w:val="auto"/>
              </w:rPr>
            </w:pPr>
          </w:p>
        </w:tc>
      </w:tr>
      <w:tr>
        <w:trPr>
          <w:trHeight w:val="357"/>
        </w:trPr>
        <w:tc>
          <w:tcPr>
            <w:tcW w:w="1120" w:type="dxa"/>
            <w:vAlign w:val="bottom"/>
          </w:tcPr>
          <w:p>
            <w:pPr>
              <w:jc w:val="right"/>
              <w:spacing w:after="0"/>
              <w:rPr>
                <w:sz w:val="20"/>
                <w:szCs w:val="20"/>
                <w:color w:val="auto"/>
              </w:rPr>
            </w:pPr>
            <w:r>
              <w:rPr>
                <w:rFonts w:ascii="Arial" w:cs="Arial" w:eastAsia="Arial" w:hAnsi="Arial"/>
                <w:sz w:val="16"/>
                <w:szCs w:val="16"/>
                <w:color w:val="auto"/>
              </w:rPr>
              <w:t>288,465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78"/>
        </w:trPr>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216"/>
        </w:trPr>
        <w:tc>
          <w:tcPr>
            <w:tcW w:w="1120" w:type="dxa"/>
            <w:vAlign w:val="bottom"/>
          </w:tcPr>
          <w:p>
            <w:pPr>
              <w:jc w:val="right"/>
              <w:spacing w:after="0"/>
              <w:rPr>
                <w:sz w:val="20"/>
                <w:szCs w:val="20"/>
                <w:color w:val="auto"/>
              </w:rPr>
            </w:pPr>
            <w:r>
              <w:rPr>
                <w:rFonts w:ascii="Arial" w:cs="Arial" w:eastAsia="Arial" w:hAnsi="Arial"/>
                <w:sz w:val="16"/>
                <w:szCs w:val="16"/>
                <w:color w:val="auto"/>
              </w:rPr>
              <w:t>18,144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(2,651)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120" w:type="dxa"/>
            <w:vAlign w:val="bottom"/>
          </w:tcPr>
          <w:p>
            <w:pPr>
              <w:jc w:val="right"/>
              <w:spacing w:after="0"/>
              <w:rPr>
                <w:sz w:val="20"/>
                <w:szCs w:val="20"/>
                <w:color w:val="auto"/>
              </w:rPr>
            </w:pPr>
            <w:r>
              <w:rPr>
                <w:rFonts w:ascii="Arial" w:cs="Arial" w:eastAsia="Arial" w:hAnsi="Arial"/>
                <w:sz w:val="16"/>
                <w:szCs w:val="16"/>
                <w:color w:val="auto"/>
              </w:rPr>
              <w:t>2,288,772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4,255</w:t>
            </w:r>
          </w:p>
        </w:tc>
        <w:tc>
          <w:tcPr>
            <w:tcW w:w="0" w:type="dxa"/>
            <w:vAlign w:val="bottom"/>
          </w:tcPr>
          <w:p>
            <w:pPr>
              <w:spacing w:after="0"/>
              <w:rPr>
                <w:sz w:val="1"/>
                <w:szCs w:val="1"/>
                <w:color w:val="auto"/>
              </w:rPr>
            </w:pPr>
          </w:p>
        </w:tc>
      </w:tr>
      <w:tr>
        <w:trPr>
          <w:trHeight w:val="540"/>
        </w:trPr>
        <w:tc>
          <w:tcPr>
            <w:tcW w:w="1120" w:type="dxa"/>
            <w:vAlign w:val="bottom"/>
          </w:tcPr>
          <w:p>
            <w:pPr>
              <w:jc w:val="right"/>
              <w:spacing w:after="0"/>
              <w:rPr>
                <w:sz w:val="20"/>
                <w:szCs w:val="20"/>
                <w:color w:val="auto"/>
              </w:rPr>
            </w:pPr>
            <w:r>
              <w:rPr>
                <w:rFonts w:ascii="Arial" w:cs="Arial" w:eastAsia="Arial" w:hAnsi="Arial"/>
                <w:sz w:val="16"/>
                <w:szCs w:val="16"/>
                <w:color w:val="auto"/>
              </w:rPr>
              <w:t>968,888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0"/>
        </w:trPr>
        <w:tc>
          <w:tcPr>
            <w:tcW w:w="1120" w:type="dxa"/>
            <w:vAlign w:val="bottom"/>
          </w:tcPr>
          <w:p>
            <w:pPr>
              <w:jc w:val="right"/>
              <w:spacing w:after="0"/>
              <w:rPr>
                <w:sz w:val="20"/>
                <w:szCs w:val="20"/>
                <w:color w:val="auto"/>
              </w:rPr>
            </w:pPr>
            <w:r>
              <w:rPr>
                <w:rFonts w:ascii="Arial" w:cs="Arial" w:eastAsia="Arial" w:hAnsi="Arial"/>
                <w:sz w:val="16"/>
                <w:szCs w:val="16"/>
                <w:color w:val="auto"/>
              </w:rPr>
              <w:t>(261,164)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980" w:space="180"/>
            <w:col w:w="6080"/>
          </w:cols>
          <w:pgMar w:left="320" w:top="121" w:right="339" w:bottom="1440" w:gutter="0" w:footer="0" w:header="0"/>
          <w:type w:val="continuous"/>
        </w:sect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ind w:left="60"/>
              <w:spacing w:after="0"/>
              <w:rPr>
                <w:sz w:val="20"/>
                <w:szCs w:val="20"/>
                <w:color w:val="auto"/>
              </w:rPr>
            </w:pPr>
            <w:r>
              <w:rPr>
                <w:rFonts w:ascii="Arial" w:cs="Arial" w:eastAsia="Arial" w:hAnsi="Arial"/>
                <w:sz w:val="16"/>
                <w:szCs w:val="16"/>
                <w:color w:val="auto"/>
              </w:rPr>
              <w:t>Repurchase and retirement of</w:t>
            </w:r>
          </w:p>
        </w:tc>
        <w:tc>
          <w:tcPr>
            <w:tcW w:w="118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6"/>
                <w:szCs w:val="16"/>
                <w:color w:val="auto"/>
              </w:rPr>
            </w:pPr>
          </w:p>
        </w:tc>
        <w:tc>
          <w:tcPr>
            <w:tcW w:w="72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(504,493)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(1,744)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5"/>
        </w:trPr>
        <w:tc>
          <w:tcPr>
            <w:tcW w:w="282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1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44,338</w:t>
            </w: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(41,456)</w:t>
            </w:r>
          </w:p>
        </w:tc>
        <w:tc>
          <w:tcPr>
            <w:tcW w:w="0" w:type="dxa"/>
            <w:vAlign w:val="bottom"/>
          </w:tcPr>
          <w:p>
            <w:pPr>
              <w:spacing w:after="0"/>
              <w:rPr>
                <w:sz w:val="1"/>
                <w:szCs w:val="1"/>
                <w:color w:val="auto"/>
              </w:rPr>
            </w:pPr>
          </w:p>
        </w:tc>
      </w:tr>
      <w:tr>
        <w:trPr>
          <w:trHeight w:val="210"/>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85,225,328</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241,509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(140,773)</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100,744</w:t>
            </w:r>
          </w:p>
        </w:tc>
        <w:tc>
          <w:tcPr>
            <w:tcW w:w="0" w:type="dxa"/>
            <w:vAlign w:val="bottom"/>
          </w:tcPr>
          <w:p>
            <w:pPr>
              <w:spacing w:after="0"/>
              <w:rPr>
                <w:sz w:val="1"/>
                <w:szCs w:val="1"/>
                <w:color w:val="auto"/>
              </w:rPr>
            </w:pPr>
          </w:p>
        </w:tc>
      </w:tr>
      <w:tr>
        <w:trPr>
          <w:trHeight w:val="142"/>
        </w:trPr>
        <w:tc>
          <w:tcPr>
            <w:tcW w:w="2820" w:type="dxa"/>
            <w:vAlign w:val="bottom"/>
          </w:tcPr>
          <w:p>
            <w:pPr>
              <w:ind w:left="60"/>
              <w:spacing w:after="0" w:line="142" w:lineRule="exact"/>
              <w:rPr>
                <w:sz w:val="20"/>
                <w:szCs w:val="20"/>
                <w:color w:val="auto"/>
              </w:rPr>
            </w:pPr>
            <w:r>
              <w:rPr>
                <w:rFonts w:ascii="Arial" w:cs="Arial" w:eastAsia="Arial" w:hAnsi="Arial"/>
                <w:sz w:val="16"/>
                <w:szCs w:val="16"/>
                <w:color w:val="auto"/>
              </w:rPr>
              <w:t>Issuance of common stock upon</w:t>
            </w: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line="162" w:lineRule="exact"/>
              <w:rPr>
                <w:sz w:val="20"/>
                <w:szCs w:val="20"/>
                <w:color w:val="auto"/>
              </w:rPr>
            </w:pPr>
            <w:r>
              <w:rPr>
                <w:rFonts w:ascii="Arial" w:cs="Arial" w:eastAsia="Arial" w:hAnsi="Arial"/>
                <w:sz w:val="16"/>
                <w:szCs w:val="16"/>
                <w:color w:val="auto"/>
              </w:rPr>
              <w:t>exercise of stock options, net of</w:t>
            </w:r>
          </w:p>
        </w:tc>
        <w:tc>
          <w:tcPr>
            <w:tcW w:w="118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72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1,915,660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15"/>
        </w:trPr>
        <w:tc>
          <w:tcPr>
            <w:tcW w:w="2820" w:type="dxa"/>
            <w:vAlign w:val="bottom"/>
          </w:tcPr>
          <w:p>
            <w:pPr>
              <w:ind w:left="140"/>
              <w:spacing w:after="0"/>
              <w:rPr>
                <w:sz w:val="20"/>
                <w:szCs w:val="20"/>
                <w:color w:val="auto"/>
              </w:rPr>
            </w:pPr>
            <w:r>
              <w:rPr>
                <w:rFonts w:ascii="Arial" w:cs="Arial" w:eastAsia="Arial" w:hAnsi="Arial"/>
                <w:sz w:val="16"/>
                <w:szCs w:val="16"/>
                <w:color w:val="auto"/>
              </w:rPr>
              <w:t>shares exchanged for payment</w:t>
            </w:r>
          </w:p>
        </w:tc>
        <w:tc>
          <w:tcPr>
            <w:tcW w:w="11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Vesting of early exercised stock</w:t>
            </w: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options</w:t>
            </w:r>
          </w:p>
        </w:tc>
        <w:tc>
          <w:tcPr>
            <w:tcW w:w="118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Issuance of restricted stock units</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35,808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Repurchases of early exercised stock</w:t>
            </w: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(32,954)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options</w:t>
            </w:r>
          </w:p>
        </w:tc>
        <w:tc>
          <w:tcPr>
            <w:tcW w:w="118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60"/>
              <w:spacing w:after="0" w:line="162" w:lineRule="exact"/>
              <w:rPr>
                <w:sz w:val="20"/>
                <w:szCs w:val="20"/>
                <w:color w:val="auto"/>
              </w:rPr>
            </w:pPr>
            <w:r>
              <w:rPr>
                <w:rFonts w:ascii="Arial" w:cs="Arial" w:eastAsia="Arial" w:hAnsi="Arial"/>
                <w:sz w:val="16"/>
                <w:szCs w:val="16"/>
                <w:color w:val="auto"/>
              </w:rPr>
              <w:t>Issuance of common stock under</w:t>
            </w:r>
          </w:p>
        </w:tc>
        <w:tc>
          <w:tcPr>
            <w:tcW w:w="118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72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4,084,514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4,091</w:t>
            </w:r>
          </w:p>
        </w:tc>
        <w:tc>
          <w:tcPr>
            <w:tcW w:w="0" w:type="dxa"/>
            <w:vAlign w:val="bottom"/>
          </w:tcPr>
          <w:p>
            <w:pPr>
              <w:spacing w:after="0"/>
              <w:rPr>
                <w:sz w:val="1"/>
                <w:szCs w:val="1"/>
                <w:color w:val="auto"/>
              </w:rPr>
            </w:pPr>
          </w:p>
        </w:tc>
      </w:tr>
      <w:tr>
        <w:trPr>
          <w:trHeight w:val="215"/>
        </w:trPr>
        <w:tc>
          <w:tcPr>
            <w:tcW w:w="2820" w:type="dxa"/>
            <w:vAlign w:val="bottom"/>
          </w:tcPr>
          <w:p>
            <w:pPr>
              <w:ind w:left="140"/>
              <w:spacing w:after="0"/>
              <w:rPr>
                <w:sz w:val="20"/>
                <w:szCs w:val="20"/>
                <w:color w:val="auto"/>
              </w:rPr>
            </w:pPr>
            <w:r>
              <w:rPr>
                <w:rFonts w:ascii="Arial" w:cs="Arial" w:eastAsia="Arial" w:hAnsi="Arial"/>
                <w:sz w:val="16"/>
                <w:szCs w:val="16"/>
                <w:color w:val="auto"/>
              </w:rPr>
              <w:t>Matching Plan</w:t>
            </w:r>
          </w:p>
        </w:tc>
        <w:tc>
          <w:tcPr>
            <w:tcW w:w="11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Issuance of common stock in</w:t>
            </w: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connection with restricted stock units</w:t>
            </w: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1,441,804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vesting</w:t>
            </w:r>
          </w:p>
        </w:tc>
        <w:tc>
          <w:tcPr>
            <w:tcW w:w="118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60"/>
              <w:spacing w:after="0" w:line="162" w:lineRule="exact"/>
              <w:rPr>
                <w:sz w:val="20"/>
                <w:szCs w:val="20"/>
                <w:color w:val="auto"/>
              </w:rPr>
            </w:pPr>
            <w:r>
              <w:rPr>
                <w:rFonts w:ascii="Arial" w:cs="Arial" w:eastAsia="Arial" w:hAnsi="Arial"/>
                <w:sz w:val="16"/>
                <w:szCs w:val="16"/>
                <w:color w:val="auto"/>
              </w:rPr>
              <w:t>Shares withheld from common stock</w:t>
            </w:r>
          </w:p>
        </w:tc>
        <w:tc>
          <w:tcPr>
            <w:tcW w:w="1180" w:type="dxa"/>
            <w:vAlign w:val="bottom"/>
            <w:gridSpan w:val="2"/>
            <w:vMerge w:val="restart"/>
          </w:tcPr>
          <w:p>
            <w:pPr>
              <w:ind w:left="8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4"/>
                <w:szCs w:val="14"/>
                <w:color w:val="auto"/>
              </w:rPr>
            </w:pPr>
          </w:p>
        </w:tc>
        <w:tc>
          <w:tcPr>
            <w:tcW w:w="720" w:type="dxa"/>
            <w:vAlign w:val="bottom"/>
            <w:tcBorders>
              <w:right w:val="single" w:sz="8" w:color="auto"/>
            </w:tcBorders>
            <w:gridSpan w:val="2"/>
            <w:vMerge w:val="restart"/>
          </w:tcPr>
          <w:p>
            <w:pPr>
              <w:ind w:left="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(647,457)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(2,179)</w:t>
            </w:r>
          </w:p>
        </w:tc>
        <w:tc>
          <w:tcPr>
            <w:tcW w:w="0" w:type="dxa"/>
            <w:vAlign w:val="bottom"/>
          </w:tcPr>
          <w:p>
            <w:pPr>
              <w:spacing w:after="0"/>
              <w:rPr>
                <w:sz w:val="1"/>
                <w:szCs w:val="1"/>
                <w:color w:val="auto"/>
              </w:rPr>
            </w:pPr>
          </w:p>
        </w:tc>
      </w:tr>
      <w:tr>
        <w:trPr>
          <w:trHeight w:val="215"/>
        </w:trPr>
        <w:tc>
          <w:tcPr>
            <w:tcW w:w="2820" w:type="dxa"/>
            <w:vAlign w:val="bottom"/>
          </w:tcPr>
          <w:p>
            <w:pPr>
              <w:ind w:left="140"/>
              <w:spacing w:after="0"/>
              <w:rPr>
                <w:sz w:val="20"/>
                <w:szCs w:val="20"/>
                <w:color w:val="auto"/>
              </w:rPr>
            </w:pPr>
            <w:r>
              <w:rPr>
                <w:rFonts w:ascii="Arial" w:cs="Arial" w:eastAsia="Arial" w:hAnsi="Arial"/>
                <w:sz w:val="16"/>
                <w:szCs w:val="16"/>
                <w:color w:val="auto"/>
              </w:rPr>
              <w:t>issued to pay employee payroll taxes</w:t>
            </w:r>
          </w:p>
        </w:tc>
        <w:tc>
          <w:tcPr>
            <w:tcW w:w="11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Repurchase and retirement of</w:t>
            </w: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(645,938)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1180" w:type="dxa"/>
            <w:vAlign w:val="bottom"/>
            <w:gridSpan w:val="2"/>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60"/>
              <w:spacing w:after="0"/>
              <w:rPr>
                <w:sz w:val="20"/>
                <w:szCs w:val="20"/>
                <w:color w:val="auto"/>
              </w:rPr>
            </w:pPr>
            <w:r>
              <w:rPr>
                <w:rFonts w:ascii="Arial" w:cs="Arial" w:eastAsia="Arial" w:hAnsi="Arial"/>
                <w:sz w:val="16"/>
                <w:szCs w:val="16"/>
                <w:color w:val="auto"/>
              </w:rPr>
              <w:t>Stock-based compensation</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20" w:type="dxa"/>
            <w:vAlign w:val="bottom"/>
            <w:tcBorders>
              <w:right w:val="single" w:sz="8" w:color="auto"/>
            </w:tcBorders>
            <w:gridSpan w:val="2"/>
          </w:tcPr>
          <w:p>
            <w:pPr>
              <w:ind w:left="3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36,225</w:t>
            </w:r>
          </w:p>
        </w:tc>
        <w:tc>
          <w:tcPr>
            <w:tcW w:w="0" w:type="dxa"/>
            <w:vAlign w:val="bottom"/>
          </w:tcPr>
          <w:p>
            <w:pPr>
              <w:spacing w:after="0"/>
              <w:rPr>
                <w:sz w:val="1"/>
                <w:szCs w:val="1"/>
                <w:color w:val="auto"/>
              </w:rPr>
            </w:pPr>
          </w:p>
        </w:tc>
      </w:tr>
      <w:tr>
        <w:trPr>
          <w:trHeight w:val="217"/>
        </w:trPr>
        <w:tc>
          <w:tcPr>
            <w:tcW w:w="2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loss</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(10,055)</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6"/>
                <w:szCs w:val="16"/>
                <w:color w:val="auto"/>
              </w:rPr>
              <w:t>Balance at December 31, 2024</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91,376,765</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279,062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(150,828)</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128,243</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3400" w:type="dxa"/>
            <w:vAlign w:val="bottom"/>
            <w:tcBorders>
              <w:top w:val="single" w:sz="8" w:color="auto"/>
              <w:bottom w:val="single" w:sz="8" w:color="auto"/>
            </w:tcBorders>
            <w:gridSpan w:val="6"/>
          </w:tcPr>
          <w:p>
            <w:pPr>
              <w:jc w:val="right"/>
              <w:ind w:right="99"/>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top w:val="single" w:sz="8" w:color="auto"/>
              <w:bottom w:val="single" w:sz="8" w:color="auto"/>
            </w:tcBorders>
          </w:tcPr>
          <w:p>
            <w:pPr>
              <w:spacing w:after="0"/>
              <w:rPr>
                <w:sz w:val="22"/>
                <w:szCs w:val="22"/>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b w:val="1"/>
                <w:bCs w:val="1"/>
                <w:color w:val="auto"/>
              </w:rPr>
              <w:t>2022</w:t>
            </w: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(10,055)</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(41,456)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(27,009)</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cash provided by operating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5,388</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 of operating lease right-of-use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Loss on impairment, receivables and sale or disposal of equipment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52,332</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Amortization of original issue discount and debt issuance costs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net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Settlement assets, net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(7,796)</w:t>
            </w: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w:t>
            </w: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Related party loan receivable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w:t>
            </w: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(5,130)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w:t>
            </w: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(1,537)</w:t>
            </w: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Settlement liabilities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12,202</w:t>
            </w: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w:t>
            </w: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32,876</w:t>
            </w:r>
          </w:p>
        </w:tc>
      </w:tr>
      <w:tr>
        <w:trPr>
          <w:trHeight w:val="19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or disposal of property and equipment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Software development costs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(2,199)</w:t>
            </w:r>
          </w:p>
        </w:tc>
      </w:tr>
      <w:tr>
        <w:trPr>
          <w:trHeight w:val="195"/>
        </w:trPr>
        <w:tc>
          <w:tcPr>
            <w:tcW w:w="63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of finance leases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Principal payments of outstanding debt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(44,587)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early exercises of common stock</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Proceeds from common stock purchased under Matching Plan</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4,091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3,672</w:t>
            </w: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on exercise of stock options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Payments for debt issuance costs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employee taxes withheld from stock-based awards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(5,336)</w:t>
            </w:r>
          </w:p>
        </w:tc>
      </w:tr>
      <w:tr>
        <w:trPr>
          <w:trHeight w:val="215"/>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Repurchase and retirement of common stock</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(22,073)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(45,317)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(8,282)</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2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5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(5,824)</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(51,052)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22,395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beginning of period</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96,658</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147,710</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125,315</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90,834</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96,658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147,710</w:t>
            </w: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1,362</w:t>
            </w:r>
          </w:p>
        </w:tc>
        <w:tc>
          <w:tcPr>
            <w:tcW w:w="8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5,936</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3,912</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Noncash investing and financing items:</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capitalized as software development costs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162"/>
        </w:trPr>
        <w:tc>
          <w:tcPr>
            <w:tcW w:w="6320" w:type="dxa"/>
            <w:vAlign w:val="bottom"/>
          </w:tcPr>
          <w:p>
            <w:pPr>
              <w:ind w:left="140"/>
              <w:spacing w:after="0" w:line="162" w:lineRule="exact"/>
              <w:rPr>
                <w:sz w:val="20"/>
                <w:szCs w:val="20"/>
                <w:color w:val="auto"/>
              </w:rPr>
            </w:pPr>
            <w:r>
              <w:rPr>
                <w:rFonts w:ascii="Arial" w:cs="Arial" w:eastAsia="Arial" w:hAnsi="Arial"/>
                <w:sz w:val="16"/>
                <w:szCs w:val="16"/>
                <w:color w:val="auto"/>
              </w:rPr>
              <w:t>Purchases of property and equipment and capitalized software in accounts payable</w:t>
            </w:r>
          </w:p>
        </w:tc>
        <w:tc>
          <w:tcPr>
            <w:tcW w:w="560" w:type="dxa"/>
            <w:vAlign w:val="bottom"/>
            <w:vMerge w:val="restart"/>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4"/>
                <w:szCs w:val="14"/>
                <w:color w:val="auto"/>
              </w:rPr>
            </w:pPr>
          </w:p>
        </w:tc>
        <w:tc>
          <w:tcPr>
            <w:tcW w:w="520" w:type="dxa"/>
            <w:vAlign w:val="bottom"/>
            <w:vMerge w:val="restart"/>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4"/>
                <w:szCs w:val="14"/>
                <w:color w:val="auto"/>
              </w:rPr>
            </w:pPr>
          </w:p>
        </w:tc>
        <w:tc>
          <w:tcPr>
            <w:tcW w:w="52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320" w:type="dxa"/>
            <w:vAlign w:val="bottom"/>
          </w:tcPr>
          <w:p>
            <w:pPr>
              <w:ind w:left="300"/>
              <w:spacing w:after="0"/>
              <w:rPr>
                <w:sz w:val="20"/>
                <w:szCs w:val="20"/>
                <w:color w:val="auto"/>
              </w:rPr>
            </w:pPr>
            <w:r>
              <w:rPr>
                <w:rFonts w:ascii="Arial" w:cs="Arial" w:eastAsia="Arial" w:hAnsi="Arial"/>
                <w:sz w:val="16"/>
                <w:szCs w:val="16"/>
                <w:color w:val="auto"/>
              </w:rPr>
              <w:t>and accrued expenses</w:t>
            </w:r>
          </w:p>
        </w:tc>
        <w:tc>
          <w:tcPr>
            <w:tcW w:w="5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Right-of-use assets acquired through operating leases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Right-of-use assets acquired through finance leases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Cashless exercise of stock options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line="162" w:lineRule="exact"/>
              <w:rPr>
                <w:sz w:val="20"/>
                <w:szCs w:val="20"/>
                <w:color w:val="auto"/>
              </w:rPr>
            </w:pPr>
            <w:r>
              <w:rPr>
                <w:rFonts w:ascii="Arial" w:cs="Arial" w:eastAsia="Arial" w:hAnsi="Arial"/>
                <w:sz w:val="16"/>
                <w:szCs w:val="16"/>
                <w:color w:val="auto"/>
              </w:rPr>
              <w:t>Reconciliation of cash and cash equivalents and restricted cash to the Consolidated</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320" w:type="dxa"/>
            <w:vAlign w:val="bottom"/>
          </w:tcPr>
          <w:p>
            <w:pPr>
              <w:ind w:left="180"/>
              <w:spacing w:after="0"/>
              <w:rPr>
                <w:sz w:val="20"/>
                <w:szCs w:val="20"/>
                <w:color w:val="auto"/>
              </w:rPr>
            </w:pPr>
            <w:r>
              <w:rPr>
                <w:rFonts w:ascii="Arial" w:cs="Arial" w:eastAsia="Arial" w:hAnsi="Arial"/>
                <w:sz w:val="16"/>
                <w:szCs w:val="16"/>
                <w:color w:val="auto"/>
              </w:rPr>
              <w:t>Balance Sheets:</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47,510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103,787</w:t>
            </w:r>
          </w:p>
        </w:tc>
        <w:tc>
          <w:tcPr>
            <w:tcW w:w="0" w:type="dxa"/>
            <w:vAlign w:val="bottom"/>
          </w:tcPr>
          <w:p>
            <w:pPr>
              <w:spacing w:after="0"/>
              <w:rPr>
                <w:sz w:val="1"/>
                <w:szCs w:val="1"/>
                <w:color w:val="auto"/>
              </w:rPr>
            </w:pPr>
          </w:p>
        </w:tc>
      </w:tr>
      <w:tr>
        <w:trPr>
          <w:trHeight w:val="215"/>
        </w:trPr>
        <w:tc>
          <w:tcPr>
            <w:tcW w:w="6320" w:type="dxa"/>
            <w:vAlign w:val="bottom"/>
          </w:tcPr>
          <w:p>
            <w:pPr>
              <w:ind w:left="140"/>
              <w:spacing w:after="0"/>
              <w:rPr>
                <w:sz w:val="20"/>
                <w:szCs w:val="20"/>
                <w:color w:val="auto"/>
              </w:rPr>
            </w:pPr>
            <w:r>
              <w:rPr>
                <w:rFonts w:ascii="Arial" w:cs="Arial" w:eastAsia="Arial" w:hAnsi="Arial"/>
                <w:sz w:val="16"/>
                <w:szCs w:val="16"/>
                <w:color w:val="auto"/>
              </w:rPr>
              <w:t>Restricted cash included in other current assets</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19,980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27,742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19,542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included in settlement assets, net</w:t>
            </w:r>
          </w:p>
        </w:tc>
        <w:tc>
          <w:tcPr>
            <w:tcW w:w="5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22,082</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24,381</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Total cash and cash equivalents and restricted cash</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90,834</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96,658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147,710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1 – DESCRIPTION OF BUSINESS AND BASIS OF PRESENTATION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a license arrangement and offers unique pricing options for small and midsized businesses and enterprises on a per-active-member basis. Expensify has subsidiaries in the United States ("U.S."), Australia, Canada, Netherlands and United Kingdom ("UK").</w:t>
      </w:r>
    </w:p>
    <w:p>
      <w:pPr>
        <w:spacing w:after="0" w:line="10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Expensify also offers an Expensify charge card ("Expensify Card"), which is primarily distributed to corporate customers in the U.S. that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1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year ended December 31, 2024, the Expensify Card consisted of two card programs operating concurrently. Under the original Expensify Card program launched in 2020 (the “Legacy Card Program”), Expensify has an agreement with the payment processor, Marqeta, Inc. ("Marqeta"), and relies on Marqeta to manage the relationship with the issuing bank, Sutton Bank, and the card network, Visa, in authorizing and settling transactions. In October 2023, Expensify augmented the Expensify Card program by entering into an agreement with a new issuing bank, The Bancorp Bank, N.A. ("Bancorp"), to issue Expensify Cards to customers and authorize and settle transactions on the Visa card network (the “Updated Card Program”). The Updated Card Program launched in February 2024 and all new Expensify Cards issued subsequent to the launch of the Updated Card Program operate under that program. As of December 31, 2024, the transition of cardholders from the Legacy Card Program to the Updated Card Program was substantially complete.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Expensify and its wholly-owned subsidiaries, and Expensify.org (collectively, the "Company") and have been prepared in accordance with U.S. generally accepted accounting principles ("GAAP"). All intercompany transactions and balances have been eliminated in consolidation.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 Presentation</w:t>
      </w:r>
    </w:p>
    <w:p>
      <w:pPr>
        <w:spacing w:after="0" w:line="15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Certain prior period amounts have been reclassified for consistency with the current period presentation. These reclassifications had no effect on the reported results of financial position, operations and cash flows.</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2 –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at the date of the consolidated financial statements and the reported amounts of revenues and expenses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reporting period. Estimates and judgments are based on historical experience, forecasted events and various other assumptions that the Company believes to be reasonable under the circumstances. Estimates and judgments may differ under different assumptions or conditions. Estimates and judgments are evaluated on an ongoing basis. Actual results could differ from those estimates. Changes in estimates are recorded in the period in which they become known.</w:t>
      </w:r>
    </w:p>
    <w:p>
      <w:pPr>
        <w:spacing w:after="0" w:line="9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Estimates and assumptions by management affect the Company’s classification of employee and employee-related expenses, the useful lives and recoverability of long-lived assets and deferred contract acquisition costs, income taxes, capitalization of internal-use software costs, stock-based compensation and the Company's incremental borrowing rate utilized to measure its lease right-of-use ("ROU") assets and lease liabilities.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uses the U.S. dollar as its functional currency. Foreign currency assets and liabilities are remeasured into the U.S. dollar at the end-of-period exchange rates except for prepaid expenses, property and equipment and related depreciation and amortization, and lease ROU assets and related amortization, which are remeasured at the historical exchange rates. Revenues and expenses are remeasured at average exchange rates in effect during each period. Gains or losses from foreign currency transactions are included within Interest and other expenses, net on the Consolidated Statements of Operations .</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consists of funds deposited with banks. The Company considers all highly liquid investments with an original maturity of three months or less at the date of purchase to be cash equivalents. The recorded carrying amount of cash equivalents, which is cost plus accrued interest, if any, approximates fair value. As of December 31, 2024 and 2023, the Company had no cash equivalents.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4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Restricted cash primarily includes Expensify Card collateral for funds held for customers, cash held by Expensify.org for social justice and equity efforts of Expensify.org, and earned interchange held for the benefit of the Company until released by the issuing bank. Refer to Note 6 for the breakout of these amounts within Other current assets as of December 31, 2024 and 2023.</w:t>
      </w:r>
    </w:p>
    <w:p>
      <w:pPr>
        <w:spacing w:after="0" w:line="103"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Restricted cash also includes amounts within Settlement assets, net for funds held for customers that are deposited into a commercial bank account held by the Company for the benefit of the customers until remitted to the customer's members. Refer to the Settlement assets, net and liabilities policy note below for further detail.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Expected Credit Losses</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Accounts receivable are recorded at the invoiced amount, net of an allowance for expected credit losses. The allowance for expected credit losses is based on the Company’s assessment of the collectability of the accounts receivable. Management considers the following factors when determining the collectability of specific customer accounts: customer creditworthiness, past transaction history with the customer, current economic industry trends and changes in customer payment terms. The Company recorded an immaterial allowance for expected credit losses as of December 31, 2024 and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and accounts receivable. Cash and cash equivalents are deposited with federally insured commercial banks in the United States that may at times exceed federally insured limits. Management believes that these financial institutions are financially sound, and the Company has not experienced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material losses to date. The Company generally does not require collateral or other security in support of accounts receivable except for the restricted cash accounts discussed in the Restricted Cash policy note above. No customer represented 10% or more of revenue during the years ended December 31, 2024, 2023 and 2022. In addition, there were no customers representing 10% or more of accounts receivable as of December 31, 2024 and 2023.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Net and Liabilities and Allowance for Expected Credit Losses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an approved request for expense reimbursement from customers, the Company initiates a transaction facilitated by a third-party vendor to collect funds from customers that are deposited into a commercial bank account held by the Company for the benefit of the customers until remitted to the customer’s members after a clearing period of up to three business days. The Company records a settlement receivable upon approval of the expense reimbursement until funds are cleared in the Company’s commercial bank account. A corresponding liability is recorded upon approval of the expense reimbursement until funds are remitted from the Company’s commercial bank account to the customer’s members.</w:t>
      </w:r>
    </w:p>
    <w:p>
      <w:pPr>
        <w:spacing w:after="0" w:line="1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customer transactions incurred through the Expensify Card, the Company initiates a transaction facilitated by a third-party vendor to collect funds from customers that are deposited into a commercial bank account held by the Company until remitted to the issuing bank the next business day. The majority of customers settle Expensify Card transactions on a daily basis while certain customers settle Expensify Card transactions on a monthly basis. The Company records a settlement receivable for Expensify Card transactions until funds are cleared in the Company’s commercial bank account. A corresponding liability is recorded until funds are remitted from the Company’s commercial bank account to the issuing bank.</w:t>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Settlement receivables are recorded net of an allowance for expected credit losses. The allowance for expected credit losses is based on the Company’s assessment of the collectability of the settlement receivables. Management considers the following factors when determining the collectability of specific customer accounts: customer creditworthiness, past transaction history with the customer, current economic industry trends and changes in customer settlement terms. The Company recorded a $0.1 million allowance for expected credit losses as of December 31, 2024 and an immaterial allowance for expected credit losses as of December 31, 2023. During the years ended December 31, 2024, 2023 and 2022, the Company recorded credit losses of $0.3 million, $2.2 million and $1.5 million, respectively, net of recoveries of $0.8 million, $0.3 million, and $0.5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determines if an arrangement is or contains a lease at inception by evaluating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Operating and finance leases are included in Lease right-of-use assets, Lease liabilities, current and Lease liabilities, non-current on the Consolidated Balance Sheets. Right-of-use ("ROU") assets represent the Company’s right to use an underlying asset for the lease term and lease liabilities represent the Company’s obligation to make lease payments arising from the lease. Operating and finance lease ROU assets and liabilities are recognized at commencement date based on the present value of future minimum lease payments over the lease term. The Company uses rates implicit in the lease, or if not readily available, its incremental borrowing rate, to calculate its ROU assets and liabilities. The operating and finance lease ROU assets also include any lease payments made before commencement and exclude lease incentives.</w:t>
      </w:r>
    </w:p>
    <w:p>
      <w:pPr>
        <w:spacing w:after="0" w:line="10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lease terms may include options to extend or terminate the lease, and the Company includes those options in the lease terms when it is reasonably certain it will exercise them. Lease expense for operating lease payments is recognized on a straight-line basis over the lease term.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expense for finance lease payments is recognized on a straight-line basis over the lesser of the lease term or the estimated useful life of the asset. The Company made the policy election to account for short-term leases by recognizing the lease payments in the Consolidated Statements of Operations on a straight-line basis over the lease term rather than recognizing these leases on the Company’s Consolidated Balance Sheets. Variable lease payments are recognized in the Consolidated Statements of Operations in the period in which the obligation for those payments is incurred. The Company has real estate and data center equipment lease agreements with lease and non-lease components for which the Company has made the accounting policy election to account for these agreements as a single lease component. Modifications are assessed to determine whether incremental differences result in new contract terms to be accounted for as a new lease or whether the additional right-of-use should be included in the original lease and continue to be accounted with the remaining ROU asset.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5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Property and equipment, net are stated at cost, less accumulated depreciation and amortization. Depreciation and amortization are computed using the straight-line method over the estimated useful lives of the respective assets, typically three years for computer equipment, five years for furniture and fixtures and thirty years for buildings. Land has an indefinite useful life and is not depreciated. Leasehold improvements are amortized over the lesser of the lease term or the estimated useful life of the asset. Expenditures for repairs and maintenance are charged to expense as incurred. Upon disposal, the cost and related accumulated depreciation and amortization are removed from the Consolidated Balance Sheets and the resulting gain or loss is reflected in the Consolidated Statements of Operations. Gains or losses from disposition of property and equipment for each of the years ended December 31, 2024, 2023 and 2022 have been immaterial.</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Construction in progress is stated at cost, which includes the cost of construction and other direct costs attributable to the construction. No depreciation is recorded for construction in progress until the relevant assets are completed and put into use. Construction in progress as of December 31, 2024 and 2023 represents leasehold improvements under installation.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 Costs, Net</w:t>
      </w:r>
    </w:p>
    <w:p>
      <w:pPr>
        <w:spacing w:after="0" w:line="15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capitalizes internal and external costs directly related to obtaining or developing internal-use software during the application development stage of the projects. Additionally, the Company capitalizes qualifying costs incurred for upgrades and enhancements that result in additional functionality to existing software. Maintenance activities or minor upgrades are expensed in the period performed. The Company's internal-use software is reported at cost less accumulated amortization. Amortization begins once the project is ready for its intended use, which is usually when the software code goes into production. The Company amortizes the asset on a straight-line basis over a period of three years, which is the estimated useful life. During the years ended December 31, 2024, 2023 and 2022, the Company capitalized $10.4 million, $9.4 million and $3.4 million, respectively, in software development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Long-lived assets, primarily capitalized software development costs, property and equipment and lease right-of-use assets, are evaluated for impairment when events or changes in circumstances indicate that the carrying amount of the asset may not be recoverable. When indications of impairment are present and the estimated undiscounted future cash flows from the use of the asset are less than the asset's carrying value, the related asset will be written down to fair value. Any impairment losses are included in the same financial statement caption as the related depreciation and amortization for the respective asset class on the Consolidated Statements of Operations. Impairment losses on long-lived assets were immaterial for each of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 Company generates revenue from subscription fees paid by its customers to access and use the Company’s hosted software services, as well as standard customer support. Revenue is recognized when control of the promised goods or services is transferred to customers in an amount that reflects the consideration the Company expects to be entitled to receive in exchange for those goods or services. Revenue is recognized net of applicable taxes imposed on the related transaction.</w:t>
      </w:r>
    </w:p>
    <w:p>
      <w:pPr>
        <w:spacing w:after="0" w:line="1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contracts are either month-to-month arrangements billed monthly in arrears based on a specified number of members or annual arrangements billed monthly in arrears based on a minimum number of monthly members, with typical payment terms being 30 days. Month-to-month contracts can be terminated by either party at any time without penalty. Annual subscription customers who wish to terminate their contracts before the end of the term are required to pay the remaining obligation in full plus any fees or penalties set forth in the agreement.</w:t>
      </w:r>
    </w:p>
    <w:p>
      <w:pPr>
        <w:spacing w:after="0" w:line="11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charges its customers subscription fees for access to its platform based on the number of monthly members and level of service. The contractual price per member is based on either negotiated fees or rates published on the Company’s website. The Company’s contracts with customers include two performance obligations: access to the hosted software service ("SaaS"), inclusive of all features available within the platform, and related customer support. The SaaS and the support are accounted for as a combined performance obligation because they have the same pattern of transfer over the same period and, therefore, are delivered concurrently. The Company satisfies its performance obligation over time each month as it provides the SaaS and support services to customers and, as such, generally recognizes revenue monthly based on the number of monthly members and contractual rate per member.</w:t>
      </w:r>
    </w:p>
    <w:p>
      <w:pPr>
        <w:spacing w:after="0" w:line="1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Certain annual contracts provide the customer the option to increase the minimum number of members and extend the contract term on a prospective basis or to purchase members beyond the minimum contracted number of members at a higher rate for a particular month. These options are accounted for when the customer exercises the option as they do not represent a material right and are accounted for as a contract modification.</w:t>
      </w:r>
    </w:p>
    <w:p>
      <w:pPr>
        <w:spacing w:after="0" w:line="1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Updated Card Program, the Company generates revenue from the authorization and settlement of Expensify Card transactions and is contractually entitled to all interchange generated on Expensify Card transactions based on its agreement with the issuing bank. The Company has a stand-ready performance obligation to customers to provide card program management services as part of its SaaS offering, which includes card transaction authorization and settlement services. Interchange fees earned by the Company represent variable consideration. The Company satisfies its performance obligation daily as transactions are authorized and settled, with customers simultaneously receiving and consuming the benefits of these services. Accordingly, interchange fees earned for transactions settled on a given day are recognized as revenue on that day. Based on the Company's agreements with the payment processor and issuing bank, the Company controls the services provided to customers and is the principal in the transaction. As such, the Company recognizes interchange as revenue on a gross basis within Revenue on the accompanying Consolidated Statements of Operations. Interchange revenue was $9.2 million for the year ended December 31, 2024.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Contract Acquisition Costs</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Sales commissions that are incremental costs of the acquisition of contracts with customers are capitalized. These costs are recorded as deferred contract acquisition costs within Other current assets and Other assets on the Consolidated Balance Sheets. The Company determines whether costs should be deferred when the costs are incremental and would not have occurred if the customer contract had not been obtained. The deferred commission amounts are recoverable through future revenue from our customer contracts, all of which are non-cancelable. The Company started paying sales commissions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Commissions paid upon the acquisition of an initial contract are amortized over an estimated period of benefit which has been determined to be three years based on historical analysis of average customer life, industry benchmarks, and useful life of our product offerings. Amortization is recognized on a straight-line basis and included within Sales and marketing on the Consolidated Statements of Operations. The Company periodically reviews these deferred costs to determine whether events or changes in circumstances have occurred that could impact the period of benefit. The Company did not recognize any impairment of deferred contract acquisition costs during the periods presented.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00" w:type="dxa"/>
            <w:vAlign w:val="bottom"/>
          </w:tcPr>
          <w:p>
            <w:pPr>
              <w:spacing w:after="0"/>
              <w:rPr>
                <w:sz w:val="20"/>
                <w:szCs w:val="20"/>
                <w:color w:val="auto"/>
              </w:rPr>
            </w:pPr>
            <w:r>
              <w:rPr>
                <w:rFonts w:ascii="Arial" w:cs="Arial" w:eastAsia="Arial" w:hAnsi="Arial"/>
                <w:sz w:val="18"/>
                <w:szCs w:val="18"/>
                <w:color w:val="auto"/>
              </w:rPr>
              <w:t>The following table presents the change in deferred contract acquisition costs (in thousands):</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1"/>
        </w:trPr>
        <w:tc>
          <w:tcPr>
            <w:tcW w:w="80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5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8000" w:type="dxa"/>
            <w:vAlign w:val="bottom"/>
          </w:tcPr>
          <w:p>
            <w:pPr>
              <w:ind w:left="20"/>
              <w:spacing w:after="0"/>
              <w:rPr>
                <w:sz w:val="20"/>
                <w:szCs w:val="20"/>
                <w:color w:val="auto"/>
              </w:rPr>
            </w:pPr>
            <w:r>
              <w:rPr>
                <w:rFonts w:ascii="Arial" w:cs="Arial" w:eastAsia="Arial" w:hAnsi="Arial"/>
                <w:sz w:val="18"/>
                <w:szCs w:val="18"/>
                <w:color w:val="auto"/>
              </w:rPr>
              <w:t>Added during the year</w:t>
            </w:r>
          </w:p>
        </w:tc>
        <w:tc>
          <w:tcPr>
            <w:tcW w:w="106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629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6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Amortized during the year</w:t>
            </w:r>
          </w:p>
        </w:tc>
        <w:tc>
          <w:tcPr>
            <w:tcW w:w="10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(222)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1"/>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August 2021, the Company began offering a cashback rewards program to all customers based on volume of Expensify Card transactions. Cashback rewards are earned on a monthly basis and are applied against outstanding customer receivables or are paid out the following month. The Company considers cashback rewards as consideration payable to a customer and it is recorded as contra revenue within Revenue on the Consolidated Statements of Operations. Cashback rewards are impacted over time by the volume of customer spend. Cashback rewards liability was $ 0.5 million and $0.9 million as of December 31, 2024 and 2023, respectively, and is recorded within Accrued expenses and other liabilities on the Consolidated Balance Sheets. Cashback rewards offset against outstanding customer receivables were $0.3 million and $0.2 million as of December 31, 2024 and 2023, respectively, and are reflected as a reduction to Accounts receivable, net on the Consolidated Balance Sheets. The cashback rewards cost was $8.9 million, $7.0 million and $2.8 million for the years ended December 31, 2024, 2023 and 2022,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accounts for stock-based compensation under the fair value recognition and measurement provisions of GAAP. Those provisions require all stock-based awards granted to employees, including stock options and restricted stock units, to be measured based on fair value at the date of grant, with the resulting expense generally recognized in the Consolidated Statements of Operations over the period during which the employee is required to perform service in exchange for the award.</w:t>
      </w:r>
    </w:p>
    <w:p>
      <w:pPr>
        <w:spacing w:after="0" w:line="10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utilizes the Black-Scholes option pricing model to determine the estimated fair value of stock options. The Company recognizes stock-based compensation costs on a straight-line basis over the requisite service period of the award, which is generally the option vesting term of four years. Forfeitures are recorded as they occur.</w:t>
      </w:r>
    </w:p>
    <w:p>
      <w:pPr>
        <w:spacing w:after="0" w:line="1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fair value of the Company’s underlying common stock is determined by the closing price, on the date of grant, of its Class A common stock, which is traded on the Nasdaq Global Select Market. All restricted stock units ("RSUs") granted to employees, consultants and directors (collectively, "Service Providers") are recognized on a straight-line basis over the requisite service period of the award. The Company will grant RSUs to non-employee directors on an annual basis at each annual stockholders' meeting that will be recognized on a straight-line basis over the requisite service period of the award, which is one year. Furthermore, RSUs will be granted to non-employee directors on a quarterly basis as a retainer for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services, which will be recognized on a straight-line basis over the requisite service period of the award, which is three months.</w:t>
      </w:r>
    </w:p>
    <w:p>
      <w:pPr>
        <w:spacing w:after="0" w:line="14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Forfeitures are recorded as they occur for all RSUs. Refer to Note 9 for further detail over stock-based compensation and the stock incentive plans of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Employee-Related Expenses</w:t>
      </w:r>
    </w:p>
    <w:p>
      <w:pPr>
        <w:spacing w:after="0" w:line="158"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Allocating employee and employee-related expenses, which consist of contractor costs, employee salary and wages, stock-based compensation and travel and other employee-related costs, to their appropriate financial statement line items on the Consolidated Statements of Operations, requires the Company to make estimates and judgments as a result of a generalist model and organizational structure. The Company bases the estimates for allocating employee and employee related expenses on internal productivity and team management tools. Management reviews the estimates each reporting period to evaluate the amounts allocated to Cost of revenue, net, Research and development, General and administrative, and Sales and marketing on the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Net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 of revenue, net primarily consists of expenses related to hosting the Company’s service, including the costs of data center capacity, credit card processing fees, third-party software license fees, outsourcing engineering costs to maintain our platform, outsourcing costs to support customer service and outsourcing costs to support our patented scanning technology SmartScan, net of consideration from a vendor for monetizing Expensify Card activities. This consideration, net of credit card processing fees paid to the vendor, is included as a reduction to cost of revenue of $7.2 million, $10.1 million, and $ 6.2 million for the years ended December 31, 2024, 2023 and 2022, respectively. Additional costs include amortization of finance lease right-of-use assets, amortization expense on capitalized software development costs and personnel-related expenses, including stock-based compensation, attributable to supporting our customers and maintenance of our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and external contributor expenses incurred in the planning and preliminary project stage of new products or enhancing existing products or services. The Company capitalizes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58"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compliance, and human resources. In addition to personnel-related expenses, general and administrative expenses consist of business insurance, rent, utilities, depreciation on property and equipment, amortization of operating lease right-of-use assets, information technology and external professional services, including finance and accounting, audit, tax, legal and compliance, and human resources. General and administrative expenses are expensed as incurred.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5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depreciation on property and equipment, outsourcing costs for sales and product demos, branding and public relations expenses, referral fees for strategic partners and other benefits that the Company provides to its referral and affiliate partners. In general, the Company expenses the costs of sales and marketing, including promotional expenses, as incurred. For media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arrangements, the Company expenses the costs related to producing advertisements as incurred, and the costs related to communicating the advertisement when the advertisement first takes place or is released.</w:t>
      </w:r>
    </w:p>
    <w:p>
      <w:pPr>
        <w:spacing w:after="0" w:line="72" w:lineRule="exact"/>
        <w:rPr>
          <w:sz w:val="20"/>
          <w:szCs w:val="20"/>
          <w:color w:val="auto"/>
        </w:rPr>
      </w:pPr>
    </w:p>
    <w:p>
      <w:pPr>
        <w:ind w:right="260"/>
        <w:spacing w:after="0" w:line="422" w:lineRule="auto"/>
        <w:rPr>
          <w:sz w:val="20"/>
          <w:szCs w:val="20"/>
          <w:color w:val="auto"/>
        </w:rPr>
      </w:pPr>
      <w:r>
        <w:rPr>
          <w:rFonts w:ascii="Arial" w:cs="Arial" w:eastAsia="Arial" w:hAnsi="Arial"/>
          <w:sz w:val="18"/>
          <w:szCs w:val="18"/>
          <w:color w:val="auto"/>
        </w:rPr>
        <w:t xml:space="preserve">Advertising costs were $2.5 million, $10.4 million, and $30.9 million for the years ended December 31, 2024, 2023 and 2022, respectively. </w:t>
      </w:r>
      <w:r>
        <w:rPr>
          <w:rFonts w:ascii="Arial" w:cs="Arial" w:eastAsia="Arial" w:hAnsi="Arial"/>
          <w:sz w:val="18"/>
          <w:szCs w:val="18"/>
          <w:b w:val="1"/>
          <w:bCs w:val="1"/>
          <w:color w:val="auto"/>
        </w:rPr>
        <w:t>Interest and Other Expenses, net</w:t>
      </w:r>
    </w:p>
    <w:p>
      <w:pPr>
        <w:spacing w:after="0" w:line="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Interest and other expenses, net, primarily consist of interest paid under the Company's credit facilities with Canadian Imperial Bank of Commerce ("CIBC"). It also includes the results of operations of our Fifth &amp; Harvey, LLC subsidiary, realized gains and losses on foreign currency transactions and foreign currency remeasurement.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is subject to income taxes in the U.S. and several foreign jurisdictions. The Company records a provision for income taxes utilizing the asset and liability method. Deferred tax assets and liabilities are recognized for the expected future tax consequences of temporary differences between financial statement carrying amounts and the tax basis of assets and liabilities, as well as net operating losses ("NOL") and tax credit carryforwards. Valuation allowances are established when necessary to reduce deferred tax assets to the amounts more likely than not expected to be realized.</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examination, including resolution of related appeals or litigation processes, if any. The second step is to measure the tax benefit as the largest amount that is more than 50% likely of being realized upon settlement. The Company classifies any liabilities for unrecognized tax benefits as current to the extent that the Company anticipates payment (or receipt) of cash within one year. Interest and penalties related to uncertain tax positions are recognized in the provision for income taxes.</w:t>
      </w:r>
    </w:p>
    <w:p>
      <w:pPr>
        <w:spacing w:after="0" w:line="10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Company is subject to the global intangible low-taxed income ("GILTI") provisions of the Tax Cuts and Jobs Act ("TCJA") due to its foreign operations. The Company's accounting policy with respect to GILTI is to account for it as a period cost.</w:t>
      </w:r>
    </w:p>
    <w:p>
      <w:pPr>
        <w:spacing w:after="0" w:line="8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Company's provision for income taxes does not include provisions for foreign withholding taxes associated with the repatriation of undistributed earnings of certain foreign subsidiaries that the Company intends to reinvest indefinitely in its foreign subsidiaries.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net loss per share is computed by dividing net loss for the period by the weighted average number of outstanding shares of common stock during the period, less weighted average shares subject to repurchase. Diluted net loss per share is computed by dividing net loss for the period by the weighted average number of outstanding shares of common stock and, when dilutive, potential shares of common stock outstanding during the period using the more dilutive of the treasury stock method or if-converted method, as applicable. For periods in which the Company reports net losses, diluted net loss per share is the same as basic net loss per share, because potentially dilutive common shares are anti-dilutive.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5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When common stock is repurchased for retirement, the Company's policy is to allocate the excess of the repurchase price over the par value of shares acquired to both accumulated deficit and additional paid-in capital. The Company estimates the additional paid-in capital carrying value per common stock by dividing the Additional paid-in capital balance from our most recent quarterly financial statements preceding the repurchase by the number of common shares issued and outstanding from our most recent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quarterly financial statements preceding the repurchase. The calculated additional paid-in capital carrying value per share is then applied to the number of shares to be retired to determine the portion to be allocated to additional paid-in capital.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5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operates as one reportable segment because its chief operating decision maker ("CODM"), a committee that consists of the chief executive officer, the chief financial officer, and the chief operating officer, reviews the Company’s financial information on a consolidated basis for purposes of making decisions regarding allocating resources and assessing performance. Accordingly, the CODM uses Net loss on a consolidated basis to measure segment profit or loss and reviews significant segment expenses on a consolidated basis to manage the Company's operations, which includes Cost of revenue, net, Research and development, General and administrative, and Sales and marketing. All significant segment expenses for the years ended December 31, 2024, 2023 and 2022 are presented on the Consolidated Statements of Operations. The measure of segment assets is Total assets as reported on the Consolidated Balance Sheets. Substantially all long-lived assets are located in the United States.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table below provides the Company’s total revenue by geographic region based on the currency of the subscription (in thousands). No other individual country outside of the United States accounted for more than 10% of total revenue.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3420" w:type="dxa"/>
            <w:vAlign w:val="bottom"/>
            <w:tcBorders>
              <w:top w:val="single" w:sz="8" w:color="auto"/>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 by Customers' Geographic Locations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154,785</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14,710</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October 2023, the FASB issued ASU 2023-06, </w:t>
      </w:r>
      <w:r>
        <w:rPr>
          <w:rFonts w:ascii="Arial" w:cs="Arial" w:eastAsia="Arial" w:hAnsi="Arial"/>
          <w:sz w:val="18"/>
          <w:szCs w:val="18"/>
          <w:i w:val="1"/>
          <w:iCs w:val="1"/>
          <w:color w:val="auto"/>
        </w:rPr>
        <w:t>Disclosure Improvements - Codification Amendments in Responses to the SEC's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Update and Simplification Initiative. </w:t>
      </w:r>
      <w:r>
        <w:rPr>
          <w:rFonts w:ascii="Arial" w:cs="Arial" w:eastAsia="Arial" w:hAnsi="Arial"/>
          <w:sz w:val="18"/>
          <w:szCs w:val="18"/>
          <w:color w:val="auto"/>
        </w:rPr>
        <w:t>The amendments clarify or improve disclosure and presentation requirements on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areas, including the statement of cash flows, earnings per share, debt, and equity. The amendments will align the requirements in the FASB ASC with the SEC's regulations. The amendments in this ASU will be effective on the date the related disclosures are removed from Regulation S-X or Regulation S-K by the SEC, and will not be effective if the SEC has not removed the applicable disclosure requirement by June 30, 2027. Early adoption is prohibited. The guidance is effective for the Company no later than June 30, 2027 and is not expected to have a material impact on the Company's Consolidated Financial Statements or disclosures.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which requires disclosure of disaggregated income taxes paid, prescribes standard categories for the components of the effective tax rate reconciliation, and modifies other income tax-related disclosures. The ASU is effective for annual periods beginning after December 15, 2024 and is not expected to have a material impact on the Company's consolidated financial statements or related disclosures.</w:t>
      </w:r>
    </w:p>
    <w:p>
      <w:pPr>
        <w:spacing w:after="0" w:line="10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(Subtopic 220-40): Disaggregation of Income Statement Expenses, </w:t>
      </w:r>
      <w:r>
        <w:rPr>
          <w:rFonts w:ascii="Arial" w:cs="Arial" w:eastAsia="Arial" w:hAnsi="Arial"/>
          <w:sz w:val="18"/>
          <w:szCs w:val="18"/>
          <w:color w:val="auto"/>
        </w:rPr>
        <w:t>which requires the disaggregation, in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of certain cost and expense captions presented on the face of the Company's Consolidated Statements of Income to provide enhanced transparency to investors. The ASU is effective for fiscal years beginning after December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2026 and interim periods within fiscal years beginning after December 15, 2027 and allows for adoption on a prospective or retrospective basis. Early adoption is permitted. The Company is currently evaluating the impact of this update on its consolidated financial statements and related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which provides improvement primarily through enhanced disclosures about significant segment expenses. The ASU is effective for annual periods beginning after December 15, 2023 and quarterly periods beginning after December 15, 2024. The ASU allows for adoption on a retrospective basis for all prior periods presented in the financial statements. The Company adopted this ASU for the 2024 annual period on a retrospective basis. For further information, refer to the Segment Reporting note above.</w:t>
      </w:r>
    </w:p>
    <w:p>
      <w:pPr>
        <w:spacing w:after="0" w:line="96"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3 – CAPITALIZED SOFTWARE, NET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net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98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2900" w:type="dxa"/>
            <w:vAlign w:val="bottom"/>
            <w:tcBorders>
              <w:top w:val="single" w:sz="8" w:color="auto"/>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8"/>
              </w:rPr>
              <w:t>32,332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8"/>
              </w:rPr>
              <w:t>22,683</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rPr>
              <w:t>(16,100)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rPr>
              <w:t>(10,189)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8"/>
              </w:rPr>
              <w:t>16,232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8"/>
              </w:rPr>
              <w:t>12,494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Consolidated Statements of Operations. Amortization expense for the years ended December 31, 2024, 2023 and 2022 was $5.9 million, $3.3 million and $2.6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4 – PROPERTY AND EQUIPMENT, NET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98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2900" w:type="dxa"/>
            <w:vAlign w:val="bottom"/>
            <w:tcBorders>
              <w:top w:val="single" w:sz="8" w:color="auto"/>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Depreciation expense related to property and equipment is recorded in General and administrative, Sales and marketing, and Interest and other expenses, net on the Consolidated Statements of Operations. Depreciation expense related to property and equipment for the years ended December 31, 2024, 2023 and 2022 was $0.8 million, $1.4 million and $2.0 million,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5 – LEASES</w:t>
      </w:r>
    </w:p>
    <w:p>
      <w:pPr>
        <w:spacing w:after="0" w:line="1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has operating leases for real estate and a finance lease for data center equipment. The operating and finance leases contain options to extend or terminate the leases. However, these were not included in the original accounting treatment of the leases as the Company is not reasonably certain to exercise these options.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year ended December 31, 2024, the Company did not enter into any new operating or finance lease agreements. During the year ended December 31, 2023, the Company entered into four operating lease agreements and renewed its finance lease. There were no new operating or finance lease agreements entered into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reflected on the Consolidated Statements of Operations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Borders>
              <w:top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680" w:type="dxa"/>
            <w:vAlign w:val="bottom"/>
            <w:tcBorders>
              <w:top w:val="single" w:sz="8" w:color="auto"/>
              <w:bottom w:val="single" w:sz="8" w:color="auto"/>
            </w:tcBorders>
            <w:gridSpan w:val="10"/>
          </w:tcPr>
          <w:p>
            <w:pPr>
              <w:jc w:val="center"/>
              <w:ind w:left="130"/>
              <w:spacing w:after="0"/>
              <w:rPr>
                <w:sz w:val="20"/>
                <w:szCs w:val="20"/>
                <w:color w:val="auto"/>
              </w:rPr>
            </w:pPr>
            <w:r>
              <w:rPr>
                <w:rFonts w:ascii="Arial" w:cs="Arial" w:eastAsia="Arial" w:hAnsi="Arial"/>
                <w:sz w:val="18"/>
                <w:szCs w:val="18"/>
                <w:b w:val="1"/>
                <w:bCs w:val="1"/>
                <w:color w:val="auto"/>
                <w:w w:val="99"/>
              </w:rPr>
              <w:t>Year ended December 31,</w:t>
            </w:r>
          </w:p>
        </w:tc>
        <w:tc>
          <w:tcPr>
            <w:tcW w:w="1220" w:type="dxa"/>
            <w:vAlign w:val="bottom"/>
            <w:tcBorders>
              <w:top w:val="single" w:sz="8" w:color="auto"/>
              <w:bottom w:val="single" w:sz="8" w:color="auto"/>
            </w:tcBorders>
          </w:tcPr>
          <w:p>
            <w:pPr>
              <w:spacing w:after="0"/>
              <w:rPr>
                <w:sz w:val="22"/>
                <w:szCs w:val="22"/>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32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9"/>
                <w:szCs w:val="19"/>
                <w:color w:val="auto"/>
              </w:rPr>
            </w:pP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0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379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1,880</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0"/>
        </w:trPr>
        <w:tc>
          <w:tcPr>
            <w:tcW w:w="73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38"/>
        </w:trPr>
        <w:tc>
          <w:tcPr>
            <w:tcW w:w="7340" w:type="dxa"/>
            <w:vAlign w:val="bottom"/>
            <w:gridSpan w:val="2"/>
          </w:tcPr>
          <w:p>
            <w:pPr>
              <w:spacing w:after="0"/>
              <w:rPr>
                <w:sz w:val="20"/>
                <w:szCs w:val="20"/>
                <w:color w:val="auto"/>
              </w:rPr>
            </w:pPr>
            <w:r>
              <w:rPr>
                <w:rFonts w:ascii="Arial" w:cs="Arial" w:eastAsia="Arial" w:hAnsi="Arial"/>
                <w:sz w:val="18"/>
                <w:szCs w:val="18"/>
                <w:color w:val="auto"/>
              </w:rPr>
              <w:t>Other information related to leases was as follows (in thousands, except as noted within):</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5"/>
        </w:trPr>
        <w:tc>
          <w:tcPr>
            <w:tcW w:w="6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spacing w:after="0"/>
              <w:rPr>
                <w:sz w:val="14"/>
                <w:szCs w:val="14"/>
                <w:color w:val="auto"/>
              </w:rPr>
            </w:pPr>
          </w:p>
        </w:tc>
      </w:tr>
      <w:tr>
        <w:trPr>
          <w:trHeight w:val="229"/>
        </w:trPr>
        <w:tc>
          <w:tcPr>
            <w:tcW w:w="6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7"/>
          </w:tcPr>
          <w:p>
            <w:pPr>
              <w:jc w:val="right"/>
              <w:ind w:right="83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63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364</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10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5,214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6,071</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3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8.10 %</w:t>
            </w:r>
          </w:p>
        </w:tc>
      </w:tr>
      <w:tr>
        <w:trPr>
          <w:trHeight w:val="239"/>
        </w:trPr>
        <w:tc>
          <w:tcPr>
            <w:tcW w:w="63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8.30 %</w:t>
            </w:r>
          </w:p>
        </w:tc>
      </w:tr>
      <w:tr>
        <w:trPr>
          <w:trHeight w:val="45"/>
        </w:trPr>
        <w:tc>
          <w:tcPr>
            <w:tcW w:w="734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57"/>
        </w:trPr>
        <w:tc>
          <w:tcPr>
            <w:tcW w:w="734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5"/>
        </w:trPr>
        <w:tc>
          <w:tcPr>
            <w:tcW w:w="6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0"/>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30"/>
        </w:trPr>
        <w:tc>
          <w:tcPr>
            <w:tcW w:w="6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10"/>
          </w:tcPr>
          <w:p>
            <w:pPr>
              <w:jc w:val="center"/>
              <w:ind w:left="130"/>
              <w:spacing w:after="0"/>
              <w:rPr>
                <w:sz w:val="20"/>
                <w:szCs w:val="20"/>
                <w:color w:val="auto"/>
              </w:rPr>
            </w:pPr>
            <w:r>
              <w:rPr>
                <w:rFonts w:ascii="Arial" w:cs="Arial" w:eastAsia="Arial" w:hAnsi="Arial"/>
                <w:sz w:val="18"/>
                <w:szCs w:val="18"/>
                <w:b w:val="1"/>
                <w:bCs w:val="1"/>
                <w:color w:val="auto"/>
                <w:w w:val="99"/>
              </w:rPr>
              <w:t>Year ended December 31,</w:t>
            </w:r>
          </w:p>
        </w:tc>
        <w:tc>
          <w:tcPr>
            <w:tcW w:w="1220" w:type="dxa"/>
            <w:vAlign w:val="bottom"/>
            <w:tcBorders>
              <w:bottom w:val="single" w:sz="8" w:color="auto"/>
            </w:tcBorders>
          </w:tcPr>
          <w:p>
            <w:pPr>
              <w:spacing w:after="0"/>
              <w:rPr>
                <w:sz w:val="19"/>
                <w:szCs w:val="19"/>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3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(564)</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6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3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(513)</w:t>
            </w: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finance lease liabilities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6320" w:type="dxa"/>
            <w:vAlign w:val="bottom"/>
          </w:tcPr>
          <w:p>
            <w:pPr>
              <w:ind w:left="20"/>
              <w:spacing w:after="0"/>
              <w:rPr>
                <w:sz w:val="20"/>
                <w:szCs w:val="20"/>
                <w:color w:val="auto"/>
              </w:rPr>
            </w:pPr>
            <w:r>
              <w:rPr>
                <w:rFonts w:ascii="Arial" w:cs="Arial" w:eastAsia="Arial" w:hAnsi="Arial"/>
                <w:sz w:val="18"/>
                <w:szCs w:val="18"/>
                <w:color w:val="auto"/>
              </w:rPr>
              <w:t>ROU assets obtained in exchange for operating lease liabilities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6,402</w:t>
            </w:r>
          </w:p>
        </w:tc>
        <w:tc>
          <w:tcPr>
            <w:tcW w:w="20" w:type="dxa"/>
            <w:vAlign w:val="bottom"/>
          </w:tcPr>
          <w:p>
            <w:pPr>
              <w:spacing w:after="0"/>
              <w:rPr>
                <w:sz w:val="20"/>
                <w:szCs w:val="20"/>
                <w:color w:val="auto"/>
              </w:rPr>
            </w:pPr>
          </w:p>
        </w:tc>
        <w:tc>
          <w:tcPr>
            <w:tcW w:w="4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
        </w:trPr>
        <w:tc>
          <w:tcPr>
            <w:tcW w:w="6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To calculate the ROU assets and liabilities, the Company uses the discount rate implicit in lease agreements when available. When the implicit discount rates are not readily determinable, the Company uses the incremental borrowing rate. For lease agreements entered into or renewed during the year ended December 31, 2023, the Company determined the incremental borrowing rate from a corporate yield curve corresponding with the lease term using information available on the commencement date.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2024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1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1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09"/>
        </w:trPr>
        <w:tc>
          <w:tcPr>
            <w:tcW w:w="7980" w:type="dxa"/>
            <w:vAlign w:val="bottom"/>
            <w:tcBorders>
              <w:top w:val="single" w:sz="8" w:color="auto"/>
            </w:tcBorders>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lease liabilities, current</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6 – SIGNIFICANT BALANCE SHEET COMPONENTS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784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920" w:type="dxa"/>
            <w:vAlign w:val="bottom"/>
            <w:tcBorders>
              <w:top w:val="single" w:sz="8" w:color="auto"/>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21,668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Expensify.org restricted cash</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5,881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Earned interchange restricted cash</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Deferred contract acquisition costs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Other restricted cash</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Payments LLC restricted cash</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30,978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7840" w:type="dxa"/>
            <w:vAlign w:val="bottom"/>
            <w:tcBorders>
              <w:top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Borders>
              <w:top w:val="single" w:sz="8" w:color="auto"/>
              <w:bottom w:val="single" w:sz="8" w:color="auto"/>
            </w:tcBorders>
          </w:tcPr>
          <w:p>
            <w:pPr>
              <w:spacing w:after="0"/>
              <w:rPr>
                <w:sz w:val="22"/>
                <w:szCs w:val="22"/>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payroll and other taxes payable</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payouts and advertising fees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Cashback rewards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Credit card processing fees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payroll liability</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Accrued expense reports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Commissions payable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Hosting and license fees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10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9,390</w:t>
            </w:r>
          </w:p>
        </w:tc>
      </w:tr>
      <w:tr>
        <w:trPr>
          <w:trHeight w:val="20"/>
        </w:trPr>
        <w:tc>
          <w:tcPr>
            <w:tcW w:w="7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7 – FINANCING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August 2019, the Company entered into an $8.3 million amortizing term mortgage agreement with CIBC for the Company's commercial building located in Portland, Oregon. The agreement required principal and interest payments to be made each month over a five-year period. Interest accrued at a fixed rate of 5.00% per year until August 2024, at which point the remaining outstanding principal balance on the amortizing term mortgage was due in full. The borrowings were secured by the building. The outstanding balance of the amortizing term mortgage was $7.7 million as of December 31, 2023. The then-outstanding balance of $7.6 million was repaid in full on August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Loan and Security Agreement</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September 2021, the Company amended and restated its loan and security agreement with CIBC (the "2021 Amended Loan and Security Agreement") which consisted of a $45.0 million initial term loan, the option to enter into an additional $30.0 million delayed term loan that expired in March 2023, and a monthly revolving line of credit of $25.0 million. Under the 2021 Amended Loan and Security Agreement, the initial term loan of $45.0 million was payable over a 60-month period with principal and accrued interest payments due each quarter, commencing on September 30, 2021. The 2021 Amended Loan and Security Agreement amortized in equal quarterly installments of</w:t>
      </w:r>
    </w:p>
    <w:p>
      <w:pPr>
        <w:spacing w:after="0" w:line="3"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$0.1 million through September 30, 2024, $0.2 million beginning October 1, 2024 and $0.6 million beginning October 1, 2025, with any remaining principal balance due and payable on maturity in September 2026. The amounts borrowed accrued interest at the bank’s reference rate plus 2.25% beginning on September 30, 2021 and continued on a quarterly basis through maturity of the term loan. The borrowings were secured by substantially all the Company’s assets. The then-outstanding balance of $36.0 million and $0.1 million of accrued interest on the term loan were repaid in full on October 12, 2023.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Loan and Security Agreement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2024, the Company entered into a Second Amended and Restated Loan and Security Agreement (as amended by the amendments described below, and as may be further amended from time to time, the "2024 Amended Loan and Security Agreement") with CIBC. The 2024 Amended Loan and Security Agreement amends and restates the 2021 Amended Loan and Security Agreement in its entirety, to extend the maturity date of the revolving line of credit from September 2024 to September 2025, remove certain provisions related to the term loan that was repaid in full in October 2023 and make certain changes to the positive and negative covenants intended to better align with the operations of the Company. The 2024 Amended Loan and Security Agreement provides for a $25.0 million revolving credit facility. Borrowings under the revolving line of credit accrue interest at CIBC's reference rate plus 1.00% and are secured by substantially all of the Company's assets.</w:t>
      </w:r>
    </w:p>
    <w:p>
      <w:pPr>
        <w:spacing w:after="0" w:line="10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incurred an immaterial amount of costs in connection with entering into the 2024 Amended Loan and Security Agreement. These debt issuance costs are reflected as a deferred asset within Other current assets on the Consolidated Balance Sheets and are being amortized to interest expense on a straight-line basis over the term of the agreement.</w:t>
      </w:r>
    </w:p>
    <w:p>
      <w:pPr>
        <w:spacing w:after="0" w:line="1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April 24, 2024, the Company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and expires on March 20, 2025. No amounts have been drawn on the Letter of Credit as of December 31, 2024.</w:t>
      </w:r>
    </w:p>
    <w:p>
      <w:pPr>
        <w:spacing w:after="0" w:line="10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May 2024, the Company entered into a First Amendment to the 2024 Amended Loan and Security Agreement, which amended the covenant restricting the amount of repurchases of common stock to allow for certain additional repurchase activity and provided a waiver for the Company's non-compliance during prior periods with the previous version of such covenant.</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Upon repayment of the amortizing term mortgage on August 29, 2024, the Company entered into a Second Amendment to the 2024 Amended Loan and Security Agreement, which permits the Company's wholly-owned subsidiary, 401 SW 5th Ave LLC, to remain an excluded subsidiary provided that the subsidiary does not engage in any operations or activities except to maintain legal existence and ownership of the real property or any related activities thereto, does not hold assets other than real estate assets, and does not incur any indebtedness except for intercompany liabilities permitted under the agreement or grant any liens.</w:t>
      </w:r>
    </w:p>
    <w:p>
      <w:pPr>
        <w:spacing w:after="0" w:line="11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 February 2025, the Company entered into a Third Amendment to the 2024 Amended Loan and Security Agreement, which amended the covenant restricting the amount of repurchases of common stock,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includes net share settlements of stock-based awards, to allow for certain additional net share settlement activity and provided a waiver for the Company's non-compliance of this covenant as of December 31, 2024 with the previous version of such covenant.</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2023, there were $15.0 million of borrowings under the revolving line of credit. Borrowings under the line of credit bear interest at CIBC’s reference rate plus 1.00% (9.50% as of December 31, 2023) and are secured by substantially all of the Company’s assets. The then-outstanding balance of $15.0 million and an immaterial amount of accrued interest on the revolving line of credit were repaid in full on July 10, 2024. As of December 31, 2024, there was $24.0 million of capacity available for additional borrowings. Interest expense included within Interest and other expense, net on the Consolidated Statements of Operations for the years ended December 31, 2024, 2023 and 2022 was $1.1 million, $5.2 million and $4.5 million, respectively.</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customary covenants under the 2024 Amended Loan and Security Agreement, which unless waived by CIBC, restrict its and its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If the Company fails to perform its obligations under these and other covenants, CIBC’s credit commitments could be terminated and any outstanding borrowings, together with accrued interest, under the credit or loan agreements could be declared immediately due and payable.</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2024, the Company was not in compliance with all debt covenants under the 2024 Amended Loan and Security Agreement, specifically the covenant restricting the amount of repurchases of common stock, which includes net share settlements of stock-based awards. In February 2025, the Company entered into the Third Amendment to the 2024 Amended Loan and Security Agreement, which included a waiver for the Company's non-compliance of this covenant as of December 31, 2024. The Company does not believe non-compliance with this covenant had any material impact on the Company or its operations.</w:t>
      </w:r>
    </w:p>
    <w:p>
      <w:pPr>
        <w:spacing w:after="0" w:line="8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8 – PREFERRED STOCK AND STOCKHOLDERS’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10, 2022, the Executive Committee of our Board of Directors approved a share repurchase program with authorization to purchase up to $ 50.0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by the Company at any time at its discretion without prior notice.</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ended December 31, 2024, the Company repurchased 645,938 shares of Class A common stock at a total cost of $1.5 million. These shares were repurchased from the Company's Chief Executive Officer, David Barrett, at a price of $2.34 per share, which represents a weighted average price for the Class A Common Stock of the Company for the three trading-day period ended August 27, 2024 as reported by Nasdaq. As of December 31, 2024, the Company had approximately $39.5 million remaining under the share repurchase authorization, not including amounts used for net share settlement of vested equity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years ended December 31, 2023 and 2022, the Company repurchased 504,493 shares of Class A common stock at a total cost of $3.0 million and 599,080 shares of Class A common stock at a total cost of $6.0 million, respectively.</w:t>
      </w:r>
    </w:p>
    <w:p>
      <w:pPr>
        <w:spacing w:after="0" w:line="7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2022 Share Repurchase Program was scheduled to expire on March 31, 2025. On February 25, 2025, the Executive Committee of our Board of Directors approved a new share repurchase program with authorization to purchase up to $50.0 million of shares of Class A common stock ("2025 Share Repurchase Program") that replaces the 2022 Share Repurchase Program. Pursuant to the 2025 Share Repurchase Program, the Company may repurchase shares from time to time through open market purchases, in privately negotiated transactions or by other means, including the use of trading plans intended to qualify under Rule 10b5-1 of the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2025 Share Repurchase Program does not obligate the Company to acquire any particular amount of Class A common stock, and the program may be suspended or terminated by the Company at any time at its discretion without prior notice.</w:t>
      </w:r>
    </w:p>
    <w:p>
      <w:pPr>
        <w:spacing w:after="0" w:line="10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9 – STOCK INCENTIVE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under the 2019 Stock Plan, the Board of Directors approved the grant of 8,679,380 restricted stock units under the 2019 Stock Plan, which consisted of an aggregate of 4,339,690 shares of each of Class A and LT50 common stock effective immediately prior to the effectiveness of the Company's IPO Registration Statement. On November 9, 2021, the Board of Directors amended and restated the 2019 Stock Plan to, among other things, increase the common stock reserved for issuance under the 2019 Stock Plan to an aggregate of 16,856,770 shares of Class A and LT50 common stock.</w:t>
      </w:r>
    </w:p>
    <w:p>
      <w:pPr>
        <w:spacing w:after="0" w:line="11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Stock Purchase and Matching Plan ("Matching Plan" and together with the 2021 Plan, "2021 Incentive Plans").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2021, the Company's Board of Directors adopted, and its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and available for issuance under the 2021 Incentive Plans as of December 31, 2024 and 2023 was 20,879,081 shares and 19,712,910 shares, respectively. The number of shares reserved for issuance under the 2021 Incentive Plans will automatically increase each subsequent January 1 through January 1, 2031, by the lesser of (A) 6% of the aggregate number of shares of all classes of common stock outstanding on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and Matching Plan</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Matching Plan operates using consecutive three-month offering periods that commenced on March 15, 2022. Service Providers of the Company can participate in the Matching Plan by electing to contribute compensation through deductions from payroll or fee payments, or by receiving discretionary awards under the plan. On the last day of the offering period, the contributions made during the offering period are used to purchase shares of Class A common stock.</w:t>
      </w:r>
    </w:p>
    <w:p>
      <w:pPr>
        <w:spacing w:after="0" w:line="10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or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closing stock price on the date of grant. The Company recognizes stock-based compensation expense related to the matched shares pursuant to its Matching Plan on a straight-line basis over the applicable three-month offering period.</w:t>
      </w:r>
    </w:p>
    <w:p>
      <w:pPr>
        <w:spacing w:after="0" w:line="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Service Providers who participated in the Matching Plan during 2024 purchased a total of 1,922,139 in Class A common shares, based on an average purchase price of $2.13, resulting in gross cash proceeds to the Company of $4.1 million.</w:t>
      </w:r>
    </w:p>
    <w:p>
      <w:pPr>
        <w:spacing w:after="0" w:line="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Service Providers who participated in the Matching Plan during 2023 purchased a total of 1,010,412 in Class A common shares, based on an average purchase price of $4.21, resulting in gross cash proceeds to the Company of $4.3 million.</w:t>
      </w:r>
    </w:p>
    <w:p>
      <w:pPr>
        <w:spacing w:after="0" w:line="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Service Providers who participated in the Matching Plan during 2022 purchased a total of 272,196 in Class A common shares, based on an average purchase price of $13.49, resulting in gross cash proceeds to the Company of $3.7 million.</w:t>
      </w:r>
    </w:p>
    <w:p>
      <w:pPr>
        <w:spacing w:after="0" w:line="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historically elected to match each share of Class A common stock purchased or issued under the Matching Plan with 1/20 of a share of Class A common stock. During 2024, the Company granted a total of 638,850 shares of Class A common stock under the Matching Plan with no shares withheld for taxes. During 2023, the Company granted 147,109 shares of Class A common stock under the Matching Plan, net of 15,871 shares withheld for taxes. During 2022, the Company granted 22,201 shares of Class A common stock under the Matching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made discretionary contributions under the Matching Plan to eligible Service Providers. During 2024, the Company granted a total of 1,523,525 shares of Class A common stock as discretionary contributions under the Matching Plan with no shares withheld for taxes. During 2023, the Company granted a total of 1,050,969 shares of Class A common stock as discretionary contributions under the Matching Plan with 64,411 shares withheld for taxes. There were no discretionary contributions under the Matching Plan during the year ended December 31, 2022.</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2019 Stock Plan and the 2021 Plan authorize the grant of RSUs. In September 2021, under the 2019 Stock Plan, the Company's Board of Directors approved and authorized 8,679,380 restricted stock units to be granted, which consisted of an aggregate of 4,339,690 shares each of Class A and LT50 common stock effective as of immediately prior to the effectiveness of the Company's IPO Registration Statement. Of this total, 2,980,260 RSUs, comprised of 1,490,130 shares of each of Class A and LT50 common stock were considered granted for accounting purposes in September 2021 to the Company's named executive officers and certain members of management as the Company and these certain Service Providers had a mutual understanding of the key terms and conditions of the award on the board approval date, which occurred on September 24, 2021. RSUs granted to Service Providers in September 2021 vest upon the satisfaction of both a performance and service condition. The performance condition was satisfied immediately prior to the effectiveness of the IPO Registration Statement. The service condition for these awards is satisfied over eight years with a cliff vest for 1/8 of the grant on September 15, 2022 and quarterly vesting of 1/32 of the grant every December 15, March 15, June 15 and September 15 thereafter until fully vested. All remaining stock-based compensation for these awards will be recognized over the remaining service period using the accelerated graded method.</w:t>
      </w:r>
    </w:p>
    <w:p>
      <w:pPr>
        <w:spacing w:after="0" w:line="12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November 2021, the Company granted 5,666,260 RSUs, comprised of 2,833,130 shares of each of Class A common stock and LT50 common stock, to certain Service Providers that were not included in the September RSU grant. These RSUs only have a service condition, which is equivalent with the service condition of the awards granted in September 2021, and were deemed granted for accounting purposes on November 10, 2021, the date these certain Service Providers had a mutual understanding of the key terms and conditions of the award.</w:t>
      </w:r>
    </w:p>
    <w:p>
      <w:pPr>
        <w:spacing w:after="0" w:line="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28, 2022, the Company granted a Service Provider 43,060 Class A common stock RSUs at a grant date fair value of $18.93 per share. These RSUs only have a service condition, which is satisfied over approximately eight years with a cliff vest for 1/8 of the grant on September 15, 2022 and quarterly vesting of 1/32 of the grant every December 15, March 15, June 15 and September 15 thereafter until fully vested.</w:t>
      </w:r>
    </w:p>
    <w:p>
      <w:pPr>
        <w:spacing w:after="0" w:line="109"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On December 2, 2024 the Company granted Service Providers 400,675 RSUs, net of 159,841 shares withheld for taxes, comprised fully of Class A common stock at a grant date fair value of $3.40 per share. These RSUs have no future service requirement and were fully vested on the grant date.</w:t>
      </w:r>
    </w:p>
    <w:p>
      <w:pPr>
        <w:spacing w:after="0" w:line="1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the Company's Non-Employee Director Compensation Program, which was adopted under the 2021 Incentive Plans, the Company granted 230,064 Class A common stock RSUs during the year ended December 31, 2024. A total of 64,992 Class A common stock RSUs vested during the year ended December 31, 2024 related to previously-granted RSU awards as the quarterly service conditions were satisfied.</w:t>
      </w:r>
    </w:p>
    <w:p>
      <w:pPr>
        <w:spacing w:after="0" w:line="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granted 27,780 Class A common stock RSUs to members of the Company's Audit Committee during November 2021 in connection with each member's initial appointment to the Board of Directors and the consummation of the IPO. For accounting purposes, the grant date was considered to be November 12, 2021, as this was the date the Company filed its final prospectus pursuant to Rule 424(b)(4) related to the pricing of the IPO. The IPO price was a key determination of the number of RSUs awarded to members of the Audit Committee and therefore on this date the Company and each Audit Committee member had a mutual understanding of the key terms and conditions of the awards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The RSUs granted were fully vested as of December 31, 2024 upon satisfaction of the three year service condition.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2024, RSU activity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Class A Common</w:t>
            </w:r>
          </w:p>
        </w:tc>
        <w:tc>
          <w:tcPr>
            <w:tcW w:w="15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rPr>
              <w:t>LT50 Common</w:t>
            </w: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ind w:left="20"/>
              <w:spacing w:after="0" w:line="202" w:lineRule="exact"/>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90"/>
              <w:spacing w:after="0" w:line="176" w:lineRule="exact"/>
              <w:rPr>
                <w:sz w:val="20"/>
                <w:szCs w:val="20"/>
                <w:color w:val="auto"/>
              </w:rPr>
            </w:pPr>
            <w:r>
              <w:rPr>
                <w:rFonts w:ascii="Arial" w:cs="Arial" w:eastAsia="Arial" w:hAnsi="Arial"/>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634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Stock</w:t>
            </w:r>
          </w:p>
        </w:tc>
        <w:tc>
          <w:tcPr>
            <w:tcW w:w="1560" w:type="dxa"/>
            <w:vAlign w:val="bottom"/>
          </w:tcPr>
          <w:p>
            <w:pPr>
              <w:jc w:val="right"/>
              <w:ind w:right="4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value per share</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2,742,273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2,646,332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790,580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(1,036,347)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(405,457)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(346,405)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(346,405)</w:t>
            </w:r>
          </w:p>
        </w:tc>
        <w:tc>
          <w:tcPr>
            <w:tcW w:w="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2,150,101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1,894,470</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fair value of RSUs vested during the years ended December 31, 2024, 2023 and 2022, was $3.9 million, $5.1 million, and $19.1 million, respectively. The weighted average grant date fair value per share of RSUs granted during the years ended December 31, 2024, 2023 and 2022, was $2.82, $8.17, and $18.21, respectively.</w:t>
      </w:r>
    </w:p>
    <w:p>
      <w:pPr>
        <w:spacing w:after="0" w:line="10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As of December 31, 2024, there was $100.6 million of unamortized stock-based compensation cost related to unvested RSUs, which is expected to be recognized over the remaining weighted average life of 4.47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employees, non-employee directors and consultants of the Company.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During each of the years ended December 31, 2024, 2023 and 2022, the Company repurchased an immaterial amount of exercised restricted common stock.</w:t>
      </w:r>
    </w:p>
    <w:p>
      <w:pPr>
        <w:spacing w:after="0" w:line="115"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As of December 31, 2024 and 2023, there were 92,230 and 393,251 shares subject to repurchase, respectively, related to unvested stock options that had been early exercised. As of December 31, 2024 and 2023, the Company recorded a liability related to shares subject to repurchase of $0.1 million and $0.6 million, respectively, which is included within Accrued expenses and other liabilities in the accompanying Consolidated Balance Sheets. These amounts are reclassified to common stock and additional paid in capital as the underlying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1"/>
        </w:trPr>
        <w:tc>
          <w:tcPr>
            <w:tcW w:w="6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Weighted average</w:t>
            </w:r>
          </w:p>
        </w:tc>
        <w:tc>
          <w:tcPr>
            <w:tcW w:w="15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average</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15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6"/>
                <w:szCs w:val="16"/>
                <w:color w:val="auto"/>
              </w:rPr>
            </w:pPr>
          </w:p>
        </w:tc>
        <w:tc>
          <w:tcPr>
            <w:tcW w:w="16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exercise price per</w:t>
            </w:r>
          </w:p>
        </w:tc>
        <w:tc>
          <w:tcPr>
            <w:tcW w:w="15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contractual life</w:t>
            </w:r>
          </w:p>
        </w:tc>
        <w:tc>
          <w:tcPr>
            <w:tcW w:w="0" w:type="dxa"/>
            <w:vAlign w:val="bottom"/>
          </w:tcPr>
          <w:p>
            <w:pPr>
              <w:spacing w:after="0"/>
              <w:rPr>
                <w:sz w:val="1"/>
                <w:szCs w:val="1"/>
                <w:color w:val="auto"/>
              </w:rPr>
            </w:pPr>
          </w:p>
        </w:tc>
      </w:tr>
      <w:tr>
        <w:trPr>
          <w:trHeight w:val="229"/>
        </w:trPr>
        <w:tc>
          <w:tcPr>
            <w:tcW w:w="634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5,902,591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(2,014,063)</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(128,948)</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60"/>
              <w:spacing w:after="0"/>
              <w:rPr>
                <w:sz w:val="20"/>
                <w:szCs w:val="20"/>
                <w:color w:val="auto"/>
              </w:rPr>
            </w:pPr>
            <w:r>
              <w:rPr>
                <w:rFonts w:ascii="Arial" w:cs="Arial" w:eastAsia="Arial" w:hAnsi="Arial"/>
                <w:sz w:val="18"/>
                <w:szCs w:val="18"/>
                <w:color w:val="auto"/>
              </w:rPr>
              <w:t>Outstanding at December 31, 2024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3,759,580</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December 31, 2024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3,744,480</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54"/>
        </w:trPr>
        <w:tc>
          <w:tcPr>
            <w:tcW w:w="63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total pretax intrinsic value of options exercised during the years ended December 31, 2024, 2023 and 2022 was $5.6 million, $1.3 million and $10.9 million, respectively. The total pretax intrinsic value of options outstanding and exercisable at December 31, 2024 and 2023, was $7.4 million and $8.9 million, respectively. The intrinsic value is the difference between the estimated fair market value of the Company’s common stock at the date of exercise and the exercise price for in-the-money options. No options were granted during the years ended December 31, 2024, 2023 and 2022.</w:t>
      </w:r>
    </w:p>
    <w:p>
      <w:pPr>
        <w:spacing w:after="0" w:line="11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total grant date fair value of options vested during the years ended December 31, 2024, 2023 and 2022, was $2.8 million, $3.4 million, and $3.9 million, respectively.</w:t>
      </w:r>
    </w:p>
    <w:p>
      <w:pPr>
        <w:spacing w:after="0" w:line="7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of December 31, 2024, there was $1.0 million of unrecognized stock-based compensation cost related to unvested stock options, which is expected to be recognized over a weighted average period of 0.30 years.</w:t>
      </w:r>
    </w:p>
    <w:p>
      <w:pPr>
        <w:spacing w:after="0" w:line="8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Cash received from option exercises and purchases of shares under the Stock Plans for the years ended December 31, 2024, 2023 and 2022 was $0.4 million, $0.3 million and $0.8 million, respectively.</w:t>
      </w:r>
    </w:p>
    <w:p>
      <w:pPr>
        <w:spacing w:after="0" w:line="8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During the year ended December 31, 2024, 98,403 shares were withheld for the cashless exercise of stock options. During the years ended December 31, 2023 and 2022, there were no cashless exercises of stock options.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5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summarizes the stock-based compensation expense recognized for awards granted under the Company's authorized stock incentive plans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3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3400" w:type="dxa"/>
            <w:vAlign w:val="bottom"/>
            <w:tcBorders>
              <w:top w:val="single" w:sz="8" w:color="auto"/>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top w:val="single" w:sz="8" w:color="auto"/>
              <w:bottom w:val="single" w:sz="8" w:color="auto"/>
            </w:tcBorders>
          </w:tcPr>
          <w:p>
            <w:pPr>
              <w:spacing w:after="0"/>
              <w:rPr>
                <w:sz w:val="22"/>
                <w:szCs w:val="22"/>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shares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50,134</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54,089</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stock-based compensation capitalized as software development costs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52,332</w:t>
            </w:r>
          </w:p>
        </w:tc>
      </w:tr>
      <w:tr>
        <w:trPr>
          <w:trHeight w:val="20"/>
        </w:trPr>
        <w:tc>
          <w:tcPr>
            <w:tcW w:w="6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is included in the following components of expenses on the accompanying Consolidated Statements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revenue,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Sales and marketing</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stock-based compensation expense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18"/>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12,506</w:t>
            </w:r>
          </w:p>
        </w:tc>
        <w:tc>
          <w:tcPr>
            <w:tcW w:w="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13,868</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18,403</w:t>
            </w:r>
          </w:p>
        </w:tc>
      </w:tr>
      <w:tr>
        <w:trPr>
          <w:trHeight w:val="230"/>
        </w:trPr>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7,875</w:t>
            </w:r>
          </w:p>
        </w:tc>
      </w:tr>
      <w:tr>
        <w:trPr>
          <w:trHeight w:val="229"/>
        </w:trPr>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17,850</w:t>
            </w:r>
          </w:p>
        </w:tc>
      </w:tr>
      <w:tr>
        <w:trPr>
          <w:trHeight w:val="235"/>
        </w:trPr>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8,204</w:t>
            </w:r>
          </w:p>
        </w:tc>
      </w:tr>
      <w:tr>
        <w:trPr>
          <w:trHeight w:val="223"/>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33,537</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41,212</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-779780</wp:posOffset>
            </wp:positionV>
            <wp:extent cx="713232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-479425</wp:posOffset>
            </wp:positionV>
            <wp:extent cx="71323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-187960</wp:posOffset>
            </wp:positionV>
            <wp:extent cx="71323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p>
      <w:pPr>
        <w:spacing w:after="0" w:line="65"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For RSUs granted to members of the Audit Committee, the Company records all stock-based compensation expense on a straight line basis over the requisite service period from the day of grant, which is considered one year for annual grants and three years for the initial RSUs granted to members of the Audit Committee. During the years ended December 31, 2024, 2023 and 2022, total stock-based compensation recorded by the Company related to members of the Audit Committee was $0.8 million, $0.8 million and $0.6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10 –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loss before taxes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2360" w:type="dxa"/>
            <w:vAlign w:val="bottom"/>
            <w:tcBorders>
              <w:top w:val="single" w:sz="8" w:color="auto"/>
              <w:bottom w:val="single" w:sz="8" w:color="auto"/>
            </w:tcBorders>
            <w:gridSpan w:val="9"/>
          </w:tcPr>
          <w:p>
            <w:pPr>
              <w:jc w:val="right"/>
              <w:ind w:right="90"/>
              <w:spacing w:after="0"/>
              <w:rPr>
                <w:sz w:val="20"/>
                <w:szCs w:val="20"/>
                <w:color w:val="auto"/>
              </w:rPr>
            </w:pPr>
            <w:r>
              <w:rPr>
                <w:rFonts w:ascii="Arial" w:cs="Arial" w:eastAsia="Arial" w:hAnsi="Arial"/>
                <w:sz w:val="18"/>
                <w:szCs w:val="18"/>
                <w:b w:val="1"/>
                <w:bCs w:val="1"/>
                <w:color w:val="auto"/>
                <w:w w:val="98"/>
              </w:rPr>
              <w:t>Year ended December 31,</w:t>
            </w:r>
          </w:p>
        </w:tc>
        <w:tc>
          <w:tcPr>
            <w:tcW w:w="1200" w:type="dxa"/>
            <w:vAlign w:val="bottom"/>
            <w:tcBorders>
              <w:top w:val="single" w:sz="8" w:color="auto"/>
              <w:bottom w:val="single" w:sz="8" w:color="auto"/>
            </w:tcBorders>
          </w:tcPr>
          <w:p>
            <w:pPr>
              <w:spacing w:after="0"/>
              <w:rPr>
                <w:sz w:val="22"/>
                <w:szCs w:val="22"/>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(21,614)</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1,007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1,204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 before taxes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(38,476)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(20,643)</w:t>
            </w:r>
          </w:p>
        </w:tc>
      </w:tr>
      <w:tr>
        <w:trPr>
          <w:trHeight w:val="20"/>
        </w:trPr>
        <w:tc>
          <w:tcPr>
            <w:tcW w:w="63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38"/>
        </w:trPr>
        <w:tc>
          <w:tcPr>
            <w:tcW w:w="7680" w:type="dxa"/>
            <w:vAlign w:val="bottom"/>
            <w:gridSpan w:val="4"/>
          </w:tcPr>
          <w:p>
            <w:pPr>
              <w:spacing w:after="0"/>
              <w:rPr>
                <w:sz w:val="20"/>
                <w:szCs w:val="20"/>
                <w:color w:val="auto"/>
              </w:rPr>
            </w:pPr>
            <w:r>
              <w:rPr>
                <w:rFonts w:ascii="Arial" w:cs="Arial" w:eastAsia="Arial" w:hAnsi="Arial"/>
                <w:sz w:val="18"/>
                <w:szCs w:val="18"/>
                <w:color w:val="auto"/>
              </w:rPr>
              <w:t>The components of the Company’s provision for income taxes are as follows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5"/>
        </w:trPr>
        <w:tc>
          <w:tcPr>
            <w:tcW w:w="6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10"/>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230"/>
        </w:trPr>
        <w:tc>
          <w:tcPr>
            <w:tcW w:w="6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10"/>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23"/>
        </w:trPr>
        <w:tc>
          <w:tcPr>
            <w:tcW w:w="6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6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income tax rate to the Company's effective income tax rate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20" w:type="dxa"/>
            <w:vAlign w:val="bottom"/>
            <w:tcBorders>
              <w:top w:val="single" w:sz="8" w:color="auto"/>
            </w:tcBorders>
          </w:tcPr>
          <w:p>
            <w:pPr>
              <w:spacing w:after="0"/>
              <w:rPr>
                <w:sz w:val="22"/>
                <w:szCs w:val="22"/>
                <w:color w:val="auto"/>
              </w:rPr>
            </w:pPr>
          </w:p>
        </w:tc>
        <w:tc>
          <w:tcPr>
            <w:tcW w:w="3940" w:type="dxa"/>
            <w:vAlign w:val="bottom"/>
            <w:tcBorders>
              <w:top w:val="single" w:sz="8" w:color="auto"/>
              <w:bottom w:val="single" w:sz="8" w:color="auto"/>
            </w:tcBorders>
            <w:gridSpan w:val="5"/>
          </w:tcPr>
          <w:p>
            <w:pPr>
              <w:ind w:left="152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rate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State tax</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GILTI</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4"/>
        </w:trPr>
        <w:tc>
          <w:tcPr>
            <w:tcW w:w="6020" w:type="dxa"/>
            <w:vAlign w:val="bottom"/>
          </w:tcPr>
          <w:p>
            <w:pPr>
              <w:ind w:left="20"/>
              <w:spacing w:after="0" w:line="183" w:lineRule="exact"/>
              <w:rPr>
                <w:sz w:val="20"/>
                <w:szCs w:val="20"/>
                <w:color w:val="auto"/>
              </w:rPr>
            </w:pPr>
            <w:r>
              <w:rPr>
                <w:rFonts w:ascii="Arial" w:cs="Arial" w:eastAsia="Arial" w:hAnsi="Arial"/>
                <w:sz w:val="18"/>
                <w:szCs w:val="18"/>
                <w:color w:val="auto"/>
              </w:rPr>
              <w:t>Rate differentials for controlled foreign corporations and charitable</w:t>
            </w:r>
          </w:p>
        </w:tc>
        <w:tc>
          <w:tcPr>
            <w:tcW w:w="1680" w:type="dxa"/>
            <w:vAlign w:val="bottom"/>
            <w:vMerge w:val="restart"/>
          </w:tcPr>
          <w:p>
            <w:pPr>
              <w:jc w:val="right"/>
              <w:ind w:right="9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5"/>
                <w:szCs w:val="15"/>
                <w:color w:val="auto"/>
              </w:rPr>
            </w:pPr>
          </w:p>
        </w:tc>
        <w:tc>
          <w:tcPr>
            <w:tcW w:w="1680" w:type="dxa"/>
            <w:vAlign w:val="bottom"/>
            <w:vMerge w:val="restart"/>
          </w:tcPr>
          <w:p>
            <w:pPr>
              <w:jc w:val="right"/>
              <w:ind w:right="11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1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5"/>
        </w:trPr>
        <w:tc>
          <w:tcPr>
            <w:tcW w:w="6020" w:type="dxa"/>
            <w:vAlign w:val="bottom"/>
          </w:tcPr>
          <w:p>
            <w:pPr>
              <w:ind w:left="180"/>
              <w:spacing w:after="0"/>
              <w:rPr>
                <w:sz w:val="20"/>
                <w:szCs w:val="20"/>
                <w:color w:val="auto"/>
              </w:rPr>
            </w:pPr>
            <w:r>
              <w:rPr>
                <w:rFonts w:ascii="Arial" w:cs="Arial" w:eastAsia="Arial" w:hAnsi="Arial"/>
                <w:sz w:val="18"/>
                <w:szCs w:val="18"/>
                <w:color w:val="auto"/>
              </w:rPr>
              <w:t>organizations</w:t>
            </w:r>
          </w:p>
        </w:tc>
        <w:tc>
          <w:tcPr>
            <w:tcW w:w="1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 and others</w:t>
            </w:r>
          </w:p>
        </w:tc>
        <w:tc>
          <w:tcPr>
            <w:tcW w:w="1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6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162(m) limitation</w:t>
            </w: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98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2900" w:type="dxa"/>
            <w:vAlign w:val="bottom"/>
            <w:tcBorders>
              <w:top w:val="single" w:sz="8" w:color="auto"/>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As December 31,</w:t>
            </w: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 limitation</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Charitable contributions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research and development</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10"/>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commissions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TCJA requires taxpayers to capitalize and amortize research and experimental ("R&amp;D") expenditures under Internal Revenue Code Section 174 for tax years beginning after December 31, 2021. This rule became effective for the Company during the year ended December 31, 2022 and resulted in the capitalization of R&amp;D costs of $17.7 million and $21.3 million during the years ended December 31, 2024 and 2023, respectively, and are offset by a valuation allowance as of December 31, 2024 and 2023. The Company will amortize these costs for tax purposes over five years for R&amp;D performed in the U.S. and over 15 years for R&amp;D performed outside of the U.S.</w:t>
      </w:r>
    </w:p>
    <w:p>
      <w:pPr>
        <w:spacing w:after="0" w:line="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Under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assessed its ability to realize the benefits of its deferred tax assets by evaluating all available positive and negative evidence, objective and subjective in nature, including cumulative results of operations in recent years, sources of recent pre-tax income, projected reversals of existing taxable temporary differences, and estimates of future taxable income. As of December 31, 2024, the Company concluded it is more likely than not that the Company will not have the ability to realize the benefits of its domestic deferred tax assets in excess of existing taxable temporary differences and therefore recorded a valuation allowance on the remaining domestic deferred tax assets.</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As of December 31, 2024 and 2023, the Company had $1.5 million and $1.3 million available NOL carryforwards for state tax purposes, respectively, which expire in 2043. As of December 31, 2024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2023, the Company had state research and development tax credit carryforwards of $0.8 million and $1.1 million, respectively. The state tax credits do not expire and will carry forward indefinitely until utilized.</w:t>
      </w:r>
    </w:p>
    <w:p>
      <w:pPr>
        <w:spacing w:after="0" w:line="7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The Company follows the provisions of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December 31, 2024 and 2023, the Company recorded an uncertain tax position liability of $1.5 million, within Other liabilities on the Consolidated Balance Sheets.</w:t>
      </w:r>
    </w:p>
    <w:p>
      <w:pPr>
        <w:spacing w:after="0" w:line="10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Approximately $1.5 million of the unrecognized tax benefits for the years ended December 31, 2024 and 2023, if recognized, would affect the effective tax rate. A reconciliation of the amount of unrecognized tax benefits is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Borders>
              <w:top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top w:val="single" w:sz="8" w:color="auto"/>
              <w:bottom w:val="single" w:sz="8" w:color="auto"/>
            </w:tcBorders>
          </w:tcPr>
          <w:p>
            <w:pPr>
              <w:spacing w:after="0"/>
              <w:rPr>
                <w:sz w:val="22"/>
                <w:szCs w:val="22"/>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5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52"/>
        </w:trPr>
        <w:tc>
          <w:tcPr>
            <w:tcW w:w="6320" w:type="dxa"/>
            <w:vAlign w:val="bottom"/>
          </w:tcPr>
          <w:p>
            <w:pPr>
              <w:ind w:left="20"/>
              <w:spacing w:after="0"/>
              <w:rPr>
                <w:sz w:val="20"/>
                <w:szCs w:val="20"/>
                <w:color w:val="auto"/>
              </w:rPr>
            </w:pPr>
            <w:r>
              <w:rPr>
                <w:rFonts w:ascii="Arial" w:cs="Arial" w:eastAsia="Arial" w:hAnsi="Arial"/>
                <w:sz w:val="18"/>
                <w:szCs w:val="18"/>
                <w:color w:val="auto"/>
              </w:rPr>
              <w:t>Additions based on tax positions related to current year</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6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based on tax positions of prior year</w:t>
            </w: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52"/>
        </w:trPr>
        <w:tc>
          <w:tcPr>
            <w:tcW w:w="6320" w:type="dxa"/>
            <w:vAlign w:val="bottom"/>
          </w:tcPr>
          <w:p>
            <w:pPr>
              <w:ind w:left="20"/>
              <w:spacing w:after="0"/>
              <w:rPr>
                <w:sz w:val="20"/>
                <w:szCs w:val="20"/>
                <w:color w:val="auto"/>
              </w:rPr>
            </w:pPr>
            <w:r>
              <w:rPr>
                <w:rFonts w:ascii="Arial" w:cs="Arial" w:eastAsia="Arial" w:hAnsi="Arial"/>
                <w:sz w:val="18"/>
                <w:szCs w:val="18"/>
                <w:color w:val="auto"/>
              </w:rPr>
              <w:t>Reductions based on tax positions of prior year</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of the statute of limitations</w:t>
            </w:r>
          </w:p>
        </w:tc>
        <w:tc>
          <w:tcPr>
            <w:tcW w:w="10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w:t>
            </w:r>
          </w:p>
        </w:tc>
      </w:tr>
      <w:tr>
        <w:trPr>
          <w:trHeight w:val="21"/>
        </w:trPr>
        <w:tc>
          <w:tcPr>
            <w:tcW w:w="6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recognizes penalties and interest expense related to income taxes as a component of tax expense. There are immaterial amounts of interest and penalties recorded in the Consolidated Statements of Operations for each of the years ended December 31, 2024, 2023 and 2022 and in the Consolidated Balance Sheets as of December 31, 2024 and 2023. The Company anticipates that it is reasonably possible its unrecognized benefits will decrease by $0.2 million, exclusive of interest and penalties, within 2025 mainly due to the expiration of the statute of limitations.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federal and state returns for the tax years ended from December 2018 to December 2024 remain open to examination.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 examination of the Company's 2021 federal tax return by the Internal Revenue Service ("IRS") commenced in Q4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ind w:left="20"/>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143510</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2E22"/>
        </w:rPr>
        <w:t>NOTE 11 – NET LOSS PER SHARE</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63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3400" w:type="dxa"/>
            <w:vAlign w:val="bottom"/>
            <w:tcBorders>
              <w:top w:val="single" w:sz="8" w:color="auto"/>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Net loss, basic and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(10,055)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(41,456)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20" w:type="dxa"/>
            <w:vAlign w:val="bottom"/>
          </w:tcPr>
          <w:p>
            <w:pPr>
              <w:spacing w:after="0" w:line="176" w:lineRule="exact"/>
              <w:rPr>
                <w:sz w:val="20"/>
                <w:szCs w:val="20"/>
                <w:color w:val="auto"/>
              </w:rPr>
            </w:pPr>
            <w:r>
              <w:rPr>
                <w:rFonts w:ascii="Arial" w:cs="Arial" w:eastAsia="Arial" w:hAnsi="Arial"/>
                <w:sz w:val="18"/>
                <w:szCs w:val="18"/>
                <w:color w:val="auto"/>
              </w:rPr>
              <w:t>Weighted average shares of common stock used to compute net loss per</w:t>
            </w:r>
          </w:p>
        </w:tc>
        <w:tc>
          <w:tcPr>
            <w:tcW w:w="3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87,380,708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82,493,226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80,786,725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tcPr>
          <w:p>
            <w:pPr>
              <w:ind w:left="140"/>
              <w:spacing w:after="0"/>
              <w:rPr>
                <w:sz w:val="20"/>
                <w:szCs w:val="20"/>
                <w:color w:val="auto"/>
              </w:rPr>
            </w:pPr>
            <w:r>
              <w:rPr>
                <w:rFonts w:ascii="Arial" w:cs="Arial" w:eastAsia="Arial" w:hAnsi="Arial"/>
                <w:sz w:val="18"/>
                <w:szCs w:val="18"/>
                <w:color w:val="auto"/>
              </w:rPr>
              <w:t>share, basic and diluted</w:t>
            </w:r>
          </w:p>
        </w:tc>
        <w:tc>
          <w:tcPr>
            <w:tcW w:w="3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ten-month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will be the same for the Class A, LT10 and LT50 common stock on an individual or combined basis.</w:t>
      </w:r>
    </w:p>
    <w:p>
      <w:pPr>
        <w:spacing w:after="0" w:line="113" w:lineRule="exact"/>
        <w:rPr>
          <w:sz w:val="20"/>
          <w:szCs w:val="20"/>
          <w:color w:val="auto"/>
        </w:rPr>
      </w:pPr>
    </w:p>
    <w:p>
      <w:pPr>
        <w:ind w:left="20" w:right="80"/>
        <w:spacing w:after="0" w:line="287"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98"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6160" w:type="dxa"/>
            <w:vAlign w:val="bottom"/>
            <w:tcBorders>
              <w:top w:val="single" w:sz="8" w:color="auto"/>
            </w:tcBorders>
          </w:tcPr>
          <w:p>
            <w:pPr>
              <w:spacing w:after="0"/>
              <w:rPr>
                <w:sz w:val="22"/>
                <w:szCs w:val="22"/>
                <w:color w:val="auto"/>
              </w:rPr>
            </w:pPr>
          </w:p>
        </w:tc>
        <w:tc>
          <w:tcPr>
            <w:tcW w:w="3720" w:type="dxa"/>
            <w:vAlign w:val="bottom"/>
            <w:tcBorders>
              <w:top w:val="single" w:sz="8" w:color="auto"/>
              <w:bottom w:val="single" w:sz="8" w:color="auto"/>
            </w:tcBorders>
            <w:gridSpan w:val="5"/>
          </w:tcPr>
          <w:p>
            <w:pPr>
              <w:ind w:left="136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top w:val="single" w:sz="8" w:color="auto"/>
              <w:bottom w:val="single" w:sz="8" w:color="auto"/>
            </w:tcBorders>
          </w:tcPr>
          <w:p>
            <w:pPr>
              <w:spacing w:after="0"/>
              <w:rPr>
                <w:sz w:val="22"/>
                <w:szCs w:val="22"/>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2,050,684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4,334,383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5,406,383</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Matching shares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8,181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17,240</w:t>
            </w:r>
          </w:p>
        </w:tc>
      </w:tr>
      <w:tr>
        <w:trPr>
          <w:trHeight w:val="248"/>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2,050,684</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4,342,564</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5,423,623</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2E22"/>
        </w:rPr>
        <w:t>NOTE 12 – COMMITMENTS AND CONTINGENCIES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Litigation</w:t>
      </w:r>
    </w:p>
    <w:p>
      <w:pPr>
        <w:spacing w:after="0" w:line="144" w:lineRule="exact"/>
        <w:rPr>
          <w:sz w:val="20"/>
          <w:szCs w:val="20"/>
          <w:color w:val="auto"/>
        </w:rPr>
      </w:pPr>
    </w:p>
    <w:p>
      <w:pPr>
        <w:ind w:left="20" w:right="120"/>
        <w:spacing w:after="0" w:line="259"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these provisions at least quarterly and adjusts provisions to reflect the impact of negotiations, settlements, rulings, advice of legal counsel and other information and events pertaining to a particular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December 31, 2024 and 2023, there were no legal contingency matters, either individually or in aggregate, that would have a material adverse effect on the Company's financial position,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ordinary course of business, the Company enters into agreements of varying scope and terms whereby the Company agrees to indemnify customers, issuing banks, card networks, vendors and other parties with respect to certain matters, including, but not limited to, losses arising out of the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the Consolidated Balance Sheets, Consolidated Statements of Operations, Consolidated Statements of Changes in Stockholders' Equity, or Consolidated Statements of Cash Flows.</w:t>
      </w:r>
    </w:p>
    <w:p>
      <w:pPr>
        <w:spacing w:after="0" w:line="98"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13 – EMPLOYEE BENEFIT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58"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In fiscal 2009, the Company sponsored a U.S. 401(k) defined contribution plan covering eligible employees who elect to participate. The Company is allowed to make discretionary profit sharing and 401(k) matching contributions as defined in the plan and as approved by the Board of Directors. Effective January 1, 2018, the Company matches up to 4.50% of each participant’s eligible compensation. No discretionary profit-sharing contributions were made for the years ended December 31, 2024, 2023 and 2022. The Company’s 401(k) matching contributions for the years ended December 31, 2024, 2023 and 2022 were $0.8 million, $0.9 million and $0.8 million, respectively.</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accordance with local laws and customs of the UK, the Company sponsors a UK pension plan covering eligible employees who elect to participate. The Company is allowed to make discretionary profit sharing and matching contributions as defined in the plan and as approved by the Board of Directors. The Company matches up to 4.50% of each participant's eligible compensation. No discretionary profit-sharing contributions were made for the years ended December 31, 2024, 2023 and 2022. The discretionary matching contributions for the years ended December 31, 2024, 2023 and 2022 were $0.1 million, $0.2 million and $0.1 million,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NOTE 14 – RELATED PARTY TRANSACTIONS</w:t>
      </w:r>
    </w:p>
    <w:p>
      <w:pPr>
        <w:spacing w:after="0" w:line="1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Expensify, Inc. made no contributions during the year ended December 31, 2024, and contributions of $0.3 million and $2.4 million during the years ended December 31, 2023 and 2022, respectively, to its established standalone entity, Expensify.org. There were no commitments from Expensify, Inc. that remained open for contribution as of December 31, 2024 and 2023.</w:t>
      </w:r>
    </w:p>
    <w:p>
      <w:pPr>
        <w:spacing w:after="0" w:line="10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There are no other significant related party transactions for the Company as of and for the years ended December 31, 2024, 2023 and 2022, except as noted elsewhere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720"/>
        <w:spacing w:after="0" w:line="288" w:lineRule="auto"/>
        <w:rPr>
          <w:sz w:val="20"/>
          <w:szCs w:val="20"/>
          <w:color w:val="auto"/>
        </w:rPr>
      </w:pPr>
      <w:r>
        <w:rPr>
          <w:rFonts w:ascii="Arial" w:cs="Arial" w:eastAsia="Arial" w:hAnsi="Arial"/>
          <w:sz w:val="29"/>
          <w:szCs w:val="29"/>
          <w:b w:val="1"/>
          <w:bCs w:val="1"/>
          <w:color w:val="002E22"/>
        </w:rPr>
        <w:t>Item 9. Changes in and Disagreements With Accountants on Accounting and Financial Disclosure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9A.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EVALUATION OF DISCLOSURE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Annual Report on Form 10-K.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Based on such evaluation, our chief executive officer and chief financial officer have concluded that as of December 31, 2024, our disclosure controls and procedures were effective at a reasonable assurance level.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MANAGEMENT'S ANNUAL REPORT ON INTERNAL CONTROL OVER FINANCIAL REPORTING</w:t>
      </w:r>
    </w:p>
    <w:p>
      <w:pPr>
        <w:spacing w:after="0" w:line="15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GAAP.</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management, under the supervision of our chief executive officer and our chief financial officer, conducted an evaluation of the effectiveness of our internal control over financial reporting as of December 31, 2024 based on the framework in Internal Control-Integrated Framework (2013), issued by the Committee of Sponsoring Organizations of the Treadway Commission. Based on this evaluation, management, including our chief executive officer and chief financial officer, concluded that our internal control over financial reporting was effective as of December 31, 2024.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REPORT OF INDEPENDENT REGISTERED PUBLIC ACCOUNTING FIRM</w:t>
      </w:r>
    </w:p>
    <w:p>
      <w:pPr>
        <w:spacing w:after="0" w:line="15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2024 has been audited by Ernst &amp; Young LLP, an independent registered public accounting firm, as stated in its report included in Item 8 of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CHANGES IN INTERNAL CONTROL OVER FINANCIAL REPORTING</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quarter ended December 31, 2024 that has materially affected, or is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3D47C"/>
        </w:rPr>
        <w:t>LIMITATIONS OF EFFECTIVENESS OF CONTROLS AND PROCEDURES</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9B.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Insider Trading Arrangements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18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Action</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69"/>
        </w:trPr>
        <w:tc>
          <w:tcPr>
            <w:tcW w:w="1860" w:type="dxa"/>
            <w:vAlign w:val="bottom"/>
            <w:vMerge w:val="restart"/>
          </w:tcPr>
          <w:p>
            <w:pPr>
              <w:spacing w:after="0"/>
              <w:rPr>
                <w:sz w:val="20"/>
                <w:szCs w:val="20"/>
                <w:color w:val="auto"/>
              </w:rPr>
            </w:pPr>
            <w:r>
              <w:rPr>
                <w:rFonts w:ascii="Arial" w:cs="Arial" w:eastAsia="Arial" w:hAnsi="Arial"/>
                <w:sz w:val="18"/>
                <w:szCs w:val="18"/>
                <w:color w:val="auto"/>
              </w:rPr>
              <w:t>Daniel Vidal, Director</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Adopt</w:t>
            </w:r>
          </w:p>
        </w:tc>
        <w:tc>
          <w:tcPr>
            <w:tcW w:w="1480" w:type="dxa"/>
            <w:vAlign w:val="bottom"/>
          </w:tcPr>
          <w:p>
            <w:pPr>
              <w:jc w:val="center"/>
              <w:spacing w:after="0" w:line="169" w:lineRule="exact"/>
              <w:rPr>
                <w:sz w:val="20"/>
                <w:szCs w:val="20"/>
                <w:color w:val="auto"/>
              </w:rPr>
            </w:pPr>
            <w:r>
              <w:rPr>
                <w:rFonts w:ascii="Arial" w:cs="Arial" w:eastAsia="Arial" w:hAnsi="Arial"/>
                <w:sz w:val="18"/>
                <w:szCs w:val="18"/>
                <w:color w:val="auto"/>
                <w:w w:val="99"/>
              </w:rPr>
              <w:t>December 27,</w:t>
            </w:r>
          </w:p>
        </w:tc>
        <w:tc>
          <w:tcPr>
            <w:tcW w:w="0" w:type="dxa"/>
            <w:vAlign w:val="bottom"/>
          </w:tcPr>
          <w:p>
            <w:pPr>
              <w:spacing w:after="0"/>
              <w:rPr>
                <w:sz w:val="1"/>
                <w:szCs w:val="1"/>
                <w:color w:val="auto"/>
              </w:rPr>
            </w:pPr>
          </w:p>
        </w:tc>
      </w:tr>
      <w:tr>
        <w:trPr>
          <w:trHeight w:val="238"/>
        </w:trPr>
        <w:tc>
          <w:tcPr>
            <w:tcW w:w="1860" w:type="dxa"/>
            <w:vAlign w:val="bottom"/>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181"/>
        </w:trPr>
        <w:tc>
          <w:tcPr>
            <w:tcW w:w="1860" w:type="dxa"/>
            <w:vAlign w:val="bottom"/>
          </w:tcPr>
          <w:p>
            <w:pPr>
              <w:spacing w:after="0" w:line="181" w:lineRule="exact"/>
              <w:rPr>
                <w:sz w:val="20"/>
                <w:szCs w:val="20"/>
                <w:color w:val="auto"/>
              </w:rPr>
            </w:pPr>
            <w:r>
              <w:rPr>
                <w:rFonts w:ascii="Arial" w:cs="Arial" w:eastAsia="Arial" w:hAnsi="Arial"/>
                <w:sz w:val="18"/>
                <w:szCs w:val="18"/>
                <w:color w:val="auto"/>
              </w:rPr>
              <w:t>Ryan Schaffer, Chief</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Adopt</w:t>
            </w:r>
          </w:p>
        </w:tc>
        <w:tc>
          <w:tcPr>
            <w:tcW w:w="1480" w:type="dxa"/>
            <w:vAlign w:val="bottom"/>
          </w:tcPr>
          <w:p>
            <w:pPr>
              <w:jc w:val="center"/>
              <w:spacing w:after="0" w:line="181" w:lineRule="exact"/>
              <w:rPr>
                <w:sz w:val="20"/>
                <w:szCs w:val="20"/>
                <w:color w:val="auto"/>
              </w:rPr>
            </w:pPr>
            <w:r>
              <w:rPr>
                <w:rFonts w:ascii="Arial" w:cs="Arial" w:eastAsia="Arial" w:hAnsi="Arial"/>
                <w:sz w:val="18"/>
                <w:szCs w:val="18"/>
                <w:color w:val="auto"/>
                <w:w w:val="99"/>
              </w:rPr>
              <w:t>December 31,</w:t>
            </w:r>
          </w:p>
        </w:tc>
        <w:tc>
          <w:tcPr>
            <w:tcW w:w="0" w:type="dxa"/>
            <w:vAlign w:val="bottom"/>
          </w:tcPr>
          <w:p>
            <w:pPr>
              <w:spacing w:after="0"/>
              <w:rPr>
                <w:sz w:val="1"/>
                <w:szCs w:val="1"/>
                <w:color w:val="auto"/>
              </w:rPr>
            </w:pPr>
          </w:p>
        </w:tc>
      </w:tr>
      <w:tr>
        <w:trPr>
          <w:trHeight w:val="247"/>
        </w:trPr>
        <w:tc>
          <w:tcPr>
            <w:tcW w:w="1860" w:type="dxa"/>
            <w:vAlign w:val="bottom"/>
          </w:tcPr>
          <w:p>
            <w:pPr>
              <w:spacing w:after="0"/>
              <w:rPr>
                <w:sz w:val="20"/>
                <w:szCs w:val="20"/>
                <w:color w:val="auto"/>
              </w:rPr>
            </w:pPr>
            <w:r>
              <w:rPr>
                <w:rFonts w:ascii="Arial" w:cs="Arial" w:eastAsia="Arial" w:hAnsi="Arial"/>
                <w:sz w:val="18"/>
                <w:szCs w:val="18"/>
                <w:color w:val="auto"/>
              </w:rPr>
              <w:t>Financial Officer</w:t>
            </w:r>
          </w:p>
        </w:tc>
        <w:tc>
          <w:tcPr>
            <w:tcW w:w="1560" w:type="dxa"/>
            <w:vAlign w:val="bottom"/>
            <w:gridSpan w:val="2"/>
            <w:vMerge w:val="continue"/>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140" w:type="dxa"/>
            <w:vAlign w:val="bottom"/>
            <w:gridSpan w:val="4"/>
          </w:tcPr>
          <w:p>
            <w:pPr>
              <w:ind w:left="620"/>
              <w:spacing w:after="0"/>
              <w:rPr>
                <w:sz w:val="20"/>
                <w:szCs w:val="20"/>
                <w:color w:val="auto"/>
              </w:rPr>
            </w:pPr>
            <w:r>
              <w:rPr>
                <w:rFonts w:ascii="Arial" w:cs="Arial" w:eastAsia="Arial" w:hAnsi="Arial"/>
                <w:sz w:val="18"/>
                <w:szCs w:val="18"/>
                <w:b w:val="1"/>
                <w:bCs w:val="1"/>
                <w:color w:val="auto"/>
              </w:rPr>
              <w:t>Trading Arrangement</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Rule 10b5-1</w:t>
            </w:r>
            <w:r>
              <w:rPr>
                <w:rFonts w:ascii="Arial" w:cs="Arial" w:eastAsia="Arial" w:hAnsi="Arial"/>
                <w:sz w:val="23"/>
                <w:szCs w:val="23"/>
                <w:b w:val="1"/>
                <w:bCs w:val="1"/>
                <w:color w:val="auto"/>
                <w:w w:val="95"/>
                <w:vertAlign w:val="superscript"/>
              </w:rPr>
              <w:t>(1)</w:t>
            </w:r>
          </w:p>
        </w:tc>
        <w:tc>
          <w:tcPr>
            <w:tcW w:w="100" w:type="dxa"/>
            <w:vAlign w:val="bottom"/>
            <w:vMerge w:val="restart"/>
          </w:tcPr>
          <w:p>
            <w:pPr>
              <w:spacing w:after="0"/>
              <w:rPr>
                <w:sz w:val="15"/>
                <w:szCs w:val="15"/>
                <w:color w:val="auto"/>
              </w:rPr>
            </w:pPr>
          </w:p>
        </w:tc>
        <w:tc>
          <w:tcPr>
            <w:tcW w:w="15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9"/>
              </w:rPr>
              <w:t>Non-Rule 10b5-</w:t>
            </w:r>
          </w:p>
        </w:tc>
        <w:tc>
          <w:tcPr>
            <w:tcW w:w="14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Total Shares to</w:t>
            </w:r>
          </w:p>
        </w:tc>
        <w:tc>
          <w:tcPr>
            <w:tcW w:w="0" w:type="dxa"/>
            <w:vAlign w:val="bottom"/>
          </w:tcPr>
          <w:p>
            <w:pPr>
              <w:spacing w:after="0"/>
              <w:rPr>
                <w:sz w:val="1"/>
                <w:szCs w:val="1"/>
                <w:color w:val="auto"/>
              </w:rPr>
            </w:pPr>
          </w:p>
        </w:tc>
      </w:tr>
      <w:tr>
        <w:trPr>
          <w:trHeight w:val="243"/>
        </w:trPr>
        <w:tc>
          <w:tcPr>
            <w:tcW w:w="14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80" w:type="dxa"/>
            <w:vAlign w:val="bottom"/>
            <w:tcBorders>
              <w:bottom w:val="single" w:sz="8" w:color="auto"/>
            </w:tcBorders>
          </w:tcPr>
          <w:p>
            <w:pPr>
              <w:jc w:val="center"/>
              <w:ind w:right="529"/>
              <w:spacing w:after="0" w:line="243" w:lineRule="exact"/>
              <w:rPr>
                <w:sz w:val="20"/>
                <w:szCs w:val="20"/>
                <w:color w:val="auto"/>
              </w:rPr>
            </w:pPr>
            <w:r>
              <w:rPr>
                <w:rFonts w:ascii="Arial" w:cs="Arial" w:eastAsia="Arial" w:hAnsi="Arial"/>
                <w:sz w:val="28"/>
                <w:szCs w:val="28"/>
                <w:b w:val="1"/>
                <w:bCs w:val="1"/>
                <w:color w:val="auto"/>
                <w:vertAlign w:val="subscript"/>
              </w:rPr>
              <w:t>1</w:t>
            </w:r>
            <w:r>
              <w:rPr>
                <w:rFonts w:ascii="Arial" w:cs="Arial" w:eastAsia="Arial" w:hAnsi="Arial"/>
                <w:sz w:val="11"/>
                <w:szCs w:val="11"/>
                <w:b w:val="1"/>
                <w:bCs w:val="1"/>
                <w:color w:val="auto"/>
              </w:rPr>
              <w:t>(2)</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be Sold</w:t>
            </w:r>
          </w:p>
        </w:tc>
        <w:tc>
          <w:tcPr>
            <w:tcW w:w="0" w:type="dxa"/>
            <w:vAlign w:val="bottom"/>
          </w:tcPr>
          <w:p>
            <w:pPr>
              <w:spacing w:after="0"/>
              <w:rPr>
                <w:sz w:val="1"/>
                <w:szCs w:val="1"/>
                <w:color w:val="auto"/>
              </w:rPr>
            </w:pPr>
          </w:p>
        </w:tc>
      </w:tr>
      <w:tr>
        <w:trPr>
          <w:trHeight w:val="416"/>
        </w:trPr>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color w:val="auto"/>
              </w:rPr>
              <w:t>80,078</w:t>
            </w:r>
          </w:p>
        </w:tc>
        <w:tc>
          <w:tcPr>
            <w:tcW w:w="0" w:type="dxa"/>
            <w:vAlign w:val="bottom"/>
          </w:tcPr>
          <w:p>
            <w:pPr>
              <w:spacing w:after="0"/>
              <w:rPr>
                <w:sz w:val="1"/>
                <w:szCs w:val="1"/>
                <w:color w:val="auto"/>
              </w:rPr>
            </w:pPr>
          </w:p>
        </w:tc>
      </w:tr>
      <w:tr>
        <w:trPr>
          <w:trHeight w:val="418"/>
        </w:trPr>
        <w:tc>
          <w:tcPr>
            <w:tcW w:w="15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-542290</wp:posOffset>
            </wp:positionV>
            <wp:extent cx="7132320" cy="274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Expiration Date</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December 31,</w:t>
      </w:r>
    </w:p>
    <w:p>
      <w:pPr>
        <w:ind w:left="460"/>
        <w:spacing w:after="0"/>
        <w:rPr>
          <w:sz w:val="20"/>
          <w:szCs w:val="20"/>
          <w:color w:val="auto"/>
        </w:rPr>
      </w:pPr>
      <w:r>
        <w:rPr>
          <w:rFonts w:ascii="Arial" w:cs="Arial" w:eastAsia="Arial" w:hAnsi="Arial"/>
          <w:sz w:val="18"/>
          <w:szCs w:val="18"/>
          <w:color w:val="auto"/>
        </w:rPr>
        <w:t>2025</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December 31,</w:t>
      </w:r>
    </w:p>
    <w:p>
      <w:pPr>
        <w:ind w:left="460"/>
        <w:spacing w:after="0"/>
        <w:rPr>
          <w:sz w:val="20"/>
          <w:szCs w:val="20"/>
          <w:color w:val="auto"/>
        </w:rPr>
      </w:pPr>
      <w:r>
        <w:rPr>
          <w:rFonts w:ascii="Arial" w:cs="Arial" w:eastAsia="Arial" w:hAnsi="Arial"/>
          <w:sz w:val="18"/>
          <w:szCs w:val="18"/>
          <w:color w:val="auto"/>
        </w:rPr>
        <w:t>2025</w:t>
      </w:r>
    </w:p>
    <w:p>
      <w:pPr>
        <w:spacing w:after="0" w:line="227" w:lineRule="exact"/>
        <w:rPr>
          <w:sz w:val="20"/>
          <w:szCs w:val="20"/>
          <w:color w:val="auto"/>
        </w:rPr>
      </w:pPr>
    </w:p>
    <w:p>
      <w:pPr>
        <w:sectPr>
          <w:pgSz w:w="11900" w:h="16838" w:orient="portrait"/>
          <w:cols w:equalWidth="0" w:num="3">
            <w:col w:w="4920" w:space="100"/>
            <w:col w:w="4620" w:space="200"/>
            <w:col w:w="1320"/>
          </w:cols>
          <w:pgMar w:left="320" w:top="121" w:right="419" w:bottom="1440" w:gutter="0" w:footer="0" w:header="0"/>
        </w:sectPr>
      </w:pPr>
    </w:p>
    <w:p>
      <w:pPr>
        <w:spacing w:after="0" w:line="13"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Intended to satisfy the affirmative defense of Rule 10b5-1(c).</w:t>
      </w:r>
    </w:p>
    <w:p>
      <w:pPr>
        <w:spacing w:after="0" w:line="24" w:lineRule="exact"/>
        <w:rPr>
          <w:rFonts w:ascii="Arial" w:cs="Arial" w:eastAsia="Arial" w:hAnsi="Arial"/>
          <w:sz w:val="13"/>
          <w:szCs w:val="13"/>
          <w:color w:val="auto"/>
        </w:rPr>
      </w:pP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Not intended to satisfy the affirmative defense of Rule 10b5-1(c).</w:t>
      </w:r>
    </w:p>
    <w:p>
      <w:pPr>
        <w:spacing w:after="0" w:line="128" w:lineRule="exact"/>
        <w:rPr>
          <w:sz w:val="20"/>
          <w:szCs w:val="20"/>
          <w:color w:val="auto"/>
        </w:rPr>
      </w:pPr>
    </w:p>
    <w:p>
      <w:pPr>
        <w:spacing w:after="0"/>
        <w:rPr>
          <w:sz w:val="20"/>
          <w:szCs w:val="20"/>
          <w:color w:val="auto"/>
        </w:rPr>
      </w:pPr>
      <w:r>
        <w:rPr>
          <w:rFonts w:ascii="Arial" w:cs="Arial" w:eastAsia="Arial" w:hAnsi="Arial"/>
          <w:sz w:val="28"/>
          <w:szCs w:val="28"/>
          <w:b w:val="1"/>
          <w:bCs w:val="1"/>
          <w:color w:val="002E22"/>
        </w:rPr>
        <w:t>Item 9C. Disclosure Regarding Foreign Jurisdictions that Prevent Inspections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III</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10. Directors, Executive Officers and Corporate Governance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with respect to our board of directors and executive officers is presented as of February 27,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Age</w:t>
            </w: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Position at Expensify</w:t>
            </w:r>
          </w:p>
        </w:tc>
        <w:tc>
          <w:tcPr>
            <w:tcW w:w="4500" w:type="dxa"/>
            <w:vAlign w:val="bottom"/>
          </w:tcPr>
          <w:p>
            <w:pPr>
              <w:spacing w:after="0"/>
              <w:rPr>
                <w:sz w:val="20"/>
                <w:szCs w:val="20"/>
                <w:color w:val="auto"/>
              </w:rPr>
            </w:pPr>
            <w:r>
              <w:rPr>
                <w:rFonts w:ascii="Arial" w:cs="Arial" w:eastAsia="Arial" w:hAnsi="Arial"/>
                <w:sz w:val="18"/>
                <w:szCs w:val="18"/>
                <w:b w:val="1"/>
                <w:bCs w:val="1"/>
                <w:color w:val="auto"/>
              </w:rPr>
              <w:t>Principal Employment</w:t>
            </w: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Barrett</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48</w:t>
            </w:r>
          </w:p>
        </w:tc>
        <w:tc>
          <w:tcPr>
            <w:tcW w:w="100" w:type="dxa"/>
            <w:vAlign w:val="bottom"/>
            <w:tcBorders>
              <w:top w:val="single" w:sz="8" w:color="CCEEFF"/>
            </w:tcBorders>
            <w:shd w:val="clear" w:color="auto" w:fill="CCEEFF"/>
          </w:tcPr>
          <w:p>
            <w:pPr>
              <w:spacing w:after="0"/>
              <w:rPr>
                <w:sz w:val="19"/>
                <w:szCs w:val="19"/>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of Expensify</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Ryan Schaffer</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Financial Officer and Director</w:t>
            </w:r>
          </w:p>
        </w:tc>
        <w:tc>
          <w:tcPr>
            <w:tcW w:w="4500" w:type="dxa"/>
            <w:vAlign w:val="bottom"/>
          </w:tcPr>
          <w:p>
            <w:pPr>
              <w:spacing w:after="0"/>
              <w:rPr>
                <w:sz w:val="20"/>
                <w:szCs w:val="20"/>
                <w:color w:val="auto"/>
              </w:rPr>
            </w:pPr>
            <w:r>
              <w:rPr>
                <w:rFonts w:ascii="Arial" w:cs="Arial" w:eastAsia="Arial" w:hAnsi="Arial"/>
                <w:sz w:val="18"/>
                <w:szCs w:val="18"/>
                <w:color w:val="auto"/>
              </w:rPr>
              <w:t>Chief Financial Officer of Expensify</w:t>
            </w:r>
          </w:p>
        </w:tc>
      </w:tr>
      <w:tr>
        <w:trPr>
          <w:trHeight w:val="22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Anuradha Muralidharan</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41</w:t>
            </w:r>
          </w:p>
        </w:tc>
        <w:tc>
          <w:tcPr>
            <w:tcW w:w="10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Operating Officer and Director</w:t>
            </w: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 of Expensify</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Jason Mills</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Chief Product Officer and Director</w:t>
            </w:r>
          </w:p>
        </w:tc>
        <w:tc>
          <w:tcPr>
            <w:tcW w:w="4500" w:type="dxa"/>
            <w:vAlign w:val="bottom"/>
          </w:tcPr>
          <w:p>
            <w:pPr>
              <w:spacing w:after="0"/>
              <w:rPr>
                <w:sz w:val="20"/>
                <w:szCs w:val="20"/>
                <w:color w:val="auto"/>
              </w:rPr>
            </w:pPr>
            <w:r>
              <w:rPr>
                <w:rFonts w:ascii="Arial" w:cs="Arial" w:eastAsia="Arial" w:hAnsi="Arial"/>
                <w:sz w:val="18"/>
                <w:szCs w:val="18"/>
                <w:color w:val="auto"/>
              </w:rPr>
              <w:t>Chief Product Officer of Expensify</w:t>
            </w:r>
          </w:p>
        </w:tc>
      </w:tr>
      <w:tr>
        <w:trPr>
          <w:trHeight w:val="22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Vidal</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w:t>
            </w:r>
          </w:p>
        </w:tc>
        <w:tc>
          <w:tcPr>
            <w:tcW w:w="10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Strategy Officer and Director</w:t>
            </w: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Chief Strategy Officer of Expensify</w:t>
            </w:r>
          </w:p>
        </w:tc>
      </w:tr>
      <w:tr>
        <w:trPr>
          <w:trHeight w:val="176"/>
        </w:trPr>
        <w:tc>
          <w:tcPr>
            <w:tcW w:w="2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Timothy Christen</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99"/>
              </w:rPr>
              <w:t>66</w:t>
            </w:r>
          </w:p>
        </w:tc>
        <w:tc>
          <w:tcPr>
            <w:tcW w:w="100" w:type="dxa"/>
            <w:vAlign w:val="bottom"/>
          </w:tcPr>
          <w:p>
            <w:pPr>
              <w:spacing w:after="0"/>
              <w:rPr>
                <w:sz w:val="15"/>
                <w:szCs w:val="15"/>
                <w:color w:val="auto"/>
              </w:rPr>
            </w:pPr>
          </w:p>
        </w:tc>
        <w:tc>
          <w:tcPr>
            <w:tcW w:w="3240" w:type="dxa"/>
            <w:vAlign w:val="bottom"/>
            <w:gridSpan w:val="2"/>
          </w:tcPr>
          <w:p>
            <w:pPr>
              <w:spacing w:after="0" w:line="176" w:lineRule="exact"/>
              <w:rPr>
                <w:sz w:val="20"/>
                <w:szCs w:val="20"/>
                <w:color w:val="auto"/>
              </w:rPr>
            </w:pPr>
            <w:r>
              <w:rPr>
                <w:rFonts w:ascii="Arial" w:cs="Arial" w:eastAsia="Arial" w:hAnsi="Arial"/>
                <w:sz w:val="18"/>
                <w:szCs w:val="18"/>
                <w:color w:val="auto"/>
              </w:rPr>
              <w:t>Director</w:t>
            </w:r>
          </w:p>
        </w:tc>
        <w:tc>
          <w:tcPr>
            <w:tcW w:w="4500" w:type="dxa"/>
            <w:vAlign w:val="bottom"/>
          </w:tcPr>
          <w:p>
            <w:pPr>
              <w:spacing w:after="0" w:line="176" w:lineRule="exact"/>
              <w:rPr>
                <w:sz w:val="20"/>
                <w:szCs w:val="20"/>
                <w:color w:val="auto"/>
              </w:rPr>
            </w:pPr>
            <w:r>
              <w:rPr>
                <w:rFonts w:ascii="Arial" w:cs="Arial" w:eastAsia="Arial" w:hAnsi="Arial"/>
                <w:sz w:val="18"/>
                <w:szCs w:val="18"/>
                <w:color w:val="auto"/>
              </w:rPr>
              <w:t>Chairman of the Board at Mayville Engineering</w:t>
            </w:r>
          </w:p>
        </w:tc>
      </w:tr>
      <w:tr>
        <w:trPr>
          <w:trHeight w:val="175"/>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line="176" w:lineRule="exact"/>
              <w:rPr>
                <w:sz w:val="20"/>
                <w:szCs w:val="20"/>
                <w:color w:val="auto"/>
              </w:rPr>
            </w:pPr>
            <w:r>
              <w:rPr>
                <w:rFonts w:ascii="Arial" w:cs="Arial" w:eastAsia="Arial" w:hAnsi="Arial"/>
                <w:sz w:val="18"/>
                <w:szCs w:val="18"/>
                <w:color w:val="auto"/>
              </w:rPr>
              <w:t>Company, a value-added manufacturer providing</w:t>
            </w:r>
          </w:p>
        </w:tc>
      </w:tr>
      <w:tr>
        <w:trPr>
          <w:trHeight w:val="184"/>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line="183" w:lineRule="exact"/>
              <w:rPr>
                <w:sz w:val="20"/>
                <w:szCs w:val="20"/>
                <w:color w:val="auto"/>
              </w:rPr>
            </w:pPr>
            <w:r>
              <w:rPr>
                <w:rFonts w:ascii="Arial" w:cs="Arial" w:eastAsia="Arial" w:hAnsi="Arial"/>
                <w:sz w:val="18"/>
                <w:szCs w:val="18"/>
                <w:color w:val="auto"/>
              </w:rPr>
              <w:t>prototyping and tooling, production fabrication, coating,</w:t>
            </w:r>
          </w:p>
        </w:tc>
      </w:tr>
      <w:tr>
        <w:trPr>
          <w:trHeight w:val="181"/>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line="181" w:lineRule="exact"/>
              <w:rPr>
                <w:sz w:val="20"/>
                <w:szCs w:val="20"/>
                <w:color w:val="auto"/>
              </w:rPr>
            </w:pPr>
            <w:r>
              <w:rPr>
                <w:rFonts w:ascii="Arial" w:cs="Arial" w:eastAsia="Arial" w:hAnsi="Arial"/>
                <w:sz w:val="18"/>
                <w:szCs w:val="18"/>
                <w:color w:val="auto"/>
              </w:rPr>
              <w:t>assembly, and aftermarket services across diverse</w:t>
            </w:r>
          </w:p>
        </w:tc>
      </w:tr>
      <w:tr>
        <w:trPr>
          <w:trHeight w:val="241"/>
        </w:trPr>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industries</w:t>
            </w:r>
          </w:p>
        </w:tc>
      </w:tr>
      <w:tr>
        <w:trPr>
          <w:trHeight w:val="178"/>
        </w:trPr>
        <w:tc>
          <w:tcPr>
            <w:tcW w:w="254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Ellen Pao</w:t>
            </w:r>
          </w:p>
        </w:tc>
        <w:tc>
          <w:tcPr>
            <w:tcW w:w="860" w:type="dxa"/>
            <w:vAlign w:val="bottom"/>
            <w:shd w:val="clear" w:color="auto" w:fill="CCEEFF"/>
          </w:tcPr>
          <w:p>
            <w:pPr>
              <w:jc w:val="center"/>
              <w:spacing w:after="0" w:line="177" w:lineRule="exact"/>
              <w:rPr>
                <w:sz w:val="20"/>
                <w:szCs w:val="20"/>
                <w:color w:val="auto"/>
              </w:rPr>
            </w:pPr>
            <w:r>
              <w:rPr>
                <w:rFonts w:ascii="Arial" w:cs="Arial" w:eastAsia="Arial" w:hAnsi="Arial"/>
                <w:sz w:val="18"/>
                <w:szCs w:val="18"/>
                <w:color w:val="auto"/>
                <w:w w:val="99"/>
              </w:rPr>
              <w:t>55</w:t>
            </w:r>
          </w:p>
        </w:tc>
        <w:tc>
          <w:tcPr>
            <w:tcW w:w="10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color w:val="auto"/>
              </w:rPr>
              <w:t>Director</w:t>
            </w:r>
          </w:p>
        </w:tc>
        <w:tc>
          <w:tcPr>
            <w:tcW w:w="4500" w:type="dxa"/>
            <w:vAlign w:val="bottom"/>
            <w:shd w:val="clear" w:color="auto" w:fill="CCEEFF"/>
          </w:tcPr>
          <w:p>
            <w:pPr>
              <w:spacing w:after="0" w:line="177" w:lineRule="exact"/>
              <w:rPr>
                <w:sz w:val="20"/>
                <w:szCs w:val="20"/>
                <w:color w:val="auto"/>
              </w:rPr>
            </w:pPr>
            <w:r>
              <w:rPr>
                <w:rFonts w:ascii="Arial" w:cs="Arial" w:eastAsia="Arial" w:hAnsi="Arial"/>
                <w:sz w:val="18"/>
                <w:szCs w:val="18"/>
                <w:color w:val="auto"/>
              </w:rPr>
              <w:t>Cofounder and Chief Executive Officer of Project</w:t>
            </w:r>
          </w:p>
        </w:tc>
      </w:tr>
      <w:tr>
        <w:trPr>
          <w:trHeight w:val="175"/>
        </w:trPr>
        <w:tc>
          <w:tcPr>
            <w:tcW w:w="2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5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Include, a nonprofit advocating for diversity, equity and</w:t>
            </w:r>
          </w:p>
        </w:tc>
      </w:tr>
      <w:tr>
        <w:trPr>
          <w:trHeight w:val="243"/>
        </w:trPr>
        <w:tc>
          <w:tcPr>
            <w:tcW w:w="2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inclusion in technology companies</w:t>
            </w:r>
          </w:p>
        </w:tc>
      </w:tr>
      <w:tr>
        <w:trPr>
          <w:trHeight w:val="175"/>
        </w:trPr>
        <w:tc>
          <w:tcPr>
            <w:tcW w:w="2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Ying (Vivian) Liu</w:t>
            </w:r>
          </w:p>
        </w:tc>
        <w:tc>
          <w:tcPr>
            <w:tcW w:w="860" w:type="dxa"/>
            <w:vAlign w:val="bottom"/>
          </w:tcPr>
          <w:p>
            <w:pPr>
              <w:jc w:val="center"/>
              <w:spacing w:after="0" w:line="176" w:lineRule="exact"/>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15"/>
                <w:szCs w:val="15"/>
                <w:color w:val="auto"/>
              </w:rPr>
            </w:pPr>
          </w:p>
        </w:tc>
        <w:tc>
          <w:tcPr>
            <w:tcW w:w="3240" w:type="dxa"/>
            <w:vAlign w:val="bottom"/>
            <w:gridSpan w:val="2"/>
          </w:tcPr>
          <w:p>
            <w:pPr>
              <w:spacing w:after="0" w:line="176" w:lineRule="exact"/>
              <w:rPr>
                <w:sz w:val="20"/>
                <w:szCs w:val="20"/>
                <w:color w:val="auto"/>
              </w:rPr>
            </w:pPr>
            <w:r>
              <w:rPr>
                <w:rFonts w:ascii="Arial" w:cs="Arial" w:eastAsia="Arial" w:hAnsi="Arial"/>
                <w:sz w:val="18"/>
                <w:szCs w:val="18"/>
                <w:color w:val="auto"/>
              </w:rPr>
              <w:t>Director</w:t>
            </w:r>
          </w:p>
        </w:tc>
        <w:tc>
          <w:tcPr>
            <w:tcW w:w="4500" w:type="dxa"/>
            <w:vAlign w:val="bottom"/>
          </w:tcPr>
          <w:p>
            <w:pPr>
              <w:spacing w:after="0" w:line="176" w:lineRule="exact"/>
              <w:rPr>
                <w:sz w:val="20"/>
                <w:szCs w:val="20"/>
                <w:color w:val="auto"/>
              </w:rPr>
            </w:pPr>
            <w:r>
              <w:rPr>
                <w:rFonts w:ascii="Arial" w:cs="Arial" w:eastAsia="Arial" w:hAnsi="Arial"/>
                <w:sz w:val="18"/>
                <w:szCs w:val="18"/>
                <w:color w:val="auto"/>
              </w:rPr>
              <w:t>Former President, Chief Operating Officer, and Chief</w:t>
            </w:r>
          </w:p>
        </w:tc>
      </w:tr>
      <w:tr>
        <w:trPr>
          <w:trHeight w:val="176"/>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Pr>
          <w:p>
            <w:pPr>
              <w:spacing w:after="0" w:line="176" w:lineRule="exact"/>
              <w:rPr>
                <w:sz w:val="20"/>
                <w:szCs w:val="20"/>
                <w:color w:val="auto"/>
              </w:rPr>
            </w:pPr>
            <w:r>
              <w:rPr>
                <w:rFonts w:ascii="Arial" w:cs="Arial" w:eastAsia="Arial" w:hAnsi="Arial"/>
                <w:sz w:val="18"/>
                <w:szCs w:val="18"/>
                <w:color w:val="auto"/>
              </w:rPr>
              <w:t>Financial Officer of ContextLogic, Inc. (d/b/a Wish), a</w:t>
            </w:r>
          </w:p>
        </w:tc>
      </w:tr>
      <w:tr>
        <w:trPr>
          <w:trHeight w:val="239"/>
        </w:trPr>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mobile e-commerce platform</w:t>
            </w:r>
          </w:p>
        </w:tc>
      </w:tr>
    </w:tbl>
    <w:p>
      <w:pPr>
        <w:spacing w:after="0" w:line="215"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We have adopted an insider trading policy that governs the purchase, sale, and/or other dispositions of our securities by officers, directors, contractors, consultants and employees that is reasonably designed to promote compliance with insider trading laws, rules and regulations, and the listing requirements of Nasdaq. A copy of our insider trading policy is filed as Exhibit 19.1 to this Annual Report on Form 10-K.</w:t>
      </w:r>
    </w:p>
    <w:p>
      <w:pPr>
        <w:spacing w:after="0" w:line="8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other information required by this Item will be set forth in, and is incorporated by reference to, our 2025 Proxy Statement (the “2025 Proxy Statement”) to be filed with the SEC within 120 days after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11. Executive Compensation</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will be set forth in, and is incorporated by reference to, the 2025 Proxy Statement to be filed with the SEC within 120 days after December 31, 2024.</w:t>
      </w:r>
    </w:p>
    <w:p>
      <w:pPr>
        <w:spacing w:after="0" w:line="70" w:lineRule="exact"/>
        <w:rPr>
          <w:sz w:val="20"/>
          <w:szCs w:val="20"/>
          <w:color w:val="auto"/>
        </w:rPr>
      </w:pPr>
    </w:p>
    <w:p>
      <w:pPr>
        <w:ind w:right="60"/>
        <w:spacing w:after="0" w:line="288" w:lineRule="auto"/>
        <w:rPr>
          <w:sz w:val="20"/>
          <w:szCs w:val="20"/>
          <w:color w:val="auto"/>
        </w:rPr>
      </w:pPr>
      <w:r>
        <w:rPr>
          <w:rFonts w:ascii="Arial" w:cs="Arial" w:eastAsia="Arial" w:hAnsi="Arial"/>
          <w:sz w:val="29"/>
          <w:szCs w:val="29"/>
          <w:b w:val="1"/>
          <w:bCs w:val="1"/>
          <w:color w:val="002E22"/>
        </w:rPr>
        <w:t>Item 12. Security Ownership of Certain Beneficial Owners and Management and Related Stockholder Matters</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will be set forth in, and is incorporated by reference to, the 2025 Proxy Statement to be filed with the SEC within 120 days after December 31, 2024.</w:t>
      </w:r>
    </w:p>
    <w:p>
      <w:pPr>
        <w:spacing w:after="0" w:line="70" w:lineRule="exact"/>
        <w:rPr>
          <w:sz w:val="20"/>
          <w:szCs w:val="20"/>
          <w:color w:val="auto"/>
        </w:rPr>
      </w:pPr>
    </w:p>
    <w:p>
      <w:pPr>
        <w:ind w:right="1400"/>
        <w:spacing w:after="0" w:line="298" w:lineRule="auto"/>
        <w:rPr>
          <w:sz w:val="20"/>
          <w:szCs w:val="20"/>
          <w:color w:val="auto"/>
        </w:rPr>
      </w:pPr>
      <w:r>
        <w:rPr>
          <w:rFonts w:ascii="Arial" w:cs="Arial" w:eastAsia="Arial" w:hAnsi="Arial"/>
          <w:sz w:val="29"/>
          <w:szCs w:val="29"/>
          <w:b w:val="1"/>
          <w:bCs w:val="1"/>
          <w:color w:val="002E22"/>
        </w:rPr>
        <w:t>Item 13. Certain Relationships and Related Transactions, and Director Independence</w:t>
      </w:r>
    </w:p>
    <w:p>
      <w:pPr>
        <w:spacing w:after="0" w:line="2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will be set forth in, and is incorporated by reference to, the 2025 Proxy Statement to be filed with the SEC within 120 days after December 31, 2024.</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14. Principal Accountant Fees and Services</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required by this Item will be set forth in, and is incorporated by reference to, the 2025 Proxy Statement to be filed with the SEC within 120 days after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002E22"/>
        </w:rPr>
        <w:t>Part IV</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15. Exhibit and Financial Statement Schedules</w:t>
      </w:r>
    </w:p>
    <w:p>
      <w:pPr>
        <w:spacing w:after="0" w:line="168"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documents are refiled as part of this report:</w:t>
      </w:r>
    </w:p>
    <w:p>
      <w:pPr>
        <w:spacing w:after="0" w:line="63" w:lineRule="exact"/>
        <w:rPr>
          <w:rFonts w:ascii="Arial" w:cs="Arial" w:eastAsia="Arial" w:hAnsi="Arial"/>
          <w:sz w:val="18"/>
          <w:szCs w:val="18"/>
          <w:color w:val="auto"/>
        </w:rPr>
      </w:pPr>
    </w:p>
    <w:p>
      <w:pPr>
        <w:ind w:left="1340" w:hanging="360"/>
        <w:spacing w:after="0"/>
        <w:tabs>
          <w:tab w:leader="none" w:pos="1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Index to Financial Statements in Item 8 of this report.</w:t>
      </w:r>
    </w:p>
    <w:p>
      <w:pPr>
        <w:spacing w:after="0" w:line="144" w:lineRule="exact"/>
        <w:rPr>
          <w:sz w:val="20"/>
          <w:szCs w:val="20"/>
          <w:color w:val="auto"/>
        </w:rPr>
      </w:pPr>
    </w:p>
    <w:p>
      <w:pPr>
        <w:ind w:left="1320" w:hanging="340"/>
        <w:spacing w:after="0"/>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57" w:lineRule="exact"/>
        <w:rPr>
          <w:rFonts w:ascii="Arial" w:cs="Arial" w:eastAsia="Arial" w:hAnsi="Arial"/>
          <w:sz w:val="18"/>
          <w:szCs w:val="18"/>
          <w:color w:val="auto"/>
        </w:rPr>
      </w:pPr>
    </w:p>
    <w:p>
      <w:pPr>
        <w:ind w:left="1300" w:right="60"/>
        <w:spacing w:after="0" w:line="268"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documents set forth below are filed herewith or incorporated herein by reference to the location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rPr>
              <w:t>Incorporated by Reference</w:t>
            </w:r>
          </w:p>
        </w:tc>
        <w:tc>
          <w:tcPr>
            <w:tcW w:w="1580" w:type="dxa"/>
            <w:vAlign w:val="bottom"/>
            <w:tcBorders>
              <w:bottom w:val="single" w:sz="8" w:color="auto"/>
            </w:tcBorders>
          </w:tcPr>
          <w:p>
            <w:pPr>
              <w:spacing w:after="0"/>
              <w:rPr>
                <w:sz w:val="18"/>
                <w:szCs w:val="18"/>
                <w:color w:val="auto"/>
              </w:rPr>
            </w:pPr>
          </w:p>
        </w:tc>
      </w:tr>
      <w:tr>
        <w:trPr>
          <w:trHeight w:val="412"/>
        </w:trPr>
        <w:tc>
          <w:tcPr>
            <w:tcW w:w="1540" w:type="dxa"/>
            <w:vAlign w:val="bottom"/>
            <w:gridSpan w:val="2"/>
          </w:tcPr>
          <w:p>
            <w:pPr>
              <w:ind w:left="28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19"/>
          </w:tcPr>
          <w:p>
            <w:pPr>
              <w:ind w:left="68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24"/>
                <w:szCs w:val="24"/>
                <w:color w:val="auto"/>
              </w:rPr>
            </w:pPr>
          </w:p>
        </w:tc>
        <w:tc>
          <w:tcPr>
            <w:tcW w:w="130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Form</w:t>
            </w:r>
          </w:p>
        </w:tc>
        <w:tc>
          <w:tcPr>
            <w:tcW w:w="1600" w:type="dxa"/>
            <w:vAlign w:val="bottom"/>
          </w:tcPr>
          <w:p>
            <w:pPr>
              <w:ind w:left="520"/>
              <w:spacing w:after="0"/>
              <w:rPr>
                <w:sz w:val="20"/>
                <w:szCs w:val="20"/>
                <w:color w:val="auto"/>
              </w:rPr>
            </w:pPr>
            <w:r>
              <w:rPr>
                <w:rFonts w:ascii="Arial" w:cs="Arial" w:eastAsia="Arial" w:hAnsi="Arial"/>
                <w:sz w:val="16"/>
                <w:szCs w:val="16"/>
                <w:b w:val="1"/>
                <w:bCs w:val="1"/>
                <w:color w:val="auto"/>
              </w:rPr>
              <w:t>File No.</w:t>
            </w: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Exhibit</w:t>
            </w:r>
          </w:p>
        </w:tc>
        <w:tc>
          <w:tcPr>
            <w:tcW w:w="1580" w:type="dxa"/>
            <w:vAlign w:val="bottom"/>
          </w:tcPr>
          <w:p>
            <w:pPr>
              <w:jc w:val="center"/>
              <w:ind w:left="99"/>
              <w:spacing w:after="0"/>
              <w:rPr>
                <w:sz w:val="20"/>
                <w:szCs w:val="20"/>
                <w:color w:val="auto"/>
              </w:rPr>
            </w:pPr>
            <w:r>
              <w:rPr>
                <w:rFonts w:ascii="Arial" w:cs="Arial" w:eastAsia="Arial" w:hAnsi="Arial"/>
                <w:sz w:val="16"/>
                <w:szCs w:val="16"/>
                <w:b w:val="1"/>
                <w:bCs w:val="1"/>
                <w:color w:val="auto"/>
              </w:rPr>
              <w:t>Filing Date</w:t>
            </w:r>
          </w:p>
        </w:tc>
      </w:tr>
      <w:tr>
        <w:trPr>
          <w:trHeight w:val="169"/>
        </w:trPr>
        <w:tc>
          <w:tcPr>
            <w:tcW w:w="1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920" w:type="dxa"/>
            <w:vAlign w:val="bottom"/>
            <w:tcBorders>
              <w:top w:val="single" w:sz="8" w:color="auto"/>
            </w:tcBorders>
            <w:gridSpan w:val="21"/>
          </w:tcPr>
          <w:p>
            <w:pPr>
              <w:spacing w:after="0" w:line="169" w:lineRule="exact"/>
              <w:rPr>
                <w:rFonts w:ascii="Arial" w:cs="Arial" w:eastAsia="Arial" w:hAnsi="Arial"/>
                <w:sz w:val="16"/>
                <w:szCs w:val="16"/>
                <w:color w:val="0000FF"/>
              </w:rPr>
            </w:pPr>
            <w:hyperlink r:id="rId201">
              <w:r>
                <w:rPr>
                  <w:rFonts w:ascii="Arial" w:cs="Arial" w:eastAsia="Arial" w:hAnsi="Arial"/>
                  <w:sz w:val="16"/>
                  <w:szCs w:val="16"/>
                  <w:color w:val="0000FF"/>
                </w:rPr>
                <w:t>Amended and Restated Certificate of Incorporation of</w:t>
              </w:r>
            </w:hyperlink>
          </w:p>
        </w:tc>
        <w:tc>
          <w:tcPr>
            <w:tcW w:w="140" w:type="dxa"/>
            <w:vAlign w:val="bottom"/>
          </w:tcPr>
          <w:p>
            <w:pPr>
              <w:spacing w:after="0"/>
              <w:rPr>
                <w:sz w:val="14"/>
                <w:szCs w:val="14"/>
                <w:color w:val="auto"/>
              </w:rPr>
            </w:pPr>
          </w:p>
        </w:tc>
        <w:tc>
          <w:tcPr>
            <w:tcW w:w="1300" w:type="dxa"/>
            <w:vAlign w:val="bottom"/>
          </w:tcPr>
          <w:p>
            <w:pPr>
              <w:jc w:val="center"/>
              <w:ind w:left="19"/>
              <w:spacing w:after="0" w:line="169" w:lineRule="exact"/>
              <w:rPr>
                <w:sz w:val="20"/>
                <w:szCs w:val="20"/>
                <w:color w:val="auto"/>
              </w:rPr>
            </w:pPr>
            <w:r>
              <w:rPr>
                <w:rFonts w:ascii="Arial" w:cs="Arial" w:eastAsia="Arial" w:hAnsi="Arial"/>
                <w:sz w:val="16"/>
                <w:szCs w:val="16"/>
                <w:color w:val="auto"/>
              </w:rPr>
              <w:t>10-Q</w:t>
            </w:r>
          </w:p>
        </w:tc>
        <w:tc>
          <w:tcPr>
            <w:tcW w:w="1600" w:type="dxa"/>
            <w:vAlign w:val="bottom"/>
          </w:tcPr>
          <w:p>
            <w:pPr>
              <w:jc w:val="center"/>
              <w:spacing w:after="0" w:line="169" w:lineRule="exact"/>
              <w:rPr>
                <w:sz w:val="20"/>
                <w:szCs w:val="20"/>
                <w:color w:val="auto"/>
              </w:rPr>
            </w:pPr>
            <w:r>
              <w:rPr>
                <w:rFonts w:ascii="Arial" w:cs="Arial" w:eastAsia="Arial" w:hAnsi="Arial"/>
                <w:sz w:val="16"/>
                <w:szCs w:val="16"/>
                <w:color w:val="auto"/>
              </w:rPr>
              <w:t>001-41043</w:t>
            </w:r>
          </w:p>
        </w:tc>
        <w:tc>
          <w:tcPr>
            <w:tcW w:w="1140" w:type="dxa"/>
            <w:vAlign w:val="bottom"/>
          </w:tcPr>
          <w:p>
            <w:pPr>
              <w:jc w:val="center"/>
              <w:spacing w:after="0" w:line="169" w:lineRule="exact"/>
              <w:rPr>
                <w:sz w:val="20"/>
                <w:szCs w:val="20"/>
                <w:color w:val="auto"/>
              </w:rPr>
            </w:pPr>
            <w:r>
              <w:rPr>
                <w:rFonts w:ascii="Arial" w:cs="Arial" w:eastAsia="Arial" w:hAnsi="Arial"/>
                <w:sz w:val="16"/>
                <w:szCs w:val="16"/>
                <w:color w:val="auto"/>
                <w:w w:val="98"/>
              </w:rPr>
              <w:t>3.1</w:t>
            </w:r>
          </w:p>
        </w:tc>
        <w:tc>
          <w:tcPr>
            <w:tcW w:w="1580" w:type="dxa"/>
            <w:vAlign w:val="bottom"/>
          </w:tcPr>
          <w:p>
            <w:pPr>
              <w:jc w:val="center"/>
              <w:ind w:left="99"/>
              <w:spacing w:after="0" w:line="169" w:lineRule="exact"/>
              <w:rPr>
                <w:sz w:val="20"/>
                <w:szCs w:val="20"/>
                <w:color w:val="auto"/>
              </w:rPr>
            </w:pPr>
            <w:r>
              <w:rPr>
                <w:rFonts w:ascii="Arial" w:cs="Arial" w:eastAsia="Arial" w:hAnsi="Arial"/>
                <w:sz w:val="16"/>
                <w:szCs w:val="16"/>
                <w:color w:val="auto"/>
              </w:rPr>
              <w:t>November 8 ,2024</w:t>
            </w: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201">
              <w:r>
                <w:rPr>
                  <w:rFonts w:ascii="Arial" w:cs="Arial" w:eastAsia="Arial" w:hAnsi="Arial"/>
                  <w:sz w:val="16"/>
                  <w:szCs w:val="16"/>
                  <w:color w:val="0000FF"/>
                  <w:w w:val="99"/>
                </w:rPr>
                <w:t>the Registrant.</w:t>
              </w:r>
            </w:hyperlink>
          </w:p>
        </w:tc>
        <w:tc>
          <w:tcPr>
            <w:tcW w:w="2800" w:type="dxa"/>
            <w:vAlign w:val="bottom"/>
            <w:tcBorders>
              <w:top w:val="single" w:sz="8" w:color="0000FF"/>
            </w:tcBorders>
            <w:gridSpan w:val="18"/>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gridSpan w:val="21"/>
          </w:tcPr>
          <w:p>
            <w:pPr>
              <w:spacing w:after="0"/>
              <w:rPr>
                <w:rFonts w:ascii="Arial" w:cs="Arial" w:eastAsia="Arial" w:hAnsi="Arial"/>
                <w:sz w:val="16"/>
                <w:szCs w:val="16"/>
                <w:color w:val="0000FF"/>
              </w:rPr>
            </w:pPr>
            <w:hyperlink r:id="rId202">
              <w:r>
                <w:rPr>
                  <w:rFonts w:ascii="Arial" w:cs="Arial" w:eastAsia="Arial" w:hAnsi="Arial"/>
                  <w:sz w:val="16"/>
                  <w:szCs w:val="16"/>
                  <w:color w:val="0000FF"/>
                </w:rPr>
                <w:t>Amended and Restated Bylaws of the Registrant.</w:t>
              </w:r>
            </w:hyperlink>
          </w:p>
        </w:tc>
        <w:tc>
          <w:tcPr>
            <w:tcW w:w="140" w:type="dxa"/>
            <w:vAlign w:val="bottom"/>
          </w:tcPr>
          <w:p>
            <w:pPr>
              <w:spacing w:after="0"/>
              <w:rPr>
                <w:sz w:val="21"/>
                <w:szCs w:val="21"/>
                <w:color w:val="auto"/>
              </w:rPr>
            </w:pPr>
          </w:p>
        </w:tc>
        <w:tc>
          <w:tcPr>
            <w:tcW w:w="1300" w:type="dxa"/>
            <w:vAlign w:val="bottom"/>
          </w:tcPr>
          <w:p>
            <w:pPr>
              <w:jc w:val="center"/>
              <w:ind w:left="39"/>
              <w:spacing w:after="0"/>
              <w:rPr>
                <w:sz w:val="20"/>
                <w:szCs w:val="20"/>
                <w:color w:val="auto"/>
              </w:rPr>
            </w:pPr>
            <w:r>
              <w:rPr>
                <w:rFonts w:ascii="Arial" w:cs="Arial" w:eastAsia="Arial" w:hAnsi="Arial"/>
                <w:sz w:val="16"/>
                <w:szCs w:val="16"/>
                <w:color w:val="auto"/>
              </w:rPr>
              <w:t>8-K</w:t>
            </w:r>
          </w:p>
        </w:tc>
        <w:tc>
          <w:tcPr>
            <w:tcW w:w="160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rPr>
              <w:t>November 15,</w:t>
            </w:r>
          </w:p>
        </w:tc>
      </w:tr>
      <w:tr>
        <w:trPr>
          <w:trHeight w:val="195"/>
        </w:trPr>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2021</w:t>
            </w:r>
          </w:p>
        </w:tc>
      </w:tr>
      <w:tr>
        <w:trPr>
          <w:trHeight w:val="217"/>
        </w:trPr>
        <w:tc>
          <w:tcPr>
            <w:tcW w:w="14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21"/>
          </w:tcPr>
          <w:p>
            <w:pPr>
              <w:spacing w:after="0"/>
              <w:rPr>
                <w:rFonts w:ascii="Arial" w:cs="Arial" w:eastAsia="Arial" w:hAnsi="Arial"/>
                <w:sz w:val="16"/>
                <w:szCs w:val="16"/>
                <w:color w:val="0000FF"/>
              </w:rPr>
            </w:pPr>
            <w:hyperlink r:id="rId203">
              <w:r>
                <w:rPr>
                  <w:rFonts w:ascii="Arial" w:cs="Arial" w:eastAsia="Arial" w:hAnsi="Arial"/>
                  <w:sz w:val="16"/>
                  <w:szCs w:val="16"/>
                  <w:color w:val="0000FF"/>
                </w:rPr>
                <w:t>Form of Class A Common Stock Certificate.</w:t>
              </w:r>
            </w:hyperlink>
          </w:p>
        </w:tc>
        <w:tc>
          <w:tcPr>
            <w:tcW w:w="140" w:type="dxa"/>
            <w:vAlign w:val="bottom"/>
          </w:tcPr>
          <w:p>
            <w:pPr>
              <w:spacing w:after="0"/>
              <w:rPr>
                <w:sz w:val="18"/>
                <w:szCs w:val="18"/>
                <w:color w:val="auto"/>
              </w:rPr>
            </w:pP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9"/>
              </w:rPr>
              <w:t>S-1/A</w:t>
            </w:r>
          </w:p>
        </w:tc>
        <w:tc>
          <w:tcPr>
            <w:tcW w:w="160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ind w:left="79"/>
              <w:spacing w:after="0"/>
              <w:rPr>
                <w:sz w:val="20"/>
                <w:szCs w:val="20"/>
                <w:color w:val="auto"/>
              </w:rPr>
            </w:pPr>
            <w:r>
              <w:rPr>
                <w:rFonts w:ascii="Arial" w:cs="Arial" w:eastAsia="Arial" w:hAnsi="Arial"/>
                <w:sz w:val="16"/>
                <w:szCs w:val="16"/>
                <w:color w:val="auto"/>
              </w:rPr>
              <w:t>November 01,</w:t>
            </w:r>
          </w:p>
        </w:tc>
      </w:tr>
      <w:tr>
        <w:trPr>
          <w:trHeight w:val="195"/>
        </w:trPr>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2021</w:t>
            </w:r>
          </w:p>
        </w:tc>
      </w:tr>
      <w:tr>
        <w:trPr>
          <w:trHeight w:val="217"/>
        </w:trPr>
        <w:tc>
          <w:tcPr>
            <w:tcW w:w="14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20" w:type="dxa"/>
            <w:vAlign w:val="bottom"/>
            <w:gridSpan w:val="21"/>
          </w:tcPr>
          <w:p>
            <w:pPr>
              <w:spacing w:after="0"/>
              <w:rPr>
                <w:rFonts w:ascii="Arial" w:cs="Arial" w:eastAsia="Arial" w:hAnsi="Arial"/>
                <w:sz w:val="16"/>
                <w:szCs w:val="16"/>
                <w:color w:val="0000FF"/>
              </w:rPr>
            </w:pPr>
            <w:hyperlink r:id="rId204">
              <w:r>
                <w:rPr>
                  <w:rFonts w:ascii="Arial" w:cs="Arial" w:eastAsia="Arial" w:hAnsi="Arial"/>
                  <w:sz w:val="16"/>
                  <w:szCs w:val="16"/>
                  <w:color w:val="0000FF"/>
                </w:rPr>
                <w:t>Amended and Restated Investors’ Rights Agreement,</w:t>
              </w:r>
            </w:hyperlink>
          </w:p>
        </w:tc>
        <w:tc>
          <w:tcPr>
            <w:tcW w:w="140" w:type="dxa"/>
            <w:vAlign w:val="bottom"/>
          </w:tcPr>
          <w:p>
            <w:pPr>
              <w:spacing w:after="0"/>
              <w:rPr>
                <w:sz w:val="18"/>
                <w:szCs w:val="18"/>
                <w:color w:val="auto"/>
              </w:rPr>
            </w:pP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9"/>
              </w:rPr>
              <w:t>S-1/A</w:t>
            </w:r>
          </w:p>
        </w:tc>
        <w:tc>
          <w:tcPr>
            <w:tcW w:w="160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October 18, 2021</w:t>
            </w: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dated as of January 22, 2015, by and among the</w:t>
              </w:r>
            </w:hyperlink>
          </w:p>
        </w:tc>
        <w:tc>
          <w:tcPr>
            <w:tcW w:w="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204">
              <w:r>
                <w:rPr>
                  <w:rFonts w:ascii="Arial" w:cs="Arial" w:eastAsia="Arial" w:hAnsi="Arial"/>
                  <w:sz w:val="16"/>
                  <w:szCs w:val="16"/>
                  <w:color w:val="0000FF"/>
                </w:rPr>
                <w:t>Registrant and certain of its stockholders.</w:t>
              </w:r>
            </w:hyperlink>
          </w:p>
        </w:tc>
        <w:tc>
          <w:tcPr>
            <w:tcW w:w="520" w:type="dxa"/>
            <w:vAlign w:val="bottom"/>
            <w:tcBorders>
              <w:top w:val="single" w:sz="8" w:color="0000FF"/>
            </w:tcBorders>
            <w:gridSpan w:val="5"/>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Description of Registrant's Securities.</w:t>
            </w:r>
          </w:p>
        </w:tc>
        <w:tc>
          <w:tcPr>
            <w:tcW w:w="1220" w:type="dxa"/>
            <w:vAlign w:val="bottom"/>
            <w:gridSpan w:val="17"/>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w w:val="98"/>
              </w:rPr>
              <w:t>9.1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gridSpan w:val="21"/>
          </w:tcPr>
          <w:p>
            <w:pPr>
              <w:spacing w:after="0"/>
              <w:rPr>
                <w:rFonts w:ascii="Arial" w:cs="Arial" w:eastAsia="Arial" w:hAnsi="Arial"/>
                <w:sz w:val="16"/>
                <w:szCs w:val="16"/>
                <w:color w:val="0000FF"/>
              </w:rPr>
            </w:pPr>
            <w:hyperlink r:id="rId205">
              <w:r>
                <w:rPr>
                  <w:rFonts w:ascii="Arial" w:cs="Arial" w:eastAsia="Arial" w:hAnsi="Arial"/>
                  <w:sz w:val="16"/>
                  <w:szCs w:val="16"/>
                  <w:color w:val="0000FF"/>
                </w:rPr>
                <w:t>Expensify Voting Trust Agreement</w:t>
              </w:r>
            </w:hyperlink>
          </w:p>
        </w:tc>
        <w:tc>
          <w:tcPr>
            <w:tcW w:w="140" w:type="dxa"/>
            <w:vAlign w:val="bottom"/>
          </w:tcPr>
          <w:p>
            <w:pPr>
              <w:spacing w:after="0"/>
              <w:rPr>
                <w:sz w:val="21"/>
                <w:szCs w:val="21"/>
                <w:color w:val="auto"/>
              </w:rPr>
            </w:pPr>
          </w:p>
        </w:tc>
        <w:tc>
          <w:tcPr>
            <w:tcW w:w="1300" w:type="dxa"/>
            <w:vAlign w:val="bottom"/>
          </w:tcPr>
          <w:p>
            <w:pPr>
              <w:jc w:val="center"/>
              <w:ind w:left="39"/>
              <w:spacing w:after="0"/>
              <w:rPr>
                <w:sz w:val="20"/>
                <w:szCs w:val="20"/>
                <w:color w:val="auto"/>
              </w:rPr>
            </w:pPr>
            <w:r>
              <w:rPr>
                <w:rFonts w:ascii="Arial" w:cs="Arial" w:eastAsia="Arial" w:hAnsi="Arial"/>
                <w:sz w:val="16"/>
                <w:szCs w:val="16"/>
                <w:color w:val="auto"/>
              </w:rPr>
              <w:t>10-K</w:t>
            </w:r>
          </w:p>
        </w:tc>
        <w:tc>
          <w:tcPr>
            <w:tcW w:w="160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9.1</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March 31, 2022</w:t>
            </w:r>
          </w:p>
        </w:tc>
      </w:tr>
      <w:tr>
        <w:trPr>
          <w:trHeight w:val="20"/>
        </w:trPr>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w w:val="98"/>
              </w:rPr>
              <w:t>10.1</w:t>
            </w:r>
            <w:r>
              <w:rPr>
                <w:rFonts w:ascii="Arial" w:cs="Arial" w:eastAsia="Arial" w:hAnsi="Arial"/>
                <w:sz w:val="21"/>
                <w:szCs w:val="21"/>
                <w:color w:val="auto"/>
                <w:w w:val="98"/>
                <w:vertAlign w:val="superscript"/>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gridSpan w:val="21"/>
          </w:tcPr>
          <w:p>
            <w:pPr>
              <w:spacing w:after="0"/>
              <w:rPr>
                <w:sz w:val="20"/>
                <w:szCs w:val="20"/>
                <w:color w:val="auto"/>
              </w:rPr>
            </w:pPr>
            <w:r>
              <w:rPr>
                <w:rFonts w:ascii="Arial" w:cs="Arial" w:eastAsia="Arial" w:hAnsi="Arial"/>
                <w:sz w:val="16"/>
                <w:szCs w:val="16"/>
                <w:color w:val="0000FF"/>
              </w:rPr>
              <w:t>Second Amended and Restated Loan and Security</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6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Agreement, dated as of February 21, 2024, by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between the Registrant, the Lenders party thereto,</w:t>
            </w: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and Canadian Imperial Bank of Commerce.</w:t>
            </w:r>
          </w:p>
        </w:tc>
        <w:tc>
          <w:tcPr>
            <w:tcW w:w="500" w:type="dxa"/>
            <w:vAlign w:val="bottom"/>
            <w:tcBorders>
              <w:top w:val="single" w:sz="8" w:color="0000FF"/>
            </w:tcBorders>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rPr>
              <w:t>10.2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gridSpan w:val="21"/>
          </w:tcPr>
          <w:p>
            <w:pPr>
              <w:spacing w:after="0"/>
              <w:rPr>
                <w:rFonts w:ascii="Arial" w:cs="Arial" w:eastAsia="Arial" w:hAnsi="Arial"/>
                <w:sz w:val="16"/>
                <w:szCs w:val="16"/>
                <w:color w:val="0000FF"/>
              </w:rPr>
            </w:pPr>
            <w:hyperlink r:id="rId206">
              <w:r>
                <w:rPr>
                  <w:rFonts w:ascii="Arial" w:cs="Arial" w:eastAsia="Arial" w:hAnsi="Arial"/>
                  <w:sz w:val="16"/>
                  <w:szCs w:val="16"/>
                  <w:color w:val="0000FF"/>
                </w:rPr>
                <w:t>First Amendment to the Second Amended and</w:t>
              </w:r>
            </w:hyperlink>
          </w:p>
        </w:tc>
        <w:tc>
          <w:tcPr>
            <w:tcW w:w="140" w:type="dxa"/>
            <w:vAlign w:val="bottom"/>
          </w:tcPr>
          <w:p>
            <w:pPr>
              <w:spacing w:after="0"/>
              <w:rPr>
                <w:sz w:val="21"/>
                <w:szCs w:val="21"/>
                <w:color w:val="auto"/>
              </w:rPr>
            </w:pPr>
          </w:p>
        </w:tc>
        <w:tc>
          <w:tcPr>
            <w:tcW w:w="1300" w:type="dxa"/>
            <w:vAlign w:val="bottom"/>
          </w:tcPr>
          <w:p>
            <w:pPr>
              <w:jc w:val="center"/>
              <w:ind w:left="19"/>
              <w:spacing w:after="0"/>
              <w:rPr>
                <w:sz w:val="20"/>
                <w:szCs w:val="20"/>
                <w:color w:val="auto"/>
              </w:rPr>
            </w:pPr>
            <w:r>
              <w:rPr>
                <w:rFonts w:ascii="Arial" w:cs="Arial" w:eastAsia="Arial" w:hAnsi="Arial"/>
                <w:sz w:val="16"/>
                <w:szCs w:val="16"/>
                <w:color w:val="auto"/>
              </w:rPr>
              <w:t>10-Q</w:t>
            </w:r>
          </w:p>
        </w:tc>
        <w:tc>
          <w:tcPr>
            <w:tcW w:w="160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10.2</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w w:val="99"/>
              </w:rPr>
              <w:t>May 9, 2024</w:t>
            </w: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4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Restated Loan and Security Agreement, dated</w:t>
              </w:r>
            </w:hyperlink>
          </w:p>
        </w:tc>
        <w:tc>
          <w:tcPr>
            <w:tcW w:w="40" w:type="dxa"/>
            <w:vAlign w:val="bottom"/>
          </w:tcPr>
          <w:p>
            <w:pPr>
              <w:spacing w:after="0"/>
              <w:rPr>
                <w:sz w:val="12"/>
                <w:szCs w:val="12"/>
                <w:color w:val="auto"/>
              </w:rPr>
            </w:pPr>
          </w:p>
        </w:tc>
        <w:tc>
          <w:tcPr>
            <w:tcW w:w="540" w:type="dxa"/>
            <w:vAlign w:val="bottom"/>
            <w:gridSpan w:val="12"/>
          </w:tcPr>
          <w:p>
            <w:pPr>
              <w:jc w:val="right"/>
              <w:ind w:right="180"/>
              <w:spacing w:after="0" w:line="142" w:lineRule="exact"/>
              <w:rPr>
                <w:rFonts w:ascii="Arial" w:cs="Arial" w:eastAsia="Arial" w:hAnsi="Arial"/>
                <w:sz w:val="16"/>
                <w:szCs w:val="16"/>
                <w:color w:val="0000FF"/>
                <w:w w:val="97"/>
              </w:rPr>
            </w:pPr>
            <w:hyperlink r:id="rId206">
              <w:r>
                <w:rPr>
                  <w:rFonts w:ascii="Arial" w:cs="Arial" w:eastAsia="Arial" w:hAnsi="Arial"/>
                  <w:sz w:val="16"/>
                  <w:szCs w:val="16"/>
                  <w:color w:val="0000FF"/>
                  <w:w w:val="97"/>
                </w:rPr>
                <w:t>as of</w:t>
              </w:r>
            </w:hyperlink>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May 7, 2024, by and among the Registrant, the</w:t>
              </w:r>
            </w:hyperlink>
          </w:p>
        </w:tc>
        <w:tc>
          <w:tcPr>
            <w:tcW w:w="8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gridSpan w:val="21"/>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Lenders party thereto and Canadian Imperial Bank of</w:t>
              </w:r>
            </w:hyperlink>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06">
              <w:r>
                <w:rPr>
                  <w:rFonts w:ascii="Arial" w:cs="Arial" w:eastAsia="Arial" w:hAnsi="Arial"/>
                  <w:sz w:val="16"/>
                  <w:szCs w:val="16"/>
                  <w:color w:val="0000FF"/>
                </w:rPr>
                <w:t>Commerce</w:t>
              </w:r>
              <w:r>
                <w:rPr>
                  <w:rFonts w:ascii="Arial" w:cs="Arial" w:eastAsia="Arial" w:hAnsi="Arial"/>
                  <w:sz w:val="16"/>
                  <w:szCs w:val="16"/>
                  <w:color w:val="000000"/>
                </w:rPr>
                <w:t>.</w:t>
              </w:r>
            </w:hyperlink>
          </w:p>
        </w:tc>
        <w:tc>
          <w:tcPr>
            <w:tcW w:w="10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8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1400" w:type="dxa"/>
            <w:vAlign w:val="bottom"/>
          </w:tcPr>
          <w:p>
            <w:pPr>
              <w:jc w:val="center"/>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20" w:type="dxa"/>
            <w:vAlign w:val="bottom"/>
            <w:gridSpan w:val="21"/>
          </w:tcPr>
          <w:p>
            <w:pPr>
              <w:spacing w:after="0"/>
              <w:rPr>
                <w:rFonts w:ascii="Arial" w:cs="Arial" w:eastAsia="Arial" w:hAnsi="Arial"/>
                <w:sz w:val="16"/>
                <w:szCs w:val="16"/>
                <w:color w:val="0000FF"/>
              </w:rPr>
            </w:pPr>
            <w:hyperlink r:id="rId207">
              <w:r>
                <w:rPr>
                  <w:rFonts w:ascii="Arial" w:cs="Arial" w:eastAsia="Arial" w:hAnsi="Arial"/>
                  <w:sz w:val="16"/>
                  <w:szCs w:val="16"/>
                  <w:color w:val="0000FF"/>
                </w:rPr>
                <w:t>Second Amendment to the Second Amended and</w:t>
              </w:r>
            </w:hyperlink>
          </w:p>
        </w:tc>
        <w:tc>
          <w:tcPr>
            <w:tcW w:w="140" w:type="dxa"/>
            <w:vAlign w:val="bottom"/>
          </w:tcPr>
          <w:p>
            <w:pPr>
              <w:spacing w:after="0"/>
              <w:rPr>
                <w:sz w:val="21"/>
                <w:szCs w:val="21"/>
                <w:color w:val="auto"/>
              </w:rPr>
            </w:pPr>
          </w:p>
        </w:tc>
        <w:tc>
          <w:tcPr>
            <w:tcW w:w="1300" w:type="dxa"/>
            <w:vAlign w:val="bottom"/>
          </w:tcPr>
          <w:p>
            <w:pPr>
              <w:jc w:val="center"/>
              <w:ind w:left="19"/>
              <w:spacing w:after="0"/>
              <w:rPr>
                <w:sz w:val="20"/>
                <w:szCs w:val="20"/>
                <w:color w:val="auto"/>
              </w:rPr>
            </w:pPr>
            <w:r>
              <w:rPr>
                <w:rFonts w:ascii="Arial" w:cs="Arial" w:eastAsia="Arial" w:hAnsi="Arial"/>
                <w:sz w:val="16"/>
                <w:szCs w:val="16"/>
                <w:color w:val="auto"/>
              </w:rPr>
              <w:t>10-Q</w:t>
            </w:r>
          </w:p>
        </w:tc>
        <w:tc>
          <w:tcPr>
            <w:tcW w:w="160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140" w:type="dxa"/>
            <w:vAlign w:val="bottom"/>
          </w:tcPr>
          <w:p>
            <w:pPr>
              <w:jc w:val="center"/>
              <w:ind w:left="19"/>
              <w:spacing w:after="0"/>
              <w:rPr>
                <w:sz w:val="20"/>
                <w:szCs w:val="20"/>
                <w:color w:val="auto"/>
              </w:rPr>
            </w:pPr>
            <w:r>
              <w:rPr>
                <w:rFonts w:ascii="Arial" w:cs="Arial" w:eastAsia="Arial" w:hAnsi="Arial"/>
                <w:sz w:val="16"/>
                <w:szCs w:val="16"/>
                <w:color w:val="auto"/>
              </w:rPr>
              <w:t>10.1</w:t>
            </w:r>
          </w:p>
        </w:tc>
        <w:tc>
          <w:tcPr>
            <w:tcW w:w="1580" w:type="dxa"/>
            <w:vAlign w:val="bottom"/>
          </w:tcPr>
          <w:p>
            <w:pPr>
              <w:jc w:val="center"/>
              <w:ind w:left="99"/>
              <w:spacing w:after="0"/>
              <w:rPr>
                <w:sz w:val="20"/>
                <w:szCs w:val="20"/>
                <w:color w:val="auto"/>
              </w:rPr>
            </w:pPr>
            <w:r>
              <w:rPr>
                <w:rFonts w:ascii="Arial" w:cs="Arial" w:eastAsia="Arial" w:hAnsi="Arial"/>
                <w:sz w:val="16"/>
                <w:szCs w:val="16"/>
                <w:color w:val="auto"/>
              </w:rPr>
              <w:t>November 8 ,2024</w:t>
            </w: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8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Restated Loan and Security Agreement, dated as</w:t>
              </w:r>
            </w:hyperlink>
          </w:p>
        </w:tc>
        <w:tc>
          <w:tcPr>
            <w:tcW w:w="340" w:type="dxa"/>
            <w:vAlign w:val="bottom"/>
            <w:gridSpan w:val="9"/>
          </w:tcPr>
          <w:p>
            <w:pPr>
              <w:jc w:val="right"/>
              <w:ind w:right="180"/>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of</w:t>
              </w:r>
            </w:hyperlink>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August 28, 2024, by and among the Registrant, the</w:t>
              </w:r>
            </w:hyperlink>
          </w:p>
        </w:tc>
        <w:tc>
          <w:tcPr>
            <w:tcW w:w="180" w:type="dxa"/>
            <w:vAlign w:val="bottom"/>
            <w:gridSpan w:val="4"/>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8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Lenders party thereto and Canadian Imperial Bank</w:t>
              </w:r>
            </w:hyperlink>
          </w:p>
        </w:tc>
        <w:tc>
          <w:tcPr>
            <w:tcW w:w="240" w:type="dxa"/>
            <w:vAlign w:val="bottom"/>
            <w:gridSpan w:val="5"/>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of</w:t>
              </w:r>
            </w:hyperlink>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2"/>
        </w:trPr>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07">
              <w:r>
                <w:rPr>
                  <w:rFonts w:ascii="Arial" w:cs="Arial" w:eastAsia="Arial" w:hAnsi="Arial"/>
                  <w:sz w:val="16"/>
                  <w:szCs w:val="16"/>
                  <w:color w:val="0000FF"/>
                </w:rPr>
                <w:t>Commerce</w:t>
              </w:r>
              <w:r>
                <w:rPr>
                  <w:rFonts w:ascii="Arial" w:cs="Arial" w:eastAsia="Arial" w:hAnsi="Arial"/>
                  <w:sz w:val="16"/>
                  <w:szCs w:val="16"/>
                  <w:color w:val="000000"/>
                </w:rPr>
                <w:t>.</w:t>
              </w:r>
            </w:hyperlink>
          </w:p>
        </w:tc>
        <w:tc>
          <w:tcPr>
            <w:tcW w:w="10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20"/>
        </w:trPr>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41"/>
        </w:trPr>
        <w:tc>
          <w:tcPr>
            <w:tcW w:w="1040" w:type="dxa"/>
            <w:vAlign w:val="bottom"/>
          </w:tcPr>
          <w:p>
            <w:pPr>
              <w:jc w:val="right"/>
              <w:ind w:right="599"/>
              <w:spacing w:after="0"/>
              <w:rPr>
                <w:sz w:val="20"/>
                <w:szCs w:val="20"/>
                <w:color w:val="auto"/>
              </w:rPr>
            </w:pPr>
            <w:r>
              <w:rPr>
                <w:rFonts w:ascii="Arial" w:cs="Arial" w:eastAsia="Arial" w:hAnsi="Arial"/>
                <w:sz w:val="16"/>
                <w:szCs w:val="16"/>
                <w:color w:val="auto"/>
                <w:w w:val="92"/>
              </w:rPr>
              <w:t>10.4</w:t>
            </w:r>
            <w:r>
              <w:rPr>
                <w:rFonts w:ascii="Arial" w:cs="Arial" w:eastAsia="Arial" w:hAnsi="Arial"/>
                <w:sz w:val="21"/>
                <w:szCs w:val="21"/>
                <w:color w:val="auto"/>
                <w:w w:val="92"/>
                <w:vertAlign w:val="superscript"/>
              </w:rPr>
              <w:t>*</w:t>
            </w:r>
          </w:p>
        </w:tc>
        <w:tc>
          <w:tcPr>
            <w:tcW w:w="3800" w:type="dxa"/>
            <w:vAlign w:val="bottom"/>
            <w:gridSpan w:val="3"/>
          </w:tcPr>
          <w:p>
            <w:pPr>
              <w:spacing w:after="0"/>
              <w:rPr>
                <w:sz w:val="20"/>
                <w:szCs w:val="20"/>
                <w:color w:val="auto"/>
              </w:rPr>
            </w:pPr>
            <w:r>
              <w:rPr>
                <w:rFonts w:ascii="Arial" w:cs="Arial" w:eastAsia="Arial" w:hAnsi="Arial"/>
                <w:sz w:val="16"/>
                <w:szCs w:val="16"/>
                <w:color w:val="0000FF"/>
              </w:rPr>
              <w:t>Third Amendment to the Second Amended and</w:t>
            </w:r>
          </w:p>
        </w:tc>
      </w:tr>
      <w:tr>
        <w:trPr>
          <w:trHeight w:val="142"/>
        </w:trPr>
        <w:tc>
          <w:tcPr>
            <w:tcW w:w="1040" w:type="dxa"/>
            <w:vAlign w:val="bottom"/>
          </w:tcPr>
          <w:p>
            <w:pPr>
              <w:spacing w:after="0"/>
              <w:rPr>
                <w:sz w:val="12"/>
                <w:szCs w:val="12"/>
                <w:color w:val="auto"/>
              </w:rPr>
            </w:pPr>
          </w:p>
        </w:tc>
        <w:tc>
          <w:tcPr>
            <w:tcW w:w="338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Restated Loan and Security Agreement, dated</w:t>
            </w:r>
          </w:p>
        </w:tc>
        <w:tc>
          <w:tcPr>
            <w:tcW w:w="34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2"/>
              </w:rPr>
              <w:t>as of</w:t>
            </w:r>
          </w:p>
        </w:tc>
        <w:tc>
          <w:tcPr>
            <w:tcW w:w="80" w:type="dxa"/>
            <w:vAlign w:val="bottom"/>
          </w:tcPr>
          <w:p>
            <w:pPr>
              <w:spacing w:after="0"/>
              <w:rPr>
                <w:sz w:val="12"/>
                <w:szCs w:val="12"/>
                <w:color w:val="auto"/>
              </w:rPr>
            </w:pPr>
          </w:p>
        </w:tc>
      </w:tr>
      <w:tr>
        <w:trPr>
          <w:trHeight w:val="144"/>
        </w:trPr>
        <w:tc>
          <w:tcPr>
            <w:tcW w:w="1040" w:type="dxa"/>
            <w:vAlign w:val="bottom"/>
          </w:tcPr>
          <w:p>
            <w:pPr>
              <w:spacing w:after="0"/>
              <w:rPr>
                <w:sz w:val="12"/>
                <w:szCs w:val="12"/>
                <w:color w:val="auto"/>
              </w:rPr>
            </w:pPr>
          </w:p>
        </w:tc>
        <w:tc>
          <w:tcPr>
            <w:tcW w:w="3800" w:type="dxa"/>
            <w:vAlign w:val="bottom"/>
            <w:gridSpan w:val="3"/>
          </w:tcPr>
          <w:p>
            <w:pPr>
              <w:spacing w:after="0" w:line="144" w:lineRule="exact"/>
              <w:rPr>
                <w:sz w:val="20"/>
                <w:szCs w:val="20"/>
                <w:color w:val="auto"/>
              </w:rPr>
            </w:pPr>
            <w:r>
              <w:rPr>
                <w:rFonts w:ascii="Arial" w:cs="Arial" w:eastAsia="Arial" w:hAnsi="Arial"/>
                <w:sz w:val="16"/>
                <w:szCs w:val="16"/>
                <w:u w:val="single" w:color="auto"/>
                <w:color w:val="0000FF"/>
              </w:rPr>
              <w:t>February 13, 2025, by and among the Registrant, the</w:t>
            </w:r>
          </w:p>
        </w:tc>
      </w:tr>
    </w:tbl>
    <w:p>
      <w:pPr>
        <w:ind w:left="1560"/>
        <w:spacing w:after="0" w:line="211" w:lineRule="auto"/>
        <w:rPr>
          <w:sz w:val="20"/>
          <w:szCs w:val="20"/>
          <w:color w:val="auto"/>
        </w:rPr>
      </w:pPr>
      <w:r>
        <w:rPr>
          <w:rFonts w:ascii="Arial" w:cs="Arial" w:eastAsia="Arial" w:hAnsi="Arial"/>
          <w:sz w:val="16"/>
          <w:szCs w:val="16"/>
          <w:u w:val="single" w:color="auto"/>
          <w:color w:val="0000FF"/>
        </w:rPr>
        <w:t>Lenders party thereto and Canadian Imperial Bank of</w:t>
      </w:r>
    </w:p>
    <w:p>
      <w:pPr>
        <w:ind w:left="1560"/>
        <w:spacing w:after="0"/>
        <w:rPr>
          <w:sz w:val="20"/>
          <w:szCs w:val="20"/>
          <w:color w:val="auto"/>
        </w:rPr>
      </w:pPr>
      <w:r>
        <w:rPr>
          <w:rFonts w:ascii="Arial" w:cs="Arial" w:eastAsia="Arial" w:hAnsi="Arial"/>
          <w:sz w:val="16"/>
          <w:szCs w:val="16"/>
          <w:u w:val="single" w:color="auto"/>
          <w:color w:val="0000FF"/>
        </w:rPr>
        <w:t>Commerce</w:t>
      </w:r>
      <w:r>
        <w:rPr>
          <w:rFonts w:ascii="Arial" w:cs="Arial" w:eastAsia="Arial" w:hAnsi="Arial"/>
          <w:sz w:val="16"/>
          <w:szCs w:val="16"/>
          <w:color w:val="000000"/>
        </w:rPr>
        <w:t>.</w:t>
      </w:r>
    </w:p>
    <w:p>
      <w:pPr>
        <w:sectPr>
          <w:pgSz w:w="11900" w:h="16838" w:orient="portrait"/>
          <w:cols w:equalWidth="0" w:num="1">
            <w:col w:w="11160"/>
          </w:cols>
          <w:pgMar w:left="320" w:top="121" w:right="419" w:bottom="1440" w:gutter="0" w:footer="0" w:header="0"/>
        </w:sectPr>
      </w:pPr>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060" w:type="dxa"/>
            <w:vAlign w:val="bottom"/>
          </w:tcPr>
          <w:p>
            <w:pPr>
              <w:spacing w:after="0"/>
              <w:rPr>
                <w:sz w:val="20"/>
                <w:szCs w:val="20"/>
                <w:color w:val="auto"/>
              </w:rPr>
            </w:pPr>
            <w:r>
              <w:rPr>
                <w:rFonts w:ascii="Arial" w:cs="Arial" w:eastAsia="Arial" w:hAnsi="Arial"/>
                <w:sz w:val="16"/>
                <w:szCs w:val="16"/>
                <w:color w:val="auto"/>
              </w:rPr>
              <w:t>10.5</w:t>
            </w:r>
            <w:r>
              <w:rPr>
                <w:rFonts w:ascii="Arial" w:cs="Arial" w:eastAsia="Arial" w:hAnsi="Arial"/>
                <w:sz w:val="21"/>
                <w:szCs w:val="21"/>
                <w:color w:val="auto"/>
                <w:vertAlign w:val="superscript"/>
              </w:rPr>
              <w:t>†</w:t>
            </w:r>
          </w:p>
        </w:tc>
        <w:tc>
          <w:tcPr>
            <w:tcW w:w="3180" w:type="dxa"/>
            <w:vAlign w:val="bottom"/>
            <w:tcBorders>
              <w:bottom w:val="single" w:sz="8" w:color="0000FF"/>
            </w:tcBorders>
            <w:gridSpan w:val="5"/>
          </w:tcPr>
          <w:p>
            <w:pPr>
              <w:spacing w:after="0"/>
              <w:rPr>
                <w:rFonts w:ascii="Arial" w:cs="Arial" w:eastAsia="Arial" w:hAnsi="Arial"/>
                <w:sz w:val="16"/>
                <w:szCs w:val="16"/>
                <w:color w:val="0000FF"/>
              </w:rPr>
            </w:pPr>
            <w:hyperlink r:id="rId209">
              <w:r>
                <w:rPr>
                  <w:rFonts w:ascii="Arial" w:cs="Arial" w:eastAsia="Arial" w:hAnsi="Arial"/>
                  <w:sz w:val="16"/>
                  <w:szCs w:val="16"/>
                  <w:color w:val="0000FF"/>
                </w:rPr>
                <w:t>Employment Agreement by and between the</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180" w:type="dxa"/>
            <w:vAlign w:val="bottom"/>
            <w:gridSpan w:val="5"/>
          </w:tcPr>
          <w:p>
            <w:pPr>
              <w:spacing w:after="0" w:line="142" w:lineRule="exact"/>
              <w:rPr>
                <w:rFonts w:ascii="Arial" w:cs="Arial" w:eastAsia="Arial" w:hAnsi="Arial"/>
                <w:sz w:val="16"/>
                <w:szCs w:val="16"/>
                <w:color w:val="0000FF"/>
              </w:rPr>
            </w:pPr>
            <w:hyperlink r:id="rId209">
              <w:r>
                <w:rPr>
                  <w:rFonts w:ascii="Arial" w:cs="Arial" w:eastAsia="Arial" w:hAnsi="Arial"/>
                  <w:sz w:val="16"/>
                  <w:szCs w:val="16"/>
                  <w:color w:val="0000FF"/>
                </w:rPr>
                <w:t>Registrant and David Barrett.</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16"/>
                <w:szCs w:val="16"/>
                <w:color w:val="auto"/>
              </w:rPr>
              <w:t>10.6</w:t>
            </w:r>
            <w:r>
              <w:rPr>
                <w:rFonts w:ascii="Arial" w:cs="Arial" w:eastAsia="Arial" w:hAnsi="Arial"/>
                <w:sz w:val="21"/>
                <w:szCs w:val="21"/>
                <w:color w:val="auto"/>
                <w:vertAlign w:val="superscript"/>
              </w:rPr>
              <w:t>†</w:t>
            </w:r>
          </w:p>
        </w:tc>
        <w:tc>
          <w:tcPr>
            <w:tcW w:w="1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tcBorders>
              <w:bottom w:val="single" w:sz="8" w:color="0000FF"/>
            </w:tcBorders>
            <w:gridSpan w:val="5"/>
          </w:tcPr>
          <w:p>
            <w:pPr>
              <w:spacing w:after="0"/>
              <w:rPr>
                <w:rFonts w:ascii="Arial" w:cs="Arial" w:eastAsia="Arial" w:hAnsi="Arial"/>
                <w:sz w:val="16"/>
                <w:szCs w:val="16"/>
                <w:color w:val="0000FF"/>
              </w:rPr>
            </w:pPr>
            <w:hyperlink r:id="rId210">
              <w:r>
                <w:rPr>
                  <w:rFonts w:ascii="Arial" w:cs="Arial" w:eastAsia="Arial" w:hAnsi="Arial"/>
                  <w:sz w:val="16"/>
                  <w:szCs w:val="16"/>
                  <w:color w:val="0000FF"/>
                </w:rPr>
                <w:t>Employment Agreement by and between the</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180" w:type="dxa"/>
            <w:vAlign w:val="bottom"/>
            <w:gridSpan w:val="5"/>
          </w:tcPr>
          <w:p>
            <w:pPr>
              <w:spacing w:after="0" w:line="142" w:lineRule="exact"/>
              <w:rPr>
                <w:rFonts w:ascii="Arial" w:cs="Arial" w:eastAsia="Arial" w:hAnsi="Arial"/>
                <w:sz w:val="16"/>
                <w:szCs w:val="16"/>
                <w:color w:val="0000FF"/>
              </w:rPr>
            </w:pPr>
            <w:hyperlink r:id="rId210">
              <w:r>
                <w:rPr>
                  <w:rFonts w:ascii="Arial" w:cs="Arial" w:eastAsia="Arial" w:hAnsi="Arial"/>
                  <w:sz w:val="16"/>
                  <w:szCs w:val="16"/>
                  <w:color w:val="0000FF"/>
                </w:rPr>
                <w:t>Registrant and Ryan Schaffer.</w:t>
              </w:r>
            </w:hyperlink>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Arial" w:cs="Arial" w:eastAsia="Arial" w:hAnsi="Arial"/>
                <w:sz w:val="16"/>
                <w:szCs w:val="16"/>
                <w:color w:val="auto"/>
              </w:rPr>
              <w:t>10.7</w:t>
            </w:r>
            <w:r>
              <w:rPr>
                <w:rFonts w:ascii="Arial" w:cs="Arial" w:eastAsia="Arial" w:hAnsi="Arial"/>
                <w:sz w:val="21"/>
                <w:szCs w:val="21"/>
                <w:color w:val="auto"/>
                <w:vertAlign w:val="superscript"/>
              </w:rPr>
              <w:t>†</w:t>
            </w:r>
          </w:p>
        </w:tc>
        <w:tc>
          <w:tcPr>
            <w:tcW w:w="118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vMerge w:val="continue"/>
          </w:tcPr>
          <w:p>
            <w:pPr>
              <w:spacing w:after="0"/>
              <w:rPr>
                <w:sz w:val="21"/>
                <w:szCs w:val="21"/>
                <w:color w:val="auto"/>
              </w:rPr>
            </w:pPr>
          </w:p>
        </w:tc>
        <w:tc>
          <w:tcPr>
            <w:tcW w:w="3180" w:type="dxa"/>
            <w:vAlign w:val="bottom"/>
            <w:tcBorders>
              <w:bottom w:val="single" w:sz="8" w:color="0000FF"/>
            </w:tcBorders>
            <w:gridSpan w:val="5"/>
          </w:tcPr>
          <w:p>
            <w:pPr>
              <w:spacing w:after="0"/>
              <w:rPr>
                <w:rFonts w:ascii="Arial" w:cs="Arial" w:eastAsia="Arial" w:hAnsi="Arial"/>
                <w:sz w:val="16"/>
                <w:szCs w:val="16"/>
                <w:color w:val="0000FF"/>
              </w:rPr>
            </w:pPr>
            <w:hyperlink r:id="rId211">
              <w:r>
                <w:rPr>
                  <w:rFonts w:ascii="Arial" w:cs="Arial" w:eastAsia="Arial" w:hAnsi="Arial"/>
                  <w:sz w:val="16"/>
                  <w:szCs w:val="16"/>
                  <w:color w:val="0000FF"/>
                </w:rPr>
                <w:t>Employment Agreement by and between the</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3180" w:type="dxa"/>
            <w:vAlign w:val="bottom"/>
            <w:gridSpan w:val="5"/>
          </w:tcPr>
          <w:p>
            <w:pPr>
              <w:spacing w:after="0" w:line="142" w:lineRule="exact"/>
              <w:rPr>
                <w:rFonts w:ascii="Arial" w:cs="Arial" w:eastAsia="Arial" w:hAnsi="Arial"/>
                <w:sz w:val="16"/>
                <w:szCs w:val="16"/>
                <w:color w:val="0000FF"/>
              </w:rPr>
            </w:pPr>
            <w:hyperlink r:id="rId211">
              <w:r>
                <w:rPr>
                  <w:rFonts w:ascii="Arial" w:cs="Arial" w:eastAsia="Arial" w:hAnsi="Arial"/>
                  <w:sz w:val="16"/>
                  <w:szCs w:val="16"/>
                  <w:color w:val="0000FF"/>
                </w:rPr>
                <w:t>Registrant and Anuradha Muralidharan.</w:t>
              </w:r>
            </w:hyperlink>
          </w:p>
        </w:tc>
        <w:tc>
          <w:tcPr>
            <w:tcW w:w="0" w:type="dxa"/>
            <w:vAlign w:val="bottom"/>
          </w:tcPr>
          <w:p>
            <w:pPr>
              <w:spacing w:after="0"/>
              <w:rPr>
                <w:sz w:val="1"/>
                <w:szCs w:val="1"/>
                <w:color w:val="auto"/>
              </w:rPr>
            </w:pPr>
          </w:p>
        </w:tc>
      </w:tr>
      <w:tr>
        <w:trPr>
          <w:trHeight w:val="250"/>
        </w:trPr>
        <w:tc>
          <w:tcPr>
            <w:tcW w:w="1060" w:type="dxa"/>
            <w:vAlign w:val="bottom"/>
          </w:tcPr>
          <w:p>
            <w:pPr>
              <w:spacing w:after="0"/>
              <w:rPr>
                <w:sz w:val="20"/>
                <w:szCs w:val="20"/>
                <w:color w:val="auto"/>
              </w:rPr>
            </w:pPr>
            <w:r>
              <w:rPr>
                <w:rFonts w:ascii="Arial" w:cs="Arial" w:eastAsia="Arial" w:hAnsi="Arial"/>
                <w:sz w:val="16"/>
                <w:szCs w:val="16"/>
                <w:color w:val="auto"/>
              </w:rPr>
              <w:t>10.8</w:t>
            </w:r>
            <w:r>
              <w:rPr>
                <w:rFonts w:ascii="Arial" w:cs="Arial" w:eastAsia="Arial" w:hAnsi="Arial"/>
                <w:sz w:val="21"/>
                <w:szCs w:val="21"/>
                <w:color w:val="auto"/>
                <w:vertAlign w:val="superscript"/>
              </w:rPr>
              <w:t>†</w:t>
            </w:r>
          </w:p>
        </w:tc>
        <w:tc>
          <w:tcPr>
            <w:tcW w:w="11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r:id="rId212">
              <w:r>
                <w:rPr>
                  <w:rFonts w:ascii="Arial" w:cs="Arial" w:eastAsia="Arial" w:hAnsi="Arial"/>
                  <w:sz w:val="16"/>
                  <w:szCs w:val="16"/>
                  <w:color w:val="0000FF"/>
                  <w:w w:val="99"/>
                </w:rPr>
                <w:t>2009 Stock Plan</w:t>
              </w:r>
            </w:hyperlink>
          </w:p>
        </w:tc>
        <w:tc>
          <w:tcPr>
            <w:tcW w:w="1640" w:type="dxa"/>
            <w:vAlign w:val="bottom"/>
            <w:tcBorders>
              <w:top w:val="single" w:sz="8" w:color="0000FF"/>
            </w:tcBorders>
            <w:gridSpan w:val="3"/>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00" w:type="dxa"/>
            <w:vAlign w:val="bottom"/>
          </w:tcPr>
          <w:p>
            <w:pPr>
              <w:spacing w:after="0"/>
              <w:rPr>
                <w:sz w:val="20"/>
                <w:szCs w:val="20"/>
                <w:color w:val="auto"/>
              </w:rPr>
            </w:pPr>
            <w:r>
              <w:rPr>
                <w:rFonts w:ascii="Arial" w:cs="Arial" w:eastAsia="Arial" w:hAnsi="Arial"/>
                <w:sz w:val="16"/>
                <w:szCs w:val="16"/>
                <w:color w:val="auto"/>
              </w:rPr>
              <w:t>S-1/A</w:t>
            </w:r>
          </w:p>
        </w:tc>
        <w:tc>
          <w:tcPr>
            <w:tcW w:w="1640" w:type="dxa"/>
            <w:vAlign w:val="bottom"/>
          </w:tcPr>
          <w:p>
            <w:pPr>
              <w:jc w:val="right"/>
              <w:ind w:right="319"/>
              <w:spacing w:after="0"/>
              <w:rPr>
                <w:sz w:val="20"/>
                <w:szCs w:val="20"/>
                <w:color w:val="auto"/>
              </w:rPr>
            </w:pPr>
            <w:r>
              <w:rPr>
                <w:rFonts w:ascii="Arial" w:cs="Arial" w:eastAsia="Arial" w:hAnsi="Arial"/>
                <w:sz w:val="16"/>
                <w:szCs w:val="16"/>
                <w:color w:val="auto"/>
              </w:rPr>
              <w:t>333-260297</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10.3</w:t>
            </w:r>
          </w:p>
        </w:tc>
        <w:tc>
          <w:tcPr>
            <w:tcW w:w="1560" w:type="dxa"/>
            <w:vAlign w:val="bottom"/>
          </w:tcPr>
          <w:p>
            <w:pPr>
              <w:jc w:val="center"/>
              <w:ind w:left="239"/>
              <w:spacing w:after="0"/>
              <w:rPr>
                <w:sz w:val="20"/>
                <w:szCs w:val="20"/>
                <w:color w:val="auto"/>
              </w:rPr>
            </w:pPr>
            <w:r>
              <w:rPr>
                <w:rFonts w:ascii="Arial" w:cs="Arial" w:eastAsia="Arial" w:hAnsi="Arial"/>
                <w:sz w:val="16"/>
                <w:szCs w:val="16"/>
                <w:color w:val="auto"/>
              </w:rPr>
              <w:t>October 18, 2021</w:t>
            </w:r>
          </w:p>
        </w:tc>
      </w:tr>
      <w:tr>
        <w:trPr>
          <w:trHeight w:val="432"/>
        </w:trPr>
        <w:tc>
          <w:tcPr>
            <w:tcW w:w="800" w:type="dxa"/>
            <w:vAlign w:val="bottom"/>
          </w:tcPr>
          <w:p>
            <w:pPr>
              <w:spacing w:after="0"/>
              <w:rPr>
                <w:sz w:val="20"/>
                <w:szCs w:val="20"/>
                <w:color w:val="auto"/>
              </w:rPr>
            </w:pPr>
            <w:r>
              <w:rPr>
                <w:rFonts w:ascii="Arial" w:cs="Arial" w:eastAsia="Arial" w:hAnsi="Arial"/>
                <w:sz w:val="16"/>
                <w:szCs w:val="16"/>
                <w:color w:val="auto"/>
              </w:rPr>
              <w:t>S-1/A</w:t>
            </w:r>
          </w:p>
        </w:tc>
        <w:tc>
          <w:tcPr>
            <w:tcW w:w="1640" w:type="dxa"/>
            <w:vAlign w:val="bottom"/>
          </w:tcPr>
          <w:p>
            <w:pPr>
              <w:jc w:val="right"/>
              <w:ind w:right="319"/>
              <w:spacing w:after="0"/>
              <w:rPr>
                <w:sz w:val="20"/>
                <w:szCs w:val="20"/>
                <w:color w:val="auto"/>
              </w:rPr>
            </w:pPr>
            <w:r>
              <w:rPr>
                <w:rFonts w:ascii="Arial" w:cs="Arial" w:eastAsia="Arial" w:hAnsi="Arial"/>
                <w:sz w:val="16"/>
                <w:szCs w:val="16"/>
                <w:color w:val="auto"/>
              </w:rPr>
              <w:t>333-260297</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10.4</w:t>
            </w:r>
          </w:p>
        </w:tc>
        <w:tc>
          <w:tcPr>
            <w:tcW w:w="1560" w:type="dxa"/>
            <w:vAlign w:val="bottom"/>
          </w:tcPr>
          <w:p>
            <w:pPr>
              <w:jc w:val="center"/>
              <w:ind w:left="239"/>
              <w:spacing w:after="0"/>
              <w:rPr>
                <w:sz w:val="20"/>
                <w:szCs w:val="20"/>
                <w:color w:val="auto"/>
              </w:rPr>
            </w:pPr>
            <w:r>
              <w:rPr>
                <w:rFonts w:ascii="Arial" w:cs="Arial" w:eastAsia="Arial" w:hAnsi="Arial"/>
                <w:sz w:val="16"/>
                <w:szCs w:val="16"/>
                <w:color w:val="auto"/>
              </w:rPr>
              <w:t>October 18, 2021</w:t>
            </w:r>
          </w:p>
        </w:tc>
      </w:tr>
      <w:tr>
        <w:trPr>
          <w:trHeight w:val="432"/>
        </w:trPr>
        <w:tc>
          <w:tcPr>
            <w:tcW w:w="800" w:type="dxa"/>
            <w:vAlign w:val="bottom"/>
          </w:tcPr>
          <w:p>
            <w:pPr>
              <w:spacing w:after="0"/>
              <w:rPr>
                <w:sz w:val="20"/>
                <w:szCs w:val="20"/>
                <w:color w:val="auto"/>
              </w:rPr>
            </w:pPr>
            <w:r>
              <w:rPr>
                <w:rFonts w:ascii="Arial" w:cs="Arial" w:eastAsia="Arial" w:hAnsi="Arial"/>
                <w:sz w:val="16"/>
                <w:szCs w:val="16"/>
                <w:color w:val="auto"/>
              </w:rPr>
              <w:t>S-1/A</w:t>
            </w:r>
          </w:p>
        </w:tc>
        <w:tc>
          <w:tcPr>
            <w:tcW w:w="1640" w:type="dxa"/>
            <w:vAlign w:val="bottom"/>
          </w:tcPr>
          <w:p>
            <w:pPr>
              <w:jc w:val="right"/>
              <w:ind w:right="319"/>
              <w:spacing w:after="0"/>
              <w:rPr>
                <w:sz w:val="20"/>
                <w:szCs w:val="20"/>
                <w:color w:val="auto"/>
              </w:rPr>
            </w:pPr>
            <w:r>
              <w:rPr>
                <w:rFonts w:ascii="Arial" w:cs="Arial" w:eastAsia="Arial" w:hAnsi="Arial"/>
                <w:sz w:val="16"/>
                <w:szCs w:val="16"/>
                <w:color w:val="auto"/>
              </w:rPr>
              <w:t>333-260297</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10.5</w:t>
            </w:r>
          </w:p>
        </w:tc>
        <w:tc>
          <w:tcPr>
            <w:tcW w:w="1560" w:type="dxa"/>
            <w:vAlign w:val="bottom"/>
          </w:tcPr>
          <w:p>
            <w:pPr>
              <w:jc w:val="center"/>
              <w:ind w:left="239"/>
              <w:spacing w:after="0"/>
              <w:rPr>
                <w:sz w:val="20"/>
                <w:szCs w:val="20"/>
                <w:color w:val="auto"/>
              </w:rPr>
            </w:pPr>
            <w:r>
              <w:rPr>
                <w:rFonts w:ascii="Arial" w:cs="Arial" w:eastAsia="Arial" w:hAnsi="Arial"/>
                <w:sz w:val="16"/>
                <w:szCs w:val="16"/>
                <w:color w:val="auto"/>
              </w:rPr>
              <w:t>October 18, 2021</w:t>
            </w:r>
          </w:p>
        </w:tc>
      </w:tr>
      <w:tr>
        <w:trPr>
          <w:trHeight w:val="380"/>
        </w:trPr>
        <w:tc>
          <w:tcPr>
            <w:tcW w:w="800" w:type="dxa"/>
            <w:vAlign w:val="bottom"/>
          </w:tcPr>
          <w:p>
            <w:pPr>
              <w:spacing w:after="0"/>
              <w:rPr>
                <w:sz w:val="20"/>
                <w:szCs w:val="20"/>
                <w:color w:val="auto"/>
              </w:rPr>
            </w:pPr>
            <w:r>
              <w:rPr>
                <w:rFonts w:ascii="Arial" w:cs="Arial" w:eastAsia="Arial" w:hAnsi="Arial"/>
                <w:sz w:val="16"/>
                <w:szCs w:val="16"/>
                <w:color w:val="auto"/>
              </w:rPr>
              <w:t>S-1/A</w:t>
            </w:r>
          </w:p>
        </w:tc>
        <w:tc>
          <w:tcPr>
            <w:tcW w:w="1640" w:type="dxa"/>
            <w:vAlign w:val="bottom"/>
          </w:tcPr>
          <w:p>
            <w:pPr>
              <w:jc w:val="right"/>
              <w:ind w:right="319"/>
              <w:spacing w:after="0"/>
              <w:rPr>
                <w:sz w:val="20"/>
                <w:szCs w:val="20"/>
                <w:color w:val="auto"/>
              </w:rPr>
            </w:pPr>
            <w:r>
              <w:rPr>
                <w:rFonts w:ascii="Arial" w:cs="Arial" w:eastAsia="Arial" w:hAnsi="Arial"/>
                <w:sz w:val="16"/>
                <w:szCs w:val="16"/>
                <w:color w:val="auto"/>
              </w:rPr>
              <w:t>333-260297</w:t>
            </w: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10.6</w:t>
            </w:r>
          </w:p>
        </w:tc>
        <w:tc>
          <w:tcPr>
            <w:tcW w:w="156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r>
      <w:tr>
        <w:trPr>
          <w:trHeight w:val="215"/>
        </w:trPr>
        <w:tc>
          <w:tcPr>
            <w:tcW w:w="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jc w:val="center"/>
              <w:ind w:left="239"/>
              <w:spacing w:after="0"/>
              <w:rPr>
                <w:sz w:val="20"/>
                <w:szCs w:val="20"/>
                <w:color w:val="auto"/>
              </w:rPr>
            </w:pPr>
            <w:r>
              <w:rPr>
                <w:rFonts w:ascii="Arial" w:cs="Arial" w:eastAsia="Arial" w:hAnsi="Arial"/>
                <w:sz w:val="16"/>
                <w:szCs w:val="16"/>
                <w:color w:val="auto"/>
              </w:rPr>
              <w:t>2021</w:t>
            </w:r>
          </w:p>
        </w:tc>
      </w:tr>
    </w:tbl>
    <w:p>
      <w:pPr>
        <w:spacing w:after="0" w:line="1" w:lineRule="exact"/>
        <w:rPr>
          <w:sz w:val="20"/>
          <w:szCs w:val="20"/>
          <w:color w:val="auto"/>
        </w:rPr>
      </w:pPr>
    </w:p>
    <w:p>
      <w:pPr>
        <w:sectPr>
          <w:pgSz w:w="11900" w:h="16838" w:orient="portrait"/>
          <w:cols w:equalWidth="0" w:num="2">
            <w:col w:w="5400" w:space="720"/>
            <w:col w:w="5040"/>
          </w:cols>
          <w:pgMar w:left="320" w:top="121" w:right="419" w:bottom="1440" w:gutter="0" w:footer="0" w:header="0"/>
          <w:type w:val="continuous"/>
        </w:sectPr>
      </w:pPr>
    </w:p>
    <w:tbl>
      <w:tblPr>
        <w:tblLayout w:type="fixed"/>
        <w:tblInd w:w="460" w:type="dxa"/>
        <w:tblCellMar>
          <w:top w:w="0" w:type="dxa"/>
          <w:left w:w="0" w:type="dxa"/>
          <w:bottom w:w="0" w:type="dxa"/>
          <w:right w:w="0" w:type="dxa"/>
        </w:tblCellMar>
      </w:tblPr>
      <w:tr>
        <w:trPr>
          <w:trHeight w:val="231"/>
        </w:trPr>
        <w:tc>
          <w:tcPr>
            <w:tcW w:w="1100" w:type="dxa"/>
            <w:vAlign w:val="bottom"/>
          </w:tcPr>
          <w:p>
            <w:pPr>
              <w:jc w:val="center"/>
              <w:ind w:right="559"/>
              <w:spacing w:after="0" w:line="231" w:lineRule="exact"/>
              <w:rPr>
                <w:sz w:val="20"/>
                <w:szCs w:val="20"/>
                <w:color w:val="auto"/>
              </w:rPr>
            </w:pPr>
            <w:r>
              <w:rPr>
                <w:rFonts w:ascii="Arial" w:cs="Arial" w:eastAsia="Arial" w:hAnsi="Arial"/>
                <w:sz w:val="16"/>
                <w:szCs w:val="16"/>
                <w:color w:val="auto"/>
                <w:w w:val="97"/>
              </w:rPr>
              <w:t>10.9</w:t>
            </w:r>
            <w:r>
              <w:rPr>
                <w:rFonts w:ascii="Arial" w:cs="Arial" w:eastAsia="Arial" w:hAnsi="Arial"/>
                <w:sz w:val="21"/>
                <w:szCs w:val="21"/>
                <w:color w:val="auto"/>
                <w:w w:val="97"/>
                <w:vertAlign w:val="superscript"/>
              </w:rPr>
              <w:t>†</w:t>
            </w:r>
          </w:p>
        </w:tc>
        <w:tc>
          <w:tcPr>
            <w:tcW w:w="380" w:type="dxa"/>
            <w:vAlign w:val="bottom"/>
          </w:tcPr>
          <w:p>
            <w:pPr>
              <w:spacing w:after="0"/>
              <w:rPr>
                <w:rFonts w:ascii="Arial" w:cs="Arial" w:eastAsia="Arial" w:hAnsi="Arial"/>
                <w:sz w:val="16"/>
                <w:szCs w:val="16"/>
                <w:color w:val="0000FF"/>
              </w:rPr>
            </w:pPr>
            <w:hyperlink r:id="rId213">
              <w:r>
                <w:rPr>
                  <w:rFonts w:ascii="Arial" w:cs="Arial" w:eastAsia="Arial" w:hAnsi="Arial"/>
                  <w:sz w:val="16"/>
                  <w:szCs w:val="16"/>
                  <w:color w:val="0000FF"/>
                </w:rPr>
                <w:t>2009</w:t>
              </w:r>
            </w:hyperlink>
          </w:p>
        </w:tc>
        <w:tc>
          <w:tcPr>
            <w:tcW w:w="3480" w:type="dxa"/>
            <w:vAlign w:val="bottom"/>
            <w:gridSpan w:val="18"/>
          </w:tcPr>
          <w:p>
            <w:pPr>
              <w:ind w:left="20"/>
              <w:spacing w:after="0"/>
              <w:rPr>
                <w:rFonts w:ascii="Arial" w:cs="Arial" w:eastAsia="Arial" w:hAnsi="Arial"/>
                <w:sz w:val="16"/>
                <w:szCs w:val="16"/>
                <w:color w:val="0000FF"/>
              </w:rPr>
            </w:pPr>
            <w:hyperlink r:id="rId213">
              <w:r>
                <w:rPr>
                  <w:rFonts w:ascii="Arial" w:cs="Arial" w:eastAsia="Arial" w:hAnsi="Arial"/>
                  <w:sz w:val="16"/>
                  <w:szCs w:val="16"/>
                  <w:color w:val="0000FF"/>
                </w:rPr>
                <w:t>Stock Plan – Form of Notice of Stock Option</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rPr>
              <w:t>10.7</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8"/>
              </w:rPr>
            </w:pPr>
            <w:hyperlink r:id="rId213">
              <w:r>
                <w:rPr>
                  <w:rFonts w:ascii="Arial" w:cs="Arial" w:eastAsia="Arial" w:hAnsi="Arial"/>
                  <w:sz w:val="16"/>
                  <w:szCs w:val="16"/>
                  <w:color w:val="0000FF"/>
                  <w:w w:val="98"/>
                </w:rPr>
                <w:t>Grant (EMI)</w:t>
              </w:r>
            </w:hyperlink>
          </w:p>
        </w:tc>
        <w:tc>
          <w:tcPr>
            <w:tcW w:w="2720" w:type="dxa"/>
            <w:vAlign w:val="bottom"/>
            <w:tcBorders>
              <w:top w:val="single" w:sz="8" w:color="0000FF"/>
            </w:tcBorders>
            <w:gridSpan w:val="12"/>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6"/>
              </w:rPr>
              <w:t>10.10</w:t>
            </w:r>
            <w:r>
              <w:rPr>
                <w:rFonts w:ascii="Arial" w:cs="Arial" w:eastAsia="Arial" w:hAnsi="Arial"/>
                <w:sz w:val="21"/>
                <w:szCs w:val="21"/>
                <w:color w:val="auto"/>
                <w:w w:val="96"/>
                <w:vertAlign w:val="superscript"/>
              </w:rPr>
              <w:t>†</w:t>
            </w:r>
          </w:p>
        </w:tc>
        <w:tc>
          <w:tcPr>
            <w:tcW w:w="380" w:type="dxa"/>
            <w:vAlign w:val="bottom"/>
          </w:tcPr>
          <w:p>
            <w:pPr>
              <w:spacing w:after="0"/>
              <w:rPr>
                <w:rFonts w:ascii="Arial" w:cs="Arial" w:eastAsia="Arial" w:hAnsi="Arial"/>
                <w:sz w:val="16"/>
                <w:szCs w:val="16"/>
                <w:color w:val="0000FF"/>
              </w:rPr>
            </w:pPr>
            <w:hyperlink r:id="rId214">
              <w:r>
                <w:rPr>
                  <w:rFonts w:ascii="Arial" w:cs="Arial" w:eastAsia="Arial" w:hAnsi="Arial"/>
                  <w:sz w:val="16"/>
                  <w:szCs w:val="16"/>
                  <w:color w:val="0000FF"/>
                </w:rPr>
                <w:t>2009</w:t>
              </w:r>
            </w:hyperlink>
          </w:p>
        </w:tc>
        <w:tc>
          <w:tcPr>
            <w:tcW w:w="3480" w:type="dxa"/>
            <w:vAlign w:val="bottom"/>
            <w:gridSpan w:val="18"/>
          </w:tcPr>
          <w:p>
            <w:pPr>
              <w:ind w:left="20"/>
              <w:spacing w:after="0"/>
              <w:rPr>
                <w:rFonts w:ascii="Arial" w:cs="Arial" w:eastAsia="Arial" w:hAnsi="Arial"/>
                <w:sz w:val="16"/>
                <w:szCs w:val="16"/>
                <w:color w:val="0000FF"/>
              </w:rPr>
            </w:pPr>
            <w:hyperlink r:id="rId214">
              <w:r>
                <w:rPr>
                  <w:rFonts w:ascii="Arial" w:cs="Arial" w:eastAsia="Arial" w:hAnsi="Arial"/>
                  <w:sz w:val="16"/>
                  <w:szCs w:val="16"/>
                  <w:color w:val="0000FF"/>
                </w:rPr>
                <w:t>Stock Plan – Form of Option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rPr>
              <w:t>10.8</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95"/>
        </w:trPr>
        <w:tc>
          <w:tcPr>
            <w:tcW w:w="1100" w:type="dxa"/>
            <w:vAlign w:val="bottom"/>
            <w:vMerge w:val="restart"/>
          </w:tcPr>
          <w:p>
            <w:pPr>
              <w:jc w:val="center"/>
              <w:ind w:right="539"/>
              <w:spacing w:after="0"/>
              <w:rPr>
                <w:sz w:val="20"/>
                <w:szCs w:val="20"/>
                <w:color w:val="auto"/>
              </w:rPr>
            </w:pPr>
            <w:r>
              <w:rPr>
                <w:rFonts w:ascii="Arial" w:cs="Arial" w:eastAsia="Arial" w:hAnsi="Arial"/>
                <w:sz w:val="16"/>
                <w:szCs w:val="16"/>
                <w:color w:val="auto"/>
                <w:w w:val="91"/>
              </w:rPr>
              <w:t>10.11</w:t>
            </w:r>
            <w:r>
              <w:rPr>
                <w:rFonts w:ascii="Arial" w:cs="Arial" w:eastAsia="Arial" w:hAnsi="Arial"/>
                <w:sz w:val="21"/>
                <w:szCs w:val="21"/>
                <w:color w:val="auto"/>
                <w:w w:val="91"/>
                <w:vertAlign w:val="superscript"/>
              </w:rPr>
              <w:t>†</w:t>
            </w:r>
          </w:p>
        </w:tc>
        <w:tc>
          <w:tcPr>
            <w:tcW w:w="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7"/>
        </w:trPr>
        <w:tc>
          <w:tcPr>
            <w:tcW w:w="1100" w:type="dxa"/>
            <w:vAlign w:val="bottom"/>
            <w:vMerge w:val="continue"/>
          </w:tcPr>
          <w:p>
            <w:pPr>
              <w:spacing w:after="0"/>
              <w:rPr>
                <w:sz w:val="18"/>
                <w:szCs w:val="18"/>
                <w:color w:val="auto"/>
              </w:rPr>
            </w:pPr>
          </w:p>
        </w:tc>
        <w:tc>
          <w:tcPr>
            <w:tcW w:w="380" w:type="dxa"/>
            <w:vAlign w:val="bottom"/>
          </w:tcPr>
          <w:p>
            <w:pPr>
              <w:spacing w:after="0"/>
              <w:rPr>
                <w:rFonts w:ascii="Arial" w:cs="Arial" w:eastAsia="Arial" w:hAnsi="Arial"/>
                <w:sz w:val="16"/>
                <w:szCs w:val="16"/>
                <w:color w:val="0000FF"/>
              </w:rPr>
            </w:pPr>
            <w:hyperlink r:id="rId215">
              <w:r>
                <w:rPr>
                  <w:rFonts w:ascii="Arial" w:cs="Arial" w:eastAsia="Arial" w:hAnsi="Arial"/>
                  <w:sz w:val="16"/>
                  <w:szCs w:val="16"/>
                  <w:color w:val="0000FF"/>
                </w:rPr>
                <w:t>2019</w:t>
              </w:r>
            </w:hyperlink>
          </w:p>
        </w:tc>
        <w:tc>
          <w:tcPr>
            <w:tcW w:w="3480" w:type="dxa"/>
            <w:vAlign w:val="bottom"/>
            <w:gridSpan w:val="18"/>
          </w:tcPr>
          <w:p>
            <w:pPr>
              <w:ind w:left="20"/>
              <w:spacing w:after="0"/>
              <w:rPr>
                <w:rFonts w:ascii="Arial" w:cs="Arial" w:eastAsia="Arial" w:hAnsi="Arial"/>
                <w:sz w:val="16"/>
                <w:szCs w:val="16"/>
                <w:color w:val="0000FF"/>
              </w:rPr>
            </w:pPr>
            <w:hyperlink r:id="rId215">
              <w:r>
                <w:rPr>
                  <w:rFonts w:ascii="Arial" w:cs="Arial" w:eastAsia="Arial" w:hAnsi="Arial"/>
                  <w:sz w:val="16"/>
                  <w:szCs w:val="16"/>
                  <w:color w:val="0000FF"/>
                </w:rPr>
                <w:t>Stock Plan</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rPr>
              <w:t>10.9</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95"/>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10.12</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7"/>
        </w:trPr>
        <w:tc>
          <w:tcPr>
            <w:tcW w:w="1100" w:type="dxa"/>
            <w:vAlign w:val="bottom"/>
            <w:vMerge w:val="continue"/>
          </w:tcPr>
          <w:p>
            <w:pPr>
              <w:spacing w:after="0"/>
              <w:rPr>
                <w:sz w:val="18"/>
                <w:szCs w:val="18"/>
                <w:color w:val="auto"/>
              </w:rPr>
            </w:pPr>
          </w:p>
        </w:tc>
        <w:tc>
          <w:tcPr>
            <w:tcW w:w="380" w:type="dxa"/>
            <w:vAlign w:val="bottom"/>
          </w:tcPr>
          <w:p>
            <w:pPr>
              <w:spacing w:after="0"/>
              <w:rPr>
                <w:rFonts w:ascii="Arial" w:cs="Arial" w:eastAsia="Arial" w:hAnsi="Arial"/>
                <w:sz w:val="16"/>
                <w:szCs w:val="16"/>
                <w:color w:val="0000FF"/>
              </w:rPr>
            </w:pPr>
            <w:hyperlink r:id="rId216">
              <w:r>
                <w:rPr>
                  <w:rFonts w:ascii="Arial" w:cs="Arial" w:eastAsia="Arial" w:hAnsi="Arial"/>
                  <w:sz w:val="16"/>
                  <w:szCs w:val="16"/>
                  <w:color w:val="0000FF"/>
                </w:rPr>
                <w:t>2019</w:t>
              </w:r>
            </w:hyperlink>
          </w:p>
        </w:tc>
        <w:tc>
          <w:tcPr>
            <w:tcW w:w="3480" w:type="dxa"/>
            <w:vAlign w:val="bottom"/>
            <w:gridSpan w:val="18"/>
          </w:tcPr>
          <w:p>
            <w:pPr>
              <w:ind w:left="20"/>
              <w:spacing w:after="0"/>
              <w:rPr>
                <w:rFonts w:ascii="Arial" w:cs="Arial" w:eastAsia="Arial" w:hAnsi="Arial"/>
                <w:sz w:val="16"/>
                <w:szCs w:val="16"/>
                <w:color w:val="0000FF"/>
              </w:rPr>
            </w:pPr>
            <w:hyperlink r:id="rId216">
              <w:r>
                <w:rPr>
                  <w:rFonts w:ascii="Arial" w:cs="Arial" w:eastAsia="Arial" w:hAnsi="Arial"/>
                  <w:sz w:val="16"/>
                  <w:szCs w:val="16"/>
                  <w:color w:val="0000FF"/>
                </w:rPr>
                <w:t>Stock Plan – Form of Early Exercise Notice and</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16">
              <w:r>
                <w:rPr>
                  <w:rFonts w:ascii="Arial" w:cs="Arial" w:eastAsia="Arial" w:hAnsi="Arial"/>
                  <w:sz w:val="16"/>
                  <w:szCs w:val="16"/>
                  <w:color w:val="0000FF"/>
                </w:rPr>
                <w:t>Restricted Stock Purchase Agreement</w:t>
              </w:r>
            </w:hyperlink>
          </w:p>
        </w:tc>
        <w:tc>
          <w:tcPr>
            <w:tcW w:w="1060" w:type="dxa"/>
            <w:vAlign w:val="bottom"/>
            <w:tcBorders>
              <w:top w:val="single" w:sz="8" w:color="0000FF"/>
            </w:tcBorders>
            <w:gridSpan w:val="9"/>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6"/>
              </w:rPr>
              <w:t>10.13</w:t>
            </w:r>
            <w:r>
              <w:rPr>
                <w:rFonts w:ascii="Arial" w:cs="Arial" w:eastAsia="Arial" w:hAnsi="Arial"/>
                <w:sz w:val="21"/>
                <w:szCs w:val="21"/>
                <w:color w:val="auto"/>
                <w:w w:val="96"/>
                <w:vertAlign w:val="superscript"/>
              </w:rPr>
              <w:t>†</w:t>
            </w:r>
          </w:p>
        </w:tc>
        <w:tc>
          <w:tcPr>
            <w:tcW w:w="380" w:type="dxa"/>
            <w:vAlign w:val="bottom"/>
            <w:tcBorders>
              <w:bottom w:val="single" w:sz="8" w:color="0000FF"/>
            </w:tcBorders>
          </w:tcPr>
          <w:p>
            <w:pPr>
              <w:spacing w:after="0"/>
              <w:rPr>
                <w:rFonts w:ascii="Arial" w:cs="Arial" w:eastAsia="Arial" w:hAnsi="Arial"/>
                <w:sz w:val="16"/>
                <w:szCs w:val="16"/>
                <w:color w:val="0000FF"/>
              </w:rPr>
            </w:pPr>
            <w:hyperlink r:id="rId217">
              <w:r>
                <w:rPr>
                  <w:rFonts w:ascii="Arial" w:cs="Arial" w:eastAsia="Arial" w:hAnsi="Arial"/>
                  <w:sz w:val="16"/>
                  <w:szCs w:val="16"/>
                  <w:color w:val="0000FF"/>
                </w:rPr>
                <w:t>2019</w:t>
              </w:r>
            </w:hyperlink>
          </w:p>
        </w:tc>
        <w:tc>
          <w:tcPr>
            <w:tcW w:w="3480" w:type="dxa"/>
            <w:vAlign w:val="bottom"/>
            <w:tcBorders>
              <w:bottom w:val="single" w:sz="8" w:color="0000FF"/>
            </w:tcBorders>
            <w:gridSpan w:val="18"/>
          </w:tcPr>
          <w:p>
            <w:pPr>
              <w:ind w:left="20"/>
              <w:spacing w:after="0"/>
              <w:rPr>
                <w:rFonts w:ascii="Arial" w:cs="Arial" w:eastAsia="Arial" w:hAnsi="Arial"/>
                <w:sz w:val="16"/>
                <w:szCs w:val="16"/>
                <w:color w:val="0000FF"/>
              </w:rPr>
            </w:pPr>
            <w:hyperlink r:id="rId217">
              <w:r>
                <w:rPr>
                  <w:rFonts w:ascii="Arial" w:cs="Arial" w:eastAsia="Arial" w:hAnsi="Arial"/>
                  <w:sz w:val="16"/>
                  <w:szCs w:val="16"/>
                  <w:color w:val="0000FF"/>
                </w:rPr>
                <w:t>Stock Plan – Form of Exercise Agreement (EMI)</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95"/>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10.14</w:t>
            </w:r>
            <w:r>
              <w:rPr>
                <w:rFonts w:ascii="Arial" w:cs="Arial" w:eastAsia="Arial" w:hAnsi="Arial"/>
                <w:sz w:val="21"/>
                <w:szCs w:val="21"/>
                <w:color w:val="auto"/>
                <w:w w:val="96"/>
                <w:vertAlign w:val="superscript"/>
              </w:rPr>
              <w:t>†</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7"/>
        </w:trPr>
        <w:tc>
          <w:tcPr>
            <w:tcW w:w="1100" w:type="dxa"/>
            <w:vAlign w:val="bottom"/>
            <w:vMerge w:val="continue"/>
          </w:tcPr>
          <w:p>
            <w:pPr>
              <w:spacing w:after="0"/>
              <w:rPr>
                <w:sz w:val="18"/>
                <w:szCs w:val="18"/>
                <w:color w:val="auto"/>
              </w:rPr>
            </w:pPr>
          </w:p>
        </w:tc>
        <w:tc>
          <w:tcPr>
            <w:tcW w:w="380" w:type="dxa"/>
            <w:vAlign w:val="bottom"/>
          </w:tcPr>
          <w:p>
            <w:pPr>
              <w:spacing w:after="0"/>
              <w:rPr>
                <w:rFonts w:ascii="Arial" w:cs="Arial" w:eastAsia="Arial" w:hAnsi="Arial"/>
                <w:sz w:val="16"/>
                <w:szCs w:val="16"/>
                <w:color w:val="0000FF"/>
              </w:rPr>
            </w:pPr>
            <w:hyperlink r:id="rId218">
              <w:r>
                <w:rPr>
                  <w:rFonts w:ascii="Arial" w:cs="Arial" w:eastAsia="Arial" w:hAnsi="Arial"/>
                  <w:sz w:val="16"/>
                  <w:szCs w:val="16"/>
                  <w:color w:val="0000FF"/>
                </w:rPr>
                <w:t>2019</w:t>
              </w:r>
            </w:hyperlink>
          </w:p>
        </w:tc>
        <w:tc>
          <w:tcPr>
            <w:tcW w:w="3480" w:type="dxa"/>
            <w:vAlign w:val="bottom"/>
            <w:gridSpan w:val="18"/>
          </w:tcPr>
          <w:p>
            <w:pPr>
              <w:ind w:left="20"/>
              <w:spacing w:after="0"/>
              <w:rPr>
                <w:rFonts w:ascii="Arial" w:cs="Arial" w:eastAsia="Arial" w:hAnsi="Arial"/>
                <w:sz w:val="16"/>
                <w:szCs w:val="16"/>
                <w:color w:val="0000FF"/>
              </w:rPr>
            </w:pPr>
            <w:hyperlink r:id="rId218">
              <w:r>
                <w:rPr>
                  <w:rFonts w:ascii="Arial" w:cs="Arial" w:eastAsia="Arial" w:hAnsi="Arial"/>
                  <w:sz w:val="16"/>
                  <w:szCs w:val="16"/>
                  <w:color w:val="0000FF"/>
                </w:rPr>
                <w:t>Stock Plan – Form of Exercise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10.12</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95"/>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10.15</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7"/>
        </w:trPr>
        <w:tc>
          <w:tcPr>
            <w:tcW w:w="1100" w:type="dxa"/>
            <w:vAlign w:val="bottom"/>
            <w:vMerge w:val="continue"/>
          </w:tcPr>
          <w:p>
            <w:pPr>
              <w:spacing w:after="0"/>
              <w:rPr>
                <w:sz w:val="18"/>
                <w:szCs w:val="18"/>
                <w:color w:val="auto"/>
              </w:rPr>
            </w:pPr>
          </w:p>
        </w:tc>
        <w:tc>
          <w:tcPr>
            <w:tcW w:w="380" w:type="dxa"/>
            <w:vAlign w:val="bottom"/>
          </w:tcPr>
          <w:p>
            <w:pPr>
              <w:spacing w:after="0"/>
              <w:rPr>
                <w:rFonts w:ascii="Arial" w:cs="Arial" w:eastAsia="Arial" w:hAnsi="Arial"/>
                <w:sz w:val="16"/>
                <w:szCs w:val="16"/>
                <w:color w:val="0000FF"/>
              </w:rPr>
            </w:pPr>
            <w:hyperlink r:id="rId219">
              <w:r>
                <w:rPr>
                  <w:rFonts w:ascii="Arial" w:cs="Arial" w:eastAsia="Arial" w:hAnsi="Arial"/>
                  <w:sz w:val="16"/>
                  <w:szCs w:val="16"/>
                  <w:color w:val="0000FF"/>
                </w:rPr>
                <w:t>2019</w:t>
              </w:r>
            </w:hyperlink>
          </w:p>
        </w:tc>
        <w:tc>
          <w:tcPr>
            <w:tcW w:w="3480" w:type="dxa"/>
            <w:vAlign w:val="bottom"/>
            <w:gridSpan w:val="18"/>
          </w:tcPr>
          <w:p>
            <w:pPr>
              <w:ind w:left="20"/>
              <w:spacing w:after="0"/>
              <w:rPr>
                <w:rFonts w:ascii="Arial" w:cs="Arial" w:eastAsia="Arial" w:hAnsi="Arial"/>
                <w:sz w:val="16"/>
                <w:szCs w:val="16"/>
                <w:color w:val="0000FF"/>
              </w:rPr>
            </w:pPr>
            <w:hyperlink r:id="rId219">
              <w:r>
                <w:rPr>
                  <w:rFonts w:ascii="Arial" w:cs="Arial" w:eastAsia="Arial" w:hAnsi="Arial"/>
                  <w:sz w:val="16"/>
                  <w:szCs w:val="16"/>
                  <w:color w:val="0000FF"/>
                </w:rPr>
                <w:t>Stock Plan – Form of Option Agreement (early</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10.13</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2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9"/>
              </w:rPr>
            </w:pPr>
            <w:hyperlink r:id="rId219">
              <w:r>
                <w:rPr>
                  <w:rFonts w:ascii="Arial" w:cs="Arial" w:eastAsia="Arial" w:hAnsi="Arial"/>
                  <w:sz w:val="16"/>
                  <w:szCs w:val="16"/>
                  <w:color w:val="0000FF"/>
                  <w:w w:val="99"/>
                </w:rPr>
                <w:t>exercise) (Reg S)</w:t>
              </w:r>
            </w:hyperlink>
          </w:p>
        </w:tc>
        <w:tc>
          <w:tcPr>
            <w:tcW w:w="2460" w:type="dxa"/>
            <w:vAlign w:val="bottom"/>
            <w:tcBorders>
              <w:top w:val="single" w:sz="8" w:color="0000FF"/>
            </w:tcBorders>
            <w:gridSpan w:val="11"/>
          </w:tcPr>
          <w:p>
            <w:pPr>
              <w:spacing w:after="0"/>
              <w:rPr>
                <w:sz w:val="12"/>
                <w:szCs w:val="12"/>
                <w:color w:val="auto"/>
              </w:rPr>
            </w:pPr>
          </w:p>
        </w:tc>
        <w:tc>
          <w:tcPr>
            <w:tcW w:w="14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6"/>
              </w:rPr>
              <w:t>10.16</w:t>
            </w:r>
            <w:r>
              <w:rPr>
                <w:rFonts w:ascii="Arial" w:cs="Arial" w:eastAsia="Arial" w:hAnsi="Arial"/>
                <w:sz w:val="21"/>
                <w:szCs w:val="21"/>
                <w:color w:val="auto"/>
                <w:w w:val="96"/>
                <w:vertAlign w:val="superscript"/>
              </w:rPr>
              <w:t>†</w:t>
            </w:r>
          </w:p>
        </w:tc>
        <w:tc>
          <w:tcPr>
            <w:tcW w:w="380" w:type="dxa"/>
            <w:vAlign w:val="bottom"/>
          </w:tcPr>
          <w:p>
            <w:pPr>
              <w:spacing w:after="0"/>
              <w:rPr>
                <w:rFonts w:ascii="Arial" w:cs="Arial" w:eastAsia="Arial" w:hAnsi="Arial"/>
                <w:sz w:val="16"/>
                <w:szCs w:val="16"/>
                <w:color w:val="0000FF"/>
              </w:rPr>
            </w:pPr>
            <w:hyperlink r:id="rId220">
              <w:r>
                <w:rPr>
                  <w:rFonts w:ascii="Arial" w:cs="Arial" w:eastAsia="Arial" w:hAnsi="Arial"/>
                  <w:sz w:val="16"/>
                  <w:szCs w:val="16"/>
                  <w:color w:val="0000FF"/>
                </w:rPr>
                <w:t>2019</w:t>
              </w:r>
            </w:hyperlink>
          </w:p>
        </w:tc>
        <w:tc>
          <w:tcPr>
            <w:tcW w:w="3480" w:type="dxa"/>
            <w:vAlign w:val="bottom"/>
            <w:gridSpan w:val="18"/>
          </w:tcPr>
          <w:p>
            <w:pPr>
              <w:ind w:left="20"/>
              <w:spacing w:after="0"/>
              <w:rPr>
                <w:rFonts w:ascii="Arial" w:cs="Arial" w:eastAsia="Arial" w:hAnsi="Arial"/>
                <w:sz w:val="16"/>
                <w:szCs w:val="16"/>
                <w:color w:val="0000FF"/>
              </w:rPr>
            </w:pPr>
            <w:hyperlink r:id="rId220">
              <w:r>
                <w:rPr>
                  <w:rFonts w:ascii="Arial" w:cs="Arial" w:eastAsia="Arial" w:hAnsi="Arial"/>
                  <w:sz w:val="16"/>
                  <w:szCs w:val="16"/>
                  <w:color w:val="0000FF"/>
                </w:rPr>
                <w:t>Stock Plan – Form of Option Agreement (early</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10.14</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372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220">
              <w:r>
                <w:rPr>
                  <w:rFonts w:ascii="Arial" w:cs="Arial" w:eastAsia="Arial" w:hAnsi="Arial"/>
                  <w:sz w:val="16"/>
                  <w:szCs w:val="16"/>
                  <w:color w:val="0000FF"/>
                </w:rPr>
                <w:t>exercise)</w:t>
              </w:r>
            </w:hyperlink>
          </w:p>
        </w:tc>
        <w:tc>
          <w:tcPr>
            <w:tcW w:w="140" w:type="dxa"/>
            <w:vAlign w:val="bottom"/>
            <w:gridSpan w:val="2"/>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10.17</w:t>
            </w:r>
            <w:r>
              <w:rPr>
                <w:rFonts w:ascii="Arial" w:cs="Arial" w:eastAsia="Arial" w:hAnsi="Arial"/>
                <w:sz w:val="21"/>
                <w:szCs w:val="21"/>
                <w:color w:val="auto"/>
                <w:w w:val="96"/>
                <w:vertAlign w:val="superscript"/>
              </w:rPr>
              <w:t>†</w:t>
            </w: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vMerge w:val="continue"/>
          </w:tcPr>
          <w:p>
            <w:pPr>
              <w:spacing w:after="0"/>
              <w:rPr>
                <w:sz w:val="21"/>
                <w:szCs w:val="21"/>
                <w:color w:val="auto"/>
              </w:rPr>
            </w:pPr>
          </w:p>
        </w:tc>
        <w:tc>
          <w:tcPr>
            <w:tcW w:w="380" w:type="dxa"/>
            <w:vAlign w:val="bottom"/>
          </w:tcPr>
          <w:p>
            <w:pPr>
              <w:spacing w:after="0"/>
              <w:rPr>
                <w:rFonts w:ascii="Arial" w:cs="Arial" w:eastAsia="Arial" w:hAnsi="Arial"/>
                <w:sz w:val="16"/>
                <w:szCs w:val="16"/>
                <w:color w:val="0000FF"/>
              </w:rPr>
            </w:pPr>
            <w:hyperlink r:id="rId221">
              <w:r>
                <w:rPr>
                  <w:rFonts w:ascii="Arial" w:cs="Arial" w:eastAsia="Arial" w:hAnsi="Arial"/>
                  <w:sz w:val="16"/>
                  <w:szCs w:val="16"/>
                  <w:color w:val="0000FF"/>
                </w:rPr>
                <w:t>2019</w:t>
              </w:r>
            </w:hyperlink>
          </w:p>
        </w:tc>
        <w:tc>
          <w:tcPr>
            <w:tcW w:w="3480" w:type="dxa"/>
            <w:vAlign w:val="bottom"/>
            <w:gridSpan w:val="18"/>
          </w:tcPr>
          <w:p>
            <w:pPr>
              <w:ind w:left="20"/>
              <w:spacing w:after="0"/>
              <w:rPr>
                <w:rFonts w:ascii="Arial" w:cs="Arial" w:eastAsia="Arial" w:hAnsi="Arial"/>
                <w:sz w:val="16"/>
                <w:szCs w:val="16"/>
                <w:color w:val="0000FF"/>
              </w:rPr>
            </w:pPr>
            <w:hyperlink r:id="rId221">
              <w:r>
                <w:rPr>
                  <w:rFonts w:ascii="Arial" w:cs="Arial" w:eastAsia="Arial" w:hAnsi="Arial"/>
                  <w:sz w:val="16"/>
                  <w:szCs w:val="16"/>
                  <w:color w:val="0000FF"/>
                </w:rPr>
                <w:t>Stock Plan – Form of Notice of Stock Option</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10.15</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8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8"/>
              </w:rPr>
            </w:pPr>
            <w:hyperlink r:id="rId221">
              <w:r>
                <w:rPr>
                  <w:rFonts w:ascii="Arial" w:cs="Arial" w:eastAsia="Arial" w:hAnsi="Arial"/>
                  <w:sz w:val="16"/>
                  <w:szCs w:val="16"/>
                  <w:color w:val="0000FF"/>
                  <w:w w:val="98"/>
                </w:rPr>
                <w:t>Grant (EMI)</w:t>
              </w:r>
            </w:hyperlink>
          </w:p>
        </w:tc>
        <w:tc>
          <w:tcPr>
            <w:tcW w:w="2720" w:type="dxa"/>
            <w:vAlign w:val="bottom"/>
            <w:tcBorders>
              <w:top w:val="single" w:sz="8" w:color="0000FF"/>
            </w:tcBorders>
            <w:gridSpan w:val="12"/>
          </w:tcPr>
          <w:p>
            <w:pPr>
              <w:spacing w:after="0"/>
              <w:rPr>
                <w:sz w:val="12"/>
                <w:szCs w:val="12"/>
                <w:color w:val="auto"/>
              </w:rPr>
            </w:pPr>
          </w:p>
        </w:tc>
        <w:tc>
          <w:tcPr>
            <w:tcW w:w="300" w:type="dxa"/>
            <w:vAlign w:val="bottom"/>
            <w:gridSpan w:val="3"/>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6"/>
              </w:rPr>
              <w:t>10.18</w:t>
            </w:r>
            <w:r>
              <w:rPr>
                <w:rFonts w:ascii="Arial" w:cs="Arial" w:eastAsia="Arial" w:hAnsi="Arial"/>
                <w:sz w:val="21"/>
                <w:szCs w:val="21"/>
                <w:color w:val="auto"/>
                <w:w w:val="96"/>
                <w:vertAlign w:val="superscript"/>
              </w:rPr>
              <w:t>†</w:t>
            </w:r>
          </w:p>
        </w:tc>
        <w:tc>
          <w:tcPr>
            <w:tcW w:w="380" w:type="dxa"/>
            <w:vAlign w:val="bottom"/>
          </w:tcPr>
          <w:p>
            <w:pPr>
              <w:spacing w:after="0"/>
              <w:rPr>
                <w:rFonts w:ascii="Arial" w:cs="Arial" w:eastAsia="Arial" w:hAnsi="Arial"/>
                <w:sz w:val="16"/>
                <w:szCs w:val="16"/>
                <w:color w:val="0000FF"/>
              </w:rPr>
            </w:pPr>
            <w:hyperlink r:id="rId222">
              <w:r>
                <w:rPr>
                  <w:rFonts w:ascii="Arial" w:cs="Arial" w:eastAsia="Arial" w:hAnsi="Arial"/>
                  <w:sz w:val="16"/>
                  <w:szCs w:val="16"/>
                  <w:color w:val="0000FF"/>
                </w:rPr>
                <w:t>2019</w:t>
              </w:r>
            </w:hyperlink>
          </w:p>
        </w:tc>
        <w:tc>
          <w:tcPr>
            <w:tcW w:w="3480" w:type="dxa"/>
            <w:vAlign w:val="bottom"/>
            <w:gridSpan w:val="18"/>
          </w:tcPr>
          <w:p>
            <w:pPr>
              <w:ind w:left="20"/>
              <w:spacing w:after="0"/>
              <w:rPr>
                <w:rFonts w:ascii="Arial" w:cs="Arial" w:eastAsia="Arial" w:hAnsi="Arial"/>
                <w:sz w:val="16"/>
                <w:szCs w:val="16"/>
                <w:color w:val="0000FF"/>
              </w:rPr>
            </w:pPr>
            <w:hyperlink r:id="rId222">
              <w:r>
                <w:rPr>
                  <w:rFonts w:ascii="Arial" w:cs="Arial" w:eastAsia="Arial" w:hAnsi="Arial"/>
                  <w:sz w:val="16"/>
                  <w:szCs w:val="16"/>
                  <w:color w:val="0000FF"/>
                </w:rPr>
                <w:t>Stock Plan - Form of Contingent Exercise</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10.16</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33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Agreement</w:t>
              </w:r>
            </w:hyperlink>
          </w:p>
        </w:tc>
        <w:tc>
          <w:tcPr>
            <w:tcW w:w="80" w:type="dxa"/>
            <w:vAlign w:val="bottom"/>
            <w:gridSpan w:val="2"/>
          </w:tcPr>
          <w:p>
            <w:pPr>
              <w:spacing w:after="0"/>
              <w:rPr>
                <w:sz w:val="12"/>
                <w:szCs w:val="12"/>
                <w:color w:val="auto"/>
              </w:rPr>
            </w:pPr>
          </w:p>
        </w:tc>
        <w:tc>
          <w:tcPr>
            <w:tcW w:w="420" w:type="dxa"/>
            <w:vAlign w:val="bottom"/>
            <w:gridSpan w:val="4"/>
          </w:tcPr>
          <w:p>
            <w:pPr>
              <w:spacing w:after="0"/>
              <w:rPr>
                <w:sz w:val="12"/>
                <w:szCs w:val="12"/>
                <w:color w:val="auto"/>
              </w:rPr>
            </w:pPr>
          </w:p>
        </w:tc>
        <w:tc>
          <w:tcPr>
            <w:tcW w:w="1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40" w:type="dxa"/>
            <w:vAlign w:val="bottom"/>
          </w:tcPr>
          <w:p>
            <w:pPr>
              <w:jc w:val="center"/>
              <w:ind w:left="239"/>
              <w:spacing w:after="0" w:line="142" w:lineRule="exact"/>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10.19</w:t>
            </w:r>
            <w:r>
              <w:rPr>
                <w:rFonts w:ascii="Arial" w:cs="Arial" w:eastAsia="Arial" w:hAnsi="Arial"/>
                <w:sz w:val="21"/>
                <w:szCs w:val="21"/>
                <w:color w:val="auto"/>
                <w:w w:val="96"/>
                <w:vertAlign w:val="superscript"/>
              </w:rPr>
              <w:t>†</w:t>
            </w: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vMerge w:val="continue"/>
          </w:tcPr>
          <w:p>
            <w:pPr>
              <w:spacing w:after="0"/>
              <w:rPr>
                <w:sz w:val="21"/>
                <w:szCs w:val="21"/>
                <w:color w:val="auto"/>
              </w:rPr>
            </w:pPr>
          </w:p>
        </w:tc>
        <w:tc>
          <w:tcPr>
            <w:tcW w:w="380" w:type="dxa"/>
            <w:vAlign w:val="bottom"/>
          </w:tcPr>
          <w:p>
            <w:pPr>
              <w:spacing w:after="0"/>
              <w:rPr>
                <w:rFonts w:ascii="Arial" w:cs="Arial" w:eastAsia="Arial" w:hAnsi="Arial"/>
                <w:sz w:val="16"/>
                <w:szCs w:val="16"/>
                <w:color w:val="0000FF"/>
              </w:rPr>
            </w:pPr>
            <w:hyperlink r:id="rId223">
              <w:r>
                <w:rPr>
                  <w:rFonts w:ascii="Arial" w:cs="Arial" w:eastAsia="Arial" w:hAnsi="Arial"/>
                  <w:sz w:val="16"/>
                  <w:szCs w:val="16"/>
                  <w:color w:val="0000FF"/>
                </w:rPr>
                <w:t>2019</w:t>
              </w:r>
            </w:hyperlink>
          </w:p>
        </w:tc>
        <w:tc>
          <w:tcPr>
            <w:tcW w:w="3480" w:type="dxa"/>
            <w:vAlign w:val="bottom"/>
            <w:gridSpan w:val="18"/>
          </w:tcPr>
          <w:p>
            <w:pPr>
              <w:ind w:left="20"/>
              <w:spacing w:after="0"/>
              <w:rPr>
                <w:rFonts w:ascii="Arial" w:cs="Arial" w:eastAsia="Arial" w:hAnsi="Arial"/>
                <w:sz w:val="16"/>
                <w:szCs w:val="16"/>
                <w:color w:val="0000FF"/>
              </w:rPr>
            </w:pPr>
            <w:hyperlink r:id="rId223">
              <w:r>
                <w:rPr>
                  <w:rFonts w:ascii="Arial" w:cs="Arial" w:eastAsia="Arial" w:hAnsi="Arial"/>
                  <w:sz w:val="16"/>
                  <w:szCs w:val="16"/>
                  <w:color w:val="0000FF"/>
                </w:rPr>
                <w:t>Plan - Form of RSU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10.17</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95"/>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10.20</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7"/>
        </w:trPr>
        <w:tc>
          <w:tcPr>
            <w:tcW w:w="1100" w:type="dxa"/>
            <w:vAlign w:val="bottom"/>
            <w:vMerge w:val="continue"/>
          </w:tcPr>
          <w:p>
            <w:pPr>
              <w:spacing w:after="0"/>
              <w:rPr>
                <w:sz w:val="18"/>
                <w:szCs w:val="18"/>
                <w:color w:val="auto"/>
              </w:rPr>
            </w:pPr>
          </w:p>
        </w:tc>
        <w:tc>
          <w:tcPr>
            <w:tcW w:w="380" w:type="dxa"/>
            <w:vAlign w:val="bottom"/>
          </w:tcPr>
          <w:p>
            <w:pPr>
              <w:spacing w:after="0"/>
              <w:rPr>
                <w:rFonts w:ascii="Arial" w:cs="Arial" w:eastAsia="Arial" w:hAnsi="Arial"/>
                <w:sz w:val="16"/>
                <w:szCs w:val="16"/>
                <w:color w:val="0000FF"/>
              </w:rPr>
            </w:pPr>
            <w:hyperlink r:id="rId224">
              <w:r>
                <w:rPr>
                  <w:rFonts w:ascii="Arial" w:cs="Arial" w:eastAsia="Arial" w:hAnsi="Arial"/>
                  <w:sz w:val="16"/>
                  <w:szCs w:val="16"/>
                  <w:color w:val="0000FF"/>
                </w:rPr>
                <w:t>2021</w:t>
              </w:r>
            </w:hyperlink>
          </w:p>
        </w:tc>
        <w:tc>
          <w:tcPr>
            <w:tcW w:w="3480" w:type="dxa"/>
            <w:vAlign w:val="bottom"/>
            <w:gridSpan w:val="18"/>
          </w:tcPr>
          <w:p>
            <w:pPr>
              <w:ind w:left="20"/>
              <w:spacing w:after="0"/>
              <w:rPr>
                <w:rFonts w:ascii="Arial" w:cs="Arial" w:eastAsia="Arial" w:hAnsi="Arial"/>
                <w:sz w:val="16"/>
                <w:szCs w:val="16"/>
                <w:color w:val="0000FF"/>
              </w:rPr>
            </w:pPr>
            <w:hyperlink r:id="rId224">
              <w:r>
                <w:rPr>
                  <w:rFonts w:ascii="Arial" w:cs="Arial" w:eastAsia="Arial" w:hAnsi="Arial"/>
                  <w:sz w:val="16"/>
                  <w:szCs w:val="16"/>
                  <w:color w:val="0000FF"/>
                </w:rPr>
                <w:t>Incentive Award Plan</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10.18</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95"/>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10.21</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7"/>
        </w:trPr>
        <w:tc>
          <w:tcPr>
            <w:tcW w:w="1100" w:type="dxa"/>
            <w:vAlign w:val="bottom"/>
            <w:vMerge w:val="continue"/>
          </w:tcPr>
          <w:p>
            <w:pPr>
              <w:spacing w:after="0"/>
              <w:rPr>
                <w:sz w:val="18"/>
                <w:szCs w:val="18"/>
                <w:color w:val="auto"/>
              </w:rPr>
            </w:pPr>
          </w:p>
        </w:tc>
        <w:tc>
          <w:tcPr>
            <w:tcW w:w="380" w:type="dxa"/>
            <w:vAlign w:val="bottom"/>
          </w:tcPr>
          <w:p>
            <w:pPr>
              <w:spacing w:after="0"/>
              <w:rPr>
                <w:rFonts w:ascii="Arial" w:cs="Arial" w:eastAsia="Arial" w:hAnsi="Arial"/>
                <w:sz w:val="16"/>
                <w:szCs w:val="16"/>
                <w:color w:val="0000FF"/>
              </w:rPr>
            </w:pPr>
            <w:hyperlink r:id="rId225">
              <w:r>
                <w:rPr>
                  <w:rFonts w:ascii="Arial" w:cs="Arial" w:eastAsia="Arial" w:hAnsi="Arial"/>
                  <w:sz w:val="16"/>
                  <w:szCs w:val="16"/>
                  <w:color w:val="0000FF"/>
                </w:rPr>
                <w:t>2021</w:t>
              </w:r>
            </w:hyperlink>
          </w:p>
        </w:tc>
        <w:tc>
          <w:tcPr>
            <w:tcW w:w="3480" w:type="dxa"/>
            <w:vAlign w:val="bottom"/>
            <w:gridSpan w:val="18"/>
          </w:tcPr>
          <w:p>
            <w:pPr>
              <w:ind w:left="20"/>
              <w:spacing w:after="0"/>
              <w:rPr>
                <w:rFonts w:ascii="Arial" w:cs="Arial" w:eastAsia="Arial" w:hAnsi="Arial"/>
                <w:sz w:val="16"/>
                <w:szCs w:val="16"/>
                <w:color w:val="0000FF"/>
              </w:rPr>
            </w:pPr>
            <w:hyperlink r:id="rId225">
              <w:r>
                <w:rPr>
                  <w:rFonts w:ascii="Arial" w:cs="Arial" w:eastAsia="Arial" w:hAnsi="Arial"/>
                  <w:sz w:val="16"/>
                  <w:szCs w:val="16"/>
                  <w:color w:val="0000FF"/>
                </w:rPr>
                <w:t>Plan - Form of RSU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10.20</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95"/>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10.22</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7"/>
        </w:trPr>
        <w:tc>
          <w:tcPr>
            <w:tcW w:w="1100" w:type="dxa"/>
            <w:vAlign w:val="bottom"/>
            <w:vMerge w:val="continue"/>
          </w:tcPr>
          <w:p>
            <w:pPr>
              <w:spacing w:after="0"/>
              <w:rPr>
                <w:sz w:val="18"/>
                <w:szCs w:val="18"/>
                <w:color w:val="auto"/>
              </w:rPr>
            </w:pPr>
          </w:p>
        </w:tc>
        <w:tc>
          <w:tcPr>
            <w:tcW w:w="380" w:type="dxa"/>
            <w:vAlign w:val="bottom"/>
          </w:tcPr>
          <w:p>
            <w:pPr>
              <w:spacing w:after="0"/>
              <w:rPr>
                <w:rFonts w:ascii="Arial" w:cs="Arial" w:eastAsia="Arial" w:hAnsi="Arial"/>
                <w:sz w:val="16"/>
                <w:szCs w:val="16"/>
                <w:color w:val="0000FF"/>
              </w:rPr>
            </w:pPr>
            <w:hyperlink r:id="rId226">
              <w:r>
                <w:rPr>
                  <w:rFonts w:ascii="Arial" w:cs="Arial" w:eastAsia="Arial" w:hAnsi="Arial"/>
                  <w:sz w:val="16"/>
                  <w:szCs w:val="16"/>
                  <w:color w:val="0000FF"/>
                </w:rPr>
                <w:t>2021</w:t>
              </w:r>
            </w:hyperlink>
          </w:p>
        </w:tc>
        <w:tc>
          <w:tcPr>
            <w:tcW w:w="3480" w:type="dxa"/>
            <w:vAlign w:val="bottom"/>
            <w:gridSpan w:val="18"/>
          </w:tcPr>
          <w:p>
            <w:pPr>
              <w:ind w:left="20"/>
              <w:spacing w:after="0"/>
              <w:rPr>
                <w:rFonts w:ascii="Arial" w:cs="Arial" w:eastAsia="Arial" w:hAnsi="Arial"/>
                <w:sz w:val="16"/>
                <w:szCs w:val="16"/>
                <w:color w:val="0000FF"/>
              </w:rPr>
            </w:pPr>
            <w:hyperlink r:id="rId226">
              <w:r>
                <w:rPr>
                  <w:rFonts w:ascii="Arial" w:cs="Arial" w:eastAsia="Arial" w:hAnsi="Arial"/>
                  <w:sz w:val="16"/>
                  <w:szCs w:val="16"/>
                  <w:color w:val="0000FF"/>
                </w:rPr>
                <w:t>Plan - Form of Option Agreement</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10.21</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95"/>
        </w:trPr>
        <w:tc>
          <w:tcPr>
            <w:tcW w:w="1100" w:type="dxa"/>
            <w:vAlign w:val="bottom"/>
            <w:vMerge w:val="restart"/>
          </w:tcPr>
          <w:p>
            <w:pPr>
              <w:jc w:val="center"/>
              <w:ind w:right="559"/>
              <w:spacing w:after="0"/>
              <w:rPr>
                <w:sz w:val="20"/>
                <w:szCs w:val="20"/>
                <w:color w:val="auto"/>
              </w:rPr>
            </w:pPr>
            <w:r>
              <w:rPr>
                <w:rFonts w:ascii="Arial" w:cs="Arial" w:eastAsia="Arial" w:hAnsi="Arial"/>
                <w:sz w:val="16"/>
                <w:szCs w:val="16"/>
                <w:color w:val="auto"/>
                <w:w w:val="96"/>
              </w:rPr>
              <w:t>10.23</w:t>
            </w:r>
            <w:r>
              <w:rPr>
                <w:rFonts w:ascii="Arial" w:cs="Arial" w:eastAsia="Arial" w:hAnsi="Arial"/>
                <w:sz w:val="21"/>
                <w:szCs w:val="21"/>
                <w:color w:val="auto"/>
                <w:w w:val="96"/>
                <w:vertAlign w:val="superscript"/>
              </w:rPr>
              <w:t>†</w:t>
            </w:r>
          </w:p>
        </w:tc>
        <w:tc>
          <w:tcPr>
            <w:tcW w:w="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7"/>
        </w:trPr>
        <w:tc>
          <w:tcPr>
            <w:tcW w:w="1100" w:type="dxa"/>
            <w:vAlign w:val="bottom"/>
            <w:vMerge w:val="continue"/>
          </w:tcPr>
          <w:p>
            <w:pPr>
              <w:spacing w:after="0"/>
              <w:rPr>
                <w:sz w:val="18"/>
                <w:szCs w:val="18"/>
                <w:color w:val="auto"/>
              </w:rPr>
            </w:pPr>
          </w:p>
        </w:tc>
        <w:tc>
          <w:tcPr>
            <w:tcW w:w="380" w:type="dxa"/>
            <w:vAlign w:val="bottom"/>
            <w:tcBorders>
              <w:bottom w:val="single" w:sz="8" w:color="0000FF"/>
            </w:tcBorders>
          </w:tcPr>
          <w:p>
            <w:pPr>
              <w:spacing w:after="0"/>
              <w:rPr>
                <w:rFonts w:ascii="Arial" w:cs="Arial" w:eastAsia="Arial" w:hAnsi="Arial"/>
                <w:sz w:val="16"/>
                <w:szCs w:val="16"/>
                <w:color w:val="0000FF"/>
              </w:rPr>
            </w:pPr>
            <w:hyperlink r:id="rId227">
              <w:r>
                <w:rPr>
                  <w:rFonts w:ascii="Arial" w:cs="Arial" w:eastAsia="Arial" w:hAnsi="Arial"/>
                  <w:sz w:val="16"/>
                  <w:szCs w:val="16"/>
                  <w:color w:val="0000FF"/>
                </w:rPr>
                <w:t>2021</w:t>
              </w:r>
            </w:hyperlink>
          </w:p>
        </w:tc>
        <w:tc>
          <w:tcPr>
            <w:tcW w:w="2540" w:type="dxa"/>
            <w:vAlign w:val="bottom"/>
            <w:tcBorders>
              <w:bottom w:val="single" w:sz="8" w:color="0000FF"/>
            </w:tcBorders>
            <w:gridSpan w:val="10"/>
          </w:tcPr>
          <w:p>
            <w:pPr>
              <w:ind w:left="20"/>
              <w:spacing w:after="0"/>
              <w:rPr>
                <w:rFonts w:ascii="Arial" w:cs="Arial" w:eastAsia="Arial" w:hAnsi="Arial"/>
                <w:sz w:val="16"/>
                <w:szCs w:val="16"/>
                <w:color w:val="0000FF"/>
              </w:rPr>
            </w:pPr>
            <w:hyperlink r:id="rId227">
              <w:r>
                <w:rPr>
                  <w:rFonts w:ascii="Arial" w:cs="Arial" w:eastAsia="Arial" w:hAnsi="Arial"/>
                  <w:sz w:val="16"/>
                  <w:szCs w:val="16"/>
                  <w:color w:val="0000FF"/>
                </w:rPr>
                <w:t>Stock Purchase and Matching Plan</w:t>
              </w:r>
            </w:hyperlink>
          </w:p>
        </w:tc>
        <w:tc>
          <w:tcPr>
            <w:tcW w:w="940" w:type="dxa"/>
            <w:vAlign w:val="bottom"/>
            <w:gridSpan w:val="8"/>
          </w:tcPr>
          <w:p>
            <w:pPr>
              <w:spacing w:after="0"/>
              <w:rPr>
                <w:sz w:val="18"/>
                <w:szCs w:val="18"/>
                <w:color w:val="auto"/>
              </w:rPr>
            </w:pPr>
          </w:p>
        </w:tc>
        <w:tc>
          <w:tcPr>
            <w:tcW w:w="1500" w:type="dxa"/>
            <w:vAlign w:val="bottom"/>
          </w:tcPr>
          <w:p>
            <w:pPr>
              <w:jc w:val="center"/>
              <w:ind w:left="239"/>
              <w:spacing w:after="0"/>
              <w:rPr>
                <w:sz w:val="20"/>
                <w:szCs w:val="20"/>
                <w:color w:val="auto"/>
              </w:rPr>
            </w:pPr>
            <w:r>
              <w:rPr>
                <w:rFonts w:ascii="Arial" w:cs="Arial" w:eastAsia="Arial" w:hAnsi="Arial"/>
                <w:sz w:val="16"/>
                <w:szCs w:val="16"/>
                <w:color w:val="auto"/>
              </w:rPr>
              <w:t>10-K</w:t>
            </w:r>
          </w:p>
        </w:tc>
        <w:tc>
          <w:tcPr>
            <w:tcW w:w="1620" w:type="dxa"/>
            <w:vAlign w:val="bottom"/>
          </w:tcPr>
          <w:p>
            <w:pPr>
              <w:jc w:val="center"/>
              <w:spacing w:after="0"/>
              <w:rPr>
                <w:sz w:val="20"/>
                <w:szCs w:val="20"/>
                <w:color w:val="auto"/>
              </w:rPr>
            </w:pPr>
            <w:r>
              <w:rPr>
                <w:rFonts w:ascii="Arial" w:cs="Arial" w:eastAsia="Arial" w:hAnsi="Arial"/>
                <w:sz w:val="16"/>
                <w:szCs w:val="16"/>
                <w:color w:val="auto"/>
              </w:rPr>
              <w:t>001-41043</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10.19</w:t>
            </w: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March 31, 2022</w:t>
            </w:r>
          </w:p>
        </w:tc>
        <w:tc>
          <w:tcPr>
            <w:tcW w:w="0" w:type="dxa"/>
            <w:vAlign w:val="bottom"/>
          </w:tcPr>
          <w:p>
            <w:pPr>
              <w:spacing w:after="0"/>
              <w:rPr>
                <w:sz w:val="1"/>
                <w:szCs w:val="1"/>
                <w:color w:val="auto"/>
              </w:rPr>
            </w:pPr>
          </w:p>
        </w:tc>
      </w:tr>
      <w:tr>
        <w:trPr>
          <w:trHeight w:val="250"/>
        </w:trPr>
        <w:tc>
          <w:tcPr>
            <w:tcW w:w="1100" w:type="dxa"/>
            <w:vAlign w:val="bottom"/>
          </w:tcPr>
          <w:p>
            <w:pPr>
              <w:jc w:val="center"/>
              <w:ind w:right="559"/>
              <w:spacing w:after="0"/>
              <w:rPr>
                <w:sz w:val="20"/>
                <w:szCs w:val="20"/>
                <w:color w:val="auto"/>
              </w:rPr>
            </w:pPr>
            <w:r>
              <w:rPr>
                <w:rFonts w:ascii="Arial" w:cs="Arial" w:eastAsia="Arial" w:hAnsi="Arial"/>
                <w:sz w:val="16"/>
                <w:szCs w:val="16"/>
                <w:color w:val="auto"/>
                <w:w w:val="96"/>
              </w:rPr>
              <w:t>10.24</w:t>
            </w:r>
            <w:r>
              <w:rPr>
                <w:rFonts w:ascii="Arial" w:cs="Arial" w:eastAsia="Arial" w:hAnsi="Arial"/>
                <w:sz w:val="21"/>
                <w:szCs w:val="21"/>
                <w:color w:val="auto"/>
                <w:w w:val="96"/>
                <w:vertAlign w:val="superscript"/>
              </w:rPr>
              <w:t>†</w:t>
            </w:r>
          </w:p>
        </w:tc>
        <w:tc>
          <w:tcPr>
            <w:tcW w:w="3860" w:type="dxa"/>
            <w:vAlign w:val="bottom"/>
            <w:gridSpan w:val="19"/>
          </w:tcPr>
          <w:p>
            <w:pPr>
              <w:spacing w:after="0"/>
              <w:rPr>
                <w:rFonts w:ascii="Arial" w:cs="Arial" w:eastAsia="Arial" w:hAnsi="Arial"/>
                <w:sz w:val="16"/>
                <w:szCs w:val="16"/>
                <w:color w:val="0000FF"/>
              </w:rPr>
            </w:pPr>
            <w:hyperlink r:id="rId228">
              <w:r>
                <w:rPr>
                  <w:rFonts w:ascii="Arial" w:cs="Arial" w:eastAsia="Arial" w:hAnsi="Arial"/>
                  <w:sz w:val="16"/>
                  <w:szCs w:val="16"/>
                  <w:color w:val="0000FF"/>
                </w:rPr>
                <w:t>Non-Employee Director Compensation Program</w:t>
              </w:r>
            </w:hyperlink>
          </w:p>
        </w:tc>
        <w:tc>
          <w:tcPr>
            <w:tcW w:w="1500" w:type="dxa"/>
            <w:vAlign w:val="bottom"/>
          </w:tcPr>
          <w:p>
            <w:pPr>
              <w:jc w:val="center"/>
              <w:ind w:left="21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center"/>
              <w:spacing w:after="0"/>
              <w:rPr>
                <w:sz w:val="20"/>
                <w:szCs w:val="20"/>
                <w:color w:val="auto"/>
              </w:rPr>
            </w:pPr>
            <w:r>
              <w:rPr>
                <w:rFonts w:ascii="Arial" w:cs="Arial" w:eastAsia="Arial" w:hAnsi="Arial"/>
                <w:sz w:val="16"/>
                <w:szCs w:val="16"/>
                <w:color w:val="auto"/>
              </w:rPr>
              <w:t>333-260297</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10.22</w:t>
            </w:r>
          </w:p>
        </w:tc>
        <w:tc>
          <w:tcPr>
            <w:tcW w:w="1440" w:type="dxa"/>
            <w:vAlign w:val="bottom"/>
          </w:tcPr>
          <w:p>
            <w:pPr>
              <w:jc w:val="center"/>
              <w:ind w:left="219"/>
              <w:spacing w:after="0"/>
              <w:rPr>
                <w:sz w:val="20"/>
                <w:szCs w:val="20"/>
                <w:color w:val="auto"/>
              </w:rPr>
            </w:pPr>
            <w:r>
              <w:rPr>
                <w:rFonts w:ascii="Arial" w:cs="Arial" w:eastAsia="Arial" w:hAnsi="Arial"/>
                <w:sz w:val="16"/>
                <w:szCs w:val="16"/>
                <w:color w:val="auto"/>
              </w:rPr>
              <w:t>November 01,</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6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jc w:val="center"/>
              <w:ind w:left="23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60" w:type="dxa"/>
            <w:vAlign w:val="bottom"/>
          </w:tcPr>
          <w:p>
            <w:pPr>
              <w:jc w:val="center"/>
              <w:ind w:right="59"/>
              <w:spacing w:after="0"/>
              <w:rPr>
                <w:sz w:val="20"/>
                <w:szCs w:val="20"/>
                <w:color w:val="auto"/>
              </w:rPr>
            </w:pPr>
            <w:r>
              <w:rPr>
                <w:rFonts w:ascii="Arial" w:cs="Arial" w:eastAsia="Arial" w:hAnsi="Arial"/>
                <w:sz w:val="16"/>
                <w:szCs w:val="16"/>
                <w:color w:val="auto"/>
                <w:w w:val="96"/>
              </w:rPr>
              <w:t>10.25</w:t>
            </w:r>
            <w:r>
              <w:rPr>
                <w:rFonts w:ascii="Arial" w:cs="Arial" w:eastAsia="Arial" w:hAnsi="Arial"/>
                <w:sz w:val="21"/>
                <w:szCs w:val="21"/>
                <w:color w:val="auto"/>
                <w:w w:val="96"/>
                <w:vertAlign w:val="superscript"/>
              </w:rPr>
              <w:t>†</w:t>
            </w:r>
          </w:p>
        </w:tc>
        <w:tc>
          <w:tcPr>
            <w:tcW w:w="3920" w:type="dxa"/>
            <w:vAlign w:val="bottom"/>
            <w:gridSpan w:val="18"/>
          </w:tcPr>
          <w:p>
            <w:pPr>
              <w:spacing w:after="0"/>
              <w:rPr>
                <w:rFonts w:ascii="Arial" w:cs="Arial" w:eastAsia="Arial" w:hAnsi="Arial"/>
                <w:sz w:val="16"/>
                <w:szCs w:val="16"/>
                <w:color w:val="0000FF"/>
              </w:rPr>
            </w:pPr>
            <w:hyperlink r:id="rId230">
              <w:r>
                <w:rPr>
                  <w:rFonts w:ascii="Arial" w:cs="Arial" w:eastAsia="Arial" w:hAnsi="Arial"/>
                  <w:sz w:val="16"/>
                  <w:szCs w:val="16"/>
                  <w:color w:val="0000FF"/>
                </w:rPr>
                <w:t>Form of Indemnification Agreement for Directors and</w:t>
              </w:r>
            </w:hyperlink>
          </w:p>
        </w:tc>
        <w:tc>
          <w:tcPr>
            <w:tcW w:w="1440" w:type="dxa"/>
            <w:vAlign w:val="bottom"/>
          </w:tcPr>
          <w:p>
            <w:pPr>
              <w:jc w:val="center"/>
              <w:ind w:left="159"/>
              <w:spacing w:after="0"/>
              <w:rPr>
                <w:sz w:val="20"/>
                <w:szCs w:val="20"/>
                <w:color w:val="auto"/>
              </w:rPr>
            </w:pPr>
            <w:r>
              <w:rPr>
                <w:rFonts w:ascii="Arial" w:cs="Arial" w:eastAsia="Arial" w:hAnsi="Arial"/>
                <w:sz w:val="16"/>
                <w:szCs w:val="16"/>
                <w:color w:val="auto"/>
                <w:w w:val="99"/>
              </w:rPr>
              <w:t>S-1/A</w:t>
            </w:r>
          </w:p>
        </w:tc>
        <w:tc>
          <w:tcPr>
            <w:tcW w:w="1620" w:type="dxa"/>
            <w:vAlign w:val="bottom"/>
          </w:tcPr>
          <w:p>
            <w:pPr>
              <w:jc w:val="right"/>
              <w:ind w:right="299"/>
              <w:spacing w:after="0"/>
              <w:rPr>
                <w:sz w:val="20"/>
                <w:szCs w:val="20"/>
                <w:color w:val="auto"/>
              </w:rPr>
            </w:pPr>
            <w:r>
              <w:rPr>
                <w:rFonts w:ascii="Arial" w:cs="Arial" w:eastAsia="Arial" w:hAnsi="Arial"/>
                <w:sz w:val="16"/>
                <w:szCs w:val="16"/>
                <w:color w:val="auto"/>
              </w:rPr>
              <w:t>333-260297</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10.23</w:t>
            </w:r>
          </w:p>
        </w:tc>
        <w:tc>
          <w:tcPr>
            <w:tcW w:w="1600" w:type="dxa"/>
            <w:vAlign w:val="bottom"/>
          </w:tcPr>
          <w:p>
            <w:pPr>
              <w:jc w:val="center"/>
              <w:ind w:left="179"/>
              <w:spacing w:after="0"/>
              <w:rPr>
                <w:sz w:val="20"/>
                <w:szCs w:val="20"/>
                <w:color w:val="auto"/>
              </w:rPr>
            </w:pPr>
            <w:r>
              <w:rPr>
                <w:rFonts w:ascii="Arial" w:cs="Arial" w:eastAsia="Arial" w:hAnsi="Arial"/>
                <w:sz w:val="16"/>
                <w:szCs w:val="16"/>
                <w:color w:val="auto"/>
              </w:rPr>
              <w:t>November 01,</w:t>
            </w:r>
          </w:p>
        </w:tc>
      </w:tr>
      <w:tr>
        <w:trPr>
          <w:trHeight w:val="142"/>
        </w:trPr>
        <w:tc>
          <w:tcPr>
            <w:tcW w:w="1560" w:type="dxa"/>
            <w:vAlign w:val="bottom"/>
          </w:tcPr>
          <w:p>
            <w:pPr>
              <w:spacing w:after="0"/>
              <w:rPr>
                <w:sz w:val="12"/>
                <w:szCs w:val="12"/>
                <w:color w:val="auto"/>
              </w:rPr>
            </w:pPr>
          </w:p>
        </w:tc>
        <w:tc>
          <w:tcPr>
            <w:tcW w:w="5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7"/>
              </w:rPr>
            </w:pPr>
            <w:hyperlink r:id="rId230">
              <w:r>
                <w:rPr>
                  <w:rFonts w:ascii="Arial" w:cs="Arial" w:eastAsia="Arial" w:hAnsi="Arial"/>
                  <w:sz w:val="16"/>
                  <w:szCs w:val="16"/>
                  <w:color w:val="0000FF"/>
                  <w:w w:val="97"/>
                </w:rPr>
                <w:t>Officers</w:t>
              </w:r>
            </w:hyperlink>
          </w:p>
        </w:tc>
        <w:tc>
          <w:tcPr>
            <w:tcW w:w="322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jc w:val="center"/>
              <w:ind w:left="199"/>
              <w:spacing w:after="0" w:line="142" w:lineRule="exact"/>
              <w:rPr>
                <w:sz w:val="20"/>
                <w:szCs w:val="20"/>
                <w:color w:val="auto"/>
              </w:rPr>
            </w:pPr>
            <w:r>
              <w:rPr>
                <w:rFonts w:ascii="Arial" w:cs="Arial" w:eastAsia="Arial" w:hAnsi="Arial"/>
                <w:sz w:val="16"/>
                <w:szCs w:val="16"/>
                <w:color w:val="auto"/>
              </w:rPr>
              <w:t>2021</w:t>
            </w:r>
          </w:p>
        </w:tc>
      </w:tr>
      <w:tr>
        <w:trPr>
          <w:trHeight w:val="250"/>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19.1*</w:t>
            </w:r>
          </w:p>
        </w:tc>
        <w:tc>
          <w:tcPr>
            <w:tcW w:w="3920" w:type="dxa"/>
            <w:vAlign w:val="bottom"/>
            <w:gridSpan w:val="18"/>
          </w:tcPr>
          <w:p>
            <w:pPr>
              <w:spacing w:after="0"/>
              <w:rPr>
                <w:sz w:val="20"/>
                <w:szCs w:val="20"/>
                <w:color w:val="auto"/>
              </w:rPr>
            </w:pPr>
            <w:r>
              <w:rPr>
                <w:rFonts w:ascii="Arial" w:cs="Arial" w:eastAsia="Arial" w:hAnsi="Arial"/>
                <w:sz w:val="16"/>
                <w:szCs w:val="16"/>
                <w:u w:val="single" w:color="auto"/>
                <w:color w:val="0000FF"/>
              </w:rPr>
              <w:t>Insider</w:t>
            </w:r>
            <w:r>
              <w:rPr>
                <w:rFonts w:ascii="Arial" w:cs="Arial" w:eastAsia="Arial" w:hAnsi="Arial"/>
                <w:sz w:val="16"/>
                <w:szCs w:val="16"/>
                <w:color w:val="0000FF"/>
              </w:rPr>
              <w:t xml:space="preserve"> Trading Policy</w:t>
            </w:r>
          </w:p>
        </w:tc>
        <w:tc>
          <w:tcPr>
            <w:tcW w:w="1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0"/>
        </w:trPr>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21.1*</w:t>
            </w:r>
          </w:p>
        </w:tc>
        <w:tc>
          <w:tcPr>
            <w:tcW w:w="3920" w:type="dxa"/>
            <w:vAlign w:val="bottom"/>
            <w:gridSpan w:val="18"/>
          </w:tcPr>
          <w:p>
            <w:pPr>
              <w:spacing w:after="0"/>
              <w:rPr>
                <w:sz w:val="20"/>
                <w:szCs w:val="20"/>
                <w:color w:val="auto"/>
              </w:rPr>
            </w:pPr>
            <w:r>
              <w:rPr>
                <w:rFonts w:ascii="Arial" w:cs="Arial" w:eastAsia="Arial" w:hAnsi="Arial"/>
                <w:sz w:val="16"/>
                <w:szCs w:val="16"/>
                <w:color w:val="0000FF"/>
              </w:rPr>
              <w:t>List of Subsidiaries of the Registrant.</w:t>
            </w:r>
          </w:p>
        </w:tc>
        <w:tc>
          <w:tcPr>
            <w:tcW w:w="1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23.1*</w:t>
            </w:r>
          </w:p>
        </w:tc>
        <w:tc>
          <w:tcPr>
            <w:tcW w:w="370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Consent of Ernst &amp; Young LLP as to the Registrant.</w:t>
            </w:r>
          </w:p>
        </w:tc>
        <w:tc>
          <w:tcPr>
            <w:tcW w:w="220" w:type="dxa"/>
            <w:vAlign w:val="bottom"/>
            <w:gridSpan w:val="4"/>
          </w:tcPr>
          <w:p>
            <w:pPr>
              <w:spacing w:after="0"/>
              <w:rPr>
                <w:sz w:val="21"/>
                <w:szCs w:val="21"/>
                <w:color w:val="auto"/>
              </w:rPr>
            </w:pPr>
          </w:p>
        </w:tc>
        <w:tc>
          <w:tcPr>
            <w:tcW w:w="1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0"/>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31.1*</w:t>
            </w:r>
          </w:p>
        </w:tc>
        <w:tc>
          <w:tcPr>
            <w:tcW w:w="32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Certification of the Principal Executive Officer,</w:t>
            </w:r>
          </w:p>
        </w:tc>
        <w:tc>
          <w:tcPr>
            <w:tcW w:w="640" w:type="dxa"/>
            <w:vAlign w:val="bottom"/>
            <w:gridSpan w:val="9"/>
          </w:tcPr>
          <w:p>
            <w:pPr>
              <w:spacing w:after="0"/>
              <w:rPr>
                <w:sz w:val="21"/>
                <w:szCs w:val="21"/>
                <w:color w:val="auto"/>
              </w:rPr>
            </w:pPr>
          </w:p>
        </w:tc>
        <w:tc>
          <w:tcPr>
            <w:tcW w:w="1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142"/>
        </w:trPr>
        <w:tc>
          <w:tcPr>
            <w:tcW w:w="1560" w:type="dxa"/>
            <w:vAlign w:val="bottom"/>
          </w:tcPr>
          <w:p>
            <w:pPr>
              <w:spacing w:after="0"/>
              <w:rPr>
                <w:sz w:val="12"/>
                <w:szCs w:val="12"/>
                <w:color w:val="auto"/>
              </w:rPr>
            </w:pPr>
          </w:p>
        </w:tc>
        <w:tc>
          <w:tcPr>
            <w:tcW w:w="3920" w:type="dxa"/>
            <w:vAlign w:val="bottom"/>
            <w:gridSpan w:val="18"/>
          </w:tcPr>
          <w:p>
            <w:pPr>
              <w:spacing w:after="0" w:line="142" w:lineRule="exact"/>
              <w:rPr>
                <w:sz w:val="20"/>
                <w:szCs w:val="20"/>
                <w:color w:val="auto"/>
              </w:rPr>
            </w:pPr>
            <w:r>
              <w:rPr>
                <w:rFonts w:ascii="Arial" w:cs="Arial" w:eastAsia="Arial" w:hAnsi="Arial"/>
                <w:sz w:val="16"/>
                <w:szCs w:val="16"/>
                <w:color w:val="0000FF"/>
              </w:rPr>
              <w:t>pursuant to Rules 13a-14(a) and 15d-14(a) under the</w:t>
            </w: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38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Securities Exchange Act of 1934, as amended, as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adopted pursuant to Section 302 of the Sarbanes-</w:t>
            </w:r>
          </w:p>
        </w:tc>
        <w:tc>
          <w:tcPr>
            <w:tcW w:w="20" w:type="dxa"/>
            <w:vAlign w:val="bottom"/>
            <w:tcBorders>
              <w:bottom w:val="single" w:sz="8" w:color="0000FF"/>
            </w:tcBorders>
          </w:tcPr>
          <w:p>
            <w:pPr>
              <w:spacing w:after="0"/>
              <w:rPr>
                <w:sz w:val="12"/>
                <w:szCs w:val="12"/>
                <w:color w:val="auto"/>
              </w:rPr>
            </w:pPr>
          </w:p>
        </w:tc>
        <w:tc>
          <w:tcPr>
            <w:tcW w:w="22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3620" w:type="dxa"/>
            <w:vAlign w:val="bottom"/>
            <w:gridSpan w:val="13"/>
          </w:tcPr>
          <w:p>
            <w:pPr>
              <w:spacing w:after="0" w:line="142" w:lineRule="exact"/>
              <w:rPr>
                <w:sz w:val="20"/>
                <w:szCs w:val="20"/>
                <w:color w:val="auto"/>
              </w:rPr>
            </w:pPr>
            <w:r>
              <w:rPr>
                <w:rFonts w:ascii="Arial" w:cs="Arial" w:eastAsia="Arial" w:hAnsi="Arial"/>
                <w:sz w:val="16"/>
                <w:szCs w:val="16"/>
                <w:color w:val="0000FF"/>
              </w:rPr>
              <w:t>Oxley Act of 2002.</w:t>
            </w:r>
          </w:p>
        </w:tc>
        <w:tc>
          <w:tcPr>
            <w:tcW w:w="22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31.2*</w:t>
            </w:r>
          </w:p>
        </w:tc>
        <w:tc>
          <w:tcPr>
            <w:tcW w:w="3920" w:type="dxa"/>
            <w:vAlign w:val="bottom"/>
            <w:gridSpan w:val="18"/>
          </w:tcPr>
          <w:p>
            <w:pPr>
              <w:spacing w:after="0"/>
              <w:rPr>
                <w:sz w:val="20"/>
                <w:szCs w:val="20"/>
                <w:color w:val="auto"/>
              </w:rPr>
            </w:pPr>
            <w:r>
              <w:rPr>
                <w:rFonts w:ascii="Arial" w:cs="Arial" w:eastAsia="Arial" w:hAnsi="Arial"/>
                <w:sz w:val="16"/>
                <w:szCs w:val="16"/>
                <w:color w:val="0000FF"/>
              </w:rPr>
              <w:t>Certification of the Principal Financial Officer,</w:t>
            </w:r>
          </w:p>
        </w:tc>
        <w:tc>
          <w:tcPr>
            <w:tcW w:w="1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142"/>
        </w:trPr>
        <w:tc>
          <w:tcPr>
            <w:tcW w:w="1560" w:type="dxa"/>
            <w:vAlign w:val="bottom"/>
          </w:tcPr>
          <w:p>
            <w:pPr>
              <w:spacing w:after="0"/>
              <w:rPr>
                <w:sz w:val="12"/>
                <w:szCs w:val="12"/>
                <w:color w:val="auto"/>
              </w:rPr>
            </w:pPr>
          </w:p>
        </w:tc>
        <w:tc>
          <w:tcPr>
            <w:tcW w:w="322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pursuant to Rules 13a-14(a) and 15d-14(a)</w:t>
            </w:r>
          </w:p>
        </w:tc>
        <w:tc>
          <w:tcPr>
            <w:tcW w:w="700" w:type="dxa"/>
            <w:vAlign w:val="bottom"/>
            <w:gridSpan w:val="10"/>
          </w:tcPr>
          <w:p>
            <w:pPr>
              <w:spacing w:after="0" w:line="142" w:lineRule="exact"/>
              <w:rPr>
                <w:sz w:val="20"/>
                <w:szCs w:val="20"/>
                <w:color w:val="auto"/>
              </w:rPr>
            </w:pPr>
            <w:r>
              <w:rPr>
                <w:rFonts w:ascii="Arial" w:cs="Arial" w:eastAsia="Arial" w:hAnsi="Arial"/>
                <w:sz w:val="16"/>
                <w:szCs w:val="16"/>
                <w:color w:val="0000FF"/>
              </w:rPr>
              <w:t>under the</w:t>
            </w: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38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Securities Exchange Act of 1934, as amended, as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360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adopted pursuant to Section 302 of the Sarbanes-</w:t>
            </w:r>
          </w:p>
        </w:tc>
        <w:tc>
          <w:tcPr>
            <w:tcW w:w="24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362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Oxley Act of 2002.</w:t>
            </w:r>
          </w:p>
        </w:tc>
        <w:tc>
          <w:tcPr>
            <w:tcW w:w="22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32.1**</w:t>
            </w:r>
          </w:p>
        </w:tc>
        <w:tc>
          <w:tcPr>
            <w:tcW w:w="32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Certification of the Principal Executive Officer,</w:t>
            </w:r>
          </w:p>
        </w:tc>
        <w:tc>
          <w:tcPr>
            <w:tcW w:w="640" w:type="dxa"/>
            <w:vAlign w:val="bottom"/>
            <w:gridSpan w:val="9"/>
          </w:tcPr>
          <w:p>
            <w:pPr>
              <w:spacing w:after="0"/>
              <w:rPr>
                <w:sz w:val="21"/>
                <w:szCs w:val="21"/>
                <w:color w:val="auto"/>
              </w:rPr>
            </w:pPr>
          </w:p>
        </w:tc>
        <w:tc>
          <w:tcPr>
            <w:tcW w:w="1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142"/>
        </w:trPr>
        <w:tc>
          <w:tcPr>
            <w:tcW w:w="1560" w:type="dxa"/>
            <w:vAlign w:val="bottom"/>
          </w:tcPr>
          <w:p>
            <w:pPr>
              <w:spacing w:after="0"/>
              <w:rPr>
                <w:sz w:val="12"/>
                <w:szCs w:val="12"/>
                <w:color w:val="auto"/>
              </w:rPr>
            </w:pPr>
          </w:p>
        </w:tc>
        <w:tc>
          <w:tcPr>
            <w:tcW w:w="3920" w:type="dxa"/>
            <w:vAlign w:val="bottom"/>
            <w:gridSpan w:val="18"/>
          </w:tcPr>
          <w:p>
            <w:pPr>
              <w:spacing w:after="0" w:line="142" w:lineRule="exact"/>
              <w:rPr>
                <w:sz w:val="20"/>
                <w:szCs w:val="20"/>
                <w:color w:val="auto"/>
              </w:rPr>
            </w:pPr>
            <w:r>
              <w:rPr>
                <w:rFonts w:ascii="Arial" w:cs="Arial" w:eastAsia="Arial" w:hAnsi="Arial"/>
                <w:sz w:val="16"/>
                <w:szCs w:val="16"/>
                <w:color w:val="0000FF"/>
              </w:rPr>
              <w:t>pursuant to 18 U.S.C. Section 1350, as adopted</w:t>
            </w: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34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pursuant to Section 906 of the Sarbanes-Oxley</w:t>
            </w:r>
          </w:p>
        </w:tc>
        <w:tc>
          <w:tcPr>
            <w:tcW w:w="480" w:type="dxa"/>
            <w:vAlign w:val="bottom"/>
            <w:gridSpan w:val="8"/>
          </w:tcPr>
          <w:p>
            <w:pPr>
              <w:spacing w:after="0" w:line="142" w:lineRule="exact"/>
              <w:rPr>
                <w:sz w:val="20"/>
                <w:szCs w:val="20"/>
                <w:color w:val="auto"/>
              </w:rPr>
            </w:pPr>
            <w:r>
              <w:rPr>
                <w:rFonts w:ascii="Arial" w:cs="Arial" w:eastAsia="Arial" w:hAnsi="Arial"/>
                <w:sz w:val="16"/>
                <w:szCs w:val="16"/>
                <w:color w:val="0000FF"/>
              </w:rPr>
              <w:t>Act of</w:t>
            </w: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9"/>
              </w:rPr>
              <w:t>2002.</w:t>
            </w:r>
          </w:p>
        </w:tc>
        <w:tc>
          <w:tcPr>
            <w:tcW w:w="1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50"/>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32.2**</w:t>
            </w:r>
          </w:p>
        </w:tc>
        <w:tc>
          <w:tcPr>
            <w:tcW w:w="3920" w:type="dxa"/>
            <w:vAlign w:val="bottom"/>
            <w:gridSpan w:val="18"/>
          </w:tcPr>
          <w:p>
            <w:pPr>
              <w:spacing w:after="0"/>
              <w:rPr>
                <w:sz w:val="20"/>
                <w:szCs w:val="20"/>
                <w:color w:val="auto"/>
              </w:rPr>
            </w:pPr>
            <w:r>
              <w:rPr>
                <w:rFonts w:ascii="Arial" w:cs="Arial" w:eastAsia="Arial" w:hAnsi="Arial"/>
                <w:sz w:val="16"/>
                <w:szCs w:val="16"/>
                <w:color w:val="0000FF"/>
              </w:rPr>
              <w:t>Certification of the Principal Financial Officer,</w:t>
            </w:r>
          </w:p>
        </w:tc>
        <w:tc>
          <w:tcPr>
            <w:tcW w:w="1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0"/>
        </w:trPr>
        <w:tc>
          <w:tcPr>
            <w:tcW w:w="1560" w:type="dxa"/>
            <w:vAlign w:val="bottom"/>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42"/>
        </w:trPr>
        <w:tc>
          <w:tcPr>
            <w:tcW w:w="1560" w:type="dxa"/>
            <w:vAlign w:val="bottom"/>
          </w:tcPr>
          <w:p>
            <w:pPr>
              <w:spacing w:after="0"/>
              <w:rPr>
                <w:sz w:val="12"/>
                <w:szCs w:val="12"/>
                <w:color w:val="auto"/>
              </w:rPr>
            </w:pPr>
          </w:p>
        </w:tc>
        <w:tc>
          <w:tcPr>
            <w:tcW w:w="3920" w:type="dxa"/>
            <w:vAlign w:val="bottom"/>
            <w:gridSpan w:val="18"/>
          </w:tcPr>
          <w:p>
            <w:pPr>
              <w:spacing w:after="0" w:line="142" w:lineRule="exact"/>
              <w:rPr>
                <w:sz w:val="20"/>
                <w:szCs w:val="20"/>
                <w:color w:val="auto"/>
              </w:rPr>
            </w:pPr>
            <w:r>
              <w:rPr>
                <w:rFonts w:ascii="Arial" w:cs="Arial" w:eastAsia="Arial" w:hAnsi="Arial"/>
                <w:sz w:val="16"/>
                <w:szCs w:val="16"/>
                <w:color w:val="0000FF"/>
              </w:rPr>
              <w:t>pursuant to 18 U.S.C. Section 1350, as adopted</w:t>
            </w: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34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pursuant to Section 906 of the Sarbanes-Oxley</w:t>
            </w:r>
          </w:p>
        </w:tc>
        <w:tc>
          <w:tcPr>
            <w:tcW w:w="480" w:type="dxa"/>
            <w:vAlign w:val="bottom"/>
            <w:gridSpan w:val="8"/>
          </w:tcPr>
          <w:p>
            <w:pPr>
              <w:spacing w:after="0" w:line="142" w:lineRule="exact"/>
              <w:rPr>
                <w:sz w:val="20"/>
                <w:szCs w:val="20"/>
                <w:color w:val="auto"/>
              </w:rPr>
            </w:pPr>
            <w:r>
              <w:rPr>
                <w:rFonts w:ascii="Arial" w:cs="Arial" w:eastAsia="Arial" w:hAnsi="Arial"/>
                <w:sz w:val="16"/>
                <w:szCs w:val="16"/>
                <w:color w:val="0000FF"/>
              </w:rPr>
              <w:t>Act of</w:t>
            </w: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2"/>
        </w:trPr>
        <w:tc>
          <w:tcPr>
            <w:tcW w:w="156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9"/>
              </w:rPr>
              <w:t>2002.</w:t>
            </w:r>
          </w:p>
        </w:tc>
        <w:tc>
          <w:tcPr>
            <w:tcW w:w="1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50"/>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97.1</w:t>
            </w:r>
          </w:p>
        </w:tc>
        <w:tc>
          <w:tcPr>
            <w:tcW w:w="3920" w:type="dxa"/>
            <w:vAlign w:val="bottom"/>
            <w:gridSpan w:val="18"/>
          </w:tcPr>
          <w:p>
            <w:pPr>
              <w:spacing w:after="0"/>
              <w:rPr>
                <w:rFonts w:ascii="Arial" w:cs="Arial" w:eastAsia="Arial" w:hAnsi="Arial"/>
                <w:sz w:val="16"/>
                <w:szCs w:val="16"/>
                <w:color w:val="0000FF"/>
              </w:rPr>
            </w:pPr>
            <w:hyperlink r:id="rId231">
              <w:r>
                <w:rPr>
                  <w:rFonts w:ascii="Arial" w:cs="Arial" w:eastAsia="Arial" w:hAnsi="Arial"/>
                  <w:sz w:val="16"/>
                  <w:szCs w:val="16"/>
                  <w:color w:val="0000FF"/>
                </w:rPr>
                <w:t>Expensify, Inc. Policy for Recovery of Erroneously</w:t>
              </w:r>
            </w:hyperlink>
          </w:p>
        </w:tc>
        <w:tc>
          <w:tcPr>
            <w:tcW w:w="1440" w:type="dxa"/>
            <w:vAlign w:val="bottom"/>
          </w:tcPr>
          <w:p>
            <w:pPr>
              <w:jc w:val="center"/>
              <w:ind w:left="179"/>
              <w:spacing w:after="0"/>
              <w:rPr>
                <w:sz w:val="20"/>
                <w:szCs w:val="20"/>
                <w:color w:val="auto"/>
              </w:rPr>
            </w:pPr>
            <w:r>
              <w:rPr>
                <w:rFonts w:ascii="Arial" w:cs="Arial" w:eastAsia="Arial" w:hAnsi="Arial"/>
                <w:sz w:val="16"/>
                <w:szCs w:val="16"/>
                <w:color w:val="auto"/>
              </w:rPr>
              <w:t>10-K</w:t>
            </w:r>
          </w:p>
        </w:tc>
        <w:tc>
          <w:tcPr>
            <w:tcW w:w="1620" w:type="dxa"/>
            <w:vAlign w:val="bottom"/>
          </w:tcPr>
          <w:p>
            <w:pPr>
              <w:jc w:val="right"/>
              <w:ind w:right="339"/>
              <w:spacing w:after="0"/>
              <w:rPr>
                <w:sz w:val="20"/>
                <w:szCs w:val="20"/>
                <w:color w:val="auto"/>
              </w:rPr>
            </w:pPr>
            <w:r>
              <w:rPr>
                <w:rFonts w:ascii="Arial" w:cs="Arial" w:eastAsia="Arial" w:hAnsi="Arial"/>
                <w:sz w:val="16"/>
                <w:szCs w:val="16"/>
                <w:color w:val="auto"/>
              </w:rPr>
              <w:t>001-41043</w:t>
            </w: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97.1</w:t>
            </w:r>
          </w:p>
        </w:tc>
        <w:tc>
          <w:tcPr>
            <w:tcW w:w="1600" w:type="dxa"/>
            <w:vAlign w:val="bottom"/>
          </w:tcPr>
          <w:p>
            <w:pPr>
              <w:jc w:val="center"/>
              <w:ind w:left="199"/>
              <w:spacing w:after="0"/>
              <w:rPr>
                <w:sz w:val="20"/>
                <w:szCs w:val="20"/>
                <w:color w:val="auto"/>
              </w:rPr>
            </w:pPr>
            <w:r>
              <w:rPr>
                <w:rFonts w:ascii="Arial" w:cs="Arial" w:eastAsia="Arial" w:hAnsi="Arial"/>
                <w:sz w:val="16"/>
                <w:szCs w:val="16"/>
                <w:color w:val="auto"/>
              </w:rPr>
              <w:t>February 26, 2024</w:t>
            </w:r>
          </w:p>
        </w:tc>
      </w:tr>
      <w:tr>
        <w:trPr>
          <w:trHeight w:val="142"/>
        </w:trPr>
        <w:tc>
          <w:tcPr>
            <w:tcW w:w="1560" w:type="dxa"/>
            <w:vAlign w:val="bottom"/>
          </w:tcPr>
          <w:p>
            <w:pPr>
              <w:spacing w:after="0"/>
              <w:rPr>
                <w:sz w:val="12"/>
                <w:szCs w:val="12"/>
                <w:color w:val="auto"/>
              </w:rPr>
            </w:pPr>
          </w:p>
        </w:tc>
        <w:tc>
          <w:tcPr>
            <w:tcW w:w="174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Awarded Compensation</w:t>
              </w:r>
            </w:hyperlink>
          </w:p>
        </w:tc>
        <w:tc>
          <w:tcPr>
            <w:tcW w:w="1840" w:type="dxa"/>
            <w:vAlign w:val="bottom"/>
            <w:tcBorders>
              <w:top w:val="single" w:sz="8" w:color="0000FF"/>
            </w:tcBorders>
            <w:gridSpan w:val="5"/>
          </w:tcPr>
          <w:p>
            <w:pPr>
              <w:spacing w:after="0"/>
              <w:rPr>
                <w:sz w:val="12"/>
                <w:szCs w:val="12"/>
                <w:color w:val="auto"/>
              </w:rPr>
            </w:pPr>
          </w:p>
        </w:tc>
        <w:tc>
          <w:tcPr>
            <w:tcW w:w="340" w:type="dxa"/>
            <w:vAlign w:val="bottom"/>
            <w:gridSpan w:val="7"/>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88"/>
        </w:trPr>
        <w:tc>
          <w:tcPr>
            <w:tcW w:w="1560" w:type="dxa"/>
            <w:vAlign w:val="bottom"/>
          </w:tcPr>
          <w:p>
            <w:pPr>
              <w:jc w:val="center"/>
              <w:ind w:right="79"/>
              <w:spacing w:after="0"/>
              <w:rPr>
                <w:sz w:val="20"/>
                <w:szCs w:val="20"/>
                <w:color w:val="auto"/>
              </w:rPr>
            </w:pPr>
            <w:r>
              <w:rPr>
                <w:rFonts w:ascii="Arial" w:cs="Arial" w:eastAsia="Arial" w:hAnsi="Arial"/>
                <w:sz w:val="16"/>
                <w:szCs w:val="16"/>
                <w:color w:val="auto"/>
                <w:w w:val="99"/>
              </w:rPr>
              <w:t>101.INS*</w:t>
            </w:r>
          </w:p>
        </w:tc>
        <w:tc>
          <w:tcPr>
            <w:tcW w:w="3920" w:type="dxa"/>
            <w:vAlign w:val="bottom"/>
            <w:gridSpan w:val="18"/>
          </w:tcPr>
          <w:p>
            <w:pPr>
              <w:spacing w:after="0"/>
              <w:rPr>
                <w:sz w:val="20"/>
                <w:szCs w:val="20"/>
                <w:color w:val="auto"/>
              </w:rPr>
            </w:pPr>
            <w:r>
              <w:rPr>
                <w:rFonts w:ascii="Arial" w:cs="Arial" w:eastAsia="Arial" w:hAnsi="Arial"/>
                <w:sz w:val="16"/>
                <w:szCs w:val="16"/>
                <w:color w:val="auto"/>
              </w:rPr>
              <w:t>Inline XBRL Instance Document.</w:t>
            </w: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101.SCH*</w:t>
            </w:r>
          </w:p>
        </w:tc>
        <w:tc>
          <w:tcPr>
            <w:tcW w:w="3920" w:type="dxa"/>
            <w:vAlign w:val="bottom"/>
            <w:gridSpan w:val="18"/>
          </w:tcPr>
          <w:p>
            <w:pPr>
              <w:spacing w:after="0"/>
              <w:rPr>
                <w:sz w:val="20"/>
                <w:szCs w:val="20"/>
                <w:color w:val="auto"/>
              </w:rPr>
            </w:pPr>
            <w:r>
              <w:rPr>
                <w:rFonts w:ascii="Arial" w:cs="Arial" w:eastAsia="Arial" w:hAnsi="Arial"/>
                <w:sz w:val="16"/>
                <w:szCs w:val="16"/>
                <w:color w:val="auto"/>
              </w:rPr>
              <w:t>Inline XBRL Taxonomy Extension Schema Document.</w:t>
            </w:r>
          </w:p>
        </w:tc>
        <w:tc>
          <w:tcPr>
            <w:tcW w:w="14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8"/>
        </w:trPr>
        <w:tc>
          <w:tcPr>
            <w:tcW w:w="1560" w:type="dxa"/>
            <w:vAlign w:val="bottom"/>
          </w:tcPr>
          <w:p>
            <w:pPr>
              <w:jc w:val="center"/>
              <w:ind w:right="79"/>
              <w:spacing w:after="0"/>
              <w:rPr>
                <w:sz w:val="20"/>
                <w:szCs w:val="20"/>
                <w:color w:val="auto"/>
              </w:rPr>
            </w:pPr>
            <w:r>
              <w:rPr>
                <w:rFonts w:ascii="Arial" w:cs="Arial" w:eastAsia="Arial" w:hAnsi="Arial"/>
                <w:sz w:val="16"/>
                <w:szCs w:val="16"/>
                <w:color w:val="auto"/>
                <w:w w:val="99"/>
              </w:rPr>
              <w:t>101.CAL*</w:t>
            </w:r>
          </w:p>
        </w:tc>
        <w:tc>
          <w:tcPr>
            <w:tcW w:w="3920" w:type="dxa"/>
            <w:vAlign w:val="bottom"/>
            <w:gridSpan w:val="18"/>
          </w:tcPr>
          <w:p>
            <w:pPr>
              <w:spacing w:after="0"/>
              <w:rPr>
                <w:sz w:val="20"/>
                <w:szCs w:val="20"/>
                <w:color w:val="auto"/>
              </w:rPr>
            </w:pPr>
            <w:r>
              <w:rPr>
                <w:rFonts w:ascii="Arial" w:cs="Arial" w:eastAsia="Arial" w:hAnsi="Arial"/>
                <w:sz w:val="16"/>
                <w:szCs w:val="16"/>
                <w:color w:val="auto"/>
              </w:rPr>
              <w:t>Inline XBRL Taxonomy Extension Calculation</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1560" w:type="dxa"/>
            <w:vAlign w:val="bottom"/>
          </w:tcPr>
          <w:p>
            <w:pPr>
              <w:spacing w:after="0"/>
              <w:rPr>
                <w:sz w:val="18"/>
                <w:szCs w:val="18"/>
                <w:color w:val="auto"/>
              </w:rPr>
            </w:pPr>
          </w:p>
        </w:tc>
        <w:tc>
          <w:tcPr>
            <w:tcW w:w="3920" w:type="dxa"/>
            <w:vAlign w:val="bottom"/>
            <w:gridSpan w:val="18"/>
          </w:tcPr>
          <w:p>
            <w:pPr>
              <w:spacing w:after="0"/>
              <w:rPr>
                <w:sz w:val="20"/>
                <w:szCs w:val="20"/>
                <w:color w:val="auto"/>
              </w:rPr>
            </w:pPr>
            <w:r>
              <w:rPr>
                <w:rFonts w:ascii="Arial" w:cs="Arial" w:eastAsia="Arial" w:hAnsi="Arial"/>
                <w:sz w:val="16"/>
                <w:szCs w:val="16"/>
                <w:color w:val="auto"/>
              </w:rPr>
              <w:t>Linkbase Document.</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1560" w:type="dxa"/>
            <w:vAlign w:val="bottom"/>
          </w:tcPr>
          <w:p>
            <w:pPr>
              <w:jc w:val="center"/>
              <w:ind w:right="59"/>
              <w:spacing w:after="0"/>
              <w:rPr>
                <w:sz w:val="20"/>
                <w:szCs w:val="20"/>
                <w:color w:val="auto"/>
              </w:rPr>
            </w:pPr>
            <w:r>
              <w:rPr>
                <w:rFonts w:ascii="Arial" w:cs="Arial" w:eastAsia="Arial" w:hAnsi="Arial"/>
                <w:sz w:val="16"/>
                <w:szCs w:val="16"/>
                <w:color w:val="auto"/>
              </w:rPr>
              <w:t>101.DEF*</w:t>
            </w:r>
          </w:p>
        </w:tc>
        <w:tc>
          <w:tcPr>
            <w:tcW w:w="3920" w:type="dxa"/>
            <w:vAlign w:val="bottom"/>
            <w:gridSpan w:val="18"/>
          </w:tcPr>
          <w:p>
            <w:pPr>
              <w:spacing w:after="0"/>
              <w:rPr>
                <w:sz w:val="20"/>
                <w:szCs w:val="20"/>
                <w:color w:val="auto"/>
              </w:rPr>
            </w:pPr>
            <w:r>
              <w:rPr>
                <w:rFonts w:ascii="Arial" w:cs="Arial" w:eastAsia="Arial" w:hAnsi="Arial"/>
                <w:sz w:val="16"/>
                <w:szCs w:val="16"/>
                <w:color w:val="auto"/>
              </w:rPr>
              <w:t>Inline XBRL Taxonomy Extension Definition Linkbase</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1560" w:type="dxa"/>
            <w:vAlign w:val="bottom"/>
          </w:tcPr>
          <w:p>
            <w:pPr>
              <w:spacing w:after="0"/>
              <w:rPr>
                <w:sz w:val="18"/>
                <w:szCs w:val="18"/>
                <w:color w:val="auto"/>
              </w:rPr>
            </w:pPr>
          </w:p>
        </w:tc>
        <w:tc>
          <w:tcPr>
            <w:tcW w:w="3920" w:type="dxa"/>
            <w:vAlign w:val="bottom"/>
            <w:gridSpan w:val="18"/>
          </w:tcPr>
          <w:p>
            <w:pPr>
              <w:spacing w:after="0"/>
              <w:rPr>
                <w:sz w:val="20"/>
                <w:szCs w:val="20"/>
                <w:color w:val="auto"/>
              </w:rPr>
            </w:pPr>
            <w:r>
              <w:rPr>
                <w:rFonts w:ascii="Arial" w:cs="Arial" w:eastAsia="Arial" w:hAnsi="Arial"/>
                <w:sz w:val="16"/>
                <w:szCs w:val="16"/>
                <w:color w:val="auto"/>
              </w:rPr>
              <w:t>Document.</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1560" w:type="dxa"/>
            <w:vAlign w:val="bottom"/>
          </w:tcPr>
          <w:p>
            <w:pPr>
              <w:jc w:val="center"/>
              <w:ind w:right="79"/>
              <w:spacing w:after="0"/>
              <w:rPr>
                <w:sz w:val="20"/>
                <w:szCs w:val="20"/>
                <w:color w:val="auto"/>
              </w:rPr>
            </w:pPr>
            <w:r>
              <w:rPr>
                <w:rFonts w:ascii="Arial" w:cs="Arial" w:eastAsia="Arial" w:hAnsi="Arial"/>
                <w:sz w:val="16"/>
                <w:szCs w:val="16"/>
                <w:color w:val="auto"/>
              </w:rPr>
              <w:t>101.PRE*</w:t>
            </w:r>
          </w:p>
        </w:tc>
        <w:tc>
          <w:tcPr>
            <w:tcW w:w="3920" w:type="dxa"/>
            <w:vAlign w:val="bottom"/>
            <w:gridSpan w:val="18"/>
          </w:tcPr>
          <w:p>
            <w:pPr>
              <w:spacing w:after="0"/>
              <w:rPr>
                <w:sz w:val="20"/>
                <w:szCs w:val="20"/>
                <w:color w:val="auto"/>
              </w:rPr>
            </w:pPr>
            <w:r>
              <w:rPr>
                <w:rFonts w:ascii="Arial" w:cs="Arial" w:eastAsia="Arial" w:hAnsi="Arial"/>
                <w:sz w:val="16"/>
                <w:szCs w:val="16"/>
                <w:color w:val="auto"/>
              </w:rPr>
              <w:t>Inline XBRL Taxonomy Extension Presentation</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1560" w:type="dxa"/>
            <w:vAlign w:val="bottom"/>
          </w:tcPr>
          <w:p>
            <w:pPr>
              <w:spacing w:after="0"/>
              <w:rPr>
                <w:sz w:val="18"/>
                <w:szCs w:val="18"/>
                <w:color w:val="auto"/>
              </w:rPr>
            </w:pPr>
          </w:p>
        </w:tc>
        <w:tc>
          <w:tcPr>
            <w:tcW w:w="3920" w:type="dxa"/>
            <w:vAlign w:val="bottom"/>
            <w:gridSpan w:val="18"/>
          </w:tcPr>
          <w:p>
            <w:pPr>
              <w:spacing w:after="0"/>
              <w:rPr>
                <w:sz w:val="20"/>
                <w:szCs w:val="20"/>
                <w:color w:val="auto"/>
              </w:rPr>
            </w:pPr>
            <w:r>
              <w:rPr>
                <w:rFonts w:ascii="Arial" w:cs="Arial" w:eastAsia="Arial" w:hAnsi="Arial"/>
                <w:sz w:val="16"/>
                <w:szCs w:val="16"/>
                <w:color w:val="auto"/>
              </w:rPr>
              <w:t>Linkable Document.</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1560" w:type="dxa"/>
            <w:vAlign w:val="bottom"/>
          </w:tcPr>
          <w:p>
            <w:pPr>
              <w:jc w:val="center"/>
              <w:ind w:right="79"/>
              <w:spacing w:after="0"/>
              <w:rPr>
                <w:sz w:val="20"/>
                <w:szCs w:val="20"/>
                <w:color w:val="auto"/>
              </w:rPr>
            </w:pPr>
            <w:r>
              <w:rPr>
                <w:rFonts w:ascii="Arial" w:cs="Arial" w:eastAsia="Arial" w:hAnsi="Arial"/>
                <w:sz w:val="16"/>
                <w:szCs w:val="16"/>
                <w:color w:val="auto"/>
                <w:w w:val="97"/>
              </w:rPr>
              <w:t>104*</w:t>
            </w:r>
          </w:p>
        </w:tc>
        <w:tc>
          <w:tcPr>
            <w:tcW w:w="3920" w:type="dxa"/>
            <w:vAlign w:val="bottom"/>
            <w:gridSpan w:val="18"/>
          </w:tcPr>
          <w:p>
            <w:pPr>
              <w:spacing w:after="0"/>
              <w:rPr>
                <w:sz w:val="20"/>
                <w:szCs w:val="20"/>
                <w:color w:val="auto"/>
              </w:rPr>
            </w:pPr>
            <w:r>
              <w:rPr>
                <w:rFonts w:ascii="Arial" w:cs="Arial" w:eastAsia="Arial" w:hAnsi="Arial"/>
                <w:sz w:val="16"/>
                <w:szCs w:val="16"/>
                <w:color w:val="auto"/>
              </w:rPr>
              <w:t>Cover Page Interactive Data File (embedded within</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5"/>
        </w:trPr>
        <w:tc>
          <w:tcPr>
            <w:tcW w:w="1560" w:type="dxa"/>
            <w:vAlign w:val="bottom"/>
          </w:tcPr>
          <w:p>
            <w:pPr>
              <w:spacing w:after="0"/>
              <w:rPr>
                <w:sz w:val="18"/>
                <w:szCs w:val="18"/>
                <w:color w:val="auto"/>
              </w:rPr>
            </w:pPr>
          </w:p>
        </w:tc>
        <w:tc>
          <w:tcPr>
            <w:tcW w:w="3920" w:type="dxa"/>
            <w:vAlign w:val="bottom"/>
            <w:gridSpan w:val="18"/>
          </w:tcPr>
          <w:p>
            <w:pPr>
              <w:spacing w:after="0"/>
              <w:rPr>
                <w:sz w:val="20"/>
                <w:szCs w:val="20"/>
                <w:color w:val="auto"/>
              </w:rPr>
            </w:pPr>
            <w:r>
              <w:rPr>
                <w:rFonts w:ascii="Arial" w:cs="Arial" w:eastAsia="Arial" w:hAnsi="Arial"/>
                <w:sz w:val="16"/>
                <w:szCs w:val="16"/>
                <w:color w:val="auto"/>
              </w:rPr>
              <w:t>the Inline XBRL document).</w:t>
            </w: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55"/>
        </w:trPr>
        <w:tc>
          <w:tcPr>
            <w:tcW w:w="1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0" w:type="dxa"/>
            <w:vAlign w:val="bottom"/>
          </w:tcPr>
          <w:p>
            <w:pPr>
              <w:spacing w:after="0"/>
              <w:rPr>
                <w:sz w:val="4"/>
                <w:szCs w:val="4"/>
                <w:color w:val="auto"/>
              </w:rPr>
            </w:pPr>
          </w:p>
        </w:tc>
      </w:tr>
    </w:tbl>
    <w:p>
      <w:pPr>
        <w:spacing w:after="0" w:line="257" w:lineRule="exact"/>
        <w:rPr>
          <w:sz w:val="20"/>
          <w:szCs w:val="20"/>
          <w:color w:val="auto"/>
        </w:rPr>
      </w:pPr>
    </w:p>
    <w:p>
      <w:pPr>
        <w:ind w:left="400" w:hanging="374"/>
        <w:spacing w:after="0"/>
        <w:tabs>
          <w:tab w:leader="none" w:pos="4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53" w:lineRule="exact"/>
        <w:rPr>
          <w:sz w:val="20"/>
          <w:szCs w:val="20"/>
          <w:color w:val="auto"/>
        </w:rPr>
      </w:pPr>
    </w:p>
    <w:p>
      <w:pPr>
        <w:ind w:left="400" w:hanging="374"/>
        <w:spacing w:after="0"/>
        <w:tabs>
          <w:tab w:leader="none" w:pos="4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Indicates a management contract or compensatory plan or arrangement.</w:t>
      </w:r>
    </w:p>
    <w:p>
      <w:pPr>
        <w:spacing w:after="0" w:line="202" w:lineRule="exact"/>
        <w:rPr>
          <w:sz w:val="20"/>
          <w:szCs w:val="20"/>
          <w:color w:val="auto"/>
        </w:rPr>
      </w:pPr>
    </w:p>
    <w:p>
      <w:pPr>
        <w:ind w:left="400" w:hanging="374"/>
        <w:spacing w:after="0" w:line="238" w:lineRule="auto"/>
        <w:tabs>
          <w:tab w:leader="none" w:pos="4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Annual Report on Form 10-K are deemed furnished and not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spacing w:after="0" w:line="317"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Item 16. Form 10-K Summary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2E22"/>
        </w:rPr>
        <w:t>Signatures</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EXPENSIFY, INC.</w:t>
      </w:r>
    </w:p>
    <w:p>
      <w:pPr>
        <w:spacing w:after="0" w:line="27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17780</wp:posOffset>
            </wp:positionV>
            <wp:extent cx="303466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David Barrett</w:t>
      </w:r>
    </w:p>
    <w:p>
      <w:pPr>
        <w:spacing w:after="0" w:line="3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27, 2025</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6" w:lineRule="exact"/>
        <w:rPr>
          <w:sz w:val="20"/>
          <w:szCs w:val="20"/>
          <w:color w:val="auto"/>
        </w:rPr>
      </w:pPr>
    </w:p>
    <w:p>
      <w:pPr>
        <w:ind w:left="1400"/>
        <w:spacing w:after="0"/>
        <w:tabs>
          <w:tab w:leader="none" w:pos="5920" w:val="left"/>
          <w:tab w:leader="none" w:pos="98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p>
      <w:pPr>
        <w:spacing w:after="0" w:line="38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945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David Barrett</w:t>
      </w:r>
    </w:p>
    <w:p>
      <w:pPr>
        <w:spacing w:after="0" w:line="32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945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Ryan Schaffer</w:t>
      </w:r>
    </w:p>
    <w:p>
      <w:pPr>
        <w:spacing w:after="0" w:line="320"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/s/ Anuradha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945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8"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Anuradha Muralidharan</w:t>
      </w:r>
    </w:p>
    <w:p>
      <w:pPr>
        <w:spacing w:after="0" w:line="32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945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Daniel Vidal</w:t>
      </w:r>
    </w:p>
    <w:p>
      <w:pPr>
        <w:spacing w:after="0" w:line="32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945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Jason Mills</w:t>
      </w:r>
    </w:p>
    <w:p>
      <w:pPr>
        <w:spacing w:after="0" w:line="32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Tim Christen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945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Tim Christen</w:t>
      </w:r>
    </w:p>
    <w:p>
      <w:pPr>
        <w:spacing w:after="0" w:line="32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Ellen Pao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945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Ellen Pao</w:t>
      </w:r>
    </w:p>
    <w:p>
      <w:pPr>
        <w:spacing w:after="0" w:line="320"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Ying (Vivian)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945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Ying (Vivian) Liu</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jc w:val="center"/>
              <w:ind w:right="310"/>
              <w:spacing w:after="0"/>
              <w:rPr>
                <w:sz w:val="20"/>
                <w:szCs w:val="20"/>
                <w:color w:val="auto"/>
              </w:rPr>
            </w:pPr>
            <w:r>
              <w:rPr>
                <w:rFonts w:ascii="Arial" w:cs="Arial" w:eastAsia="Arial" w:hAnsi="Arial"/>
                <w:sz w:val="18"/>
                <w:szCs w:val="18"/>
                <w:color w:val="auto"/>
                <w:w w:val="99"/>
              </w:rPr>
              <w:t>Chief Executive Officer and Director (Principal Executive</w:t>
            </w:r>
          </w:p>
        </w:tc>
        <w:tc>
          <w:tcPr>
            <w:tcW w:w="1860" w:type="dxa"/>
            <w:vAlign w:val="bottom"/>
            <w:vMerge w:val="restart"/>
          </w:tcPr>
          <w:p>
            <w:pPr>
              <w:ind w:left="380"/>
              <w:spacing w:after="0"/>
              <w:rPr>
                <w:sz w:val="20"/>
                <w:szCs w:val="20"/>
                <w:color w:val="auto"/>
              </w:rPr>
            </w:pPr>
            <w:r>
              <w:rPr>
                <w:rFonts w:ascii="Arial" w:cs="Arial" w:eastAsia="Arial" w:hAnsi="Arial"/>
                <w:sz w:val="18"/>
                <w:szCs w:val="18"/>
                <w:color w:val="auto"/>
                <w:w w:val="99"/>
              </w:rPr>
              <w:t>February 27, 2025</w:t>
            </w:r>
          </w:p>
        </w:tc>
        <w:tc>
          <w:tcPr>
            <w:tcW w:w="0" w:type="dxa"/>
            <w:vAlign w:val="bottom"/>
          </w:tcPr>
          <w:p>
            <w:pPr>
              <w:spacing w:after="0"/>
              <w:rPr>
                <w:sz w:val="1"/>
                <w:szCs w:val="1"/>
                <w:color w:val="auto"/>
              </w:rPr>
            </w:pPr>
          </w:p>
        </w:tc>
      </w:tr>
      <w:tr>
        <w:trPr>
          <w:trHeight w:val="153"/>
        </w:trPr>
        <w:tc>
          <w:tcPr>
            <w:tcW w:w="5120" w:type="dxa"/>
            <w:vAlign w:val="bottom"/>
            <w:vMerge w:val="restart"/>
          </w:tcPr>
          <w:p>
            <w:pPr>
              <w:jc w:val="center"/>
              <w:ind w:right="330"/>
              <w:spacing w:after="0"/>
              <w:rPr>
                <w:sz w:val="20"/>
                <w:szCs w:val="20"/>
                <w:color w:val="auto"/>
              </w:rPr>
            </w:pPr>
            <w:r>
              <w:rPr>
                <w:rFonts w:ascii="Arial" w:cs="Arial" w:eastAsia="Arial" w:hAnsi="Arial"/>
                <w:sz w:val="18"/>
                <w:szCs w:val="18"/>
                <w:color w:val="auto"/>
                <w:w w:val="98"/>
              </w:rPr>
              <w:t>Officer)</w:t>
            </w: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512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1"/>
        </w:trPr>
        <w:tc>
          <w:tcPr>
            <w:tcW w:w="5120" w:type="dxa"/>
            <w:vAlign w:val="bottom"/>
          </w:tcPr>
          <w:p>
            <w:pPr>
              <w:jc w:val="center"/>
              <w:ind w:right="310"/>
              <w:spacing w:after="0"/>
              <w:rPr>
                <w:sz w:val="20"/>
                <w:szCs w:val="20"/>
                <w:color w:val="auto"/>
              </w:rPr>
            </w:pPr>
            <w:r>
              <w:rPr>
                <w:rFonts w:ascii="Arial" w:cs="Arial" w:eastAsia="Arial" w:hAnsi="Arial"/>
                <w:sz w:val="18"/>
                <w:szCs w:val="18"/>
                <w:color w:val="auto"/>
                <w:w w:val="99"/>
              </w:rPr>
              <w:t>Chief Financial Officer and Director (Principal Financial and</w:t>
            </w:r>
          </w:p>
        </w:tc>
        <w:tc>
          <w:tcPr>
            <w:tcW w:w="1860" w:type="dxa"/>
            <w:vAlign w:val="bottom"/>
            <w:vMerge w:val="restart"/>
          </w:tcPr>
          <w:p>
            <w:pPr>
              <w:ind w:left="380"/>
              <w:spacing w:after="0"/>
              <w:rPr>
                <w:sz w:val="20"/>
                <w:szCs w:val="20"/>
                <w:color w:val="auto"/>
              </w:rPr>
            </w:pPr>
            <w:r>
              <w:rPr>
                <w:rFonts w:ascii="Arial" w:cs="Arial" w:eastAsia="Arial" w:hAnsi="Arial"/>
                <w:sz w:val="18"/>
                <w:szCs w:val="18"/>
                <w:color w:val="auto"/>
                <w:w w:val="99"/>
              </w:rPr>
              <w:t>February 27, 2025</w:t>
            </w:r>
          </w:p>
        </w:tc>
        <w:tc>
          <w:tcPr>
            <w:tcW w:w="0" w:type="dxa"/>
            <w:vAlign w:val="bottom"/>
          </w:tcPr>
          <w:p>
            <w:pPr>
              <w:spacing w:after="0"/>
              <w:rPr>
                <w:sz w:val="1"/>
                <w:szCs w:val="1"/>
                <w:color w:val="auto"/>
              </w:rPr>
            </w:pPr>
          </w:p>
        </w:tc>
      </w:tr>
      <w:tr>
        <w:trPr>
          <w:trHeight w:val="152"/>
        </w:trPr>
        <w:tc>
          <w:tcPr>
            <w:tcW w:w="5120" w:type="dxa"/>
            <w:vAlign w:val="bottom"/>
            <w:vMerge w:val="restart"/>
          </w:tcPr>
          <w:p>
            <w:pPr>
              <w:jc w:val="center"/>
              <w:ind w:right="310"/>
              <w:spacing w:after="0"/>
              <w:rPr>
                <w:sz w:val="20"/>
                <w:szCs w:val="20"/>
                <w:color w:val="auto"/>
              </w:rPr>
            </w:pPr>
            <w:r>
              <w:rPr>
                <w:rFonts w:ascii="Arial" w:cs="Arial" w:eastAsia="Arial" w:hAnsi="Arial"/>
                <w:sz w:val="18"/>
                <w:szCs w:val="18"/>
                <w:color w:val="auto"/>
                <w:w w:val="99"/>
              </w:rPr>
              <w:t>Accounting Officer)</w:t>
            </w: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512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3"/>
        </w:trPr>
        <w:tc>
          <w:tcPr>
            <w:tcW w:w="5120" w:type="dxa"/>
            <w:vAlign w:val="bottom"/>
          </w:tcPr>
          <w:p>
            <w:pPr>
              <w:jc w:val="center"/>
              <w:ind w:right="31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380"/>
              <w:spacing w:after="0"/>
              <w:rPr>
                <w:sz w:val="20"/>
                <w:szCs w:val="20"/>
                <w:color w:val="auto"/>
              </w:rPr>
            </w:pPr>
            <w:r>
              <w:rPr>
                <w:rFonts w:ascii="Arial" w:cs="Arial" w:eastAsia="Arial" w:hAnsi="Arial"/>
                <w:sz w:val="18"/>
                <w:szCs w:val="18"/>
                <w:color w:val="auto"/>
                <w:w w:val="99"/>
              </w:rPr>
              <w:t>February 27, 2025</w:t>
            </w:r>
          </w:p>
        </w:tc>
        <w:tc>
          <w:tcPr>
            <w:tcW w:w="0" w:type="dxa"/>
            <w:vAlign w:val="bottom"/>
          </w:tcPr>
          <w:p>
            <w:pPr>
              <w:spacing w:after="0"/>
              <w:rPr>
                <w:sz w:val="1"/>
                <w:szCs w:val="1"/>
                <w:color w:val="auto"/>
              </w:rPr>
            </w:pPr>
          </w:p>
        </w:tc>
      </w:tr>
      <w:tr>
        <w:trPr>
          <w:trHeight w:val="770"/>
        </w:trPr>
        <w:tc>
          <w:tcPr>
            <w:tcW w:w="5120" w:type="dxa"/>
            <w:vAlign w:val="bottom"/>
          </w:tcPr>
          <w:p>
            <w:pPr>
              <w:jc w:val="center"/>
              <w:ind w:right="31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380"/>
              <w:spacing w:after="0"/>
              <w:rPr>
                <w:sz w:val="20"/>
                <w:szCs w:val="20"/>
                <w:color w:val="auto"/>
              </w:rPr>
            </w:pPr>
            <w:r>
              <w:rPr>
                <w:rFonts w:ascii="Arial" w:cs="Arial" w:eastAsia="Arial" w:hAnsi="Arial"/>
                <w:sz w:val="18"/>
                <w:szCs w:val="18"/>
                <w:color w:val="auto"/>
                <w:w w:val="99"/>
              </w:rPr>
              <w:t>February 27, 2025</w:t>
            </w:r>
          </w:p>
        </w:tc>
        <w:tc>
          <w:tcPr>
            <w:tcW w:w="0" w:type="dxa"/>
            <w:vAlign w:val="bottom"/>
          </w:tcPr>
          <w:p>
            <w:pPr>
              <w:spacing w:after="0"/>
              <w:rPr>
                <w:sz w:val="1"/>
                <w:szCs w:val="1"/>
                <w:color w:val="auto"/>
              </w:rPr>
            </w:pPr>
          </w:p>
        </w:tc>
      </w:tr>
      <w:tr>
        <w:trPr>
          <w:trHeight w:val="769"/>
        </w:trPr>
        <w:tc>
          <w:tcPr>
            <w:tcW w:w="5120" w:type="dxa"/>
            <w:vAlign w:val="bottom"/>
          </w:tcPr>
          <w:p>
            <w:pPr>
              <w:jc w:val="center"/>
              <w:ind w:right="31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380"/>
              <w:spacing w:after="0"/>
              <w:rPr>
                <w:sz w:val="20"/>
                <w:szCs w:val="20"/>
                <w:color w:val="auto"/>
              </w:rPr>
            </w:pPr>
            <w:r>
              <w:rPr>
                <w:rFonts w:ascii="Arial" w:cs="Arial" w:eastAsia="Arial" w:hAnsi="Arial"/>
                <w:sz w:val="18"/>
                <w:szCs w:val="18"/>
                <w:color w:val="auto"/>
                <w:w w:val="99"/>
              </w:rPr>
              <w:t>February 27, 2025</w:t>
            </w:r>
          </w:p>
        </w:tc>
        <w:tc>
          <w:tcPr>
            <w:tcW w:w="0" w:type="dxa"/>
            <w:vAlign w:val="bottom"/>
          </w:tcPr>
          <w:p>
            <w:pPr>
              <w:spacing w:after="0"/>
              <w:rPr>
                <w:sz w:val="1"/>
                <w:szCs w:val="1"/>
                <w:color w:val="auto"/>
              </w:rPr>
            </w:pPr>
          </w:p>
        </w:tc>
      </w:tr>
      <w:tr>
        <w:trPr>
          <w:trHeight w:val="770"/>
        </w:trPr>
        <w:tc>
          <w:tcPr>
            <w:tcW w:w="5120" w:type="dxa"/>
            <w:vAlign w:val="bottom"/>
          </w:tcPr>
          <w:p>
            <w:pPr>
              <w:jc w:val="center"/>
              <w:ind w:right="31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380"/>
              <w:spacing w:after="0"/>
              <w:rPr>
                <w:sz w:val="20"/>
                <w:szCs w:val="20"/>
                <w:color w:val="auto"/>
              </w:rPr>
            </w:pPr>
            <w:r>
              <w:rPr>
                <w:rFonts w:ascii="Arial" w:cs="Arial" w:eastAsia="Arial" w:hAnsi="Arial"/>
                <w:sz w:val="18"/>
                <w:szCs w:val="18"/>
                <w:color w:val="auto"/>
                <w:w w:val="99"/>
              </w:rPr>
              <w:t>February 27, 2025</w:t>
            </w:r>
          </w:p>
        </w:tc>
        <w:tc>
          <w:tcPr>
            <w:tcW w:w="0" w:type="dxa"/>
            <w:vAlign w:val="bottom"/>
          </w:tcPr>
          <w:p>
            <w:pPr>
              <w:spacing w:after="0"/>
              <w:rPr>
                <w:sz w:val="1"/>
                <w:szCs w:val="1"/>
                <w:color w:val="auto"/>
              </w:rPr>
            </w:pPr>
          </w:p>
        </w:tc>
      </w:tr>
      <w:tr>
        <w:trPr>
          <w:trHeight w:val="770"/>
        </w:trPr>
        <w:tc>
          <w:tcPr>
            <w:tcW w:w="5120" w:type="dxa"/>
            <w:vAlign w:val="bottom"/>
          </w:tcPr>
          <w:p>
            <w:pPr>
              <w:jc w:val="center"/>
              <w:ind w:right="31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380"/>
              <w:spacing w:after="0"/>
              <w:rPr>
                <w:sz w:val="20"/>
                <w:szCs w:val="20"/>
                <w:color w:val="auto"/>
              </w:rPr>
            </w:pPr>
            <w:r>
              <w:rPr>
                <w:rFonts w:ascii="Arial" w:cs="Arial" w:eastAsia="Arial" w:hAnsi="Arial"/>
                <w:sz w:val="18"/>
                <w:szCs w:val="18"/>
                <w:color w:val="auto"/>
                <w:w w:val="99"/>
              </w:rPr>
              <w:t>February 27, 2025</w:t>
            </w:r>
          </w:p>
        </w:tc>
        <w:tc>
          <w:tcPr>
            <w:tcW w:w="0" w:type="dxa"/>
            <w:vAlign w:val="bottom"/>
          </w:tcPr>
          <w:p>
            <w:pPr>
              <w:spacing w:after="0"/>
              <w:rPr>
                <w:sz w:val="1"/>
                <w:szCs w:val="1"/>
                <w:color w:val="auto"/>
              </w:rPr>
            </w:pPr>
          </w:p>
        </w:tc>
      </w:tr>
      <w:tr>
        <w:trPr>
          <w:trHeight w:val="769"/>
        </w:trPr>
        <w:tc>
          <w:tcPr>
            <w:tcW w:w="5120" w:type="dxa"/>
            <w:vAlign w:val="bottom"/>
          </w:tcPr>
          <w:p>
            <w:pPr>
              <w:jc w:val="center"/>
              <w:ind w:right="31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380"/>
              <w:spacing w:after="0"/>
              <w:rPr>
                <w:sz w:val="20"/>
                <w:szCs w:val="20"/>
                <w:color w:val="auto"/>
              </w:rPr>
            </w:pPr>
            <w:r>
              <w:rPr>
                <w:rFonts w:ascii="Arial" w:cs="Arial" w:eastAsia="Arial" w:hAnsi="Arial"/>
                <w:sz w:val="18"/>
                <w:szCs w:val="18"/>
                <w:color w:val="auto"/>
                <w:w w:val="99"/>
              </w:rPr>
              <w:t>February 27, 2025</w:t>
            </w:r>
          </w:p>
        </w:tc>
        <w:tc>
          <w:tcPr>
            <w:tcW w:w="0" w:type="dxa"/>
            <w:vAlign w:val="bottom"/>
          </w:tcPr>
          <w:p>
            <w:pPr>
              <w:spacing w:after="0"/>
              <w:rPr>
                <w:sz w:val="1"/>
                <w:szCs w:val="1"/>
                <w:color w:val="auto"/>
              </w:rPr>
            </w:pPr>
          </w:p>
        </w:tc>
      </w:tr>
    </w:tbl>
    <w:p>
      <w:pPr>
        <w:sectPr>
          <w:pgSz w:w="11900" w:h="16838" w:orient="portrait"/>
          <w:cols w:equalWidth="0" w:num="2">
            <w:col w:w="3020" w:space="720"/>
            <w:col w:w="7320"/>
          </w:cols>
          <w:pgMar w:left="320" w:top="121" w:right="519" w:bottom="1440" w:gutter="0" w:footer="0" w:header="0"/>
          <w:type w:val="continuous"/>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0"/>
          <w:szCs w:val="20"/>
          <w:color w:val="auto"/>
        </w:rPr>
      </w:pPr>
    </w:p>
    <w:p>
      <w:pPr>
        <w:spacing w:after="0" w:line="3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describes the capital stock of Expensify, Inc. (the “company,” “we,” “us,” and “our”). Because the following is only a summary, it does not contain all of the information that may be important to you and is qualified in its entirety by reference to the applicable provisions of the Delaware General Corporation Law (the “DGCL”) and by the full text of our amended and restated certificate of incorporation and amended and restated bylaws, copies of which have been filed as exhibits to our Annual Report on Form 10-K for the fiscal year ended December 31,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shares of all classes of stock we are authorized to issue is 1,056,838,311, consisting of:</w:t>
      </w:r>
    </w:p>
    <w:p>
      <w:pPr>
        <w:spacing w:after="0" w:line="158" w:lineRule="exact"/>
        <w:rPr>
          <w:sz w:val="20"/>
          <w:szCs w:val="20"/>
          <w:color w:val="auto"/>
        </w:rPr>
      </w:pPr>
    </w:p>
    <w:p>
      <w:pPr>
        <w:ind w:left="1300" w:hanging="320"/>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A common stock, par value $0.0001 per share;</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21,871,197 shares of LT10 common stock, par value $0.0001 per share;</w:t>
      </w:r>
    </w:p>
    <w:p>
      <w:pPr>
        <w:spacing w:after="0" w:line="15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24,967,114 shares of LT50 common stock, par value $0.0001 per share; and</w:t>
      </w:r>
    </w:p>
    <w:p>
      <w:pPr>
        <w:spacing w:after="0" w:line="14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have three classes of authorized common stock: Class A common stock, LT10 common stock and LT50 common stock. The rights of the holders of Class A common stock, LT10 common stock and LT50 common stock are identical, except with respect to voting, conversion and transfer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w:t>
      </w:r>
    </w:p>
    <w:p>
      <w:pPr>
        <w:spacing w:after="0" w:line="1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Each holder of our Class A common stock is entitled to one vote per share, each holder of our LT10 common stock is entitled to 10 votes per share and each holder of our LT50 common stock is entitled to 50 votes per share on all matters submitted to a vote of the stockholders. The holders of our common stock will generally vote together as a single class on all matters submitted to a vote of our stockholders, unless otherwise required by Delaware law or our amended and restated certificate of incorporation. Delaware law could require holders of our Class A, LT10 or LT50 common stock to vote separately as a single class in the following circumstances:</w:t>
      </w:r>
    </w:p>
    <w:p>
      <w:pPr>
        <w:spacing w:after="0" w:line="210" w:lineRule="exact"/>
        <w:rPr>
          <w:sz w:val="20"/>
          <w:szCs w:val="20"/>
          <w:color w:val="auto"/>
        </w:rPr>
      </w:pPr>
    </w:p>
    <w:p>
      <w:pPr>
        <w:ind w:left="660" w:right="220" w:hanging="4"/>
        <w:spacing w:after="0" w:line="282" w:lineRule="auto"/>
        <w:tabs>
          <w:tab w:leader="none" w:pos="13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88" w:lineRule="exact"/>
        <w:rPr>
          <w:rFonts w:ascii="Times New Roman" w:cs="Times New Roman" w:eastAsia="Times New Roman" w:hAnsi="Times New Roman"/>
          <w:sz w:val="18"/>
          <w:szCs w:val="18"/>
          <w:color w:val="auto"/>
        </w:rPr>
      </w:pPr>
    </w:p>
    <w:p>
      <w:pPr>
        <w:ind w:left="660" w:right="340" w:hanging="4"/>
        <w:spacing w:after="0" w:line="258" w:lineRule="auto"/>
        <w:tabs>
          <w:tab w:leader="none" w:pos="13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so as to affect them adversely, the holders of that class would be required to vote separately to approve the proposed amendment; provided that if the amendment adversely affects one or more series of the class but does not adversely affect all of the series of the class, then the only holders of the series that are adversely affected, voting together as a class, would be required to separately approve the amendment.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for the election of directors.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 Rights</w:t>
      </w:r>
    </w:p>
    <w:p>
      <w:pPr>
        <w:spacing w:after="0" w:line="14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holders of our Class A, LT10 and LT50 common stock are entitled to receive dividends if, as and when declared from time to time by our board of directors out of legally available funds. Subject to applicable law and the rights, if any, of the holders of any outstanding series of our preferred stock or any class or series having a preference over or</w:t>
      </w:r>
    </w:p>
    <w:p>
      <w:pPr>
        <w:sectPr>
          <w:pgSz w:w="11900" w:h="16838" w:orient="portrait"/>
          <w:cols w:equalWidth="0" w:num="1">
            <w:col w:w="11240"/>
          </w:cols>
          <w:pgMar w:left="320" w:top="117" w:right="339" w:bottom="1440" w:gutter="0" w:footer="0" w:header="0"/>
        </w:sectPr>
      </w:pPr>
    </w:p>
    <w:bookmarkStart w:id="141" w:name="page142"/>
    <w:bookmarkEnd w:id="141"/>
    <w:p>
      <w:pPr>
        <w:spacing w:after="0" w:line="36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right to participate with the Class A, LT10 or LT50 common stock with respect to the payment of dividends in cash, our property or our shares of capital stock, dividends may be declared and paid on the shares of Class A, LT10 or LT50 common stock out of any assets of ours legally available therefore at such time and in such amounts as our board of directors shall determine; provided that if a dividend or distribution is paid in the form of Class A common stock, LT10 common stock or LT50 common stock, respectively (or in rights to acquire, or securities convertible into or exchangeable for, such shares), then holders of Class A common stock shall be entitled to receive shares of Class A common stock (or rights to acquire, or securities convertible into or exchangeable for, such shares), holders of LT10 common stock shall be entitled to receive shares of LT10 common stock (or rights to acquire, or securities convertible into or exchangeable for, such shares), and holders of LT50 common stock shall be entitled to receive shares of LT50 common stock (or rights to acquire, or securities convertible into or exchangeable for, such shares), with holders of shares of Class A, LT10 and LT50 common stock receiving, on a per share basis, an identical number of shares of Class A, LT10 or LT50 common stock (or rights to acquire, or securities convertible into or exchangeable for, such shares, as the case may be), as applicable. Notwithstanding the foregoing, our board of directors may declare and we may pay a disparate dividend per share of Class A, LT10 or LT50 common stock (whether the disparity shall be in the amount of such dividend payable per share, the form in which such dividend is payable (whether it shall be payable in cash, shares of our capital stock, other of our securities or any combination of the foregoing), the timing of the payment or otherwise).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Conversion and Transfer</w:t>
      </w:r>
    </w:p>
    <w:p>
      <w:pPr>
        <w:spacing w:after="0" w:line="15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Shares of our Class A common stock are not convertible. Each share of Class A common stock is freely transferable, subject to compliance with any applicable lock-up, vesting requirements under our equity plans, laws, rules and regulations, and our insider trading policy.</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Each share of our LT10 and LT50 common stock is convertible into one share of our Class A common stock at the option of the holder solely upon the satisfaction of and subject to certain requirements described in our amended and restated certificate of incorporation. Shares of LT10 and LT50 common stock may be sold or transferred only upon satisfaction of and subject to certain requirements described in our amended and restated certificate of incorporation. Each share of LT10 or LT50 common stock will automatically convert into one share of Class A common stock upon the occurrence of a transfer in accordance with such requirements unless such transfer is a "Non-Converting Transfer." A "Non-Converting Transfer" means a transfer (i) to the Voting Trust (as defined below), (ii) in an LT Exchange (as defined below) or (iii) approved by the affirmative vote of a majority of the members of our board of directors. Our amended and restated certificate of incorporation also permits a majority of the members of our board of directors to waive other requirements applicable to transfer or conversion of LT10 and LT50 common stock, including the notice period described below. Additionally, our amended and restated certificate of incorporation provides that upon the death of a holder of LT10 and/or LT50 common stock, the transfer of the decedent's shares of LT10 and/or LT50 common stock to the decedent's estate will not be deemed a "transfer," and so will not be subject to the transfer requirements described in our amended and restated certificate of incorporation, and such shares will remain shares of LT10 and/or LT50 common stock. Any transfer of shares of LT10 or LT50 common stock not made in accordance with the requirements set forth in our amended and restated certificate of incorporation, unless such requirements are waived by the board of directors, will be void, and we will not treat the transferee in such a transaction as a holder of such shares for any purpose.</w:t>
      </w:r>
    </w:p>
    <w:p>
      <w:pPr>
        <w:spacing w:after="0" w:line="2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If a holder proposes to convert or transfer any shares of LT10 or LT50 common stock, the holder (or the beneficial holder if such shares are held in the Voting Trust) must first provide written notice to us and a copy of such notice to the Trustees (as defined below) (the “Notice”). The notice period following delivery and receipt of the Notice for each share of LT10 and LT50 common stock shall be 10 months and 50 months, respectively. During the applicable notice period, the Trustees will attempt to identify a holder of shares of Class A common stock who is currently an employee of or other service provider to our company or one of our subsidiaries (a "Class A Transferor") interested in exchanging shares of Class A common stock held by the Class A Transferor for the shares of LT10, or LT50 common stock subject to the Notice, on a one-for-one basis (each, an “LT Exchange”). If a Class A Transferor is identified, the Trustees will provide written notice to the holder of shares of LT10 and/or LT50 common stock who is seeking to convert or transfer the shares of LT common stock specified in the Notice, the Class A Transferor and</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 specifying the participants in the LT Exchange, the date on which the applicable notice period expires (the "notice Expiration Date"), and any applicable instructions to facilitate the LT Exchange. If the Class A Transferor is not a party to the Voting Trust Agreement, the Class A Transferor must become a party to the Voting Trust Agreement and the shares of LT10 and/or LT50 common stock subject to the LT Exchange will remain in the Voting Trust, and will not convert into shares of Class A common stock. The LT Exchange will be deemed effective immediately prior to the close of business on the first business day following the Notice Expiration Date, subject to extension by us of up to five days if necessary to effectuate the Exchange. If the Trustees are unable to identify a Class A Transferor to participate in an LT Exchange prior to the Notice Expiration Date, then the shares of LT10 or LT50 common stock subject to the Notice will be converted into shares of Class A common stock on a one-for-one basis immediately following the Notice Expiration Date, as set forth in the amended and restated certificate of incorporation. In the event of a sale or transfer, such shares of Class A common stock received in an LT Exchange or conversion will be the subject of such sale or transfer.</w:t>
      </w:r>
    </w:p>
    <w:p>
      <w:pPr>
        <w:spacing w:after="0" w:line="2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time that a holder of shares of LT10 or LT50 common stock is no longer an employee of or service provider to Expensify, we will have the right to submit a written notice of conversion on such former employee or service provider's behalf, such that the shares of LT10 or LT50 common stock held by such former employee or service provider will be the subject of an LT Exchange or will convert into shares of Class A common stock following the applicable notice period.</w:t>
      </w:r>
    </w:p>
    <w:p>
      <w:pPr>
        <w:spacing w:after="0" w:line="3"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When all of the then-outstanding shares of LT10 and LT50 common stock represent, in the aggregate, less than 2% of all then-outstanding shares of common stock, each outstanding share of LT10 and LT50 common stock will automatically convert into one share of Class A common stock.</w:t>
      </w:r>
    </w:p>
    <w:p>
      <w:pPr>
        <w:spacing w:after="0" w:line="2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Once converted into Class A common stock, the LT10 or LT50 common stock will not be reissued. Except for the issuance of shares of LT10 or LT50 common stock issuable in respect of any restricted stock unit outstanding at the time of our initial public offering, a dividend payable in shares of LT10 or LT50 common stock as permitted by the amended and restated certificate of incorporation, or a reclassification, subdivision, or combination of such shares, we are not permitted at any time to issue any additional shares of LT10 or LT50 common 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Liquidation, Dissolution and Winding Up</w:t>
      </w:r>
    </w:p>
    <w:p>
      <w:pPr>
        <w:spacing w:after="0" w:line="1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Upon our dissolution or liquidation, after payment in full of all amounts required to be paid to creditors and to the holders of preferred stock having liquidation preferences, if any, the holders of shares of our common stock will be entitled to receive pro rata our remaining assets available for distribution for distribution to stockholders.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 Preemptive or Similar Rights</w:t>
      </w:r>
    </w:p>
    <w:p>
      <w:pPr>
        <w:spacing w:after="0" w:line="1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or redemption rights, and our common stock is not subject to redemption or sinking fund provisions.</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Fully Paid and Non-Assessable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outstanding shares of our Class A, LT10 and LT50 common stock are fully paid and non-assessable.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125"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No shares of our preferred stock are currently outstanding. Pursuant to our amended and restated certificate of incorporation, our board of directors has the authority, without further action by our stockholders, to issue up to 10,000,000 shares of preferred stock in one or more series and to fix the rights, powers, preferences, privileges and qualification, limitations and restrictions thereof. These rights, preferences and privileges could include, without limitation,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common stock and the likelihood that such holders will receive dividend payments and</w:t>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3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payments upon our liquidation. In addition, the issuance of preferred stock could have the effect of delaying, deferring, or preventing a change in control of our company or other corporate action.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Voting Trust</w:t>
      </w:r>
    </w:p>
    <w:p>
      <w:pPr>
        <w:spacing w:after="0" w:line="138"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Upon issuance, all outstanding shares of our LT10 and LT50 common stock were immediately deposited into a voting trust (the “Voting Trust”) formed pursuant to a voting trust agreement (the “Voting Trust Agreement”). The Voting Trust Agreement is intended to maintain a centralized decision-making process centered around our employees, encourage our employees to hold our common stock for the long-term and provide an orderly process for the conversion and transfer of our LT10 and LT50 common stock pursuant to our amended and restated certificate of incorporation. From time to time, employees and other service providers may deposit additional voting securities of the company in the Voting Trust, including Class A common stock, and will enter into a joinder agreement to become a party to the Voting Trust Agreement if such employee is not then a party. In the event of an LT Exchange, or other Non-Converting Transfer, the shares of LT10 or LT50 common stock involved in such transfer will remain in the Voting Trust, and a transferee who is not already a party to the Voting Trust Agreement will become a party pursuant to a joinder agreement, unless the requirement to become a party is expressly waived in writing by a majority of the trustees of the Voting Trust (the “Trustees”). A holder may not withdraw shares of LT10 or LT50 common stock from the Voting Trust. A holder who beneficially owns shares of Class A common stock held in the Voting Trust may withdraw some or all of such shares of Class A common stock upon 30 days' prior written notice to the Trustees, provided, however, that (i) any shares of Class A common stock received in connection with an LT Exchange that are held in the Voting Trust at the time of the LT Exchange may be immediately withdrawn from the Voting Trust, and (ii) Class A common stock resulting from the conversion of LT10 or LT50 common stock in accordance with our amended and restated certificate of incorporation shall be deemed withdrawn from the Voting Trust automatically at the time of conversion.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February 27, 2025, the Trustees of the Voting Trust are David Barrett, our Chief Executive Officer, Garrett Knight, our Director of Sales, and Jason Mills, our Chief Product Officer. If at any time a Trustee (i) is unable or unwilling to serve as a Trustee by reason of death, incapacity or otherwise, (ii) ceases to be an Expensify employee or other service provider to Expensify, or (iii) is no longer one of the three holders of voting securities with the highest voting power held by the Voting Trust, unless the holder or holders with higher voting power have rejected the opportunity to serve as Trustee or are otherwise unable or unwilling to serve as Trustee, then such Trustee shall resign or be removed. Successor Trustees will be appointed by majority vote of the remaining Trustees, or if there are no remaining Trustees, by our board of directors. The policy of the Trustees with respect to appointment of each successor Trustee shall be to offer the opportunity to serve as such Trustee to the holder of voting securities held by the Voting Trust who is then an employee of or service provider to Expensify and beneficially owns voting securities with the highest voting power (other than the then-existing Trustees). The policy of the Trustees shall be to first offer the opportunity to serve as successor Trustee to the Expensify employee or service provider holder holding voting securities with the next-highest voting power held by the Voting Trust. If such holder does not accept this offer within ten days, then the Trustees will offer the opportunity to serve as successor Trustee to the Expensify employee or service provider holder holding voting securities with the next-highest voting power, and so on, until a holder accepts the offer to serve as Trustee. When calculating "voting power" in connection with Trustee service, if Notice has been given with respect to any shares held by the current or potential Trustee, then the number of votes attributed to each LT10 or LT50 share held by such individual shall be proportionately reduced by the amount of time that has passed under the applicable notice period (i.e., a one-vote reduction for each one month that has passed since Notice was given).</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Voting Trust Agreement, the Trustees make all decisions with respect to the voting (but not the disposition) of the shares of common stock contributed to the Voting Trust in their sole and absolute discretion (including in his or her own interest as a holder of Expensify voting securities), and shall incur no responsibility under the Voting Trust Agreement as a stockholder, trustee or otherwise, except for his or her own individual malfeasance. The acting Trustees will have the power to vote all securities held by the Voting Trust in their sole and absolute discretion as determined by a majority of the Trustees. Although the Voting Trust Agreement does not require the Trustees to use specific criteria when determining how to vote the securities held by the Voting Trust, the</w:t>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38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qualifications required for an individual to serve as a Trustee are intended to provide alignment with the interests of the other beneficial holders. The three Trustees will at all times be employees or other service providers of the company, and will be among the largest holders of our restricted LT10 and LT50 common stock. We believe that these qualifications will result in the Trustees making decisions based on the long-term interests of the company, its employees and service providers. Although it contains certain arbitration provisions, nothing in the Voting Trust Agreement will preclude stockholders' rights to pursue claims under the United States federal securities laws. The Voting Trust is irrevocable and terminates upon the earlier of the written agreement between us and the Trustees and the date on which all shares of LT10 and LT50 common stock automatically convert into shares of Class A common stock in accordance with the terms of our amended and restated certificate of incorporation.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1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party to an investors’ rights agreement (the “Investors’ Rights Agreement”) that provides certain holders of our capital stock, including certain holders of at least 5% of our capital stock with certain registration rights. The registration of shares of our common stock by the exercise of registration rights described below would enable the holders to sell these shares without restrictions under the Securities Act of 1933, as amended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upon the earliest to occur of: (a) November 15, 2026 or (b) with respect to any particular stockholder, such time as (i) such holder can sell all of its shares under Rule 144 of the Securities Act, or (ii) such stockholder holds less than 1% of our then-outstanding common stock and such stockholder can sell all of its shares under Rule 144 under the Securities Act during any three-month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241"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Under the terms of the Investors’ Rights Agreement, the holders of registrable shares are entitled to demand registration rights may request that we register all or a portion of their registrable shares for sale under the Securities Act. Such holders are entitled to registration rights, on not more than two occasions, provided that such request for registration must cover shares with an anticipated aggregate offering price, net of underwriting discounts and commissions, of at least $10 million.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that we propose to register any of our securities under the Securities Act, either for our own account or for the account of other security holders, the holders of registrable securities will be entitled to certain piggyback registration rights allowing such holders to include their shares in such registration, subject to certain marketing and other limitations. As a result, whenever we propose to file a registration statement under the Securities Act, subject to certain exceptions,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holders of registrable shares are also entitled to certain Form S-3 registration rights. If we are eligible to file a registration statement on Form S-3, these holders have the right, upon written request from holders of at least 20% of such shares as are then outstanding, to have such shares registered by us if the anticipated aggregate offering price of such shares, net of underwriting discounts and commissions, is at least $3 million, subject to exceptions set forth in the Investors’ Rights Agreement.</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Forum Selection</w:t>
      </w:r>
    </w:p>
    <w:p>
      <w:pPr>
        <w:spacing w:after="0" w:line="152"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behalf of the company,</w:t>
      </w:r>
    </w:p>
    <w:p>
      <w:pPr>
        <w:spacing w:after="0" w:line="2" w:lineRule="exact"/>
        <w:rPr>
          <w:sz w:val="20"/>
          <w:szCs w:val="20"/>
          <w:color w:val="auto"/>
        </w:rPr>
      </w:pPr>
    </w:p>
    <w:p>
      <w:pPr>
        <w:ind w:right="100" w:firstLine="8"/>
        <w:spacing w:after="0" w:line="251" w:lineRule="auto"/>
        <w:tabs>
          <w:tab w:leader="none" w:pos="2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for or based on a breach of a fiduciary duty owed by any of our current or former directors, officers, other employees, agents or stockholders to the company or our stockholders, including without limitation a claim alleging the aiding and abetting of such a breach of fiduciary duty, (C) any action asserting a claim against the company or any of our current or former directors, officers, employees, agents or stockholders arising pursuant to any provision of the Delaware General Corporation Law or our certificate of incorporation or bylaws (as each may be amended from time to time) or as to which the Delaware General Corporation Law confers jurisdiction on the Court of Chancery of the State of Delaware, or (D) any action asserting a claim related to or involving the company that is governed by the internal affairs doctrine; (ii) the federal district courts of the United States will, to the fullest extent permitted by law, be the sole and exclusive forum for the resolution of any complaint asserting a cause of action arising under the Securities Act; and (iii) any person or entity purchasing or otherwise acquiring or holding any interest in shares of capital stock of the company will be deemed to have notice of and consented to these provisions. Nothing in our current certificate of incorporation or bylaws or our amended and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our amended and restated certificate of incorporation contain the choice of forum provision described above, it is possible that a court could find that such a provision is inapplicable for a particular claim or action or that such provision is unenforceable. For example,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Provisions</w:t>
      </w:r>
    </w:p>
    <w:p>
      <w:pPr>
        <w:spacing w:after="0" w:line="15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delay, defer or discourage another party from acquiring control of us. These provisions may have the effect of discouraging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Section 203 of the DGCL</w:t>
      </w:r>
    </w:p>
    <w:p>
      <w:pPr>
        <w:spacing w:after="0" w:line="1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interested stockholder. In general, an “interested stockholder” is a person who, together with affiliates and associates, owns 15% or more of the corporation’s outstanding voting stock. These provisions may have the effect of delaying, deferring, or preventing a change in our control.</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Multi-Series Stock</w:t>
      </w:r>
    </w:p>
    <w:p>
      <w:pPr>
        <w:spacing w:after="0" w:line="154"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As described above in the subsection titled “Common Stock—Voting,” our amended and restated certificate of incorporation provides for a multi-class stock structure, which provides our executive officers, employees and the Trustees with significant influence over all matters requiring stockholder approval, including the election of directors and significant corporate transactions, such as a merger or other sale of our company or its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Undesignated Preferred Stock</w:t>
      </w:r>
    </w:p>
    <w:p>
      <w:pPr>
        <w:spacing w:after="0" w:line="1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Stockholder Action; Special Meeting of Stockholders.</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date the Voting Trust holds less than a majority of the voting power of our capital stock, no action may be taken by our stockholders by consent. Our amended and restated certificate of incorporation also provides that a special meeting of stockholders may only be called by our board of directors, the chairperson of our board of directors, our chief executive officer or, for so long as the Voting Trust holds at least a majority of the voting power of our capital stock, the holders of a majority of the total voting power of the outstanding shares of our capital stock, thus limiting the ability of a stockholder to call a special meeting.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 Notice Requirements for Stockholder Proposals and Director Nominations</w:t>
      </w:r>
    </w:p>
    <w:p>
      <w:pPr>
        <w:spacing w:after="0" w:line="14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and Removal of Directors; Filling Vacancies</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our stockholders holding a majority of the voting power of the then outstanding capital stock are able to elect all of our directors. Our amended and restated certificate of incorporation provides for the removal of any of our directors at any time, with or without cause, by a stockholder vote by the holders of a majority of the voting power of the then outstanding capital stock. Furthermore, our board of directors has the exclusive right to set the size of the board of directors, and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discourage a third party from making a tender offer or otherwise attempting to obtain control of us because it generally makes it more difficult for stockholders to replace a majority of the directors.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of Certificate of Incorporation or Bylaws</w:t>
      </w:r>
    </w:p>
    <w:p>
      <w:pPr>
        <w:spacing w:after="0" w:line="1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DGCL provides generally that the affirmative vote of the holders of a majority in voting power of the shares entitled to vote is required to amend a corporation’s certificate of incorporation, unless a corporation’s certificate of incorporation requires a greater percentage. Our bylaws may be amended or repealed by our board of directors or by the affirmative vote of the holders a majority in voting power of the outstanding shares of stock entitled to vote generally in the election of directors.</w:t>
      </w:r>
    </w:p>
    <w:p>
      <w:pPr>
        <w:sectPr>
          <w:pgSz w:w="11900" w:h="16838" w:orient="portrait"/>
          <w:cols w:equalWidth="0" w:num="1">
            <w:col w:w="11200"/>
          </w:cols>
          <w:pgMar w:left="320" w:top="1440" w:right="379" w:bottom="1440" w:gutter="0" w:footer="0" w:header="0"/>
        </w:sectPr>
      </w:pPr>
    </w:p>
    <w:bookmarkStart w:id="147" w:name="page148"/>
    <w:bookmarkEnd w:id="147"/>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1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Street, Canton, Massachusetts 02021.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symbol “EXFY.”</w:t>
      </w:r>
    </w:p>
    <w:p>
      <w:pPr>
        <w:sectPr>
          <w:pgSz w:w="11900" w:h="16838" w:orient="portrait"/>
          <w:cols w:equalWidth="0" w:num="1">
            <w:col w:w="10820"/>
          </w:cols>
          <w:pgMar w:left="320" w:top="1440" w:right="75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LOAN AND SECURITY AGREEMENT</w:t>
      </w:r>
    </w:p>
    <w:p>
      <w:pPr>
        <w:spacing w:after="0" w:line="20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7"/>
          <w:szCs w:val="17"/>
          <w:color w:val="auto"/>
        </w:rPr>
        <w:t>This SECOND AMENDED AND RESTATED LOAN AND SECURITY AGREEMENT (as amended, restated, supplemented or otherwise modified from time to time,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February 21, 2024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is entered into among EXPENSIFY, INC., a Delaware corporation (in its capacity as borrower representative, “</w:t>
      </w:r>
      <w:r>
        <w:rPr>
          <w:rFonts w:ascii="Times New Roman" w:cs="Times New Roman" w:eastAsia="Times New Roman" w:hAnsi="Times New Roman"/>
          <w:sz w:val="17"/>
          <w:szCs w:val="17"/>
          <w:b w:val="1"/>
          <w:bCs w:val="1"/>
          <w:color w:val="auto"/>
        </w:rPr>
        <w:t>Borrower Representative</w:t>
      </w:r>
      <w:r>
        <w:rPr>
          <w:rFonts w:ascii="Times New Roman" w:cs="Times New Roman" w:eastAsia="Times New Roman" w:hAnsi="Times New Roman"/>
          <w:sz w:val="17"/>
          <w:szCs w:val="17"/>
          <w:color w:val="auto"/>
        </w:rPr>
        <w:t>”, and together with each Person party hereto as a borrower from time to</w:t>
      </w:r>
    </w:p>
    <w:p>
      <w:pPr>
        <w:jc w:val="both"/>
        <w:spacing w:after="0" w:line="214" w:lineRule="auto"/>
        <w:rPr>
          <w:sz w:val="20"/>
          <w:szCs w:val="20"/>
          <w:color w:val="auto"/>
        </w:rPr>
      </w:pPr>
      <w:r>
        <w:rPr>
          <w:rFonts w:ascii="Times New Roman" w:cs="Times New Roman" w:eastAsia="Times New Roman" w:hAnsi="Times New Roman"/>
          <w:sz w:val="18"/>
          <w:szCs w:val="18"/>
          <w:color w:val="auto"/>
        </w:rPr>
        <w:t>time, collectively,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several banks and financial institutions or entities from time to time party hereto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Canadian Imperial Bank of Commerce (in its individual capacity, “</w:t>
      </w:r>
      <w:r>
        <w:rPr>
          <w:rFonts w:ascii="Times New Roman" w:cs="Times New Roman" w:eastAsia="Times New Roman" w:hAnsi="Times New Roman"/>
          <w:sz w:val="18"/>
          <w:szCs w:val="18"/>
          <w:b w:val="1"/>
          <w:bCs w:val="1"/>
          <w:color w:val="auto"/>
        </w:rPr>
        <w:t>CIBC</w:t>
      </w:r>
      <w:r>
        <w:rPr>
          <w:rFonts w:ascii="Times New Roman" w:cs="Times New Roman" w:eastAsia="Times New Roman" w:hAnsi="Times New Roman"/>
          <w:sz w:val="18"/>
          <w:szCs w:val="18"/>
          <w:color w:val="auto"/>
        </w:rPr>
        <w:t>”, and in its capacity as administrative agent and collateral agent for the lenders party hereto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This Agreement amends and restates in its entirety that certain Amended and Restated Loan and Security Agreement, dated as of September 21, 2021, by and among Borrower Representative and CIBC, as amended through the Effective Date.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hereto hereby agree as follows:</w:t>
      </w:r>
    </w:p>
    <w:p>
      <w:pPr>
        <w:spacing w:after="0" w:line="181"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AND OTHER TERMS</w:t>
      </w:r>
    </w:p>
    <w:p>
      <w:pPr>
        <w:spacing w:after="0" w:line="20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Accounting terms not defined in this Agreement shall be construed in accordance with GAAP, and calculations and determinations shall be made following GAAP, consistently applied . For purposes of calculations made pursuant to the terms hereof, or otherwise for purposes of compliance herewith, GAAP shall be deemed to treat operating leases and capital lease obligations in a manner consistent with the treatment thereof under GAAP as in effect 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December 31, 2021, notwithstanding any modifications or interpretive changes thereto that have occurred. Capitalized terms not otherwise defined in this Agreement shall have the meanings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other terms contained in this Agreement, unless otherwise indicated, shall have the meaning provided by the Code to the extent such terms are defined therein. As used in the Loan Documents, the word “shall” is mandatory, the word “may” is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permissive, the word “or” is not exclusive, the words “includes” and “including” are not limiting, the singular includes the plural, and numbers denoting amounts that are set off in brackets are negative. Unless otherwise specified, all references in this Agreement or any Annex or Schedule hereto to a “Section,” “subsection,” “Exhibit,” “Annex,” or “Schedule” shall refer to the corresponding Section, subsection, Exhibit, Annex, or Schedule in or to this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Agreement. For purposes of the Loan Documents, whenever a representation or warranty is made to a Person’s knowledge or awareness, knowledge or awareness means the actual knowledge, after reasonable investigation, of any Responsible Officer of such Person.</w:t>
      </w:r>
    </w:p>
    <w:p>
      <w:pPr>
        <w:spacing w:after="0" w:line="153"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 AND TERMS OF PAYMENT</w:t>
      </w:r>
    </w:p>
    <w:p>
      <w:pPr>
        <w:spacing w:after="0" w:line="198"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2.1. Promise to Pay</w:t>
      </w:r>
      <w:r>
        <w:rPr>
          <w:rFonts w:ascii="Times New Roman" w:cs="Times New Roman" w:eastAsia="Times New Roman" w:hAnsi="Times New Roman"/>
          <w:sz w:val="18"/>
          <w:szCs w:val="18"/>
          <w:color w:val="auto"/>
        </w:rPr>
        <w:t>. Each Borrower hereby unconditionally promises to pay to Agent, for the ratable benefit of Lenders, the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amount of all Credit Extensions, accrued and unpaid interest, fees and charges thereon and all other amounts owing hereunder as and when due in accordance with this Agreement.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Revolving Loan Facility.</w:t>
      </w:r>
    </w:p>
    <w:p>
      <w:pPr>
        <w:spacing w:after="0" w:line="189" w:lineRule="exact"/>
        <w:rPr>
          <w:sz w:val="20"/>
          <w:szCs w:val="20"/>
          <w:color w:val="auto"/>
        </w:rPr>
      </w:pPr>
    </w:p>
    <w:p>
      <w:pPr>
        <w:jc w:val="both"/>
        <w:ind w:firstLine="1304"/>
        <w:spacing w:after="0" w:line="215" w:lineRule="auto"/>
        <w:tabs>
          <w:tab w:leader="none" w:pos="19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Subject to the terms and conditions of this Agreement, each Revolving Lender severally agrees to make to Borrowers, Revolving Loans from time to time in an aggregate amount outstanding at any time outstanding which, when added to the applicable aggregate Bank Services Utilization Amount, does not exceed such Lender’s Revolving Loan Commitment. The aggregate outstanding Revolving Loans together with the aggregate Bank Services Utilization Amount shall not exceed the Total Revolving Loan Commitments. To request a Revolving Loan, Borrower Representative shall submit a Loan Request to Agent by email not later than 1:00 p.m., Toronto, Ontario time, one (1) Business Day before the date of the proposed Revolving Loan. Revolving Loans shall be made no more frequently than three times per month and in increments of One Hundred Thousand Dollars ($100,000). As part of the Revolving Loan Facility, Borrower Representative may request, and any Revolving Lender that is a Bank Services Provider may provide, Bank Services, as a sublimit under such Revolving Lender’s Revolving Loan Commitment, provided that the availability under the Revolving Loan Commitment with respect to such Revolving Lender shall be deemed reduced by the applicable Bank Services Utilization Amount, from time to time.</w:t>
      </w:r>
    </w:p>
    <w:p>
      <w:pPr>
        <w:spacing w:after="0" w:line="15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Repayment</w:t>
      </w:r>
      <w:r>
        <w:rPr>
          <w:rFonts w:ascii="Times New Roman" w:cs="Times New Roman" w:eastAsia="Times New Roman" w:hAnsi="Times New Roman"/>
          <w:sz w:val="18"/>
          <w:szCs w:val="18"/>
          <w:color w:val="auto"/>
        </w:rPr>
        <w:t>. The Revolving Commitments terminate on the Revolving Loan Maturity Date, when the principal amount of all Revolving Loans, the unpaid interest thereon, and all other Obligations relating to the Revolving Loan Facility shall be immediately due and payable. Borrowers may repay and reborrow amounts under the Revolving Loan Facility from time to time through the Revolving Loan Maturity Date.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4" w:right="339" w:bottom="1440" w:gutter="0" w:footer="0" w:header="0"/>
        </w:sectPr>
      </w:pPr>
    </w:p>
    <w:bookmarkStart w:id="149" w:name="page150"/>
    <w:bookmarkEnd w:id="149"/>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b w:val="1"/>
          <w:bCs w:val="1"/>
          <w:color w:val="auto"/>
        </w:rPr>
        <w:t>Funding of Loans</w:t>
      </w:r>
      <w:r>
        <w:rPr>
          <w:rFonts w:ascii="Times New Roman" w:cs="Times New Roman" w:eastAsia="Times New Roman" w:hAnsi="Times New Roman"/>
          <w:sz w:val="18"/>
          <w:szCs w:val="18"/>
          <w:color w:val="auto"/>
        </w:rPr>
        <w:t>. Upon receipt of a Loan Request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 or 2.3</w:t>
      </w:r>
      <w:r>
        <w:rPr>
          <w:rFonts w:ascii="Times New Roman" w:cs="Times New Roman" w:eastAsia="Times New Roman" w:hAnsi="Times New Roman"/>
          <w:sz w:val="18"/>
          <w:szCs w:val="18"/>
          <w:color w:val="auto"/>
        </w:rPr>
        <w:t>, Agent shall promptly notify each appliable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Lender thereof, and each Lender shall make the amount of its pro rata share of such borrowing available to Agent for the account of Borrowers in funds immediately available to Agent. Such borrowing will then be made available by Agent to Borrowers as specified in the Loan Request, by crediting such Collateral Account as is designated in writing to Agent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Payment of Interest on the Loans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firstLine="1304"/>
        <w:spacing w:after="0" w:line="237" w:lineRule="auto"/>
        <w:tabs>
          <w:tab w:leader="none" w:pos="19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the outstanding principal amount of each Loan shall accrue interest from and after its Funding Date, at the Applicable Interest Rate.</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the Obligations shall bear interest at a rate that is 5.0% higher than the Applicable Interest Rate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Fees and expenses which are required to be paid by Borrowers pursuant to the Loan Documents (including, without limitation, Secured Party Expenses) but are not paid when due shall bear interest until paid at a rate equal to the highest rate applicable to the Obligations. Payment or acceptance of the increased interest rate provided in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is not a permitted alternative to timely payment and shall not constitute a waiver of any Event of Default or otherwise prejudice or limit any rights or remedies of the Secured Parties hereunder.</w:t>
      </w:r>
    </w:p>
    <w:p>
      <w:pPr>
        <w:spacing w:after="0" w:line="157"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Interest Computation</w:t>
      </w:r>
      <w:r>
        <w:rPr>
          <w:rFonts w:ascii="Times New Roman" w:cs="Times New Roman" w:eastAsia="Times New Roman" w:hAnsi="Times New Roman"/>
          <w:sz w:val="18"/>
          <w:szCs w:val="18"/>
          <w:color w:val="auto"/>
        </w:rPr>
        <w:t>. Borrowers shall pay interest quarterly in arrears on each Payment Date, commencing with the first Payment Date after the applicable Funding Date with respect to each Loan. Interest shall be computed on the basis of a 365/366-day year for the actual number of days elapsed. In computing interest, (i) all payments received after 12:00 p.m. Ontario time on any day shall be deemed received at the opening of business on the next Business Day, and (ii) the date of the making of any Credit Extension shall be included and the date of payment shall be excluded.</w:t>
      </w:r>
    </w:p>
    <w:p>
      <w:pPr>
        <w:spacing w:after="0" w:line="172"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Interest</w:t>
      </w:r>
      <w:r>
        <w:rPr>
          <w:rFonts w:ascii="Times New Roman" w:cs="Times New Roman" w:eastAsia="Times New Roman" w:hAnsi="Times New Roman"/>
          <w:sz w:val="18"/>
          <w:szCs w:val="18"/>
          <w:color w:val="auto"/>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If a court of competent jurisdiction shall finally determine that a Borrower has actually paid to any Secured Party an amount of interest in excess of the amount that would have been payable if all of the Obligations had at all times borne interest at the Maximum Rate, then such excess interest actually paid by Borrowers shall be applied to the reduction of outstanding principal, and thereafter to any other Obligations outstanding ratably (other than interest in excess of the Maximum Rate).</w:t>
      </w:r>
    </w:p>
    <w:p>
      <w:pPr>
        <w:spacing w:after="0" w:line="173" w:lineRule="exact"/>
        <w:rPr>
          <w:rFonts w:ascii="Times New Roman" w:cs="Times New Roman" w:eastAsia="Times New Roman" w:hAnsi="Times New Roman"/>
          <w:sz w:val="18"/>
          <w:szCs w:val="18"/>
          <w:color w:val="auto"/>
        </w:rPr>
      </w:pPr>
    </w:p>
    <w:p>
      <w:pPr>
        <w:ind w:right="20" w:firstLine="1304"/>
        <w:spacing w:after="0" w:line="237" w:lineRule="auto"/>
        <w:tabs>
          <w:tab w:leader="none" w:pos="19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Interest Rate</w:t>
      </w:r>
      <w:r>
        <w:rPr>
          <w:rFonts w:ascii="Times New Roman" w:cs="Times New Roman" w:eastAsia="Times New Roman" w:hAnsi="Times New Roman"/>
          <w:sz w:val="18"/>
          <w:szCs w:val="18"/>
          <w:color w:val="auto"/>
        </w:rPr>
        <w:t>. Changes to the interest rate applicable to the Loans based on changes to the Prime Rate shall be effective on the effective date of any change to the Prime Rate and to the extent of any such change.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Fees and Charges</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Borrowers shall pay the following fees to Agent:</w:t>
      </w:r>
    </w:p>
    <w:p>
      <w:pPr>
        <w:spacing w:after="0" w:line="182" w:lineRule="exact"/>
        <w:rPr>
          <w:rFonts w:ascii="Times New Roman" w:cs="Times New Roman" w:eastAsia="Times New Roman" w:hAnsi="Times New Roman"/>
          <w:sz w:val="18"/>
          <w:szCs w:val="18"/>
          <w:color w:val="auto"/>
        </w:rPr>
      </w:pPr>
    </w:p>
    <w:p>
      <w:pPr>
        <w:jc w:val="both"/>
        <w:ind w:left="1960" w:firstLine="640"/>
        <w:spacing w:after="0" w:line="232" w:lineRule="auto"/>
        <w:tabs>
          <w:tab w:leader="none" w:pos="325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Revolving Loan Facility Commitment Extension Fee</w:t>
      </w:r>
      <w:r>
        <w:rPr>
          <w:rFonts w:ascii="Times New Roman" w:cs="Times New Roman" w:eastAsia="Times New Roman" w:hAnsi="Times New Roman"/>
          <w:sz w:val="18"/>
          <w:szCs w:val="18"/>
          <w:color w:val="auto"/>
        </w:rPr>
        <w:t>. In respect of the Revolving Loan Commitments,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extension fee to in an amount equal to 0.10% of the Total Revolving Loan Commitments, for the ratable benefit of the Revolving Lenders, due on the Effective Date;</w:t>
      </w:r>
    </w:p>
    <w:p>
      <w:pPr>
        <w:spacing w:after="0" w:line="155" w:lineRule="exact"/>
        <w:rPr>
          <w:rFonts w:ascii="Times New Roman" w:cs="Times New Roman" w:eastAsia="Times New Roman" w:hAnsi="Times New Roman"/>
          <w:sz w:val="18"/>
          <w:szCs w:val="18"/>
          <w:color w:val="auto"/>
        </w:rPr>
      </w:pPr>
    </w:p>
    <w:p>
      <w:pPr>
        <w:jc w:val="both"/>
        <w:ind w:left="1960" w:firstLine="640"/>
        <w:spacing w:after="0" w:line="225" w:lineRule="auto"/>
        <w:tabs>
          <w:tab w:leader="none" w:pos="324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Unused Line Fee</w:t>
      </w:r>
      <w:r>
        <w:rPr>
          <w:rFonts w:ascii="Times New Roman" w:cs="Times New Roman" w:eastAsia="Times New Roman" w:hAnsi="Times New Roman"/>
          <w:sz w:val="18"/>
          <w:szCs w:val="18"/>
          <w:color w:val="auto"/>
        </w:rPr>
        <w:t>. An unused fee in an amount equal to 0.25% per annum of the Average Unused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Amount, payable quarterly in arrears on each Payment Date, provided that for any month in which the outstanding balance under the Revolving Loan Facility is equal to or greater than $5,000,000 at all times, the unused fee shall be waived with respect to such month;</w:t>
      </w:r>
    </w:p>
    <w:p>
      <w:pPr>
        <w:spacing w:after="0" w:line="157"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Secured Party Expenses</w:t>
      </w:r>
      <w:r>
        <w:rPr>
          <w:rFonts w:ascii="Times New Roman" w:cs="Times New Roman" w:eastAsia="Times New Roman" w:hAnsi="Times New Roman"/>
          <w:sz w:val="18"/>
          <w:szCs w:val="18"/>
          <w:color w:val="auto"/>
        </w:rPr>
        <w:t>. Borrowers shall pay to Secured Parties, all Secured Party Expenses (including reasonable attorneys’ fees and expenses for documentation and negotiation of this Agreement and the other Loan Documents) incurred through and after the Effective Date, when due (or, if no stated due date, within three (3) Business Days after written demand by Agent).</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Fully Earned</w:t>
      </w:r>
      <w:r>
        <w:rPr>
          <w:rFonts w:ascii="Times New Roman" w:cs="Times New Roman" w:eastAsia="Times New Roman" w:hAnsi="Times New Roman"/>
          <w:sz w:val="18"/>
          <w:szCs w:val="18"/>
          <w:color w:val="auto"/>
        </w:rPr>
        <w:t xml:space="preserve">. Unless otherwise provided in this Agreement or any other Loan Document, the fees and charges specified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are fully earned as of the Effective Date, and in no event shall any Borrower be entitled to any credit, rebate, refund, reduction, proration or repayment of any fees or charges earned by any Secured Party pursuant to this Agreement or the other Loan Documents notwithstanding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 w:right="339" w:bottom="1440" w:gutter="0" w:footer="0" w:header="0"/>
        </w:sectPr>
      </w:pPr>
    </w:p>
    <w:bookmarkStart w:id="150" w:name="page151"/>
    <w:bookmarkEnd w:id="150"/>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termination of this Agreement or the suspension or termination of Commitments hereunder and notwithstanding the required payment date for such fees or charges.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8"/>
          <w:szCs w:val="18"/>
          <w:b w:val="1"/>
          <w:bCs w:val="1"/>
          <w:color w:val="auto"/>
        </w:rPr>
        <w:t>Payments; Application of Payments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304"/>
        <w:spacing w:after="0" w:line="214" w:lineRule="auto"/>
        <w:tabs>
          <w:tab w:leader="none" w:pos="19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to be made by Borrowers under any Loan Document, including payments of principal and interest and all fees, charges, expenses, indemnities and reimbursements, shall be made in immediately available funds in Dollars, without setoff, recoupment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 Unless otherwise notified by Agent in writing, Agent shall initiate debit entries to any Deposit Accounts as authorized on the Debit Authorization for principal and interest payments or any other amounts Borrowers owe Secured Parties when due, for the ratable benefit of Secured Parties. These debits shall not constitute a set-off. If the Debit Authorization arrangement is terminated for any reason, Borrowers shall promptly deliver a new Debit Authorization with respect to another Deposit Account of a Borrower and until such new Debit Authorization is effective, shall make all payments due to Agent at Agent’s address specified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or as otherwise notified by Agent in writing. Except to the extent otherwise requested in writing by Borrower Representative, including pursuant to any disbursement letter or other Loan Request, any amounts to be funded by any Agent (including on behalf of any Lender) to a Borrower may be credited in accordance with the Credit Authorization.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Agent shall have been notified in writing by any Lender prior to the proposed date of any borrowing that such Lender will not make the amount that would constitute its share of such borrowing available to Agent, Agent may assume that such Lender has made such amount available to Agent on such date in accordance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and Agent may, in reliance upon such assumption, make available to Borrowers a corresponding amount. If such amount is not in fact made available to Agent by the required time on the requested funding date, such Lender and each Borrower severally agree to pay to Agent forthwith, on written demand, such corresponding amount with interest thereon, for each day from and including the date on which such amount is made available to Borrowers but excluding the date of payment to Agent, at (i) in the case of a payment to be made by such Lender, a rate equal to the greater of (A) the federal funds effective rate and (B) a rate determined by Agent in accordance with banking industry rules on interbank compensation, and (ii) in the case of a payment to be made by a Borrower, the rate per annum applicable to Loans under the relevant facility. If a Borrower and such Lender shall pay such interest to Agent for the same or an overlapping period, Agent shall promptly remit to Borrower Representative the amount of such interest paid by a Borrower for such period. If such Lender pays its share of the applicable borrowing to Agent, then the amount so paid shall constitute such Lender’s Loan included in such borrowing. Any payment by a Borrower shall be without prejudice to any claim the Borrower may have against a Lender that shall have failed to make such payment to Agent.</w:t>
      </w:r>
    </w:p>
    <w:p>
      <w:pPr>
        <w:spacing w:after="0" w:line="16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makes available to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such funds are not made available to Borrowers by Agent because the conditions to the applicable extension of credit set forth in </w:t>
      </w:r>
      <w:r>
        <w:rPr>
          <w:rFonts w:ascii="Times New Roman" w:cs="Times New Roman" w:eastAsia="Times New Roman" w:hAnsi="Times New Roman"/>
          <w:sz w:val="18"/>
          <w:szCs w:val="18"/>
          <w:u w:val="single" w:color="auto"/>
          <w:color w:val="auto"/>
        </w:rPr>
        <w:t>Section 3.1 or 3.2</w:t>
      </w:r>
      <w:r>
        <w:rPr>
          <w:rFonts w:ascii="Times New Roman" w:cs="Times New Roman" w:eastAsia="Times New Roman" w:hAnsi="Times New Roman"/>
          <w:sz w:val="18"/>
          <w:szCs w:val="18"/>
          <w:color w:val="auto"/>
        </w:rPr>
        <w:t xml:space="preserve"> are not satisfied or waived in accordance with the terms hereof, Agent shall return such funds (in like funds as received from such Lender) to such Lender, without interest.</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Lenders hereunder to fund their respective Commitments or make any other reimbursement or indemnity payments to Agent hereunder, are several and not joint. The failure of any Lender to make any such Loan, to fund any such participation or to make any such payment on any date required hereunder shall not relieve any other Lender of its corresponding obligation to do so on such date, and no Lender shall be responsible for the failure of any other Lender to so make its Loan or to make such payment.</w:t>
      </w:r>
    </w:p>
    <w:p>
      <w:pPr>
        <w:spacing w:after="0" w:line="172"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Application Event has occurred and is continuing and except as otherwise provided herein, all principal and interest payments received by Agent shall be apportioned ratably among Lenders (according to the unpaid principal balance of the Obligations to which such payments relate held by each Lender), to pay outstanding principal balance thereof, and all payments of fees and expenses received by Agent (other than fees or expenses that are for Agent’s separate account) shall be apportioned ratably among the Lenders according to each Lender’s pro rata share of the type of Commitment or Obligation to which a particular fee or expense relates.</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an Application Event has occurred and is continuing and except as otherwise provided herein, all payments remitted to Agent and all proceeds of Collateral received by Agent shall be applied as follows:</w:t>
      </w:r>
    </w:p>
    <w:p>
      <w:pPr>
        <w:spacing w:after="0" w:line="149" w:lineRule="exact"/>
        <w:rPr>
          <w:rFonts w:ascii="Times New Roman" w:cs="Times New Roman" w:eastAsia="Times New Roman" w:hAnsi="Times New Roman"/>
          <w:sz w:val="18"/>
          <w:szCs w:val="18"/>
          <w:color w:val="auto"/>
        </w:rPr>
      </w:pPr>
    </w:p>
    <w:p>
      <w:pPr>
        <w:ind w:left="1960" w:right="360" w:firstLine="640"/>
        <w:spacing w:after="0" w:line="237" w:lineRule="auto"/>
        <w:tabs>
          <w:tab w:leader="none" w:pos="32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Secured Party Expenses (including cost or expense reimbursements), indemnities, fees or other amounts then due to Agent, in its capacity as such, under the Loan Documents, until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40" w:hanging="640"/>
        <w:spacing w:after="0"/>
        <w:tabs>
          <w:tab w:leader="none" w:pos="3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interest due in respect of any protective advances, until paid in full,</w:t>
      </w:r>
    </w:p>
    <w:p>
      <w:pPr>
        <w:spacing w:after="0" w:line="19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principal of any protective advances, until paid in full,</w:t>
      </w:r>
    </w:p>
    <w:p>
      <w:pPr>
        <w:spacing w:after="0" w:line="184" w:lineRule="exact"/>
        <w:rPr>
          <w:rFonts w:ascii="Times New Roman" w:cs="Times New Roman" w:eastAsia="Times New Roman" w:hAnsi="Times New Roman"/>
          <w:sz w:val="18"/>
          <w:szCs w:val="18"/>
          <w:color w:val="auto"/>
        </w:rPr>
      </w:pPr>
    </w:p>
    <w:p>
      <w:pPr>
        <w:ind w:left="1960" w:right="280" w:firstLine="640"/>
        <w:spacing w:after="0" w:line="237" w:lineRule="auto"/>
        <w:tabs>
          <w:tab w:leader="none" w:pos="324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ratably, to pay any Secured Party Expenses (including cost or expense reimbursements) or indemnities then due to any Lenders under the Loan Documents, until paid in full,</w:t>
      </w:r>
    </w:p>
    <w:p>
      <w:pPr>
        <w:spacing w:after="0" w:line="171"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ratably, to pay any fees or premiums then due to any Lenders under the Loan Documents, until paid in full,</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ratably, to pay interest accrued in respect of the Revolving Loans, until paid in full,</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ratably</w:t>
      </w:r>
    </w:p>
    <w:p>
      <w:pPr>
        <w:spacing w:after="0" w:line="184" w:lineRule="exact"/>
        <w:rPr>
          <w:rFonts w:ascii="Times New Roman" w:cs="Times New Roman" w:eastAsia="Times New Roman" w:hAnsi="Times New Roman"/>
          <w:sz w:val="18"/>
          <w:szCs w:val="18"/>
          <w:color w:val="auto"/>
        </w:rPr>
      </w:pPr>
    </w:p>
    <w:p>
      <w:pPr>
        <w:ind w:left="3880" w:hanging="632"/>
        <w:spacing w:after="0"/>
        <w:tabs>
          <w:tab w:leader="none" w:pos="388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principal of all Revolving Loans until paid in full,</w:t>
      </w:r>
    </w:p>
    <w:p>
      <w:pPr>
        <w:spacing w:after="0" w:line="198" w:lineRule="exact"/>
        <w:rPr>
          <w:rFonts w:ascii="Times New Roman" w:cs="Times New Roman" w:eastAsia="Times New Roman" w:hAnsi="Times New Roman"/>
          <w:sz w:val="18"/>
          <w:szCs w:val="18"/>
          <w:color w:val="auto"/>
        </w:rPr>
      </w:pPr>
    </w:p>
    <w:p>
      <w:pPr>
        <w:ind w:left="3880" w:hanging="632"/>
        <w:spacing w:after="0"/>
        <w:tabs>
          <w:tab w:leader="none" w:pos="388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or cash collateralize Bank Services provided under the Revolving Loan Facility,</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any other Obligations other than Obligations owed to Defaulting Lender,</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ratably to pay any Obligations owed to Defaulting Lenders; and</w:t>
      </w:r>
    </w:p>
    <w:p>
      <w:pPr>
        <w:spacing w:after="0" w:line="19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Borrowers or such other Person entitled thereto under applicable law.</w:t>
      </w:r>
    </w:p>
    <w:p>
      <w:pPr>
        <w:spacing w:after="0" w:line="184" w:lineRule="exact"/>
        <w:rPr>
          <w:rFonts w:ascii="Times New Roman" w:cs="Times New Roman" w:eastAsia="Times New Roman" w:hAnsi="Times New Roman"/>
          <w:sz w:val="18"/>
          <w:szCs w:val="18"/>
          <w:color w:val="auto"/>
        </w:rPr>
      </w:pPr>
    </w:p>
    <w:p>
      <w:pPr>
        <w:ind w:right="20" w:firstLine="1304"/>
        <w:spacing w:after="0" w:line="237" w:lineRule="auto"/>
        <w:tabs>
          <w:tab w:leader="none" w:pos="19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promptly shall distribute to each Lender, pursuant to the applicable wire instructions received from each Lender in writing, such funds as it may be entitled to receive.</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each instance, so long as no Application Event has occurred and is continuing, </w:t>
      </w:r>
      <w:r>
        <w:rPr>
          <w:rFonts w:ascii="Times New Roman" w:cs="Times New Roman" w:eastAsia="Times New Roman" w:hAnsi="Times New Roman"/>
          <w:sz w:val="18"/>
          <w:szCs w:val="18"/>
          <w:u w:val="single" w:color="auto"/>
          <w:color w:val="auto"/>
        </w:rPr>
        <w:t>Section 2.7(f)(ii)</w:t>
      </w:r>
      <w:r>
        <w:rPr>
          <w:rFonts w:ascii="Times New Roman" w:cs="Times New Roman" w:eastAsia="Times New Roman" w:hAnsi="Times New Roman"/>
          <w:sz w:val="18"/>
          <w:szCs w:val="18"/>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2.7(f)(iii)</w:t>
      </w:r>
      <w:r>
        <w:rPr>
          <w:rFonts w:ascii="Times New Roman" w:cs="Times New Roman" w:eastAsia="Times New Roman" w:hAnsi="Times New Roman"/>
          <w:sz w:val="18"/>
          <w:szCs w:val="18"/>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direct conflict between the priority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and any other provision contained in this Agreement or any other Loan Document, it is the intention of the parties hereto that such provisions be read together and construed, to the fullest extent possible, to be in concert with each other.</w:t>
      </w:r>
    </w:p>
    <w:p>
      <w:pPr>
        <w:spacing w:after="0" w:line="158"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obtain any payment (whether voluntary, involuntary, through the exercise of any right of set-off, or otherwise) on account of the principal of or interest on any Loan made by it, such Lender shall (i) notify Agent of the receipt of such payment, and (ii) within five (5) Business Days of such receipt purchase (for cash at face value) from the other applicable Lenders (through Agent), without recourse, such participations in the Loans made by them or held by them, as applicable, or make such other adjustments as shall be equitable, as shall be necessary to cause such purchasing Lender to share the excess payment ratably with each of the other Lenders in accordance with their respective Applicable Percentages; provided, however, that if any such participations are purchased and all or any portion of the payment giving rise thereto is recovered, such participations shall be rescinded and the purchase price restored to the extent of such recovery, without interest. Each Borrower agrees that any Lender so purchasing a participation from another Lender pursuant to this subsection may exercise all its rights of payment (including the right of set-off) with respect to such participation as fully as if such Lender were the direct creditor of such Borrower in the amount of such participation. No documentation other than notices and the like referred to in this subsection shall be required to implement the terms hereof. Agent shall keep records (which shall be conclusive and binding in the absence of manifest error) of participations purchased pursuant hereto and shall in each case notify the applicable Lenders, following any such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4" w:right="339" w:bottom="1440" w:gutter="0" w:footer="0" w:header="0"/>
        </w:sectPr>
      </w:pPr>
    </w:p>
    <w:bookmarkStart w:id="152" w:name="page153"/>
    <w:bookmarkEnd w:id="15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Defaulting Lenders.</w:t>
      </w:r>
    </w:p>
    <w:p>
      <w:pPr>
        <w:spacing w:after="0" w:line="202" w:lineRule="exact"/>
        <w:rPr>
          <w:sz w:val="20"/>
          <w:szCs w:val="20"/>
          <w:color w:val="auto"/>
        </w:rPr>
      </w:pPr>
    </w:p>
    <w:p>
      <w:pPr>
        <w:ind w:firstLine="1304"/>
        <w:spacing w:after="0" w:line="237" w:lineRule="auto"/>
        <w:tabs>
          <w:tab w:leader="none" w:pos="194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6" w:lineRule="exact"/>
        <w:rPr>
          <w:rFonts w:ascii="Times New Roman" w:cs="Times New Roman" w:eastAsia="Times New Roman" w:hAnsi="Times New Roman"/>
          <w:sz w:val="18"/>
          <w:szCs w:val="18"/>
          <w:color w:val="auto"/>
        </w:rPr>
      </w:pPr>
    </w:p>
    <w:p>
      <w:pPr>
        <w:ind w:left="1960" w:right="20" w:firstLine="640"/>
        <w:spacing w:after="0" w:line="253" w:lineRule="auto"/>
        <w:tabs>
          <w:tab w:leader="none" w:pos="325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Waivers and Amendments</w:t>
      </w:r>
      <w:r>
        <w:rPr>
          <w:rFonts w:ascii="Times New Roman" w:cs="Times New Roman" w:eastAsia="Times New Roman" w:hAnsi="Times New Roman"/>
          <w:sz w:val="18"/>
          <w:szCs w:val="18"/>
          <w:color w:val="auto"/>
        </w:rPr>
        <w:t>. Such Defaulting Lender’s right to approve or disapprove any amendment, waiver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consent with respect to this Agreement shall be restricted as set forth in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960" w:right="140" w:firstLine="640"/>
        <w:spacing w:after="0" w:line="238" w:lineRule="auto"/>
        <w:tabs>
          <w:tab w:leader="none" w:pos="3246"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Waterfall</w:t>
      </w:r>
      <w:r>
        <w:rPr>
          <w:rFonts w:ascii="Times New Roman" w:cs="Times New Roman" w:eastAsia="Times New Roman" w:hAnsi="Times New Roman"/>
          <w:sz w:val="18"/>
          <w:szCs w:val="18"/>
          <w:color w:val="auto"/>
        </w:rPr>
        <w:t>. Any payment of principal, interest, fees or other amounts received by Agent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account of a Defaulting Lender shall be applied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56" w:lineRule="exact"/>
        <w:rPr>
          <w:rFonts w:ascii="Times New Roman" w:cs="Times New Roman" w:eastAsia="Times New Roman" w:hAnsi="Times New Roman"/>
          <w:sz w:val="18"/>
          <w:szCs w:val="18"/>
          <w:color w:val="auto"/>
        </w:rPr>
      </w:pPr>
    </w:p>
    <w:p>
      <w:pPr>
        <w:ind w:left="1960" w:right="40" w:firstLine="640"/>
        <w:spacing w:after="0" w:line="253" w:lineRule="auto"/>
        <w:tabs>
          <w:tab w:leader="none" w:pos="3256"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Fees</w:t>
      </w:r>
      <w:r>
        <w:rPr>
          <w:rFonts w:ascii="Times New Roman" w:cs="Times New Roman" w:eastAsia="Times New Roman" w:hAnsi="Times New Roman"/>
          <w:sz w:val="18"/>
          <w:szCs w:val="18"/>
          <w:color w:val="auto"/>
        </w:rPr>
        <w:t>. Except as expressly set forth herein, no Defaulting Lender shall be entitled to any portion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fees paid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46"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If Borrowers, Agent and Required Lenders agree in writing that a Lender is no longer a Defaulting Lender, Agent shall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Agent may determine to be necessary to cause the Loans to be held on a pro rata basis by Lenders in accordance with their respective Applicable Percentages, whereupon such Lender will cease to be a Defaulting Lender;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77"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Defaulting Lender</w:t>
      </w:r>
      <w:r>
        <w:rPr>
          <w:rFonts w:ascii="Times New Roman" w:cs="Times New Roman" w:eastAsia="Times New Roman" w:hAnsi="Times New Roman"/>
          <w:sz w:val="18"/>
          <w:szCs w:val="18"/>
          <w:color w:val="auto"/>
        </w:rPr>
        <w:t>. Borrower Representative may terminate the unused amount of any Commitment of any Lender that is a Defaulting Lender upon not less than ten (10) Business Days’ prior notice to Agent (which shall promptly notify Lenders thereof); provided that (i) no Event of Default shall have occurred and be continuing, and (ii) such termination shall not be deemed to be a waiver or release of any claim of Borrowers, Agent, or any other Lender may have against such Defaulting Lender.</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LOANS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Conditions Precedent to Effectiveness</w:t>
      </w:r>
      <w:r>
        <w:rPr>
          <w:rFonts w:ascii="Times New Roman" w:cs="Times New Roman" w:eastAsia="Times New Roman" w:hAnsi="Times New Roman"/>
          <w:sz w:val="18"/>
          <w:szCs w:val="18"/>
          <w:color w:val="auto"/>
        </w:rPr>
        <w:t>. The effectiveness of this Agreement and the Commitments hereunder are subject to the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condition precedent that Agent shall have received, in form and substance satisfactory to Required Lenders, such agreements, documents and certificates, duly executed by the parties thereto, and in case of a Borrower; by a Responsible Officer, or as applicable, the conditions shall have been satisfied, in each case,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3.2. Conditions Precedent to all Credit Extensions</w:t>
      </w:r>
      <w:r>
        <w:rPr>
          <w:rFonts w:ascii="Times New Roman" w:cs="Times New Roman" w:eastAsia="Times New Roman" w:hAnsi="Times New Roman"/>
          <w:sz w:val="18"/>
          <w:szCs w:val="18"/>
          <w:color w:val="auto"/>
        </w:rPr>
        <w:t>. Lenders’ obligations to make each Credit Extension is subject to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precedent:</w:t>
      </w:r>
    </w:p>
    <w:p>
      <w:pPr>
        <w:spacing w:after="0" w:line="159" w:lineRule="exact"/>
        <w:rPr>
          <w:sz w:val="20"/>
          <w:szCs w:val="20"/>
          <w:color w:val="auto"/>
        </w:rPr>
      </w:pPr>
    </w:p>
    <w:p>
      <w:pPr>
        <w:jc w:val="both"/>
        <w:ind w:firstLine="1304"/>
        <w:spacing w:after="0" w:line="224" w:lineRule="auto"/>
        <w:tabs>
          <w:tab w:leader="none" w:pos="19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this Agreement and the other Loan Documents shall be true, accurate, and complete in all material respects on the date of each Credit Extension;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materiality qualifier shall not be applicable to any representations and warranties that already are qualified or modified by materiality in the text thereof;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those representations and warranties expressly referring to a specific date shall be true, accurate and complete in all material respects as of such date,</w:t>
      </w:r>
    </w:p>
    <w:p>
      <w:pPr>
        <w:spacing w:after="0" w:line="172"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or result from the Credit Extension;</w:t>
      </w:r>
    </w:p>
    <w:p>
      <w:pPr>
        <w:spacing w:after="0" w:line="184"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has received a duly executed Loan Request, including calculations in form satisfactory to Agent demonstrating pro forma compliance with applicable financial covenants after giving effect to the requested Loan; and</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event or circumstance that has had or could reasonably be expected to have a Material Adverse Effect, or any material adverse deviation by Borrowers from the most recent business plan of Borrowers presented to and accepted by Required Lenders, as determined by Required Lenders in their discretion.</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Covenant to Deliver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4"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1304"/>
        <w:spacing w:after="0" w:line="224" w:lineRule="auto"/>
        <w:tabs>
          <w:tab w:leader="none" w:pos="194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agree to deliver to Agent each item required to be delivered to Agent under this Agreement as a condition precedent to any Credit Extension. Borrowers expressly agree that a Credit Extension made prior to the receipt by Agent of any such item shall not constitute a waiver of a Borrower’s obligation to deliver such item, and the making of any Credit Extension in the absence of a required item shall be in the discretion of Required Lenders.</w:t>
      </w:r>
    </w:p>
    <w:p>
      <w:pPr>
        <w:spacing w:after="0" w:line="172" w:lineRule="exact"/>
        <w:rPr>
          <w:rFonts w:ascii="Times New Roman" w:cs="Times New Roman" w:eastAsia="Times New Roman" w:hAnsi="Times New Roman"/>
          <w:sz w:val="18"/>
          <w:szCs w:val="18"/>
          <w:color w:val="auto"/>
        </w:rPr>
      </w:pPr>
    </w:p>
    <w:p>
      <w:pPr>
        <w:ind w:right="20" w:firstLine="1304"/>
        <w:spacing w:after="0" w:line="237" w:lineRule="auto"/>
        <w:tabs>
          <w:tab w:leader="none" w:pos="193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agrees to deliver the items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within the timeframe set forth therein (or by such other date as Required Lenders may approve in writing), in each case, in form and substance reasonably acceptable to Required Lenders.</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8"/>
          <w:szCs w:val="18"/>
          <w:b w:val="1"/>
          <w:bCs w:val="1"/>
          <w:color w:val="auto"/>
        </w:rPr>
        <w:t>Grant of Security Interest</w:t>
      </w:r>
      <w:r>
        <w:rPr>
          <w:rFonts w:ascii="Times New Roman" w:cs="Times New Roman" w:eastAsia="Times New Roman" w:hAnsi="Times New Roman"/>
          <w:sz w:val="18"/>
          <w:szCs w:val="18"/>
          <w:color w:val="auto"/>
        </w:rPr>
        <w:t>. Each Borrower hereby grants Agent, for the ratable benefit of Lenders, to secure the payment and</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performance in full of all of the Obligations, a continuing security interest in, and pledges to Agent, for the ratable benefit of Lenders, the Collateral, wherever located, whether now owned or hereafter acquired or arising, and all proceeds and products thereof. If this Agreement is terminated, Agent’s Lien in the Collateral shall continue until the Obligations (other than contingent indemnification obligations as to which no claim has been asserted or is known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exist) are repaid in full in cash. Upon payment in full in cash of the Obligations (other than contingent indemnification obligations as to which no claim has been asserted or is known to exist) and at such time as all Commitments have terminated, Agent shall, at Borrowers’ sole cost and expense, release its Liens in the Collateral and all rights therein shall revert to the applicable Borrower.</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4.2. Priority of Security Interest</w:t>
      </w:r>
      <w:r>
        <w:rPr>
          <w:rFonts w:ascii="Times New Roman" w:cs="Times New Roman" w:eastAsia="Times New Roman" w:hAnsi="Times New Roman"/>
          <w:sz w:val="18"/>
          <w:szCs w:val="18"/>
          <w:color w:val="auto"/>
        </w:rPr>
        <w:t>. Each Borrower represents, warrants, and covenants that the security interest granted herein is and shall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times continue to be a first priority perfected security interest in the Collateral (subject only to Permitted Liens that are permitted pursuant to the terms of this Agreement to have superior priority to Agent’s Lien under this Agreement). If a Borrower shall acquire a commercial tort claim with a potential</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recovery in excess of One Hundred Thousand Dollars ($100,000), Borrowers shall promptly notify Agent in writing and deliver such other documents as Agent may require to grant Agent a perfected security interest in such commercial tort claim. If a Borrower shall acquire a certificate with respect to Shares or any instrument, such Borrower shall promptly notify Agent and deliver the same together with a stock power or instrument of transfer and any necessary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endorsement, all in form satisfactory to Agent.</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4.3. Authorization to File Financing Statements</w:t>
      </w:r>
      <w:r>
        <w:rPr>
          <w:rFonts w:ascii="Times New Roman" w:cs="Times New Roman" w:eastAsia="Times New Roman" w:hAnsi="Times New Roman"/>
          <w:sz w:val="18"/>
          <w:szCs w:val="18"/>
          <w:color w:val="auto"/>
        </w:rPr>
        <w:t>. Each Borrower hereby authorizes Agent to file at any time financing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continuation statements and amendments thereto with all appropriate jurisdictions to perfect or protect Agent’s interest or rights hereunder. Such financing</w:t>
      </w:r>
    </w:p>
    <w:p>
      <w:pPr>
        <w:spacing w:after="0"/>
        <w:rPr>
          <w:sz w:val="20"/>
          <w:szCs w:val="20"/>
          <w:color w:val="auto"/>
        </w:rPr>
      </w:pPr>
      <w:r>
        <w:rPr>
          <w:rFonts w:ascii="Times New Roman" w:cs="Times New Roman" w:eastAsia="Times New Roman" w:hAnsi="Times New Roman"/>
          <w:sz w:val="18"/>
          <w:szCs w:val="18"/>
          <w:color w:val="auto"/>
        </w:rPr>
        <w:t>statements may describe the Collateral as all assets of such Borrower.</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4.4. Pledge of Collateral</w:t>
      </w:r>
      <w:r>
        <w:rPr>
          <w:rFonts w:ascii="Times New Roman" w:cs="Times New Roman" w:eastAsia="Times New Roman" w:hAnsi="Times New Roman"/>
          <w:sz w:val="18"/>
          <w:szCs w:val="18"/>
          <w:color w:val="auto"/>
        </w:rPr>
        <w:t>. Each Borrower hereby pledges, assigns and grants to Agent a security interest in all the Equity Interests in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Borrower has any interest, including the Shares, together with all proceeds and substitutions thereof, all cash, stock and other moneys and property</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paid thereon, all rights to subscribe for securities declared or granted in connection therewith, and all other cash and noncash proceeds of the foregoing, as security for the performance of the Obligations. On the Effective Date or as required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the certificate or certificates for such Equity Interests, to the extent certificated, will be delivered to Agent, accompanied by a stock power or other appropriate instrument of assignment duly executed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blank. To the extent required by the terms and conditions governing the Equity Interests in which a Borrower has an interest, such Borrower shall cause the books of each Person whose Equity Interests are part of the Collateral and any transfer agent to reflect the pledge of the Equity Interests. Upon the occurrence and during the continuance of an Event of Default hereunder, Agent may effect the transfer of any securities included in the Collateral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but not limited to the Equity Interests) into the name of Agent and cause new certificates representing such securities to be issued in the name of Agent or its transferee. Each Borrower will execute and deliver such documents, and take or cause to be taken such actions, as Agent may reasonably request to perfect or continue the perfection of Agent’s security interest in the Equity Interests. Unless an Event of Default shall have occurred and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continuing, each Borrower shall be entitled to exercise any voting rights with respect to the Equity Interests in which it has an interest and to give consents, waivers and ratifications in respect thereof, provided that: no such notice shall be required if a Borrower has commenced an Insolvency Proceeding and, in any event, no vote shall be cast or consent, waiver or ratification given or action taken which would be inconsistent with any of the terms of this Agreement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which would constitute or create any violation of any of such terms. All such rights to vote and give consents, waivers and ratifications shall terminate upon the occurrence and during the continuance of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4"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Each Borrower represents and warrants as follows: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Due Organization, Authorization; Power and Authority</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1304"/>
        <w:spacing w:after="0" w:line="213" w:lineRule="auto"/>
        <w:tabs>
          <w:tab w:leader="none" w:pos="194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and each of its Subsidiaries are duly existing and in good standing as a Registered Organization in their respective jurisdictions of formation and are qualified and licensed to do business and are in good standing in any other jurisdiction in which the conduct of their respective business or ownership of property require that they be qualified except where the failure to do so could not reasonably be expected to have a Material Adverse Effect. In connection with this Agreement, Borrower Representative has delivered to Agent a completed certificate signed by Borrower Representative entitled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xml:space="preserve">”. Except to the extent Borrower Representative has provided notice of a legal name change to Agent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(i) each Loan Party’s exact legal name is that indicated on the Perfection Certificate and on the signature page hereof; (ii) each Loan Party is an organization of the type and is organized in the jurisdiction set forth in the Perfection Certificate; (iii) the Perfection Certificate accurately sets forth each Loan Party’s organizational identification number or accurately states that such Loan Party has none; (iv) the Perfection Certificate accurately sets forth each Loan Party’s place of business, or, if more than one, its chief executive office as well as such Loan Party’s mailing address (if different than its chief executive office); (v) except as set forth in the Perfection Certificate, each Loan Party (and each of its predecessors) has not, in the past five (5) years, changed its jurisdiction of formation, organizational structure or type, or any organizational number assigned by its jurisdiction; (vi) each Subsidiary that is an MSB Subsidiary is designated as such in the Perfection Certificate; and (vii) all other information set forth on the Perfection Certificate pertaining to each Loan Party and each of its Subsidiaries is accurate and complete in all material respects (it being understood and agreed that such Loan Party may from time to time update certain information in the Perfection Certificate after the Closing Date to the extent permitted by one or more specific provisions in this Agreement).</w:t>
      </w:r>
    </w:p>
    <w:p>
      <w:pPr>
        <w:spacing w:after="0" w:line="160" w:lineRule="exact"/>
        <w:rPr>
          <w:rFonts w:ascii="Times New Roman" w:cs="Times New Roman" w:eastAsia="Times New Roman" w:hAnsi="Times New Roman"/>
          <w:sz w:val="18"/>
          <w:szCs w:val="18"/>
          <w:color w:val="auto"/>
        </w:rPr>
      </w:pPr>
    </w:p>
    <w:p>
      <w:pPr>
        <w:jc w:val="both"/>
        <w:ind w:firstLine="1304"/>
        <w:spacing w:after="0" w:line="216" w:lineRule="auto"/>
        <w:tabs>
          <w:tab w:leader="none" w:pos="193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Loan Party of the Loan Documents to which it is a party have been duly authorized, and do not (i) conflict with such Loan Party’s Operating Documents or other organizational documents, (ii) contravene, conflict with, constitute a default under or violate any material Requirement of Law, (iii) contravene, conflict or violate any applicable order, writ, judgment, injunction, decree, determination or award of any Governmental Authority by which such Loan Party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such Loan Party is bound. No Loan Party is in default under any agreement to which it is a party or by which it is bound in which the default could reasonably be expected to have a Material Adverse Effect. No Subsidiary which is not a Loan Party owns any material Intellectual Property.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1304"/>
        <w:spacing w:after="0" w:line="250" w:lineRule="auto"/>
        <w:tabs>
          <w:tab w:leader="none" w:pos="19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has good title to, rights in, and the power to transfer each item of the Collateral upon which it purports to grant a Lien hereunder, free and clear of any and all Liens except Permitted Liens.</w:t>
      </w:r>
    </w:p>
    <w:p>
      <w:pPr>
        <w:spacing w:after="0" w:line="149"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Collateral Accounts described in the Perfection Certificate or in a notice timely delivered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no Loan Party has any Collateral Accounts at or with any bank, broker or other financial institution, and each Loan Party has taken such actions as are necessary to give Agent a perfected security interest therein as required pursuant to the terms of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The Accounts are bona fide, existing obligations of the Account Debtors.</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(other than mobile Equipment such as laptop computers in the possession of a Borrower’s employees or agents) is located only at the locations identified in the Perfection Certificate and other Permitted Locations. The Collateral is not in the possession of any third party bailee (such as a warehouse) except as otherwise provided in the Perfection Certificate or as disclosed in writing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Parties is the sole owners of the Intellectual Property which it owns or purports to own except for (i) licenses constituting “Permitted Transfers”, (ii) open-source software, (iii) over-the-counter software that is commercially available to the public, (iv) material Intellectual Property licensed to such Loan Party and noted on the Perfection Certificate or as disclosed pursuant to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and (v) immaterial Intellectual Property licensed to such Loan Party. Each Patent (other than patent applications) which it owns or purports to own and which is material to such Loan Party’s business is valid and enforceable, and no part of the Intellectual Property which a Loan Party owns or purports to own and which is material to the Loan Parties’ business has been judged invalid or unenforceable, in whole or in part. To the best of each Borrower’s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4"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claim has been made that any part of the Intellectual Property violates the rights of any third party except to the extent such claim could not reasonably</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 xml:space="preserve">be expected to have a Material Adverse Effect. Except as noted on the Perfection Certificate or as disclosed pursuant to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no Loan Party is a party to, nor is it bound by, any Restricted License.</w:t>
      </w:r>
    </w:p>
    <w:p>
      <w:pPr>
        <w:spacing w:after="0" w:line="157" w:lineRule="exact"/>
        <w:rPr>
          <w:sz w:val="20"/>
          <w:szCs w:val="20"/>
          <w:color w:val="auto"/>
        </w:rPr>
      </w:pPr>
    </w:p>
    <w:p>
      <w:pPr>
        <w:jc w:val="both"/>
        <w:ind w:firstLine="1304"/>
        <w:spacing w:after="0" w:line="224" w:lineRule="auto"/>
        <w:tabs>
          <w:tab w:leader="none" w:pos="194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Date, no Collateral consisting of promissory notes is evidenced by an original instrument, and except for the Shares of Subsidiaries, no Investments consisting of equity interests of a third person are evidenced by certificates. Except as permitted to be delivered post-closing in accordance with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all Collateral consisting of certificated securities or instruments has been delivered to Agent to be held as possessory collateral with such powers or allonges as Agent may require.</w:t>
      </w:r>
    </w:p>
    <w:p>
      <w:pPr>
        <w:spacing w:after="0" w:line="158"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and other transactions underlying or giving rise to Recurring Revenue shall comply in all material respects with all applicable laws and governmental rules and regulations. To the best of Borrower’s knowledge, all signatures and endorsements on all documents, instruments, and agreements relating to all customer Accounts are genuine, and all such documents, instruments and agreements are legally enforceable in accordance with their terms. Borrower is the owner of and has the legal right to grant a security interest in each customer contract, and, there are no defenses, offsets, counterclaims or agreements for which the customer may claim any deduction or discount.</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5.3. Accounts; Material Agreements</w:t>
      </w:r>
      <w:r>
        <w:rPr>
          <w:rFonts w:ascii="Times New Roman" w:cs="Times New Roman" w:eastAsia="Times New Roman" w:hAnsi="Times New Roman"/>
          <w:sz w:val="18"/>
          <w:szCs w:val="18"/>
          <w:color w:val="auto"/>
        </w:rPr>
        <w:t>. The Accounts are bona fide existing obligations. The property or services giving rise to such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delivered or rendered. No Borrower has received any written notice of actual or imminent insolvency of an account debtor. The material licenses</w:t>
      </w:r>
    </w:p>
    <w:p>
      <w:pPr>
        <w:jc w:val="both"/>
        <w:spacing w:after="0" w:line="218" w:lineRule="auto"/>
        <w:rPr>
          <w:sz w:val="20"/>
          <w:szCs w:val="20"/>
          <w:color w:val="auto"/>
        </w:rPr>
      </w:pPr>
      <w:r>
        <w:rPr>
          <w:rFonts w:ascii="Times New Roman" w:cs="Times New Roman" w:eastAsia="Times New Roman" w:hAnsi="Times New Roman"/>
          <w:sz w:val="18"/>
          <w:szCs w:val="18"/>
          <w:color w:val="auto"/>
        </w:rPr>
        <w:t>and agreements to which any Loan Party or any of its Subsidiaries is a party is in good standing and in full force and effect and no Loan Party is in material breach with respect thereto. No material customer or supplier has terminated, significantly reduced or communicated its intent to do so to any Loan Party or any of its Subsidiaries.</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5.4. Litigation and Proceedings</w:t>
      </w:r>
      <w:r>
        <w:rPr>
          <w:rFonts w:ascii="Times New Roman" w:cs="Times New Roman" w:eastAsia="Times New Roman" w:hAnsi="Times New Roman"/>
          <w:sz w:val="18"/>
          <w:szCs w:val="18"/>
          <w:color w:val="auto"/>
        </w:rPr>
        <w:t>. Except as set forth in the Perfection Certificate or as disclosed in writing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actions, suits, litigations or proceedings, at law or in equity, pending, or, to the knowledge of any Responsible Officer, threatened in writing, by or against any Loan Party, any of its Subsidiaries or any officers or directors of the foregoing involving more than, individually or in the aggregate for all</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related proceedings, Two Hundred Fifty Thousand Dollars ($250,000) or in which any adverse decision has had or could reasonably be expected to have any Material Adverse Effect.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Financial Statements; Financial Condition</w:t>
      </w:r>
      <w:r>
        <w:rPr>
          <w:rFonts w:ascii="Times New Roman" w:cs="Times New Roman" w:eastAsia="Times New Roman" w:hAnsi="Times New Roman"/>
          <w:sz w:val="18"/>
          <w:szCs w:val="18"/>
          <w:color w:val="auto"/>
        </w:rPr>
        <w:t>. All consolidated and consolidating financial statements for the Loan Parties and each of</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their Subsidiaries delivered to Agent fairly present in all material respects the consolidated and consolidating financial condition and results of operations of the Loan Parties and each of their Subsidiaries as of the respective dates and for the respective periods then ended, and there are no material liabilities (including any contingent liabilities) which are not reflected in such financial statements. There has not been any material deterioration in the consolidated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and consolidating financial condition of the Loan Parties and each of its Subsidiaries or the Collateral since the date of the most recent financial statements submitted to Agent.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The fair salable value of the assets (including goodwill minus disposition costs) of the Loan Parties and each of their</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Subsidiaries, on a consolidated basis, exceeds the fair value of liabilities of the Loan Parties’ and each of their Subsidiaries, on a consolidated basis; no Loan Party is left with unreasonably small capital after the transactions in this Agreement; and each Loan Party is able to pay its debts (including trade debts) as they mature.</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5.7. Consents; Approvals</w:t>
      </w:r>
      <w:r>
        <w:rPr>
          <w:rFonts w:ascii="Times New Roman" w:cs="Times New Roman" w:eastAsia="Times New Roman" w:hAnsi="Times New Roman"/>
          <w:sz w:val="18"/>
          <w:szCs w:val="18"/>
          <w:color w:val="auto"/>
        </w:rPr>
        <w:t>. Each Loan Party and each of its Subsidiaries have obtained all third party or governmental consents, 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approvals, waivers of any, made all declarations or filings with, and given all notices to, all Governmental Authorities that are necessary (i) to enter into the Loan Documents and consummate the transactions contemplated thereby, and (ii) to continue their respective businesses as currently conducted, except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respect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where failure to do so could not reasonably be expected to result in a Material Adverse Effect.</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5.8. Subsidiaries; Investments</w:t>
      </w:r>
      <w:r>
        <w:rPr>
          <w:rFonts w:ascii="Times New Roman" w:cs="Times New Roman" w:eastAsia="Times New Roman" w:hAnsi="Times New Roman"/>
          <w:sz w:val="18"/>
          <w:szCs w:val="18"/>
          <w:color w:val="auto"/>
        </w:rPr>
        <w:t>. No Loan Party has any Subsidiaries, except as noted on the Perfection Certificate or as disclosed to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below. No Loan Party owns any stock, partnership, or other ownership interest or other Equity Interests except for Permitted</w:t>
      </w: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5.9. Tax Returns and Payments</w:t>
      </w:r>
      <w:r>
        <w:rPr>
          <w:rFonts w:ascii="Times New Roman" w:cs="Times New Roman" w:eastAsia="Times New Roman" w:hAnsi="Times New Roman"/>
          <w:sz w:val="18"/>
          <w:szCs w:val="18"/>
          <w:color w:val="auto"/>
        </w:rPr>
        <w:t>. Each Loan Party and each of its Subsidiaries have timely filed all required tax returns and reports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extensions therefor), and such Loan Party and each of its Subsidiary has timely paid all foreign, federal, state and local taxes, assessments,</w:t>
      </w:r>
    </w:p>
    <w:p>
      <w:pPr>
        <w:jc w:val="both"/>
        <w:spacing w:after="0" w:line="208" w:lineRule="auto"/>
        <w:rPr>
          <w:sz w:val="20"/>
          <w:szCs w:val="20"/>
          <w:color w:val="auto"/>
        </w:rPr>
      </w:pPr>
      <w:r>
        <w:rPr>
          <w:rFonts w:ascii="Times New Roman" w:cs="Times New Roman" w:eastAsia="Times New Roman" w:hAnsi="Times New Roman"/>
          <w:sz w:val="18"/>
          <w:szCs w:val="18"/>
          <w:color w:val="auto"/>
        </w:rPr>
        <w:t>deposits and contributions owed such Subsidiary or such Subsidiary, as applicable,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 Ten Thousand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4"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($10,000). No Borrower is aware of any claims or adjustments proposed for any prior tax years of any Borrower or any of its Subsidiaries which could result in a material amount of additional taxes becoming due and payable by a Borrower or any of its Subsidiary.</w:t>
      </w:r>
    </w:p>
    <w:p>
      <w:pPr>
        <w:spacing w:after="0" w:line="14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5.10. Shares. </w:t>
      </w:r>
      <w:r>
        <w:rPr>
          <w:rFonts w:ascii="Times New Roman" w:cs="Times New Roman" w:eastAsia="Times New Roman" w:hAnsi="Times New Roman"/>
          <w:sz w:val="18"/>
          <w:szCs w:val="18"/>
          <w:color w:val="auto"/>
        </w:rPr>
        <w:t>Such Borrower has full power and authority to create a first lien on the Shares and no disability or contractual obligation exists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would prohibit such Borrower from pledging the Shares pursuant to this Agreement. There are no subscriptions, warrants, rights of first refusal or other</w:t>
      </w:r>
    </w:p>
    <w:p>
      <w:pPr>
        <w:jc w:val="both"/>
        <w:spacing w:after="0" w:line="218" w:lineRule="auto"/>
        <w:rPr>
          <w:sz w:val="20"/>
          <w:szCs w:val="20"/>
          <w:color w:val="auto"/>
        </w:rPr>
      </w:pPr>
      <w:r>
        <w:rPr>
          <w:rFonts w:ascii="Times New Roman" w:cs="Times New Roman" w:eastAsia="Times New Roman" w:hAnsi="Times New Roman"/>
          <w:sz w:val="18"/>
          <w:szCs w:val="18"/>
          <w:color w:val="auto"/>
        </w:rPr>
        <w:t>restrictions on transfer relative to, or options exercisable with respect to the Shares. The Shares have been and will be duly authorized and validly issued, and are fully paid and non-assessable. The Shares are not the subject of any present or threatened suit, action, arbitration, administrative or other proceeding, and such Borrower knows of no reasonable grounds for the institution of any such proceedings.</w:t>
      </w:r>
    </w:p>
    <w:p>
      <w:pPr>
        <w:spacing w:after="0" w:line="154"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5.11.</w:t>
        <w:tab/>
        <w:t>Compliance with Laws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20" w:firstLine="1304"/>
        <w:spacing w:after="0" w:line="237" w:lineRule="auto"/>
        <w:tabs>
          <w:tab w:leader="none" w:pos="19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or Subsidiary of Loan Party is an “investment company” or an “affiliated person” of, or “promoter” or “principal underwriter” for, an “investment company”, as such terms are defined in the Investment Company Act of 1940 as amended.</w:t>
      </w:r>
    </w:p>
    <w:p>
      <w:pPr>
        <w:spacing w:after="0" w:line="158"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or Subsidiary of a Loan Party is engaged, nor will it engage, principally or as one of its important activities, in the business of extending credit for the purpose of “purchasing” or “carrying” any “margin security” as such terms are defined in Regulation U of the Federal Reserve Board as now and from time to time hereafter in effect (such securities being referred to herein as “</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None of the proceeds of the Credit Extensions or other extensions of credit under this Agreement have been (or will be) used, directly or indirectly, for the purpose of purchasing or carrying any Margin Stock, for the purpose of reducing or retiring any Indebtedness which was originally incurred to purchase or carry any Margin Stock or for any other purpose which might cause any of the Credit Extensions or other extensions of credit under this Agreement to be considered a “purpose credit” within the meaning of Regulation T, U or X of the Federal Reserve Board. None of the proceeds of the Credit Extensions or other extensions of credit under this Agreement have been (or will be) used to fund Investments in Expensify Payments.</w:t>
      </w:r>
    </w:p>
    <w:p>
      <w:pPr>
        <w:spacing w:after="0" w:line="163"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4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has taken or permitted to be taken any action which might cause any Loan Document to violate any regulation of the Federal Reserve Board. Neither the making of the Credit Extensions by the Lenders hereunder nor Borrowers’ use of the proceeds thereof will violate the Trading with the Enemy Act, as amended, or any of the foreign assets control regulations of the United States Treasury Department (31 CFR, Subtitle B, Chapter V, as amended) or any enabling legislation or executive order relating thereto. No Loan Party, nor any of its Subsidiaries, nor any Affiliate of any Loan Party or of any Subsidiary, nor any present holder of Equity Interests of any of the foregoing (i) is, or will become, a Person described or designated in the Specially Designated Nationals and Blocked Persons List of the Office of Foreign Assets Control of the United States Department of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in Section 1 of the Anti-Terrorism Order or similar sanctions laws of any other Governmental Authority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(ii) is, or will become, a citizen or resident of any country that is subject to embargo or trade sanctions enforced by OFAC, (iii) is, or will become, a Person whose property or interest in property is blocked or subject to blocking pursuant to applicable Sanctions, or (iv) engages or will engage in any dealings or transactions, or is or will be otherwise associated, with any such Person. Each Loan Party and its Subsidiaries are in compliance, in all material respects, with the USA Patriot Act, and any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No part of the proceeds from the Credit Extensions made hereunder has been (or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applicable Anti-Corruption Laws. Borrower Representative and each applicable Subsidiary has implemented policies and procedures (including know-your-customer verifications) reasonably designed to ensure compliance with applicable Sanctions, Anti-Money Laundering Laws and Anti-Corruption Laws.</w:t>
      </w:r>
    </w:p>
    <w:p>
      <w:pPr>
        <w:spacing w:after="0" w:line="172"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Reportable Event or Prohibited Transaction, as defined in ERISA has occurred or is reasonably expected to occur, and no Loan Party has failed to meet the minimum funding requirements of ERISA. No Loan Party has violated any applicable environmental laws in any material respect, maintains any properties or assets which have been designated in any manner pursuant to any environmental protection statute as a hazardous materials disposal site, or has received any notice, summons, citation or directive from the Environmental Protection Agency or any other similar Governmental Authority.</w:t>
      </w:r>
    </w:p>
    <w:p>
      <w:pPr>
        <w:spacing w:after="0" w:line="1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5.12. Broker</w:t>
      </w:r>
      <w:r>
        <w:rPr>
          <w:rFonts w:ascii="Times New Roman" w:cs="Times New Roman" w:eastAsia="Times New Roman" w:hAnsi="Times New Roman"/>
          <w:sz w:val="18"/>
          <w:szCs w:val="18"/>
          <w:color w:val="auto"/>
        </w:rPr>
        <w:t>. No Person has any agreement or option to provide financial advisory services to any Loan Party or any of its Subsidiaries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any finder’s fee or similar fee with respect to this Agreement or any other debt or equity transaction entered into by a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4"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5.13.</w:t>
        <w:tab/>
        <w:t>Full Disclosure</w:t>
      </w:r>
      <w:r>
        <w:rPr>
          <w:rFonts w:ascii="Times New Roman" w:cs="Times New Roman" w:eastAsia="Times New Roman" w:hAnsi="Times New Roman"/>
          <w:sz w:val="18"/>
          <w:szCs w:val="18"/>
          <w:color w:val="auto"/>
        </w:rPr>
        <w:t>. No written representation, warranty or other statement of a Loan Party or any of its Subsidiaries in any certificate or</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written statement given to Agent by or on behalf of a Loan Party or any of its Subsidiaries, as of the date such representation, warranty, or other statement was made, taken together with all such written certificates and written statements given to, contains any untrue statement of a material fact or omits to state a material fact necessary to make the statements contained in the certificates or statements not misleading in light of the circumstances under which they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were made (it being recognized that the projections and forecasts provided by any Loan Party in good faith and based upon reasonable assumptions are not viewed as facts and that actual results during the period or periods covered by such projections and forecasts may differ from the projected or forecasted results).</w:t>
      </w:r>
    </w:p>
    <w:p>
      <w:pPr>
        <w:spacing w:after="0" w:line="154"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Borrower shall, and shall cause each Loan Party to, do all of the following:</w:t>
      </w:r>
    </w:p>
    <w:p>
      <w:pPr>
        <w:spacing w:after="0" w:line="18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6.1. Government Compliance</w:t>
      </w:r>
      <w:r>
        <w:rPr>
          <w:rFonts w:ascii="Times New Roman" w:cs="Times New Roman" w:eastAsia="Times New Roman" w:hAnsi="Times New Roman"/>
          <w:sz w:val="18"/>
          <w:szCs w:val="18"/>
          <w:color w:val="auto"/>
        </w:rPr>
        <w:t>. Maintain its and all its Subsidiaries’ legal existence and good standing in their respective jurisdictions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formation and maintain qualification in each jurisdiction in which the failure to so qualify could reasonably be expected to have a Material Adverse Effect;</w:t>
      </w:r>
    </w:p>
    <w:p>
      <w:pPr>
        <w:jc w:val="both"/>
        <w:spacing w:after="0" w:line="208" w:lineRule="auto"/>
        <w:rPr>
          <w:sz w:val="20"/>
          <w:szCs w:val="20"/>
          <w:color w:val="auto"/>
        </w:rPr>
      </w:pPr>
      <w:r>
        <w:rPr>
          <w:rFonts w:ascii="Times New Roman" w:cs="Times New Roman" w:eastAsia="Times New Roman" w:hAnsi="Times New Roman"/>
          <w:sz w:val="18"/>
          <w:szCs w:val="18"/>
          <w:color w:val="auto"/>
        </w:rPr>
        <w:t>comply, and cause each Subsidiary to comply, with all laws, ordinances and regulations to which it is subject except where a failure to do so could not reasonably be expected to have a Material Adverse Effect; obtain all of the Governmental Approvals required in connection with such Loan Party’s business and for the performance by each Loan Party of its obligations under the Loan Documents to which it is a party and the grant of a security interest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Agent in all of its property, and comply with all terms and conditions with respect to such Governmental Approvals.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Financial Statements, Reports, Certificates</w:t>
      </w:r>
      <w:r>
        <w:rPr>
          <w:rFonts w:ascii="Times New Roman" w:cs="Times New Roman" w:eastAsia="Times New Roman" w:hAnsi="Times New Roman"/>
          <w:sz w:val="18"/>
          <w:szCs w:val="18"/>
          <w:color w:val="auto"/>
        </w:rPr>
        <w:t>. Provide Agent with the following:</w:t>
      </w:r>
    </w:p>
    <w:p>
      <w:pPr>
        <w:spacing w:after="0" w:line="189" w:lineRule="exact"/>
        <w:rPr>
          <w:sz w:val="20"/>
          <w:szCs w:val="20"/>
          <w:color w:val="auto"/>
        </w:rPr>
      </w:pPr>
    </w:p>
    <w:p>
      <w:pPr>
        <w:ind w:left="1940" w:hanging="636"/>
        <w:spacing w:after="0"/>
        <w:tabs>
          <w:tab w:leader="none" w:pos="1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9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Compliance Certificate</w:t>
      </w:r>
      <w:r>
        <w:rPr>
          <w:rFonts w:ascii="Times New Roman" w:cs="Times New Roman" w:eastAsia="Times New Roman" w:hAnsi="Times New Roman"/>
          <w:sz w:val="18"/>
          <w:szCs w:val="18"/>
          <w:color w:val="auto"/>
        </w:rPr>
        <w:t>. Within forty five (45) days after the last day of each fiscal quarter and together with the quarterly financial statements, a duly completed Compliance Certificate signed by a Responsible Officer, certifying that as of the end of such fiscal quarter, the Loan Parties were in full compliance with all of the terms and conditions of this Agreement, and, if applicable, setting forth calculations showing compliance with the financial covenants set forth in this Agreement and such other information as Agent may reasonably request (including at the direction of Required Lenders).</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forty-five (45) days after the last day of each fiscal quarter, a company prepared consolidated and consolidating balance sheet, income statement and statement of cash flows covering the Loan Parties and each of their Subsidiaries’ operations for such fiscal quarter, in form acceptable to Agent, certified by a Responsible Officer as having been prepared in accordance with GAAP, consistently applied, except for the absence of footnotes, and subject to normal year-end adjustments.</w:t>
      </w:r>
    </w:p>
    <w:p>
      <w:pPr>
        <w:spacing w:after="0" w:line="172"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Operating Budget and Financial Projections</w:t>
      </w:r>
      <w:r>
        <w:rPr>
          <w:rFonts w:ascii="Times New Roman" w:cs="Times New Roman" w:eastAsia="Times New Roman" w:hAnsi="Times New Roman"/>
          <w:sz w:val="18"/>
          <w:szCs w:val="18"/>
          <w:color w:val="auto"/>
        </w:rPr>
        <w:t>. Within sixty (60) days after the end of each fiscal year of Borrower Representative (and promptly and within five (5) days of any material modification thereto), an annual operating budgets, on a consolidating basis (including income statements, balance sheets and cash flow statements, by month) for the upcoming fiscal year of Borrower Representative, as approved by Borrower Representative’s Board, together with any related business forecasts used in the preparation of such annual financial projections.</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Audited Financial Statements</w:t>
      </w:r>
      <w:r>
        <w:rPr>
          <w:rFonts w:ascii="Times New Roman" w:cs="Times New Roman" w:eastAsia="Times New Roman" w:hAnsi="Times New Roman"/>
          <w:sz w:val="18"/>
          <w:szCs w:val="18"/>
          <w:color w:val="auto"/>
        </w:rPr>
        <w:t>. As soon as provided to Borrower Representative’s lead investor, but in no event later than one hundred twenty (120) days after the last day of Borrower Representative’s fiscal year, audited consolidated financial statements prepared in accordance with GAAP, consistently applied, together with an unqualified opinion on the financial statements from an independent certified public accounting firm reasonably acceptable to Agent, together with any management letter with respect thereto.</w:t>
      </w:r>
    </w:p>
    <w:p>
      <w:pPr>
        <w:spacing w:after="0" w:line="158" w:lineRule="exact"/>
        <w:rPr>
          <w:rFonts w:ascii="Times New Roman" w:cs="Times New Roman" w:eastAsia="Times New Roman" w:hAnsi="Times New Roman"/>
          <w:sz w:val="18"/>
          <w:szCs w:val="18"/>
          <w:color w:val="auto"/>
        </w:rPr>
      </w:pPr>
    </w:p>
    <w:p>
      <w:pPr>
        <w:ind w:firstLine="1304"/>
        <w:spacing w:after="0" w:line="250" w:lineRule="auto"/>
        <w:tabs>
          <w:tab w:leader="none" w:pos="19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Statements</w:t>
      </w:r>
      <w:r>
        <w:rPr>
          <w:rFonts w:ascii="Times New Roman" w:cs="Times New Roman" w:eastAsia="Times New Roman" w:hAnsi="Times New Roman"/>
          <w:sz w:val="18"/>
          <w:szCs w:val="18"/>
          <w:color w:val="auto"/>
        </w:rPr>
        <w:t>. Within five (5) days of delivery, copies of all statements, reports and notices generally made available to all Borrower Representative’s Equity Interest holders or to all holders of Borrower Representative’s preferred stock or to any holders of Subordinated Debt.</w:t>
      </w:r>
    </w:p>
    <w:p>
      <w:pPr>
        <w:spacing w:after="0" w:line="149"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In the event that Borrower Representative becomes subject to the reporting requirements under the Exchange Act within five (5) days of filing, copies of all periodic and other reports, proxy statements and other materials filed by Borrower Representative with the Securities and Exchange Commission.</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 Notice and Updates</w:t>
      </w:r>
      <w:r>
        <w:rPr>
          <w:rFonts w:ascii="Times New Roman" w:cs="Times New Roman" w:eastAsia="Times New Roman" w:hAnsi="Times New Roman"/>
          <w:sz w:val="18"/>
          <w:szCs w:val="18"/>
          <w:color w:val="auto"/>
        </w:rPr>
        <w:t>. A prompt report of any legal actions pending or threatened in writing against any Loan Party or any of its Subsidiaries that could result in damages or costs to any Loan Party or any of its Subsidiaries of, individually or in the aggregate for all related proceedings, Two 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04"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Fifty Thousand Dollars ($250,000) or more, or of any Loan Party or any of its Subsidiaries taking or threatening legal action against any third person with respect to a material claim, and with respect to any pending action or threatened action, a prompt report of any material development with respect thereto.</w:t>
      </w:r>
    </w:p>
    <w:p>
      <w:pPr>
        <w:spacing w:after="0" w:line="149" w:lineRule="exact"/>
        <w:rPr>
          <w:sz w:val="20"/>
          <w:szCs w:val="20"/>
          <w:color w:val="auto"/>
        </w:rPr>
      </w:pPr>
    </w:p>
    <w:p>
      <w:pPr>
        <w:ind w:left="1940" w:hanging="636"/>
        <w:spacing w:after="0"/>
        <w:tabs>
          <w:tab w:leader="none" w:pos="1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9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Report</w:t>
      </w:r>
      <w:r>
        <w:rPr>
          <w:rFonts w:ascii="Times New Roman" w:cs="Times New Roman" w:eastAsia="Times New Roman" w:hAnsi="Times New Roman"/>
          <w:sz w:val="18"/>
          <w:szCs w:val="18"/>
          <w:color w:val="auto"/>
        </w:rPr>
        <w:t>. Together with the Compliance Certificate delivered at the end of each calendar quarter, a report in form reasonably acceptable to Agent, listing any applications or registrations that any Loan Party or any of its Subsidiaries has made or filed in respect of any Patents, Copyrights or Trademarks and the status of any outstanding applications or registrations, as well as any material change in any Loan Party or any of its Subsidiaries’ Intellectual Property.</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Reports and Information</w:t>
      </w:r>
      <w:r>
        <w:rPr>
          <w:rFonts w:ascii="Times New Roman" w:cs="Times New Roman" w:eastAsia="Times New Roman" w:hAnsi="Times New Roman"/>
          <w:sz w:val="18"/>
          <w:szCs w:val="18"/>
          <w:color w:val="auto"/>
        </w:rPr>
        <w:t>. Together with the quarterly financial reports, reports as to the following, in form acceptable to</w:t>
      </w:r>
    </w:p>
    <w:p>
      <w:pPr>
        <w:ind w:right="2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accounts receivable and accounts payable aging, general ledger, and any other information related to the financial or business condition of any Loan Party as and when reasonably requested by Agent (including at the direction of Required Lenders).</w:t>
      </w:r>
    </w:p>
    <w:p>
      <w:pPr>
        <w:spacing w:after="0" w:line="170"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Account Balances</w:t>
      </w:r>
      <w:r>
        <w:rPr>
          <w:rFonts w:ascii="Times New Roman" w:cs="Times New Roman" w:eastAsia="Times New Roman" w:hAnsi="Times New Roman"/>
          <w:sz w:val="18"/>
          <w:szCs w:val="18"/>
          <w:color w:val="auto"/>
        </w:rPr>
        <w:t>. At the end of each fiscal quarter, a report in form reasonably satisfactory to Agent, of all bank balances for each Collateral Account maintained by Borrower Representative and each of its Subsidiaries, which report shall indicate for each Collateral Account if an Account Control Agreement is in effect with respect thereto and for any Collateral Account of a Loan Party that is not subject to an Account Control Agreement, the basis for exemption, together with, at Agent’s request, a copy of associated account statements, with transaction detail.</w:t>
      </w:r>
    </w:p>
    <w:p>
      <w:pPr>
        <w:spacing w:after="0" w:line="155"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6.3. Equipment; Inventory; Returns</w:t>
      </w:r>
      <w:r>
        <w:rPr>
          <w:rFonts w:ascii="Times New Roman" w:cs="Times New Roman" w:eastAsia="Times New Roman" w:hAnsi="Times New Roman"/>
          <w:sz w:val="18"/>
          <w:szCs w:val="18"/>
          <w:color w:val="auto"/>
        </w:rPr>
        <w:t>. Keep all Equipment in good operating condition and in a state of good maintenance and repair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usual wear and tear; and keep all Inventory in good marketable condition, free from material defects. Returns and allowances between a Loan Party</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and its Account Debtors shall follow such Loan Party’s customary practices as they exist at the Closing Date. Borrower Representative shall promptly notify Agent of all returns, recoveries, disputes and claims that involve more than Two Hundred Fifty Thousand Dollars ($250,000).</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6.4.</w:t>
      </w:r>
      <w:r>
        <w:rPr>
          <w:sz w:val="20"/>
          <w:szCs w:val="20"/>
          <w:color w:val="auto"/>
        </w:rPr>
        <w:tab/>
      </w:r>
      <w:r>
        <w:rPr>
          <w:rFonts w:ascii="Times New Roman" w:cs="Times New Roman" w:eastAsia="Times New Roman" w:hAnsi="Times New Roman"/>
          <w:sz w:val="18"/>
          <w:szCs w:val="18"/>
          <w:b w:val="1"/>
          <w:bCs w:val="1"/>
          <w:color w:val="auto"/>
        </w:rPr>
        <w:t>Taxes; Pensions</w:t>
      </w:r>
      <w:r>
        <w:rPr>
          <w:rFonts w:ascii="Times New Roman" w:cs="Times New Roman" w:eastAsia="Times New Roman" w:hAnsi="Times New Roman"/>
          <w:sz w:val="18"/>
          <w:szCs w:val="18"/>
          <w:color w:val="auto"/>
        </w:rPr>
        <w:t>. Timely file, and cause each of its Subsidiaries to timely file, all required tax returns and reports and timely pay, and</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require each of its Subsidiaries to timely pay, all foreign, federal, state and local taxes, assessments, deposits and contributions owed by such Loan Party and each of its Subsidiaries, except for deferred payment of any taxes contested pursuant to the terms of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and shall deliver to Agent, on demand, appropriate certificates attesting to such payments, and pay all amounts necessary to fund all present pension, profit sharing and deferred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in accordance with their terms.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6.5.</w:t>
      </w:r>
      <w:r>
        <w:rPr>
          <w:sz w:val="20"/>
          <w:szCs w:val="20"/>
          <w:color w:val="auto"/>
        </w:rPr>
        <w:tab/>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304"/>
        <w:spacing w:after="0" w:line="231" w:lineRule="auto"/>
        <w:tabs>
          <w:tab w:leader="none" w:pos="19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and cause each Subsidiary to keep, its business and the Collateral insured for risks and in amounts standard for companies in the Loan Parties’ industry and location and as Required Lenders may reasonably request. Insurance policies shall be in a form, with financially sound and reputable insurance companies that are not Affiliates of any Loan Party, and in amounts that are reasonably satisfactory to Required Lenders.</w:t>
      </w:r>
    </w:p>
    <w:p>
      <w:pPr>
        <w:spacing w:after="0" w:line="158"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Ensure that proceeds payable under any property policy with respect to Collateral or key man insurance are, at Agent’s option, payable to Agent, for the ratable benefit of Lenders, on account of the Obligations. To that end, all property policies shall have a lender’s loss payable endorsement showing Agent as lender loss payee, all liability policies shall show, or have endorsements showing, Agent as an additional insured, in each case, in form satisfactory to Agent and as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so long as no Default or Event of Default has occurred and is continuing, the Loan Parties shall have the option of applying the proceeds of any casualty policy up to Five Hundred Thousand Dollars ($500,000), in the aggregate per fiscal year, toward the prompt replacement or repair of destroyed or damaged property; provided that any such replaced or repaired property shall be deemed Collateral in which Agent has been granted a first priority security interest and (b) after the occurrence and during the continuance of an Event of Default, all such proceeds shall, at the option of Required Lenders, be payable to Agent, for the ratable benefit of Lenders, on account of the Obligations.</w:t>
      </w:r>
    </w:p>
    <w:p>
      <w:pPr>
        <w:spacing w:after="0" w:line="158" w:lineRule="exact"/>
        <w:rPr>
          <w:rFonts w:ascii="Times New Roman" w:cs="Times New Roman" w:eastAsia="Times New Roman" w:hAnsi="Times New Roman"/>
          <w:sz w:val="18"/>
          <w:szCs w:val="18"/>
          <w:color w:val="auto"/>
        </w:rPr>
      </w:pPr>
    </w:p>
    <w:p>
      <w:pPr>
        <w:jc w:val="both"/>
        <w:ind w:right="20" w:firstLine="1304"/>
        <w:spacing w:after="0" w:line="231" w:lineRule="auto"/>
        <w:tabs>
          <w:tab w:leader="none" w:pos="19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Agent’s request, Borrower Representative shall deliver certified copies of insurance policies and evidence of all premium payments. Each provider of any such insurance required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agree, by endorsement upon the policy or policies issued by it or by independent instruments furnished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4"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Agent, that it will give Agent thirty (30) days prior written notice before any such policy or policies shall be canceled (or ten (10) days’ notice for cancellation for non-payment of premiums).</w:t>
      </w:r>
    </w:p>
    <w:p>
      <w:pPr>
        <w:spacing w:after="0" w:line="149" w:lineRule="exact"/>
        <w:rPr>
          <w:sz w:val="20"/>
          <w:szCs w:val="20"/>
          <w:color w:val="auto"/>
        </w:rPr>
      </w:pPr>
    </w:p>
    <w:p>
      <w:pPr>
        <w:jc w:val="both"/>
        <w:ind w:firstLine="1304"/>
        <w:spacing w:after="0" w:line="231" w:lineRule="auto"/>
        <w:tabs>
          <w:tab w:leader="none" w:pos="19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Loan Party fails to obtain insurance as required under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or to pay any amount or furnish any required proof of payment to third persons and Agent, Agent may make all or part of such payment or obtain such insurance policies required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and take any action under the policies Agent deems prudent, or as Required Lenders may direct.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6.6.</w:t>
      </w:r>
      <w:r>
        <w:rPr>
          <w:sz w:val="20"/>
          <w:szCs w:val="20"/>
          <w:color w:val="auto"/>
        </w:rPr>
        <w:tab/>
      </w:r>
      <w:r>
        <w:rPr>
          <w:rFonts w:ascii="Times New Roman" w:cs="Times New Roman" w:eastAsia="Times New Roman" w:hAnsi="Times New Roman"/>
          <w:sz w:val="18"/>
          <w:szCs w:val="18"/>
          <w:b w:val="1"/>
          <w:bCs w:val="1"/>
          <w:color w:val="auto"/>
        </w:rPr>
        <w:t>Deposit and Securities Accounts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304"/>
        <w:spacing w:after="0" w:line="220" w:lineRule="auto"/>
        <w:tabs>
          <w:tab w:leader="none" w:pos="19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and cause each Subsidiary to maintain, (i) at all times through and including June 29, 2024, 45%, and from June 30, 2024 and (ii) at all times thereafter, 65%, of all unrestricted cash and Cash Equivalents of Borrower Representative and its Subsidiaries, with CIBC or CIBC USA, and maintain Collateral Accounts only as set forth on the Perfection Certificate, or as disclosed pursuant to a notice timely delivered pursuant to </w:t>
      </w:r>
      <w:r>
        <w:rPr>
          <w:rFonts w:ascii="Times New Roman" w:cs="Times New Roman" w:eastAsia="Times New Roman" w:hAnsi="Times New Roman"/>
          <w:sz w:val="18"/>
          <w:szCs w:val="18"/>
          <w:u w:val="single" w:color="auto"/>
          <w:color w:val="auto"/>
        </w:rPr>
        <w:t>subsection (b) below</w:t>
      </w:r>
      <w:r>
        <w:rPr>
          <w:rFonts w:ascii="Times New Roman" w:cs="Times New Roman" w:eastAsia="Times New Roman" w:hAnsi="Times New Roman"/>
          <w:sz w:val="18"/>
          <w:szCs w:val="18"/>
          <w:color w:val="auto"/>
        </w:rPr>
        <w:t xml:space="preserve">. Notwithstanding the foregoing, balances constituting funds held for the benefit of customers, and balances maintained in accordance with </w:t>
      </w:r>
      <w:r>
        <w:rPr>
          <w:rFonts w:ascii="Times New Roman" w:cs="Times New Roman" w:eastAsia="Times New Roman" w:hAnsi="Times New Roman"/>
          <w:sz w:val="18"/>
          <w:szCs w:val="18"/>
          <w:u w:val="single" w:color="auto"/>
          <w:color w:val="auto"/>
        </w:rPr>
        <w:t>clauses (e)(i) and (ii)</w:t>
      </w:r>
      <w:r>
        <w:rPr>
          <w:rFonts w:ascii="Times New Roman" w:cs="Times New Roman" w:eastAsia="Times New Roman" w:hAnsi="Times New Roman"/>
          <w:sz w:val="18"/>
          <w:szCs w:val="18"/>
          <w:color w:val="auto"/>
        </w:rPr>
        <w:t xml:space="preserve"> of the defined term “Permitted Investments” shall be disregarded for purposes of the above percentage calculation.</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Collateral Account that any Loan Party at any time maintains, Borrowers shall cause such Collateral Account to be subject to an Account Control Agreement, which Account Control Agreement may not be terminated without the prior written consent of Agent, provided that the Account Control Agreements specified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may be delivered following the Effective Date within the timeframe specified therein. Notwithstanding the foregoing, the requirement to maintain Account Control Agreements shall not apply to</w:t>
      </w:r>
    </w:p>
    <w:p>
      <w:pPr>
        <w:spacing w:after="0" w:line="158" w:lineRule="exact"/>
        <w:rPr>
          <w:rFonts w:ascii="Times New Roman" w:cs="Times New Roman" w:eastAsia="Times New Roman" w:hAnsi="Times New Roman"/>
          <w:sz w:val="18"/>
          <w:szCs w:val="18"/>
          <w:color w:val="auto"/>
        </w:rPr>
      </w:pPr>
    </w:p>
    <w:p>
      <w:pPr>
        <w:ind w:left="1960" w:right="80" w:firstLine="640"/>
        <w:spacing w:after="0" w:line="224" w:lineRule="auto"/>
        <w:tabs>
          <w:tab w:leader="none" w:pos="325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Accounts designated as excluded to Agent in writing from time to time, provided that the aggregate balance of such Collateral Accounts, (x) with respect to Collateral Accounts maintained in Australia or United Kingdom, shall not exceed $3,000,000, and (y) with respect to Collateral Accounts maintained in any other jurisdiction, shall not exceed $500,000, in each case, at any time;</w:t>
      </w:r>
    </w:p>
    <w:p>
      <w:pPr>
        <w:spacing w:after="0" w:line="15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Accounts used exclusively to maintain Permitted Cash Collateral;</w:t>
      </w:r>
    </w:p>
    <w:p>
      <w:pPr>
        <w:spacing w:after="0" w:line="198" w:lineRule="exact"/>
        <w:rPr>
          <w:rFonts w:ascii="Times New Roman" w:cs="Times New Roman" w:eastAsia="Times New Roman" w:hAnsi="Times New Roman"/>
          <w:sz w:val="18"/>
          <w:szCs w:val="18"/>
          <w:color w:val="auto"/>
        </w:rPr>
      </w:pPr>
    </w:p>
    <w:p>
      <w:pPr>
        <w:ind w:left="1960" w:right="540" w:firstLine="640"/>
        <w:spacing w:after="0" w:line="237" w:lineRule="auto"/>
        <w:tabs>
          <w:tab w:leader="none" w:pos="325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Collateral Accounts used exclusively to maintain balances invested in accordance with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defined term “Permitted Investments; and</w:t>
      </w:r>
    </w:p>
    <w:p>
      <w:pPr>
        <w:spacing w:after="0" w:line="158" w:lineRule="exact"/>
        <w:rPr>
          <w:rFonts w:ascii="Times New Roman" w:cs="Times New Roman" w:eastAsia="Times New Roman" w:hAnsi="Times New Roman"/>
          <w:sz w:val="18"/>
          <w:szCs w:val="18"/>
          <w:color w:val="auto"/>
        </w:rPr>
      </w:pPr>
    </w:p>
    <w:p>
      <w:pPr>
        <w:ind w:left="1960" w:right="80" w:firstLine="640"/>
        <w:spacing w:after="0" w:line="231" w:lineRule="auto"/>
        <w:tabs>
          <w:tab w:leader="none" w:pos="324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Accounts used exclusively to maintain funds in trust for customers, including in connection with expense reimbursement processing services provided to customers, in each case, which accounts have been identified as such to Agent in writing as such,</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herein, Borrowers shall not permit any CIBC Collateral Account to be used for third party payment processing activity or any other MSB Subsidiary activity, and to the extent necessary to comply with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any MSB Subsidiary shall be permitted to maintain Collateral Accounts with other depository institutions.</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6.7.</w:t>
      </w:r>
      <w:r>
        <w:rPr>
          <w:sz w:val="20"/>
          <w:szCs w:val="20"/>
          <w:color w:val="auto"/>
        </w:rPr>
        <w:tab/>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jc w:val="both"/>
        <w:ind w:firstLine="1304"/>
        <w:spacing w:after="0" w:line="217" w:lineRule="auto"/>
        <w:tabs>
          <w:tab w:leader="none" w:pos="19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defend and maintain the validity and enforceability of its Intellectual Property material to its business; promptly advise Agent in writing of material infringements or any other event that could reasonably be expected to materially and adversely affect the value of its Intellectual Property material to its business; not suffer any material claim of infringement that could reasonably be expected to have a Material Adverse Effect unless such claim is dismissed within thirty days from initiation thereof or Borrowers have demonstrated to the satisfaction of Required Lenders that such proceedings are without merit and adequate reserves have been taken; and not allow any Intellectual Property material to the Loan Parties’ business to be abandoned, forfeited or dedicated to the public without written consent of Required Lenders.</w:t>
      </w:r>
    </w:p>
    <w:p>
      <w:pPr>
        <w:spacing w:after="0" w:line="173"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Loan Party (i) obtains any Patent, registered Trademark, registered Copyright, registered mask work, or any pending application for any of the foregoing, whether as owner or licensee, or (ii) applies for any Patent or the registration of any Trademark, then Borrower Representative shall promptly provide written notice thereof to Agent and shall execute such intellectual property security agreements and other documents and take such other actions as Agent may request to perfect and maintain a first priority perfected security interest in favor of Agent in such property. If a Loan Party decides to register any Copyrights or mask works in the United States Copyright Office, Borrower Representative shall: (x) provide Agent with at least fifteen (15) days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4" w:right="339" w:bottom="1440" w:gutter="0" w:footer="0" w:header="0"/>
        </w:sectPr>
      </w:pPr>
    </w:p>
    <w:bookmarkStart w:id="160" w:name="page161"/>
    <w:bookmarkEnd w:id="160"/>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notice of such Loan Party’s intent to register such Copyrights or mask works together with a copy of the application it intends to file with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United States Copyright Office (excluding exhibits thereto); (y) execute an intellectual property security agreement and such other documents and take such other actions as Agent may request to perfect and maintain a first priority perfected security interest in favor of Agent in the Copyrights or mask works intended to be registered with the United States Copyright Office; and (z) record such intellectual property security agreement with the United States</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Copyright Office contemporaneously with filing the Copyright or mask work application(s) with the United States Copyright Office. Borrower Representative shall promptly provide to Agent copies of all applications that it files for Patents or for the registration of Trademarks, Copyrights or mask works, together with evidence of the recording of the intellectual property security agreement required for Agent to perfect and maintain a first priority perfected security interest in such property.</w:t>
      </w:r>
    </w:p>
    <w:p>
      <w:pPr>
        <w:spacing w:after="0" w:line="173" w:lineRule="exact"/>
        <w:rPr>
          <w:sz w:val="20"/>
          <w:szCs w:val="20"/>
          <w:color w:val="auto"/>
        </w:rPr>
      </w:pPr>
    </w:p>
    <w:p>
      <w:pPr>
        <w:jc w:val="both"/>
        <w:ind w:firstLine="1304"/>
        <w:spacing w:after="0" w:line="217" w:lineRule="auto"/>
        <w:tabs>
          <w:tab w:leader="none" w:pos="194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written notice to Agent within ten (10) days of any Loan Party entering or becoming bound by any Restricted License (other than off the shelf software and services that are commercially available to the public). Each Borrower shall, and shall cause each Loan Party to, take such steps as Agent requests to obtain the consent of, or waiver by, any person whose consent or waiver is necessary for (i) any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rights and remedies under this Agreement and the other Loan Documents.</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6.8. Litigation Cooperation</w:t>
      </w:r>
      <w:r>
        <w:rPr>
          <w:rFonts w:ascii="Times New Roman" w:cs="Times New Roman" w:eastAsia="Times New Roman" w:hAnsi="Times New Roman"/>
          <w:sz w:val="18"/>
          <w:szCs w:val="18"/>
          <w:color w:val="auto"/>
        </w:rPr>
        <w:t>. From the Closing Date and continuing through the termination of this Agreement, make available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Party, without expense to such Secured Party, each Loan Party and its officers, employees and agents and each Loan Party’s books and records, to the extent that such Secured Party may deem them reasonably necessary to prosecute or defend any third-party suit or proceeding instituted by or against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Secured Party with respect to any Collateral or relating to such Loan Party.</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6.9. Access to Collateral; Books and Records</w:t>
      </w:r>
      <w:r>
        <w:rPr>
          <w:rFonts w:ascii="Times New Roman" w:cs="Times New Roman" w:eastAsia="Times New Roman" w:hAnsi="Times New Roman"/>
          <w:sz w:val="18"/>
          <w:szCs w:val="18"/>
          <w:color w:val="auto"/>
        </w:rPr>
        <w:t>. Allow Agent, or its agents, to inspect the Collateral and audit and copy such Loan Party’s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Books in accordance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Such inspections or audits shall occur during Borrower’s usual business hours and upon at least five (5) business</w:t>
      </w:r>
    </w:p>
    <w:p>
      <w:pPr>
        <w:jc w:val="both"/>
        <w:spacing w:after="0" w:line="218" w:lineRule="auto"/>
        <w:rPr>
          <w:sz w:val="20"/>
          <w:szCs w:val="20"/>
          <w:color w:val="auto"/>
        </w:rPr>
      </w:pPr>
      <w:r>
        <w:rPr>
          <w:rFonts w:ascii="Times New Roman" w:cs="Times New Roman" w:eastAsia="Times New Roman" w:hAnsi="Times New Roman"/>
          <w:sz w:val="18"/>
          <w:szCs w:val="18"/>
          <w:color w:val="auto"/>
        </w:rPr>
        <w:t>days’ prior written notice and be conducted no more often than once every twelve (12) months, unless an Event of Default has occurred and is continuing in which case such inspections and audits shall occur as often and at such times as Agent shall determine is necessary. The foregoing inspections and audits shall be at Borrowers’ expense.</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6.10.</w:t>
      </w:r>
      <w:r>
        <w:rPr>
          <w:sz w:val="20"/>
          <w:szCs w:val="20"/>
          <w:color w:val="auto"/>
        </w:rPr>
        <w:tab/>
      </w:r>
      <w:r>
        <w:rPr>
          <w:rFonts w:ascii="Times New Roman" w:cs="Times New Roman" w:eastAsia="Times New Roman" w:hAnsi="Times New Roman"/>
          <w:sz w:val="17"/>
          <w:szCs w:val="17"/>
          <w:b w:val="1"/>
          <w:bCs w:val="1"/>
          <w:color w:val="auto"/>
        </w:rPr>
        <w:t>Financial Covenants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1304"/>
        <w:spacing w:after="0" w:line="222" w:lineRule="auto"/>
        <w:tabs>
          <w:tab w:leader="none" w:pos="194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Date to but excluding March 31, 2025, the following financial covenants shall apply: The Liquidity Coverage Ratio shall at all times be no less than (i) for the period commencing on the Effective Date through and including June 29, 2024, 1.10 to 1.00, and</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June 30, 2024 through but excluding March 31, 2025, 1.20 to 1.00, in each case, tested on the last day of each fiscal quarter.</w:t>
      </w:r>
    </w:p>
    <w:p>
      <w:pPr>
        <w:spacing w:after="0" w:line="164" w:lineRule="exact"/>
        <w:rPr>
          <w:rFonts w:ascii="Times New Roman" w:cs="Times New Roman" w:eastAsia="Times New Roman" w:hAnsi="Times New Roman"/>
          <w:sz w:val="18"/>
          <w:szCs w:val="18"/>
          <w:color w:val="auto"/>
        </w:rPr>
      </w:pPr>
    </w:p>
    <w:p>
      <w:pPr>
        <w:ind w:left="1960" w:right="140" w:firstLine="640"/>
        <w:spacing w:after="0" w:line="237" w:lineRule="auto"/>
        <w:tabs>
          <w:tab w:leader="none" w:pos="3250"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including March 31, 2025 and at all times thereafter, the following financial covenants shall apply: Total EBITDA Net Leverage Ratio shall not exceed 2.50 to 1.00, tested on the last day of each fiscal quarter;</w:t>
      </w:r>
    </w:p>
    <w:p>
      <w:pPr>
        <w:spacing w:after="0" w:line="168"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6.11.</w:t>
        <w:tab/>
        <w:t>Subsidiary Matters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304"/>
        <w:spacing w:after="0" w:line="212" w:lineRule="auto"/>
        <w:tabs>
          <w:tab w:leader="none" w:pos="194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thirty (30) days after such time as (a) a Loan Party or any of its Subsidiaries forms or acquires any direct or indirect Subsidiary (other than an MSB Subsidiary), or if any Subsidiary ceases to qualify as an Excluded Subsidiary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defined term “Excluded Subsidiary”, Borrower Representative shall notify Agent thereof, and shall provide such details as Agent may reasonably request, and at the request of Agent, shall cause such Subsidiary to (x) enter into a joinder to this Agreement to become a co-borrower hereunder, or enter into a Guaranty with respect to the Obligations, together with such collateral security documents and related filings, all in form and substance satisfactory to Agent and sufficient to grant Agent a first priority Lien (subject to Permitted Liens) in and to all assets of such Subsidiary, (y) promptly, and in any event within five</w:t>
      </w:r>
    </w:p>
    <w:p>
      <w:pPr>
        <w:spacing w:after="0" w:line="2" w:lineRule="exact"/>
        <w:rPr>
          <w:rFonts w:ascii="Times New Roman" w:cs="Times New Roman" w:eastAsia="Times New Roman" w:hAnsi="Times New Roman"/>
          <w:sz w:val="18"/>
          <w:szCs w:val="18"/>
          <w:color w:val="auto"/>
        </w:rPr>
      </w:pPr>
    </w:p>
    <w:p>
      <w:pPr>
        <w:jc w:val="both"/>
        <w:ind w:firstLine="8"/>
        <w:spacing w:after="0" w:line="215" w:lineRule="auto"/>
        <w:tabs>
          <w:tab w:leader="none" w:pos="2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the formation or acquisition or Agent’s request, provide certified copies of the Operating Documents for such Subsidiary and (z) provide to Agent all other documentation in form and substance satisfactory to Agent, including one or more opinions of counsel satisfactory to Agent, which in its opinion is appropriate with respect to the execution and delivery of such joinder, guaranty or security documents. Any document, agreement, or instrument executed or issued pursuant to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be a Loan Document. Notwithstanding the foregoing, any Excluded Subsidiary shall not be required to become a Loan Party pursuant to the foregoing, subject to any conditions applicable thereto set forth in the defined term “Excluded Subsidiary”.</w:t>
      </w:r>
    </w:p>
    <w:p>
      <w:pPr>
        <w:spacing w:after="0" w:line="173"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permit Subsidiaries which are not Loan Parties (including all MSB Subsidiaries), together, (i) to maintain cash and other assets having an aggregate value in excess of ten percent (10.0%) of consolidated assets of Borrower Representative, and its Subsidiaries, on a consolidated basis (provided that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4"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through and including June 29, 2024, the foregoing limit shall be increased to twenty percent (20%)), and each such Subsidiary, individually,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maintain cash and other assets having an aggregate value in excess of five percent (5.0%) of consolidated assets of Borrower Representative, and its Subsidiaries, on a consolidated basis (provided that for the period through and including June 29, 2024, the foregoing limit shall be increased, with respect to Expensify Ltd. to ten (10%)), in each case, tested as of the last day of each fiscal quarter, provided that, for purposes of the foregoing, (x) the assets of</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the Real Estate SPV, (y) with respect to MSB Subsidiaries, any customer held funds, funds held by FBO customers and any funds held in trust as required by banking partners shall be disregarded, and (z) any assets or liabilities constituting intercompany loans or balances shall be disregarded, (ii) to contribute more than ten percent (10.0%) to consolidated revenue of Borrower Representative and its Subsidiaries consolidated revenue or EBITDA, and each such Subsidiary, individually, not contribute more than five percent (5.0%) to consolidated revenue of Borrower Representative and its Subsidiaries consolidated</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revenue or EBITDA, in each case, tested on a quarterly basis for the then-most recent quarter, provided that for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revenue arising from intercompany transactions shall be disregarded, or (iii) to own any Intellectual Property that is material to the business of Borrower Representative and its Subsidiaries as a whole.</w:t>
      </w:r>
    </w:p>
    <w:p>
      <w:pPr>
        <w:spacing w:after="0" w:line="172" w:lineRule="exact"/>
        <w:rPr>
          <w:sz w:val="20"/>
          <w:szCs w:val="20"/>
          <w:color w:val="auto"/>
        </w:rPr>
      </w:pPr>
    </w:p>
    <w:p>
      <w:pPr>
        <w:jc w:val="both"/>
        <w:ind w:firstLine="1304"/>
        <w:spacing w:after="0" w:line="214" w:lineRule="auto"/>
        <w:tabs>
          <w:tab w:leader="none" w:pos="194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each MSB Subsidiary to (i) not conduct any business or have any operations except as necessary to maintain legal existence, maintain money transmitter licenses and other activities ancillary thereto (including, but not limited to, the transmission of funds on behalf of Borrower or its customers), (ii) have no material assets except for (x) proceeds from Investments made in accordance with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in the defined term “Permitted Investments”, which are maintained as restricted cash in connection with money transmitter licenses, or funds held in a trust account on behalf of customers, and (y) money transmitter licenses, (iv) not have any revenue, provided that the foregoing shall not restrict such MSB Subsidiary from contributing to revenue generation by a Borrower and (v) not have any Subsidiaries. No Loan Party shall guaranty or otherwise be liable for or provide collateral security or other credit support for Indebtedness of an MSB Subsidiary, and no MSB Subsidiary shall guaranty or otherwise be liable for or provide collateral security or other credit support for Indebtedness of a Loan Party, in each case, directly or indirectly. At Agent’s request, Borrower Representative shall provide evidence and supporting calculations satisfactory to Agent demonstrating compliance with the foregoing.</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7"/>
          <w:szCs w:val="17"/>
          <w:b w:val="1"/>
          <w:bCs w:val="1"/>
          <w:color w:val="auto"/>
        </w:rPr>
        <w:t>Property Locations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firstLine="1304"/>
        <w:spacing w:after="0" w:line="237" w:lineRule="auto"/>
        <w:tabs>
          <w:tab w:leader="none" w:pos="19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Agent at least ten (10) days’ prior written notice before adding any new offices or business or Collateral locations, including warehouses (unless such new offices or business or Collateral locations qualify as Excluded Locations).</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property or assets of a Loan Party located with a third party, including a bailee, datacenter or warehouse (other than Excluded Locations), Borrowers shall cause such third party to execute and deliver a Collateral Access Agreement for such location, including an acknowledgment from each of the third parties that it is holding or will hold such property for the benefit of Agent. Borrowers shall deliver to Agent each warehouse receipt, where negotiable, covering any such property.</w:t>
      </w:r>
    </w:p>
    <w:p>
      <w:pPr>
        <w:spacing w:after="0" w:line="158" w:lineRule="exact"/>
        <w:rPr>
          <w:rFonts w:ascii="Times New Roman" w:cs="Times New Roman" w:eastAsia="Times New Roman" w:hAnsi="Times New Roman"/>
          <w:sz w:val="18"/>
          <w:szCs w:val="18"/>
          <w:color w:val="auto"/>
        </w:rPr>
      </w:pPr>
    </w:p>
    <w:p>
      <w:pPr>
        <w:ind w:firstLine="1304"/>
        <w:spacing w:after="0" w:line="237" w:lineRule="auto"/>
        <w:tabs>
          <w:tab w:leader="none" w:pos="19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property or assets of a Loan Party located on leased premises (other than Excluded Locations), Borrowers shall cause such third party to execute and deliver a Collateral Access Agreement for such location.</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6.13.</w:t>
      </w:r>
      <w:r>
        <w:rPr>
          <w:sz w:val="20"/>
          <w:szCs w:val="20"/>
          <w:color w:val="auto"/>
        </w:rPr>
        <w:tab/>
      </w:r>
      <w:r>
        <w:rPr>
          <w:rFonts w:ascii="Times New Roman" w:cs="Times New Roman" w:eastAsia="Times New Roman" w:hAnsi="Times New Roman"/>
          <w:sz w:val="17"/>
          <w:szCs w:val="17"/>
          <w:color w:val="auto"/>
        </w:rPr>
        <w:t>[Reserved]</w:t>
      </w:r>
    </w:p>
    <w:p>
      <w:pPr>
        <w:spacing w:after="0" w:line="185" w:lineRule="exact"/>
        <w:rPr>
          <w:sz w:val="20"/>
          <w:szCs w:val="20"/>
          <w:color w:val="auto"/>
        </w:rPr>
      </w:pPr>
    </w:p>
    <w:p>
      <w:pPr>
        <w:ind w:right="20"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6.14. Sanctions; Anti-Corruption Laws; Anti-Money Laundering Laws</w:t>
      </w:r>
      <w:r>
        <w:rPr>
          <w:rFonts w:ascii="Times New Roman" w:cs="Times New Roman" w:eastAsia="Times New Roman" w:hAnsi="Times New Roman"/>
          <w:sz w:val="18"/>
          <w:szCs w:val="18"/>
          <w:color w:val="auto"/>
        </w:rPr>
        <w:t>. Comply and cause each of its Subsidiaries to comply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Sanctions, Anti-Corruption Laws and Anti-Money Laundering Laws. Each of the Loan Parties and its Subsidiaries shall implement and maintain</w:t>
      </w:r>
    </w:p>
    <w:p>
      <w:pPr>
        <w:spacing w:after="0" w:line="226" w:lineRule="auto"/>
        <w:rPr>
          <w:sz w:val="20"/>
          <w:szCs w:val="20"/>
          <w:color w:val="auto"/>
        </w:rPr>
      </w:pPr>
      <w:r>
        <w:rPr>
          <w:rFonts w:ascii="Times New Roman" w:cs="Times New Roman" w:eastAsia="Times New Roman" w:hAnsi="Times New Roman"/>
          <w:sz w:val="18"/>
          <w:szCs w:val="18"/>
          <w:color w:val="auto"/>
        </w:rPr>
        <w:t>in effect policies and procedures (including know-your-customer verifications) designed to ensure compliance by the Loan Parties and their Subsidiaries and their respective directors, officers, employees, agents and Affiliates with all Sanctions, Anti-Corruption Laws and Anti-Money Laundering Laws.</w:t>
      </w:r>
    </w:p>
    <w:p>
      <w:pPr>
        <w:spacing w:after="0" w:line="15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6.15. Further Assurances</w:t>
      </w:r>
      <w:r>
        <w:rPr>
          <w:rFonts w:ascii="Times New Roman" w:cs="Times New Roman" w:eastAsia="Times New Roman" w:hAnsi="Times New Roman"/>
          <w:sz w:val="18"/>
          <w:szCs w:val="18"/>
          <w:color w:val="auto"/>
        </w:rPr>
        <w:t>. Execute any further instruments and take further action as Agent reasonably requests to perfect or continue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 in the Collateral or to effect the purposes of this Agreement.</w:t>
      </w:r>
    </w:p>
    <w:p>
      <w:pPr>
        <w:spacing w:after="0" w:line="141"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Borrower shall, or shall cause or permit any of its Subsidiaries to, do any of the following:</w:t>
      </w:r>
    </w:p>
    <w:p>
      <w:pPr>
        <w:spacing w:after="0" w:line="19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7.1. Dispositions</w:t>
      </w:r>
      <w:r>
        <w:rPr>
          <w:rFonts w:ascii="Times New Roman" w:cs="Times New Roman" w:eastAsia="Times New Roman" w:hAnsi="Times New Roman"/>
          <w:sz w:val="18"/>
          <w:szCs w:val="18"/>
          <w:color w:val="auto"/>
        </w:rPr>
        <w:t>. Convey, sell, lease, transfer, assign, or otherwise dispose of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all or any part of its business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except for Permitted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4"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b w:val="1"/>
          <w:bCs w:val="1"/>
          <w:color w:val="auto"/>
        </w:rPr>
        <w:t>Changes in Business, Management, Ownership, or Business Locations</w:t>
      </w:r>
      <w:r>
        <w:rPr>
          <w:rFonts w:ascii="Times New Roman" w:cs="Times New Roman" w:eastAsia="Times New Roman" w:hAnsi="Times New Roman"/>
          <w:sz w:val="18"/>
          <w:szCs w:val="18"/>
          <w:color w:val="auto"/>
        </w:rPr>
        <w:t>. (a) Engage in any business in any material respect other than</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businesses currently engaged in by such Person, as applicable, or reasonably related or complementary thereto, except that Borrower shall cease any portion of its business related to Investments in other companies; (b) cease doing business, or liquidate or dissolve; or (c) fail to provide notice to Agent of any Key Person departing from or ceasing to be employed by Borrower within ten (10) days after such departure or change; (d) permit or suffer a Change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 Control, (e) without at least ten (10) days prior written notice to Agent, add any new offices or business locations, including warehouses (unless such new offices or business locations already qualifies as a Permitted Location), (f) without at least ten (10) days prior written notice to Agent (i) change its jurisdiction of organization, (ii) change its organizational structure or type, (iii) change its legal name, or (iv) change its organizational number (if any) assigned by its jurisdiction of organization or (g) without at least thirty (30) days prior written notice to Agent, permit any Loan Party to become an MSB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7.3. Mergers or Acquisitions</w:t>
      </w:r>
      <w:r>
        <w:rPr>
          <w:rFonts w:ascii="Times New Roman" w:cs="Times New Roman" w:eastAsia="Times New Roman" w:hAnsi="Times New Roman"/>
          <w:sz w:val="18"/>
          <w:szCs w:val="18"/>
          <w:color w:val="auto"/>
        </w:rPr>
        <w:t>. Merge or consolidate to merge or consolidate, with any other Person, or acquire, or permit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to acquire, all or substantially all of the capital stock or property of another Person (including, without limitation, by the formation of any</w:t>
      </w:r>
    </w:p>
    <w:p>
      <w:pPr>
        <w:jc w:val="both"/>
        <w:spacing w:after="0" w:line="226" w:lineRule="auto"/>
        <w:rPr>
          <w:sz w:val="20"/>
          <w:szCs w:val="20"/>
          <w:color w:val="auto"/>
        </w:rPr>
      </w:pPr>
      <w:r>
        <w:rPr>
          <w:rFonts w:ascii="Times New Roman" w:cs="Times New Roman" w:eastAsia="Times New Roman" w:hAnsi="Times New Roman"/>
          <w:sz w:val="18"/>
          <w:szCs w:val="18"/>
          <w:color w:val="auto"/>
        </w:rPr>
        <w:t>Subsidiary) or enter into any agreement to do any of the same, provided, that a Subsidiary may merge or consolidate into another Subsidiary or into a Borrower.</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Create, incur, assume, or be liable for any Indebtedness, other than Permitted Indebtedness.</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7.5. Encumbrance</w:t>
      </w:r>
      <w:r>
        <w:rPr>
          <w:rFonts w:ascii="Times New Roman" w:cs="Times New Roman" w:eastAsia="Times New Roman" w:hAnsi="Times New Roman"/>
          <w:sz w:val="18"/>
          <w:szCs w:val="18"/>
          <w:color w:val="auto"/>
        </w:rPr>
        <w:t>. Create, incur, allow, or suffer any Lien on any of its property, or assign or convey any right to receive income,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sale of any Accounts, or permit any of its Subsidiaries to do so, except for Permitted Liens permitted to have priority over the security interest granted to Agent hereunder, permit any Collateral not to be subject to the first priority security interest granted herein.</w:t>
      </w:r>
    </w:p>
    <w:p>
      <w:pPr>
        <w:spacing w:after="0" w:line="16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7.6. Maintenance of Collateral Accounts</w:t>
      </w:r>
      <w:r>
        <w:rPr>
          <w:rFonts w:ascii="Times New Roman" w:cs="Times New Roman" w:eastAsia="Times New Roman" w:hAnsi="Times New Roman"/>
          <w:sz w:val="18"/>
          <w:szCs w:val="18"/>
          <w:color w:val="auto"/>
        </w:rPr>
        <w:t>. Maintain any Collateral Account except pursuant to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aggregate balance of Collateral Accounts not subject to Account Control Agreements to exceed the amounts permitted by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7.7.</w:t>
      </w:r>
      <w:r>
        <w:rPr>
          <w:sz w:val="20"/>
          <w:szCs w:val="20"/>
          <w:color w:val="auto"/>
        </w:rPr>
        <w:tab/>
      </w:r>
      <w:r>
        <w:rPr>
          <w:rFonts w:ascii="Times New Roman" w:cs="Times New Roman" w:eastAsia="Times New Roman" w:hAnsi="Times New Roman"/>
          <w:sz w:val="18"/>
          <w:szCs w:val="18"/>
          <w:b w:val="1"/>
          <w:bCs w:val="1"/>
          <w:color w:val="auto"/>
        </w:rPr>
        <w:t>Distributions; Investments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1940" w:hanging="636"/>
        <w:spacing w:after="0"/>
        <w:tabs>
          <w:tab w:leader="none" w:pos="19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dividends or make any distribution or payment or redeem, retire or purchase any Equity Interests provided that</w:t>
      </w:r>
    </w:p>
    <w:p>
      <w:pPr>
        <w:spacing w:after="0" w:line="184" w:lineRule="exact"/>
        <w:rPr>
          <w:rFonts w:ascii="Times New Roman" w:cs="Times New Roman" w:eastAsia="Times New Roman" w:hAnsi="Times New Roman"/>
          <w:sz w:val="18"/>
          <w:szCs w:val="18"/>
          <w:color w:val="auto"/>
        </w:rPr>
      </w:pPr>
    </w:p>
    <w:p>
      <w:pPr>
        <w:ind w:left="1960" w:right="20" w:firstLine="640"/>
        <w:spacing w:after="0" w:line="231" w:lineRule="auto"/>
        <w:tabs>
          <w:tab w:leader="none" w:pos="32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convert any of its convertible Equity Interests (including warrants) into other Equity Interests issued by Borrower Representative pursuant to the terms of such convertible securities or otherwise in exchange thereof,</w:t>
      </w:r>
    </w:p>
    <w:p>
      <w:pPr>
        <w:spacing w:after="0" w:line="158" w:lineRule="exact"/>
        <w:rPr>
          <w:rFonts w:ascii="Times New Roman" w:cs="Times New Roman" w:eastAsia="Times New Roman" w:hAnsi="Times New Roman"/>
          <w:sz w:val="18"/>
          <w:szCs w:val="18"/>
          <w:color w:val="auto"/>
        </w:rPr>
      </w:pPr>
    </w:p>
    <w:p>
      <w:pPr>
        <w:ind w:left="1960" w:right="160" w:firstLine="640"/>
        <w:spacing w:after="0" w:line="231" w:lineRule="auto"/>
        <w:tabs>
          <w:tab w:leader="none" w:pos="324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convert Subordinated Debt issued by Borrower Representative into Equity Interests issued by Borrower Representative pursuant to the terms of such Subordinated Debt and to the extent permitted under the terms of the applicable subordination or intercreditor agreement with Agent;</w:t>
      </w:r>
    </w:p>
    <w:p>
      <w:pPr>
        <w:spacing w:after="0" w:line="15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pay dividends solely in Equity Interests of Borrower Representative,</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make cash payments in lieu of fractional shares;</w:t>
      </w:r>
    </w:p>
    <w:p>
      <w:pPr>
        <w:spacing w:after="0" w:line="198" w:lineRule="exact"/>
        <w:rPr>
          <w:rFonts w:ascii="Times New Roman" w:cs="Times New Roman" w:eastAsia="Times New Roman" w:hAnsi="Times New Roman"/>
          <w:sz w:val="18"/>
          <w:szCs w:val="18"/>
          <w:color w:val="auto"/>
        </w:rPr>
      </w:pPr>
    </w:p>
    <w:p>
      <w:pPr>
        <w:ind w:left="1960" w:right="80" w:firstLine="640"/>
        <w:spacing w:after="0" w:line="217" w:lineRule="auto"/>
        <w:tabs>
          <w:tab w:leader="none" w:pos="325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repurchase the Equity Interests issued by Borrower Representative pursuant to stock repurchase agreements approved by Borrower Representative’s Board, provided that, (i) no Default or Event of Default shall exist at the time of such repurchase and result therefrom, (ii) the aggregate amount of all such repurchases does not exceed the Permitted Repurchase Amount; (iii) Borrower Representative shall have delivered calculations certified by a Responsible Officer demonstrating pro forma financial covenant compliance after giving effect to the proposed repurchase and confirming the Permitted Repurchase Amount, (iv) each Loan Party shall be solvent after giving effect to such repurchase, and (v) any such repurchase shall be made in accordance with applicable laws.</w:t>
      </w:r>
    </w:p>
    <w:p>
      <w:pPr>
        <w:spacing w:after="0" w:line="161" w:lineRule="exact"/>
        <w:rPr>
          <w:rFonts w:ascii="Times New Roman" w:cs="Times New Roman" w:eastAsia="Times New Roman" w:hAnsi="Times New Roman"/>
          <w:sz w:val="18"/>
          <w:szCs w:val="18"/>
          <w:color w:val="auto"/>
        </w:rPr>
      </w:pPr>
    </w:p>
    <w:p>
      <w:pPr>
        <w:ind w:left="1960" w:right="180" w:firstLine="640"/>
        <w:spacing w:after="0" w:line="231" w:lineRule="auto"/>
        <w:tabs>
          <w:tab w:leader="none" w:pos="324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retire certain shares of its common stock otherwise issuable (A) upon conversion of restricted stock unit awards and (B) pursuant to its stock purchase and matching plan, in an aggregate amount of $2,500,000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04" w:right="339" w:bottom="1440" w:gutter="0" w:footer="0" w:header="0"/>
        </w:sectPr>
      </w:pPr>
    </w:p>
    <w:bookmarkStart w:id="163" w:name="page164"/>
    <w:bookmarkEnd w:id="16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consecutive twelve (12) month period to satisfy certain tax obligations with respect to such restricted stock unit awards or shares</w:t>
      </w:r>
    </w:p>
    <w:p>
      <w:pPr>
        <w:spacing w:after="0" w:line="2" w:lineRule="exact"/>
        <w:rPr>
          <w:sz w:val="20"/>
          <w:szCs w:val="20"/>
          <w:color w:val="auto"/>
        </w:rPr>
      </w:pPr>
    </w:p>
    <w:p>
      <w:pPr>
        <w:ind w:left="1960" w:right="160"/>
        <w:spacing w:after="0" w:line="218" w:lineRule="auto"/>
        <w:rPr>
          <w:sz w:val="20"/>
          <w:szCs w:val="20"/>
          <w:color w:val="auto"/>
        </w:rPr>
      </w:pPr>
      <w:r>
        <w:rPr>
          <w:rFonts w:ascii="Times New Roman" w:cs="Times New Roman" w:eastAsia="Times New Roman" w:hAnsi="Times New Roman"/>
          <w:sz w:val="18"/>
          <w:szCs w:val="18"/>
          <w:color w:val="auto"/>
        </w:rPr>
        <w:t>owing by the applicable employee, provided that no Default or Event of Default shall exist or result from such retirement of shares and subject to pro forma financial covenant compliance, as confirmed by calculations certified by a Responsible Officer and delivered concurrently with such repurchase, or</w:t>
      </w:r>
    </w:p>
    <w:p>
      <w:pPr>
        <w:spacing w:after="0" w:line="172" w:lineRule="exact"/>
        <w:rPr>
          <w:sz w:val="20"/>
          <w:szCs w:val="20"/>
          <w:color w:val="auto"/>
        </w:rPr>
      </w:pPr>
    </w:p>
    <w:p>
      <w:pPr>
        <w:ind w:firstLine="1304"/>
        <w:spacing w:after="0" w:line="237" w:lineRule="auto"/>
        <w:tabs>
          <w:tab w:leader="none" w:pos="193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make or solicit any Investment (including, without limitation, by the formation of any Subsidiary), other than Permitted Investments.</w:t>
      </w:r>
    </w:p>
    <w:p>
      <w:pPr>
        <w:spacing w:after="0" w:line="15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7.8. Transactions with Affiliates</w:t>
      </w:r>
      <w:r>
        <w:rPr>
          <w:rFonts w:ascii="Times New Roman" w:cs="Times New Roman" w:eastAsia="Times New Roman" w:hAnsi="Times New Roman"/>
          <w:sz w:val="18"/>
          <w:szCs w:val="18"/>
          <w:color w:val="auto"/>
        </w:rPr>
        <w:t>. Directly or indirectly enter into or permit to exist any material transaction with any Affiliate of a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except for (a) transactions that are in the Ordinary Course of Business and on fair and reasonable terms that are no less favorable to such Person than</w:t>
      </w:r>
    </w:p>
    <w:p>
      <w:pPr>
        <w:jc w:val="both"/>
        <w:spacing w:after="0" w:line="218" w:lineRule="auto"/>
        <w:rPr>
          <w:sz w:val="20"/>
          <w:szCs w:val="20"/>
          <w:color w:val="auto"/>
        </w:rPr>
      </w:pPr>
      <w:r>
        <w:rPr>
          <w:rFonts w:ascii="Times New Roman" w:cs="Times New Roman" w:eastAsia="Times New Roman" w:hAnsi="Times New Roman"/>
          <w:sz w:val="18"/>
          <w:szCs w:val="18"/>
          <w:color w:val="auto"/>
        </w:rPr>
        <w:t>would be obtained in an arm’s length transaction with a non-affiliated Person; (b) bona fide rounds of Subordinated Debt or equity financing by investors in Borrower Representative for capital raising purposes, and (c) reasonable and customary director, officer and employee compensation and other customary benefits including retirement, health, stock option and other benefit plans and indemnification arrangements approved by Borrower Representative’s Board.</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7.9. Subordinated Debt</w:t>
      </w:r>
      <w:r>
        <w:rPr>
          <w:rFonts w:ascii="Times New Roman" w:cs="Times New Roman" w:eastAsia="Times New Roman" w:hAnsi="Times New Roman"/>
          <w:sz w:val="18"/>
          <w:szCs w:val="18"/>
          <w:color w:val="auto"/>
        </w:rPr>
        <w:t>. (a) Make or permit any payment on any Subordinated Debt, except under the terms of the subordination,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subordination thereof to the Obligations.</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7.10.</w:t>
        <w:tab/>
        <w:t>Reserved.</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7.11.</w:t>
      </w:r>
      <w:r>
        <w:rPr>
          <w:sz w:val="20"/>
          <w:szCs w:val="20"/>
          <w:color w:val="auto"/>
        </w:rPr>
        <w:tab/>
      </w:r>
      <w:r>
        <w:rPr>
          <w:rFonts w:ascii="Times New Roman" w:cs="Times New Roman" w:eastAsia="Times New Roman" w:hAnsi="Times New Roman"/>
          <w:sz w:val="17"/>
          <w:szCs w:val="17"/>
          <w:b w:val="1"/>
          <w:bCs w:val="1"/>
          <w:color w:val="auto"/>
        </w:rPr>
        <w:t>Compliance; Use of Proceeds</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jc w:val="both"/>
        <w:ind w:firstLine="1304"/>
        <w:spacing w:after="0" w:line="214" w:lineRule="auto"/>
        <w:tabs>
          <w:tab w:leader="none" w:pos="194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Effect,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a Loan Party or any of its Subsidiaries, including any liability to the Pension Benefit Guaranty Corporation or its successors or any other governmental agency.</w:t>
      </w:r>
    </w:p>
    <w:p>
      <w:pPr>
        <w:spacing w:after="0" w:line="17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proceeds of the Credit Extensions, directly or indirectly, to fund any MSB Subsidiary.</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8.1.</w:t>
      </w:r>
      <w:r>
        <w:rPr>
          <w:sz w:val="20"/>
          <w:szCs w:val="20"/>
          <w:color w:val="auto"/>
        </w:rPr>
        <w:tab/>
      </w:r>
      <w:r>
        <w:rPr>
          <w:rFonts w:ascii="Times New Roman" w:cs="Times New Roman" w:eastAsia="Times New Roman" w:hAnsi="Times New Roman"/>
          <w:sz w:val="17"/>
          <w:szCs w:val="17"/>
          <w:b w:val="1"/>
          <w:bCs w:val="1"/>
          <w:color w:val="auto"/>
        </w:rPr>
        <w:t>Payment Default</w:t>
      </w:r>
      <w:r>
        <w:rPr>
          <w:rFonts w:ascii="Times New Roman" w:cs="Times New Roman" w:eastAsia="Times New Roman" w:hAnsi="Times New Roman"/>
          <w:sz w:val="17"/>
          <w:szCs w:val="17"/>
          <w:color w:val="auto"/>
        </w:rPr>
        <w:t>. Any Loan Party fails to pay any Obligations after such Obligations are due and payable.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8.2.</w:t>
      </w:r>
      <w:r>
        <w:rPr>
          <w:sz w:val="20"/>
          <w:szCs w:val="20"/>
          <w:color w:val="auto"/>
        </w:rPr>
        <w:tab/>
      </w:r>
      <w:r>
        <w:rPr>
          <w:rFonts w:ascii="Times New Roman" w:cs="Times New Roman" w:eastAsia="Times New Roman" w:hAnsi="Times New Roman"/>
          <w:sz w:val="17"/>
          <w:szCs w:val="17"/>
          <w:b w:val="1"/>
          <w:bCs w:val="1"/>
          <w:color w:val="auto"/>
        </w:rPr>
        <w:t>Covenant Default</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 xml:space="preserve">A Borrower fails or neglects to perform any obligation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or violates any covenant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or</w:t>
      </w:r>
    </w:p>
    <w:p>
      <w:pPr>
        <w:spacing w:after="0" w:line="165" w:lineRule="exact"/>
        <w:rPr>
          <w:sz w:val="20"/>
          <w:szCs w:val="20"/>
          <w:color w:val="auto"/>
        </w:rPr>
      </w:pPr>
    </w:p>
    <w:p>
      <w:pPr>
        <w:jc w:val="both"/>
        <w:ind w:firstLine="1304"/>
        <w:spacing w:after="0" w:line="231" w:lineRule="auto"/>
        <w:tabs>
          <w:tab w:leader="none" w:pos="19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Loan Party fails or neglects to perform, keep, or observe any other term, provision, condition, covenant or agreement contained in this Agreement or any Loan Documents, and as to any default (other than those specified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under such other term, provision, condition, covenant or agreement that can be cured, has failed to cure the default within fifteen (15) days after the occurrence thereof.</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8.3.</w:t>
      </w:r>
      <w:r>
        <w:rPr>
          <w:sz w:val="20"/>
          <w:szCs w:val="20"/>
          <w:color w:val="auto"/>
        </w:rPr>
        <w:tab/>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An event or circumstance has occurred which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04"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8.4.</w:t>
      </w:r>
      <w:r>
        <w:rPr>
          <w:sz w:val="20"/>
          <w:szCs w:val="20"/>
          <w:color w:val="auto"/>
        </w:rPr>
        <w:tab/>
      </w:r>
      <w:r>
        <w:rPr>
          <w:rFonts w:ascii="Times New Roman" w:cs="Times New Roman" w:eastAsia="Times New Roman" w:hAnsi="Times New Roman"/>
          <w:sz w:val="17"/>
          <w:szCs w:val="17"/>
          <w:b w:val="1"/>
          <w:bCs w:val="1"/>
          <w:color w:val="auto"/>
        </w:rPr>
        <w:t>Attachment; Levy; Restraint on Business</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jc w:val="both"/>
        <w:ind w:firstLine="1304"/>
        <w:spacing w:after="0" w:line="224" w:lineRule="auto"/>
        <w:tabs>
          <w:tab w:leader="none" w:pos="194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service of process seeking to attach, by trustee or similar process, any funds of a Loan Party or of any of its Subsidiaries, or (ii) a notice of Lien or levy is filed against the assets of any Loan Party or any of its Subsidiaries by any Governmental Authority, and the same under </w:t>
      </w:r>
      <w:r>
        <w:rPr>
          <w:rFonts w:ascii="Times New Roman" w:cs="Times New Roman" w:eastAsia="Times New Roman" w:hAnsi="Times New Roman"/>
          <w:sz w:val="18"/>
          <w:szCs w:val="18"/>
          <w:u w:val="single" w:color="auto"/>
          <w:color w:val="auto"/>
        </w:rPr>
        <w:t>clauses (i) and (ii)</w:t>
      </w:r>
      <w:r>
        <w:rPr>
          <w:rFonts w:ascii="Times New Roman" w:cs="Times New Roman" w:eastAsia="Times New Roman" w:hAnsi="Times New Roman"/>
          <w:sz w:val="18"/>
          <w:szCs w:val="18"/>
          <w:color w:val="auto"/>
        </w:rPr>
        <w:t xml:space="preserve"> hereof are not, within ten (10) days after the occurrence thereof, discharged or stayed (whether through the posting of a bond or otherwise); provided, however, no Credit Extensions shall be made during any ten (10) day cure period; or</w:t>
      </w:r>
    </w:p>
    <w:p>
      <w:pPr>
        <w:spacing w:after="0" w:line="158"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the assets of a Loan Party or any of its Subsidiaries is attached, seized, levied on, or comes into possession of a trustee or receiver, or (ii) any court order enjoins, restrains, or prevents a Loan Party or any of its Subsidiaries from conducting all or any material part of its business.</w:t>
      </w:r>
    </w:p>
    <w:p>
      <w:pPr>
        <w:spacing w:after="0" w:line="16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8.5. Insolvency</w:t>
      </w:r>
      <w:r>
        <w:rPr>
          <w:rFonts w:ascii="Times New Roman" w:cs="Times New Roman" w:eastAsia="Times New Roman" w:hAnsi="Times New Roman"/>
          <w:sz w:val="18"/>
          <w:szCs w:val="18"/>
          <w:color w:val="auto"/>
        </w:rPr>
        <w:t>. (a) A Loan Party or any of its Subsidiaries, as a whole, is unable to pay its debts (including trade debts) as they become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realizable value of the Loan Parties’ assets is less than the aggregate sum of its liabilities, or the Loan Parties otherwise become insolvent; (b) a Loan Party or any of its Subsidiaries begins an Insolvency Proceeding; or (c) an Insolvency Proceeding is begun against a Loan Party or any of its Subsidiaries</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and is not dismissed or stayed within forty-five (45) days (but no Credit Extensions shall be made while any of the conditions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exist and/or until any Insolvency Proceeding is dismissed).</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8.6.</w:t>
      </w:r>
      <w:r>
        <w:rPr>
          <w:sz w:val="20"/>
          <w:szCs w:val="20"/>
          <w:color w:val="auto"/>
        </w:rPr>
        <w:tab/>
      </w:r>
      <w:r>
        <w:rPr>
          <w:rFonts w:ascii="Times New Roman" w:cs="Times New Roman" w:eastAsia="Times New Roman" w:hAnsi="Times New Roman"/>
          <w:sz w:val="18"/>
          <w:szCs w:val="18"/>
          <w:b w:val="1"/>
          <w:bCs w:val="1"/>
          <w:color w:val="auto"/>
        </w:rPr>
        <w:t>Other Agreements</w:t>
      </w:r>
      <w:r>
        <w:rPr>
          <w:rFonts w:ascii="Times New Roman" w:cs="Times New Roman" w:eastAsia="Times New Roman" w:hAnsi="Times New Roman"/>
          <w:sz w:val="18"/>
          <w:szCs w:val="18"/>
          <w:color w:val="auto"/>
        </w:rPr>
        <w:t>. There is, under any agreement to which a Loan Party or any of its Subsidiaries is a party with a third party or parties,</w:t>
      </w:r>
    </w:p>
    <w:p>
      <w:pPr>
        <w:spacing w:after="0" w:line="6" w:lineRule="exact"/>
        <w:rPr>
          <w:sz w:val="20"/>
          <w:szCs w:val="20"/>
          <w:color w:val="auto"/>
        </w:rPr>
      </w:pPr>
    </w:p>
    <w:p>
      <w:pPr>
        <w:jc w:val="both"/>
        <w:ind w:firstLine="8"/>
        <w:spacing w:after="0" w:line="214" w:lineRule="auto"/>
        <w:tabs>
          <w:tab w:leader="none" w:pos="26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resulting in a right by such third party or parties, whether or not exercised, to accelerate the maturity of any Indebtedness in an amount individually or in the aggregate in excess of One Hundred Thousand Dollars ($100,000) (except if such third party is restricted from accelerating the maturity of such Indebtedness, including pursuant to the terms of a subordination or similar agreement in favor of Agent); or (b) any breach or default by a Loan Party or a Subsidiary of such Loan Party, the result of which could have a Material Adverse Effect. Notwithstanding the foregoing, if there is a non-monetary default under the Real Estate Loan Facility or any documents entered into pursuant thereto, such non-monetary default shall not entitle Agent to exercise its remedies under the Agreement with respect to such non-monetary default, unless the same also constitutes an Event of Default under the Agreement.</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8.7. Judgments; Penalties</w:t>
      </w:r>
      <w:r>
        <w:rPr>
          <w:rFonts w:ascii="Times New Roman" w:cs="Times New Roman" w:eastAsia="Times New Roman" w:hAnsi="Times New Roman"/>
          <w:sz w:val="18"/>
          <w:szCs w:val="18"/>
          <w:color w:val="auto"/>
        </w:rPr>
        <w:t>. One or more fines, penalties or final judgments, orders or decrees for the payment of money in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of at least Five Hundred Thousand Dollars ($500,000) shall be rendered against a Loan Party or any of its Subsidiaries by</w:t>
      </w:r>
    </w:p>
    <w:p>
      <w:pPr>
        <w:jc w:val="both"/>
        <w:spacing w:after="0" w:line="218" w:lineRule="auto"/>
        <w:rPr>
          <w:sz w:val="20"/>
          <w:szCs w:val="20"/>
          <w:color w:val="auto"/>
        </w:rPr>
      </w:pPr>
      <w:r>
        <w:rPr>
          <w:rFonts w:ascii="Times New Roman" w:cs="Times New Roman" w:eastAsia="Times New Roman" w:hAnsi="Times New Roman"/>
          <w:sz w:val="18"/>
          <w:szCs w:val="18"/>
          <w:color w:val="auto"/>
        </w:rPr>
        <w:t>any Governmental Authority, and the same are not, within ten (10) days after the entry, assessment or issuance thereof, vacated, or after execution thereof, stayed or bonded pending appeal, or such judgments are not vacated prior to the expiration of any such stay (provided that no Credit Extensions will be made prior to the such judgment, order or degree being vacated, stayed or bonded).</w:t>
      </w:r>
    </w:p>
    <w:p>
      <w:pPr>
        <w:spacing w:after="0" w:line="168"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8.8. Misrepresentations</w:t>
      </w:r>
      <w:r>
        <w:rPr>
          <w:rFonts w:ascii="Times New Roman" w:cs="Times New Roman" w:eastAsia="Times New Roman" w:hAnsi="Times New Roman"/>
          <w:sz w:val="18"/>
          <w:szCs w:val="18"/>
          <w:color w:val="auto"/>
        </w:rPr>
        <w:t>. Any Loan Party or any Person acting for such Loan Party makes any representation, warranty, or other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later in this Agreement, any Loan Document or in any writing delivered to Agent or any other Secured Party or to induce any Secured Party to enter this Agreement or any Loan Document, and such representation, warranty, or other statement is incorrect in any material respect when made.</w:t>
      </w:r>
    </w:p>
    <w:p>
      <w:pPr>
        <w:spacing w:after="0" w:line="16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8.9. Subordinated Debt</w:t>
      </w:r>
      <w:r>
        <w:rPr>
          <w:rFonts w:ascii="Times New Roman" w:cs="Times New Roman" w:eastAsia="Times New Roman" w:hAnsi="Times New Roman"/>
          <w:sz w:val="18"/>
          <w:szCs w:val="18"/>
          <w:color w:val="auto"/>
        </w:rPr>
        <w:t>. Any Subordination Agreement governing any Subordinated Debt shall for any reason be revoked or invalidated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cease to be in full force and effect, any Person shall be in breach thereof or contest in any manner the validity or enforceability thereof or deny that it has any further obligation thereunder, or the Obligations shall for any reason not have the priority contemplated by this Agreement.</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8.10. Guaranty</w:t>
      </w:r>
      <w:r>
        <w:rPr>
          <w:rFonts w:ascii="Times New Roman" w:cs="Times New Roman" w:eastAsia="Times New Roman" w:hAnsi="Times New Roman"/>
          <w:sz w:val="18"/>
          <w:szCs w:val="18"/>
          <w:color w:val="auto"/>
        </w:rPr>
        <w:t>. (a) Any guaranty of any Obligations terminates or ceases for any reason to be in full force and effect; (b) any Guarantor 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perform any obligation or covenant under any guaranty of the Obligations; (c) any circumstance described in </w:t>
      </w:r>
      <w:r>
        <w:rPr>
          <w:rFonts w:ascii="Times New Roman" w:cs="Times New Roman" w:eastAsia="Times New Roman" w:hAnsi="Times New Roman"/>
          <w:sz w:val="18"/>
          <w:szCs w:val="18"/>
          <w:u w:val="single" w:color="auto"/>
          <w:color w:val="auto"/>
        </w:rPr>
        <w:t>Sections 8.4, 8.5, 8.6, 8.7, or 8.8</w:t>
      </w:r>
      <w:r>
        <w:rPr>
          <w:rFonts w:ascii="Times New Roman" w:cs="Times New Roman" w:eastAsia="Times New Roman" w:hAnsi="Times New Roman"/>
          <w:sz w:val="18"/>
          <w:szCs w:val="18"/>
          <w:color w:val="auto"/>
        </w:rPr>
        <w:t xml:space="preserve"> of this Agreement occurs with respect to any Guarantor, (d) the death, liquidation, winding up, or termination of existence of any Guarantor; or (e) a material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in the perfection or priority of Agent’s Lien in the collateral provided by Guarantor or in the value of such collateral;</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8.11. Governmental Approval</w:t>
      </w:r>
      <w:r>
        <w:rPr>
          <w:rFonts w:ascii="Times New Roman" w:cs="Times New Roman" w:eastAsia="Times New Roman" w:hAnsi="Times New Roman"/>
          <w:sz w:val="18"/>
          <w:szCs w:val="18"/>
          <w:color w:val="auto"/>
        </w:rPr>
        <w:t>. Any Governmental Approval shall have been revoked, rescinded, suspended, modified in an adverse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not renewed for a full term, and such revocation, rescission, suspension, modification or non-renewal has, or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04"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AND REMEDIES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b w:val="1"/>
          <w:bCs w:val="1"/>
          <w:color w:val="auto"/>
        </w:rPr>
        <w:t>Rights and Remedies</w:t>
      </w:r>
      <w:r>
        <w:rPr>
          <w:rFonts w:ascii="Times New Roman" w:cs="Times New Roman" w:eastAsia="Times New Roman" w:hAnsi="Times New Roman"/>
          <w:sz w:val="18"/>
          <w:szCs w:val="18"/>
          <w:color w:val="auto"/>
        </w:rPr>
        <w:t>. Upon the occurrence and during the continuance of an Event of Default, Agent may, or at the direction of</w:t>
      </w:r>
    </w:p>
    <w:p>
      <w:pPr>
        <w:spacing w:after="0"/>
        <w:rPr>
          <w:sz w:val="20"/>
          <w:szCs w:val="20"/>
          <w:color w:val="auto"/>
        </w:rPr>
      </w:pPr>
      <w:r>
        <w:rPr>
          <w:rFonts w:ascii="Times New Roman" w:cs="Times New Roman" w:eastAsia="Times New Roman" w:hAnsi="Times New Roman"/>
          <w:sz w:val="18"/>
          <w:szCs w:val="18"/>
          <w:color w:val="auto"/>
        </w:rPr>
        <w:t>Required Lenders, shall, without notice or demand, do any or all of the following:</w:t>
      </w:r>
    </w:p>
    <w:p>
      <w:pPr>
        <w:spacing w:after="0" w:line="165" w:lineRule="exact"/>
        <w:rPr>
          <w:sz w:val="20"/>
          <w:szCs w:val="20"/>
          <w:color w:val="auto"/>
        </w:rPr>
      </w:pPr>
    </w:p>
    <w:p>
      <w:pPr>
        <w:ind w:firstLine="1304"/>
        <w:spacing w:after="0" w:line="250" w:lineRule="auto"/>
        <w:tabs>
          <w:tab w:leader="none" w:pos="194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all Obligations immediately due and payable (but if an Event of Default described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occurs all Obligations are immediately due and payable without any action by Agent or any other Secured Party);</w:t>
      </w:r>
    </w:p>
    <w:p>
      <w:pPr>
        <w:spacing w:after="0" w:line="14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advancing money or extending credit for any Borrower’s benefit under this Agreement;</w:t>
      </w:r>
    </w:p>
    <w:p>
      <w:pPr>
        <w:spacing w:after="0" w:line="184"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amount of, demand payment of and performance under, and collect any Accounts and General Intangibles, settle or adjust disputes and claims directly with Account Debtors for amounts on terms and in any order that Agent considers advisable, and notify any Person owing a Borrower money of Agent’s security interest in such funds;</w:t>
      </w:r>
    </w:p>
    <w:p>
      <w:pPr>
        <w:spacing w:after="0" w:line="158"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Borrowers shall assemble the Collateral if Agent requests and make it available as Agent designates. Agent may enter premises where the Collateral is located, take and maintain possession of any part of the Collateral, and pay, purchase, contest, or compromise any Lien which appears to be prior or superior to its security interest and pay all expenses incurred. Each Borrower grants Agent a license to enter and occupy any of its premises, without charge, to exercise any of Agent’s rights or remedies;</w:t>
      </w:r>
    </w:p>
    <w:p>
      <w:pPr>
        <w:spacing w:after="0" w:line="17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4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advertise for sale, and sell the Collateral. Agent is hereby granted a non-exclusive, royalty-free license or other right to use, without charge, a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a Borrower’s rights under all licenses and all franchise agreements inure to Agent’s benefit;</w:t>
      </w:r>
    </w:p>
    <w:p>
      <w:pPr>
        <w:spacing w:after="0" w:line="158" w:lineRule="exact"/>
        <w:rPr>
          <w:rFonts w:ascii="Times New Roman" w:cs="Times New Roman" w:eastAsia="Times New Roman" w:hAnsi="Times New Roman"/>
          <w:sz w:val="18"/>
          <w:szCs w:val="18"/>
          <w:color w:val="auto"/>
        </w:rPr>
      </w:pPr>
    </w:p>
    <w:p>
      <w:pPr>
        <w:ind w:right="20" w:firstLine="1304"/>
        <w:spacing w:after="0" w:line="250" w:lineRule="auto"/>
        <w:tabs>
          <w:tab w:leader="none" w:pos="193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notice of exclusive control, any entitlement order, or other directions or instructions pursuant to any Account Control Agreement or similar agreements providing control of any Collateral;</w:t>
      </w:r>
    </w:p>
    <w:p>
      <w:pPr>
        <w:spacing w:after="0" w:line="14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any Borrower’s Books; and</w:t>
      </w:r>
    </w:p>
    <w:p>
      <w:pPr>
        <w:spacing w:after="0" w:line="184" w:lineRule="exact"/>
        <w:rPr>
          <w:rFonts w:ascii="Times New Roman" w:cs="Times New Roman" w:eastAsia="Times New Roman" w:hAnsi="Times New Roman"/>
          <w:sz w:val="18"/>
          <w:szCs w:val="18"/>
          <w:color w:val="auto"/>
        </w:rPr>
      </w:pPr>
    </w:p>
    <w:p>
      <w:pPr>
        <w:ind w:firstLine="1304"/>
        <w:spacing w:after="0" w:line="250" w:lineRule="auto"/>
        <w:tabs>
          <w:tab w:leader="none" w:pos="19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all rights and remedies available to Agent under the Loan Documents or at law or equity, including all remedies provided under the Code (including disposal of the Collateral pursuant to the terms thereof).</w:t>
      </w:r>
    </w:p>
    <w:p>
      <w:pPr>
        <w:spacing w:after="0" w:line="14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9.2. Power of Attorney</w:t>
      </w:r>
      <w:r>
        <w:rPr>
          <w:rFonts w:ascii="Times New Roman" w:cs="Times New Roman" w:eastAsia="Times New Roman" w:hAnsi="Times New Roman"/>
          <w:sz w:val="18"/>
          <w:szCs w:val="18"/>
          <w:color w:val="auto"/>
        </w:rPr>
        <w:t>. Each Borrower hereby irrevocably appoints Agent (and any of Agent’s partners, managers, officers, agents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as its lawful attorney-in-fact, with full power of substitution, exercisable upon the occurrence and during the continuance of an Event of</w:t>
      </w:r>
    </w:p>
    <w:p>
      <w:pPr>
        <w:jc w:val="both"/>
        <w:spacing w:after="0" w:line="220" w:lineRule="auto"/>
        <w:rPr>
          <w:sz w:val="20"/>
          <w:szCs w:val="20"/>
          <w:color w:val="auto"/>
        </w:rPr>
      </w:pPr>
      <w:r>
        <w:rPr>
          <w:rFonts w:ascii="Times New Roman" w:cs="Times New Roman" w:eastAsia="Times New Roman" w:hAnsi="Times New Roman"/>
          <w:sz w:val="17"/>
          <w:szCs w:val="17"/>
          <w:color w:val="auto"/>
        </w:rPr>
        <w:t>Default, to: (a) send requests for verification of Accounts or notify Account Debtors of Agent’s security interest and Liens in the Collateral; (b) endorse such Borrower’s name on any checks or other forms of payment or security; (c) sign such Borrower’s name on any invoice or bill of lading for any Account or drafts against Account Debtors schedules and assignments of Accounts, verifications of Accounts, and notices to Account Debtors; (d) settle and adjust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disputes and claims about the Accounts directly with Account Debtors, for amounts and on terms Agent determines reasonable; (e) make, settle, and adjust all claims under such Borrower’s insurance policies; (f) pay, contest or settle any Lien, charge, encumbrance, security interest, and adverse claim in or to the Collateral, or any judgment based thereon, or otherwise take any action to terminate or discharge the same; (g) transfer the Collateral into the name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Agent or a third party as the Code permits; and (h) dispose of the Collateral. Each Borrower further hereby appoints Agent (and any of Agent’s partners, managers, officers, agents or employees) as its lawful attorney-in-fact, with full power of substitution, regardless of whether or not an Event of Default has occurred or is continuing to: (i) sign such Borrower’s name on any documents and other Security Instruments necessary to perfect or continue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perfection of, or maintain the priority of, Agent’s security interest in the Collateral, (ii) execute and do all such assurances, acts and things which such Borrower is required, but fails to do under the covenants and provisions of the Loan Documents; (iii) take any and all such actions as Agent may reasonably determine to be necessary or advisable for the purpose of maintaining, preserving or protecting the Collateral or any of the rights, remedies,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powers or privileges of Agent under this Agreement or the other Loan Documents. Agent’s foregoing appointment as each Borrower’s attorney in fact, and all of Agent’s rights and powers, coupled with an interest, are irrevocable until all Obligations (other than contingent indemnification obligations as to which no claim has been asserted or is known to exist) have been fully repaid, in cash, and otherwise fully performed and all Commitments have been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0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b w:val="1"/>
          <w:bCs w:val="1"/>
          <w:color w:val="auto"/>
        </w:rPr>
        <w:t>Protective Payments</w:t>
      </w:r>
      <w:r>
        <w:rPr>
          <w:rFonts w:ascii="Times New Roman" w:cs="Times New Roman" w:eastAsia="Times New Roman" w:hAnsi="Times New Roman"/>
          <w:sz w:val="18"/>
          <w:szCs w:val="18"/>
          <w:color w:val="auto"/>
        </w:rPr>
        <w:t>. If a Borrower fails to obtain the insurance called for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fails to pay any premium thereon or fails to</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pay any other amount which such Borrower is obligated to pay under this Agreement or any other Loan Document or which may be required to preserve the Collateral, Agent may obtain such insurance or make such payment, and all amounts so paid by Agent are protective advances and immediately due and payable, bearing interest at the then highest rate applicable to the Obligations, and secured by the Collateral. Agent will make reasonable efforts to provide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Borrower Representative with notice of Agent obtaining such insurance at the time it is obtained or within a reasonable time thereafter. No payments by Agent are deemed an agreement to make similar payments in the future or shall constitute a waiver of any Event of Default.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8"/>
          <w:szCs w:val="18"/>
          <w:b w:val="1"/>
          <w:bCs w:val="1"/>
          <w:color w:val="auto"/>
        </w:rPr>
        <w:t>Agent’s Liability for Collateral</w:t>
      </w:r>
      <w:r>
        <w:rPr>
          <w:rFonts w:ascii="Times New Roman" w:cs="Times New Roman" w:eastAsia="Times New Roman" w:hAnsi="Times New Roman"/>
          <w:sz w:val="18"/>
          <w:szCs w:val="18"/>
          <w:color w:val="auto"/>
        </w:rPr>
        <w:t>. So long as Agent complies with reasonable secured lender practices regarding the safekeeping of the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Collateral in the possession or under the control of Agent, Agent shall not be liable or responsible for: (a) the safekeeping of the Collateral; (b) any loss or damage to the Collateral; (c) any diminution in the value of the Collateral; or (d) any act or default of any carrier, warehouseman, bailee, or other Person. Borrowers bear all risk of loss, damage or destruction of the Collateral.</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9.6. No Waiver; Remedies Cumulative</w:t>
      </w:r>
      <w:r>
        <w:rPr>
          <w:rFonts w:ascii="Times New Roman" w:cs="Times New Roman" w:eastAsia="Times New Roman" w:hAnsi="Times New Roman"/>
          <w:sz w:val="18"/>
          <w:szCs w:val="18"/>
          <w:color w:val="auto"/>
        </w:rPr>
        <w:t>. Any failure on the part of Agent or any other Secured Party, at any time or times, to require 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by each Borrower of any provision of this Agreement or any other Loan Document shall not waive, affect, or diminish any right of Secured Parties thereafter to demand strict performance and compliance herewith or therewith. No waiver hereunder shall be effective unless signed by the party</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granting the waiver and then is only effective for the specific instance and purpose for which it is given. The rights and remedies of Secured Parties under this Agreement and the other Loan Documents are cumulative. Agent has all rights and remedies as secured party provided under the Code, by law, or in equity. Any exercise of one right or remedy is not an election and shall not preclude Agent or any Secured Party from exercising any other remedy under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this Agreement or other remedy available at law or in equity, and any waiver of any Event of Default is not a continuing waiver. Any delay in exercising any remedy on the part of any Secured Party is not a waiver, election, or acquiescence.</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9.7. Demand Waiver</w:t>
      </w:r>
      <w:r>
        <w:rPr>
          <w:rFonts w:ascii="Times New Roman" w:cs="Times New Roman" w:eastAsia="Times New Roman" w:hAnsi="Times New Roman"/>
          <w:sz w:val="18"/>
          <w:szCs w:val="18"/>
          <w:color w:val="auto"/>
        </w:rPr>
        <w:t>. Each Borrower waives demand, notice of default or dishonor, notice of payment and nonpayment, notice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nonpayment at maturity, release, compromise, settlement, extension, or renewal of accounts, documents, instruments or chattel paper.</w:t>
      </w:r>
    </w:p>
    <w:p>
      <w:pPr>
        <w:spacing w:after="0" w:line="141"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notices, consents, requests, approvals, demands, or other communication by any party to this Agreement or any other Loan Document must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writing and shall be deemed to have been validly served, given, or delivered: (a) upon the earlier of actual receipt and three (3) Business Days after deposit in the U.S. mail, first class, registered or certified mail return receipt requested, with proper postage prepaid; (b) upon confirmation of receipt, when sent by electronic mail transmission; (c) one (1) Business Day after deposit with a reputable overnight courier with all charges prepaid; or (d) when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delivered, if hand-delivered by messenger, all of which shall be addressed to the party to be notified and sent to the address, or email address indicated below. Each party may change their respective mailing or electronic mail addresses by giving the other party written notice thereof in accordance with the terms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04"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If to Borrower:</w:t>
            </w: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Expensify, Inc.</w:t>
            </w:r>
          </w:p>
        </w:tc>
      </w:tr>
      <w:tr>
        <w:trPr>
          <w:trHeight w:val="216"/>
        </w:trPr>
        <w:tc>
          <w:tcPr>
            <w:tcW w:w="1740" w:type="dxa"/>
            <w:vAlign w:val="bottom"/>
          </w:tcPr>
          <w:p>
            <w:pPr>
              <w:spacing w:after="0"/>
              <w:rPr>
                <w:sz w:val="18"/>
                <w:szCs w:val="18"/>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401 SW 5th Avenue</w:t>
            </w:r>
          </w:p>
        </w:tc>
      </w:tr>
      <w:tr>
        <w:trPr>
          <w:trHeight w:val="216"/>
        </w:trPr>
        <w:tc>
          <w:tcPr>
            <w:tcW w:w="1740" w:type="dxa"/>
            <w:vAlign w:val="bottom"/>
          </w:tcPr>
          <w:p>
            <w:pPr>
              <w:spacing w:after="0"/>
              <w:rPr>
                <w:sz w:val="18"/>
                <w:szCs w:val="18"/>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Portland, OR 97204</w:t>
            </w:r>
          </w:p>
        </w:tc>
      </w:tr>
      <w:tr>
        <w:trPr>
          <w:trHeight w:val="216"/>
        </w:trPr>
        <w:tc>
          <w:tcPr>
            <w:tcW w:w="1740" w:type="dxa"/>
            <w:vAlign w:val="bottom"/>
          </w:tcPr>
          <w:p>
            <w:pPr>
              <w:spacing w:after="0"/>
              <w:rPr>
                <w:sz w:val="18"/>
                <w:szCs w:val="18"/>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8"/>
              </w:rPr>
              <w:t>Attn: Ryan Schaffer, Chief Financial Officer</w:t>
            </w:r>
          </w:p>
        </w:tc>
      </w:tr>
      <w:tr>
        <w:trPr>
          <w:trHeight w:val="234"/>
        </w:trPr>
        <w:tc>
          <w:tcPr>
            <w:tcW w:w="1740" w:type="dxa"/>
            <w:vAlign w:val="bottom"/>
          </w:tcPr>
          <w:p>
            <w:pPr>
              <w:spacing w:after="0"/>
              <w:rPr>
                <w:sz w:val="20"/>
                <w:szCs w:val="20"/>
                <w:color w:val="auto"/>
              </w:rPr>
            </w:pPr>
          </w:p>
        </w:tc>
        <w:tc>
          <w:tcPr>
            <w:tcW w:w="3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Email:</w:t>
            </w:r>
          </w:p>
        </w:tc>
      </w:tr>
    </w:tbl>
    <w:p>
      <w:pPr>
        <w:spacing w:after="0" w:line="200" w:lineRule="exact"/>
        <w:rPr>
          <w:sz w:val="20"/>
          <w:szCs w:val="20"/>
          <w:color w:val="auto"/>
        </w:rPr>
      </w:pPr>
    </w:p>
    <w:p>
      <w:pPr>
        <w:sectPr>
          <w:pgSz w:w="11900" w:h="16838" w:orient="portrait"/>
          <w:cols w:equalWidth="0" w:num="1">
            <w:col w:w="11240"/>
          </w:cols>
          <w:pgMar w:left="320" w:top="104" w:right="339" w:bottom="1440" w:gutter="0" w:footer="0" w:header="0"/>
        </w:sectPr>
      </w:pPr>
    </w:p>
    <w:p>
      <w:pPr>
        <w:spacing w:after="0" w:line="38" w:lineRule="exact"/>
        <w:rPr>
          <w:sz w:val="20"/>
          <w:szCs w:val="20"/>
          <w:color w:val="auto"/>
        </w:rPr>
      </w:pPr>
    </w:p>
    <w:p>
      <w:pPr>
        <w:ind w:left="1380"/>
        <w:spacing w:after="0" w:line="250" w:lineRule="auto"/>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Legal Strategy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Mission Street,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Andre Gharakhanian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3460" w:space="300"/>
            <w:col w:w="7480"/>
          </w:cols>
          <w:pgMar w:left="320" w:top="104" w:right="339" w:bottom="1440" w:gutter="0" w:footer="0" w:header="0"/>
          <w:type w:val="continuous"/>
        </w:sectPr>
      </w:pPr>
    </w:p>
    <w:p>
      <w:pPr>
        <w:spacing w:after="0" w:line="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If to Agent:</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for any borrowing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for all other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spacing w:after="0" w:line="250" w:lineRule="auto"/>
        <w:rPr>
          <w:sz w:val="20"/>
          <w:szCs w:val="20"/>
          <w:color w:val="auto"/>
        </w:rPr>
      </w:pPr>
      <w:r>
        <w:rPr>
          <w:rFonts w:ascii="Times New Roman" w:cs="Times New Roman" w:eastAsia="Times New Roman" w:hAnsi="Times New Roman"/>
          <w:sz w:val="18"/>
          <w:szCs w:val="18"/>
          <w:color w:val="auto"/>
        </w:rPr>
        <w:t>With a copy, not constituting notice, to:</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Canadian Imperial Bank of Commerce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Credit Processing Services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595 Bay Street, 7th floor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Toronto, Ontario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M5G 2C2</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e-mail: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Imperial Bank of Commerce</w:t>
      </w:r>
    </w:p>
    <w:p>
      <w:pPr>
        <w:ind w:left="40"/>
        <w:spacing w:after="0" w:line="237" w:lineRule="auto"/>
        <w:rPr>
          <w:sz w:val="20"/>
          <w:szCs w:val="20"/>
          <w:color w:val="auto"/>
        </w:rPr>
      </w:pPr>
      <w:r>
        <w:rPr>
          <w:rFonts w:ascii="Times New Roman" w:cs="Times New Roman" w:eastAsia="Times New Roman" w:hAnsi="Times New Roman"/>
          <w:sz w:val="18"/>
          <w:szCs w:val="18"/>
          <w:color w:val="auto"/>
        </w:rPr>
        <w:t>81 Bay Street, 10th Floor</w:t>
      </w:r>
    </w:p>
    <w:p>
      <w:pPr>
        <w:ind w:left="40"/>
        <w:spacing w:after="0" w:line="219" w:lineRule="auto"/>
        <w:rPr>
          <w:sz w:val="20"/>
          <w:szCs w:val="20"/>
          <w:color w:val="auto"/>
        </w:rPr>
      </w:pPr>
      <w:r>
        <w:rPr>
          <w:rFonts w:ascii="Times New Roman" w:cs="Times New Roman" w:eastAsia="Times New Roman" w:hAnsi="Times New Roman"/>
          <w:sz w:val="18"/>
          <w:szCs w:val="18"/>
          <w:color w:val="auto"/>
        </w:rPr>
        <w:t>Toronto, Ontario</w:t>
      </w:r>
    </w:p>
    <w:p>
      <w:pPr>
        <w:spacing w:after="0"/>
        <w:rPr>
          <w:sz w:val="20"/>
          <w:szCs w:val="20"/>
          <w:color w:val="auto"/>
        </w:rPr>
      </w:pPr>
      <w:r>
        <w:rPr>
          <w:rFonts w:ascii="Times New Roman" w:cs="Times New Roman" w:eastAsia="Times New Roman" w:hAnsi="Times New Roman"/>
          <w:sz w:val="18"/>
          <w:szCs w:val="18"/>
          <w:color w:val="auto"/>
        </w:rPr>
        <w:t>M5J 0E7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1001 Page Mill Road, Building 1</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Attn: Cynthia Bai</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3460" w:space="260"/>
            <w:col w:w="7520"/>
          </w:cols>
          <w:pgMar w:left="320" w:top="104" w:right="339" w:bottom="1440" w:gutter="0" w:footer="0" w:header="0"/>
          <w:type w:val="continuous"/>
        </w:sectPr>
      </w:pPr>
    </w:p>
    <w:p>
      <w:pPr>
        <w:spacing w:after="0" w:line="197" w:lineRule="exact"/>
        <w:rPr>
          <w:sz w:val="20"/>
          <w:szCs w:val="20"/>
          <w:color w:val="auto"/>
        </w:rPr>
      </w:pPr>
    </w:p>
    <w:p>
      <w:pPr>
        <w:ind w:left="1280" w:hanging="624"/>
        <w:spacing w:after="0"/>
        <w:tabs>
          <w:tab w:leader="none" w:pos="12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JURY TRIAL WAIVER, AND JUDICIAL REFERENCE</w:t>
      </w:r>
    </w:p>
    <w:p>
      <w:pPr>
        <w:spacing w:after="0" w:line="18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 xml:space="preserve">Except as otherwise expressly provided in any of the Loan Documents, this Agreement and the other Loan Documents shall be governed by, and construed in accordance with, the laws of the State of New York without regard to principles of conflicts of law. Each Borrower hereby submits to the exclusive jurisdiction of the State and Federal courts in New York County, City of New York,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Agreement shall be deemed to operate to preclude any Secured Party from bringing suit or taking other legal action in any other jurisdiction to realize on the Collateral or any other security for the Obligations, or to enforce a judgment or other court order in favor of Agent or any Secured Party. Each Borrower expressly submits and consents in advance to such jurisdiction in any action or suit commenced in any such court, and each Borrower hereby waives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objection that it may have based upon lack of personal jurisdiction, improper venue, or forum non conveniens and hereby consents to the granting of such legal or equitable relief as is deemed appropriate by such court. Each Borrower hereby waives personal service of the summons, complaints, and other process issued in such action or suit and agrees that service of such summons, complaints, and other process may be made by registered or certified mail</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addressed to such Borrower at the address set forth in, or subsequently provided by such Borrower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that service so made shall be deemed completed upon the earlier to occur of Borrowers’ actual receipt thereof or three (3) days after deposit in the U.S. mails, proper postage prepaid. Each Borrower hereby expressly waives any claim to assert that the laws of any other jurisdiction govern this Agreement.</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color w:val="auto"/>
        </w:rPr>
        <w:t>WAIVER IS A MATERIAL INDUCEMENT FOR THE PARTIES TO ENTER INTO THIS AGREEMENT. NOTWITHSTANDING ANYTHING TO THE CONTRARY CONTAINED IN THIS AGREEMENT OR ANYWHERE ELSE, EACH BORROWER AGREES THAT IT SHALL NOT SEEK FROM ANY SECURED PARTY UNDER ANY THEORY OF LIABILITY (INCLUDING ANY THEORY</w:t>
      </w:r>
    </w:p>
    <w:p>
      <w:pPr>
        <w:sectPr>
          <w:pgSz w:w="11900" w:h="16838" w:orient="portrait"/>
          <w:cols w:equalWidth="0" w:num="1">
            <w:col w:w="11240"/>
          </w:cols>
          <w:pgMar w:left="32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04" w:right="339" w:bottom="1440" w:gutter="0" w:footer="0" w:header="0"/>
          <w:type w:val="continuous"/>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IN TORTS), ANY SPECIAL, INDIRECT, CONSEQUENTIAL OR PUNITIVE DAMAGES. EACH PARTY HAS REVIEWED THIS WAIVER WITH ITS COUNSEL.</w:t>
      </w:r>
    </w:p>
    <w:p>
      <w:pPr>
        <w:spacing w:after="0" w:line="14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WITHOUT INTENDING IN ANY WAY TO LIMIT THE PARTIES’ AGREEMENT TO WAIVE THEIR RESPECTIVE RIGHT TO A TRIAL BY JURY, if the above waiver of the right to a trial by jury is not enforceable, including to the extent any Secured Party seeks to enforce any judgment or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 xml:space="preserve">takes any legal action in any other jurisdiction to realize upon the Collateral, the parties hereto agree that, with respect to any actions and proceedings with respect to which the above jury trial waiver is not enforceable, such disputes shall be decided by a reference to a private judge, mutually selected by the parties, including, including, if applicable, in accordance with the provisions of California Code of Civil Procedure §§ 638 through 645.1, inclusive.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termination of this Agreement.</w:t>
      </w:r>
    </w:p>
    <w:p>
      <w:pPr>
        <w:spacing w:after="0" w:line="169"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85"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12.1. Termination Prior to Maturity Date; Survival</w:t>
      </w:r>
      <w:r>
        <w:rPr>
          <w:rFonts w:ascii="Times New Roman" w:cs="Times New Roman" w:eastAsia="Times New Roman" w:hAnsi="Times New Roman"/>
          <w:sz w:val="18"/>
          <w:szCs w:val="18"/>
          <w:color w:val="auto"/>
        </w:rPr>
        <w:t>. All covenants, representations and warranties made in this Agreement continue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force until this Agreement has terminated pursuant to its terms and all Obligations (other than contingent indemnification obligations as to which no claim</w:t>
      </w:r>
    </w:p>
    <w:p>
      <w:pPr>
        <w:jc w:val="both"/>
        <w:spacing w:after="0" w:line="208" w:lineRule="auto"/>
        <w:rPr>
          <w:sz w:val="20"/>
          <w:szCs w:val="20"/>
          <w:color w:val="auto"/>
        </w:rPr>
      </w:pPr>
      <w:r>
        <w:rPr>
          <w:rFonts w:ascii="Times New Roman" w:cs="Times New Roman" w:eastAsia="Times New Roman" w:hAnsi="Times New Roman"/>
          <w:sz w:val="18"/>
          <w:szCs w:val="18"/>
          <w:color w:val="auto"/>
        </w:rPr>
        <w:t>has been asserted or is known to exist and any other obligations which, by their terms, are to survive the termination of this Agreement) have been satisfied in full, in cash and all Commitments shall have been terminated. So long as Borrowers have satisfied the Obligations (other than contingent indemnification obligations as to which no claim has been asserted or is known to exist and any other obligations which, by their terms, are to survive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termination of this Agreement), this Agreement may be terminated prior to the maturity date of the Credit Extensions by Borrowers, effective three (3) Business Days after written notice of termination is given to Agent. Those obligations that are expressly specified in this Agreement as surviving this Agreement’s termination shall continue to survive notwithstanding this Agreement’s termination.</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Successors and Assigns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1304"/>
        <w:spacing w:after="0" w:line="231" w:lineRule="auto"/>
        <w:tabs>
          <w:tab w:leader="none" w:pos="194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forth in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with the prior written consent (such consent not be unreasonably withheld or delayed) of Agent.</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may be made to a natural person,</w:t>
      </w:r>
    </w:p>
    <w:p>
      <w:pPr>
        <w:spacing w:after="0" w:line="198"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assignment may be made to a Loan Party or an Affiliate of a Loan Party,</w:t>
      </w:r>
    </w:p>
    <w:p>
      <w:pPr>
        <w:spacing w:after="0" w:line="184" w:lineRule="exact"/>
        <w:rPr>
          <w:rFonts w:ascii="Times New Roman" w:cs="Times New Roman" w:eastAsia="Times New Roman" w:hAnsi="Times New Roman"/>
          <w:sz w:val="18"/>
          <w:szCs w:val="18"/>
          <w:color w:val="auto"/>
        </w:rPr>
      </w:pPr>
    </w:p>
    <w:p>
      <w:pPr>
        <w:ind w:left="1960" w:right="40" w:firstLine="640"/>
        <w:spacing w:after="0" w:line="217" w:lineRule="auto"/>
        <w:tabs>
          <w:tab w:leader="none" w:pos="325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61" w:lineRule="exact"/>
        <w:rPr>
          <w:rFonts w:ascii="Times New Roman" w:cs="Times New Roman" w:eastAsia="Times New Roman" w:hAnsi="Times New Roman"/>
          <w:sz w:val="18"/>
          <w:szCs w:val="18"/>
          <w:color w:val="auto"/>
        </w:rPr>
      </w:pPr>
    </w:p>
    <w:p>
      <w:pPr>
        <w:ind w:left="1960" w:right="260" w:firstLine="640"/>
        <w:spacing w:after="0" w:line="250" w:lineRule="auto"/>
        <w:tabs>
          <w:tab w:leader="none" w:pos="324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149" w:lineRule="exact"/>
        <w:rPr>
          <w:rFonts w:ascii="Times New Roman" w:cs="Times New Roman" w:eastAsia="Times New Roman" w:hAnsi="Times New Roman"/>
          <w:sz w:val="18"/>
          <w:szCs w:val="18"/>
          <w:color w:val="auto"/>
        </w:rPr>
      </w:pPr>
    </w:p>
    <w:p>
      <w:pPr>
        <w:ind w:left="1960" w:right="160" w:firstLine="640"/>
        <w:spacing w:after="0" w:line="224" w:lineRule="auto"/>
        <w:tabs>
          <w:tab w:leader="none" w:pos="325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Agent an Assignment and Acceptance; provided,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58" w:lineRule="exact"/>
        <w:rPr>
          <w:rFonts w:ascii="Times New Roman" w:cs="Times New Roman" w:eastAsia="Times New Roman" w:hAnsi="Times New Roman"/>
          <w:sz w:val="18"/>
          <w:szCs w:val="18"/>
          <w:color w:val="auto"/>
        </w:rPr>
      </w:pPr>
    </w:p>
    <w:p>
      <w:pPr>
        <w:ind w:left="1960" w:right="160" w:firstLine="640"/>
        <w:spacing w:after="0" w:line="250" w:lineRule="auto"/>
        <w:tabs>
          <w:tab w:leader="none" w:pos="324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waived by Agent, the assigning Lender or Assignee has paid to Agent, for Agent’s separate account, a processing fee in the amount of $3,500,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04"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60" w:right="200" w:firstLine="640"/>
        <w:spacing w:after="0" w:line="250" w:lineRule="auto"/>
        <w:tabs>
          <w:tab w:leader="none" w:pos="325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is not a Lender, shall deliver to Agent an Administrative Questionnaire in a form approved by Agent (the “</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4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contained herein shall release any assigning Lender from obligations that survive the termination of this Agreement, including such assigning Lender’s obligations under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63"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4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Agent’s receipt of the required processing fee, if applicable, and delivery of notice to the assigning Lender pursuant to </w:t>
      </w:r>
      <w:r>
        <w:rPr>
          <w:rFonts w:ascii="Times New Roman" w:cs="Times New Roman" w:eastAsia="Times New Roman" w:hAnsi="Times New Roman"/>
          <w:sz w:val="18"/>
          <w:szCs w:val="18"/>
          <w:u w:val="single" w:color="auto"/>
          <w:color w:val="auto"/>
        </w:rPr>
        <w:t>Section 12.2(c)</w:t>
      </w:r>
      <w:r>
        <w:rPr>
          <w:rFonts w:ascii="Times New Roman" w:cs="Times New Roman" w:eastAsia="Times New Roman" w:hAnsi="Times New Roman"/>
          <w:sz w:val="18"/>
          <w:szCs w:val="18"/>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sell to one or more commercial banks, financial institutions, or other Persons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participating interests in all or any portion of its Obligations, its Commitment, and the other rights and interests of that Lender (the “</w:t>
      </w:r>
      <w:r>
        <w:rPr>
          <w:rFonts w:ascii="Times New Roman" w:cs="Times New Roman" w:eastAsia="Times New Roman" w:hAnsi="Times New Roman"/>
          <w:sz w:val="18"/>
          <w:szCs w:val="18"/>
          <w:u w:val="single" w:color="auto"/>
          <w:color w:val="auto"/>
        </w:rPr>
        <w:t>Originating Lender</w:t>
      </w:r>
      <w:r>
        <w:rPr>
          <w:rFonts w:ascii="Times New Roman" w:cs="Times New Roman" w:eastAsia="Times New Roman" w:hAnsi="Times New Roman"/>
          <w:sz w:val="18"/>
          <w:szCs w:val="18"/>
          <w:color w:val="auto"/>
        </w:rPr>
        <w:t xml:space="preserve">”)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 shall be sold to a Loan Party or an Affiliate of a Loan Party, and (vii)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04" w:right="339" w:bottom="1440" w:gutter="0" w:footer="0" w:header="0"/>
        </w:sectPr>
      </w:pPr>
    </w:p>
    <w:bookmarkStart w:id="170" w:name="page171"/>
    <w:bookmarkEnd w:id="170"/>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were owing directly to it as a Lender under this Agreement. The rights of any Participant only shall be derivative through the Originating Lender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spacing w:after="0" w:line="172" w:lineRule="exact"/>
        <w:rPr>
          <w:sz w:val="20"/>
          <w:szCs w:val="20"/>
          <w:color w:val="auto"/>
        </w:rPr>
      </w:pPr>
    </w:p>
    <w:p>
      <w:pPr>
        <w:jc w:val="both"/>
        <w:ind w:firstLine="1304"/>
        <w:spacing w:after="0" w:line="226" w:lineRule="auto"/>
        <w:tabs>
          <w:tab w:leader="none" w:pos="19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such assignment or participation or proposed assignment or participation or any grant of a security interest in, or pledge of, its rights under and interest in this Agreement, a Lender may disclose all documents and information which it now or hereafter may have relating to any Loan Party and its Subsidiaries and their respective businesses.</w:t>
      </w:r>
    </w:p>
    <w:p>
      <w:pPr>
        <w:spacing w:after="0" w:line="157" w:lineRule="exact"/>
        <w:rPr>
          <w:rFonts w:ascii="Times New Roman" w:cs="Times New Roman" w:eastAsia="Times New Roman" w:hAnsi="Times New Roman"/>
          <w:sz w:val="18"/>
          <w:szCs w:val="18"/>
          <w:color w:val="auto"/>
        </w:rPr>
      </w:pPr>
    </w:p>
    <w:p>
      <w:pPr>
        <w:jc w:val="both"/>
        <w:ind w:firstLine="1304"/>
        <w:spacing w:after="0" w:line="223" w:lineRule="auto"/>
        <w:tabs>
          <w:tab w:leader="none" w:pos="19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pledge shall release such Lender from any of its obligations hereunder or substitute any such pledgee or assignee for such Lender as a party hereto.</w:t>
      </w:r>
    </w:p>
    <w:p>
      <w:pPr>
        <w:spacing w:after="0" w:line="158"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(as a non-fiduciary agent on behalf of Borrowers) shall maintain, or cause to be maintained,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on which it enters the name and address of each Lender as the registered owner of the Revolving Loan (and the principal amount thereof and stated interest thereon) held by such Lender (each, a “</w:t>
      </w:r>
      <w:r>
        <w:rPr>
          <w:rFonts w:ascii="Times New Roman" w:cs="Times New Roman" w:eastAsia="Times New Roman" w:hAnsi="Times New Roman"/>
          <w:sz w:val="18"/>
          <w:szCs w:val="18"/>
          <w:u w:val="single" w:color="auto"/>
          <w:color w:val="auto"/>
        </w:rPr>
        <w:t>Registered Loan</w:t>
      </w:r>
      <w:r>
        <w:rPr>
          <w:rFonts w:ascii="Times New Roman" w:cs="Times New Roman" w:eastAsia="Times New Roman" w:hAnsi="Times New Roman"/>
          <w:sz w:val="18"/>
          <w:szCs w:val="18"/>
          <w:color w:val="auto"/>
        </w:rPr>
        <w:t>”). Other than in connection with an assignment by a Lender of all or any portion of its portion of the Revolving Loan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Revolving Loan to an Affiliate of such Lender or a Related Fund of such Lender, and which assignment is not recorded in the Register, the assigning Lender, on behalf of Borrowers, shall maintain a register comparable to the Register.</w:t>
      </w:r>
    </w:p>
    <w:p>
      <w:pPr>
        <w:spacing w:after="0" w:line="180"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A Registered Loan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make a copy of the Register (and each Lender shall make a copy of its Participant Register to the extent it has one) available for review by Borrowers from time to time as Borrowers may reasonably request.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12.3.</w:t>
        <w:tab/>
        <w:t>Indemnification</w:t>
      </w:r>
      <w:r>
        <w:rPr>
          <w:rFonts w:ascii="Times New Roman" w:cs="Times New Roman" w:eastAsia="Times New Roman" w:hAnsi="Times New Roman"/>
          <w:sz w:val="18"/>
          <w:szCs w:val="18"/>
          <w:color w:val="auto"/>
        </w:rPr>
        <w:t>. Each Borrower agrees to indemnify, defend and hold Secured Party and its directors, officers, employees, agents,</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attorneys, or any other Person affiliated with or representing such Secured Party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(i) all obligations, demands, claims, and liabilities (including such claims, costs, expenses, damages and liabilities based on liability in tort, including strict liability in tort)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claimed or asserted by any other party in connection with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04" w:right="339" w:bottom="1440" w:gutter="0" w:footer="0" w:header="0"/>
        </w:sectPr>
      </w:pPr>
    </w:p>
    <w:bookmarkStart w:id="171" w:name="page172"/>
    <w:bookmarkEnd w:id="17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the Loan Documents; and (ii) all losses or expenses (including Secured Party Expenses) in any way suffered, incurred, or paid by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Indemnified Person as a result of, following from, consequential to, or arising from transactions among any Secured Party and Borrowers (including reasonable attorneys’ fees and expenses), except for Claims and/or losses to the extent directly caused by such Indemnified Person’s gross negligence or willful misconduct. Each Borrower agrees to pay, and to save each Indemnified Person harmless from, any and all liabilities with respect to, or resulting</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from any delay in paying, any and all excise, sales or other similar taxes (excluding Taxes other than Indemnified Taxes) that may be payable or determined to be payable with respect to any of the Collateral or this Agreement.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shall survive until all statutes of limitation with respect to the Claims, losses, and expenses for which indemnity is given shall have run.</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Borrower Liability</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jc w:val="both"/>
        <w:ind w:firstLine="1304"/>
        <w:spacing w:after="0" w:line="226" w:lineRule="auto"/>
        <w:tabs>
          <w:tab w:leader="none" w:pos="194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171" w:lineRule="exact"/>
        <w:rPr>
          <w:rFonts w:ascii="Times New Roman" w:cs="Times New Roman" w:eastAsia="Times New Roman" w:hAnsi="Times New Roman"/>
          <w:sz w:val="18"/>
          <w:szCs w:val="18"/>
          <w:color w:val="auto"/>
        </w:rPr>
      </w:pPr>
    </w:p>
    <w:p>
      <w:pPr>
        <w:jc w:val="both"/>
        <w:ind w:firstLine="1304"/>
        <w:spacing w:after="0" w:line="224" w:lineRule="auto"/>
        <w:tabs>
          <w:tab w:leader="none" w:pos="193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it being the intention of the parties hereto that all the Obligations shall be the joint and several obligations of each Borrower without preferences or distinction among them.</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each Borrower under 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58" w:lineRule="exact"/>
        <w:rPr>
          <w:rFonts w:ascii="Times New Roman" w:cs="Times New Roman" w:eastAsia="Times New Roman" w:hAnsi="Times New Roman"/>
          <w:sz w:val="18"/>
          <w:szCs w:val="18"/>
          <w:color w:val="auto"/>
        </w:rPr>
      </w:pPr>
    </w:p>
    <w:p>
      <w:pPr>
        <w:jc w:val="both"/>
        <w:ind w:firstLine="1304"/>
        <w:spacing w:after="0" w:line="212" w:lineRule="auto"/>
        <w:tabs>
          <w:tab w:leader="none" w:pos="194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afford grounds for terminating, discharging or relieving any Borrower, in whole or in part, from any of its Obligations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it being the intention of each Borrower that, so long as any of the Obligations hereunder remain unsatisfied, the Obligations of each Borrower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not be discharged except by performance and then only to the extent of such performance. The Obligations of each Borrower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not be diminished or rendered unenforceable by any winding up, reorganization, arrangement, liquidation, reconstruction or similar proceeding with respect to any Borrower, Agent or any Lender.</w:t>
      </w:r>
    </w:p>
    <w:p>
      <w:pPr>
        <w:spacing w:after="0" w:line="164"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represents and warrants to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04" w:right="339" w:bottom="1440" w:gutter="0" w:footer="0" w:header="0"/>
        </w:sectPr>
      </w:pPr>
    </w:p>
    <w:bookmarkStart w:id="172" w:name="page173"/>
    <w:bookmarkEnd w:id="17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1304"/>
        <w:spacing w:after="0" w:line="224" w:lineRule="auto"/>
        <w:tabs>
          <w:tab w:leader="none" w:pos="19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all rights and defenses (i) arising out of an election of remedies by Agent or any Lender, even though that election of remedies, such as a nonjudicial foreclosure with respect to security for a guaranteed obligation, has destroyed such Borrower’s rights of subrogation and reimbursement against any applicable Loan Party, and (ii) relating to any suretyship defenses available to it under the Uniform Commercial Code or any other applicable law,.</w:t>
      </w:r>
    </w:p>
    <w:p>
      <w:pPr>
        <w:spacing w:after="0" w:line="172" w:lineRule="exact"/>
        <w:rPr>
          <w:rFonts w:ascii="Times New Roman" w:cs="Times New Roman" w:eastAsia="Times New Roman" w:hAnsi="Times New Roman"/>
          <w:sz w:val="18"/>
          <w:szCs w:val="18"/>
          <w:color w:val="auto"/>
        </w:rPr>
      </w:pPr>
    </w:p>
    <w:p>
      <w:pPr>
        <w:ind w:right="20" w:firstLine="1304"/>
        <w:spacing w:after="0" w:line="237" w:lineRule="auto"/>
        <w:tabs>
          <w:tab w:leader="none" w:pos="19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waives all rights and defenses that such Borrower may have because the Obligations are secured by real property at any time. This means, among other things:</w:t>
      </w:r>
    </w:p>
    <w:p>
      <w:pPr>
        <w:spacing w:after="0" w:line="14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 Lenders may collect from such Borrower without first foreclosing on any real or personal property Collateral pledged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Borrowers.</w:t>
      </w:r>
    </w:p>
    <w:p>
      <w:pPr>
        <w:spacing w:after="0" w:line="178"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are made for the benefit of Agent, the Lenders, and their respective successors and assigns, and may be enforced by it or them from time to time against any or all the Borrowers as often as occasion therefor may arise and without requirement on the part of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will forthwith be reinstated in effect, as though such payment had not been made.</w:t>
      </w:r>
    </w:p>
    <w:p>
      <w:pPr>
        <w:spacing w:after="0" w:line="163" w:lineRule="exact"/>
        <w:rPr>
          <w:rFonts w:ascii="Times New Roman" w:cs="Times New Roman" w:eastAsia="Times New Roman" w:hAnsi="Times New Roman"/>
          <w:sz w:val="18"/>
          <w:szCs w:val="18"/>
          <w:color w:val="auto"/>
        </w:rPr>
      </w:pPr>
    </w:p>
    <w:p>
      <w:pPr>
        <w:jc w:val="both"/>
        <w:ind w:firstLine="1304"/>
        <w:spacing w:after="0" w:line="213" w:lineRule="auto"/>
        <w:tabs>
          <w:tab w:leader="none" w:pos="19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hereby agrees that it will not enforce any of its rights of contribution or subrogation against any other Borrower with respect to any liability incurred by it hereunder or under any of the other Loan Documents, any payments made by it to Agent or Lenders with respect to any of the Obligations or any collateral security therefor until such time as all of the Obligations have been paid in full in cash. Any claim which any Borrower may have against any other Borrower with respect to any payments to Agent or Lender hereunder or under any other Loan Documents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Notwithstanding anything to the contrary contained in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no Borrower shall exercise any rights of subrogation, contribution, indemnity, reimbursement or other similar rights against, and shall not proceed or seek recourse against or with respect to any property or asset of, any other Borrower (the “</w:t>
      </w:r>
      <w:r>
        <w:rPr>
          <w:rFonts w:ascii="Times New Roman" w:cs="Times New Roman" w:eastAsia="Times New Roman" w:hAnsi="Times New Roman"/>
          <w:sz w:val="18"/>
          <w:szCs w:val="18"/>
          <w:b w:val="1"/>
          <w:bCs w:val="1"/>
          <w:color w:val="auto"/>
        </w:rPr>
        <w:t>Foreclosed Borrower</w:t>
      </w:r>
      <w:r>
        <w:rPr>
          <w:rFonts w:ascii="Times New Roman" w:cs="Times New Roman" w:eastAsia="Times New Roman" w:hAnsi="Times New Roman"/>
          <w:sz w:val="18"/>
          <w:szCs w:val="18"/>
          <w:color w:val="auto"/>
        </w:rPr>
        <w:t>”), including after payment in full of the Obligations, if all or any portion of the Obligations have been satisfied in connection with an exercise of remedies in respect of the Equity Interests of such Foreclosed Borrower whether pursuant to the Security Documents or otherwise.</w:t>
      </w:r>
    </w:p>
    <w:p>
      <w:pPr>
        <w:spacing w:after="0" w:line="176"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payment in full in cash of the Obligations. Each Borrower hereby agrees that after the occurrence and during the continuance of any Default or Event of Default, such Borrower will not demand,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Agent, and such Borrower shall deliver any such amounts to Agent for application to the Obligations in accordance with the terms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16" w:lineRule="auto"/>
        <w:tabs>
          <w:tab w:leader="none" w:pos="193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Times New Roman" w:cs="Times New Roman" w:eastAsia="Times New Roman" w:hAnsi="Times New Roman"/>
          <w:sz w:val="18"/>
          <w:szCs w:val="18"/>
          <w:b w:val="1"/>
          <w:bCs w:val="1"/>
          <w:color w:val="auto"/>
        </w:rPr>
        <w:t>Accommodation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then the Borrower making such Accommodation Payment shall be entitled to contribution and indemnification from, and be reimbursed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Times New Roman" w:cs="Times New Roman" w:eastAsia="Times New Roman" w:hAnsi="Times New Roman"/>
          <w:sz w:val="18"/>
          <w:szCs w:val="18"/>
          <w:b w:val="1"/>
          <w:bCs w:val="1"/>
          <w:color w:val="auto"/>
        </w:rPr>
        <w:t>Allocable Amount</w:t>
      </w:r>
      <w:r>
        <w:rPr>
          <w:rFonts w:ascii="Times New Roman" w:cs="Times New Roman" w:eastAsia="Times New Roman" w:hAnsi="Times New Roman"/>
          <w:sz w:val="18"/>
          <w:szCs w:val="18"/>
          <w:color w:val="auto"/>
        </w:rPr>
        <w:t>” of each Borrower shall be equal to the maximum amount of liability for Accommodation Payments which could be asserted against such Borrower hereunder without (a) rendering such Borrower “insolvent” within the meaning of Section 101(31) of the Bankruptcy Code, Section 2 of the Uniform Fraudulent Transfer Act (“</w:t>
      </w:r>
      <w:r>
        <w:rPr>
          <w:rFonts w:ascii="Times New Roman" w:cs="Times New Roman" w:eastAsia="Times New Roman" w:hAnsi="Times New Roman"/>
          <w:sz w:val="18"/>
          <w:szCs w:val="18"/>
          <w:b w:val="1"/>
          <w:bCs w:val="1"/>
          <w:color w:val="auto"/>
        </w:rPr>
        <w:t>UFTA</w:t>
      </w:r>
      <w:r>
        <w:rPr>
          <w:rFonts w:ascii="Times New Roman" w:cs="Times New Roman" w:eastAsia="Times New Roman" w:hAnsi="Times New Roman"/>
          <w:sz w:val="18"/>
          <w:szCs w:val="18"/>
          <w:color w:val="auto"/>
        </w:rPr>
        <w:t>”) or Section 2 of the Uniform Fraudulent Conveyance Act (“</w:t>
      </w:r>
      <w:r>
        <w:rPr>
          <w:rFonts w:ascii="Times New Roman" w:cs="Times New Roman" w:eastAsia="Times New Roman" w:hAnsi="Times New Roman"/>
          <w:sz w:val="18"/>
          <w:szCs w:val="18"/>
          <w:b w:val="1"/>
          <w:bCs w:val="1"/>
          <w:color w:val="auto"/>
        </w:rPr>
        <w:t>UFCA</w:t>
      </w:r>
      <w:r>
        <w:rPr>
          <w:rFonts w:ascii="Times New Roman" w:cs="Times New Roman" w:eastAsia="Times New Roman" w:hAnsi="Times New Roman"/>
          <w:sz w:val="18"/>
          <w:szCs w:val="18"/>
          <w:color w:val="auto"/>
        </w:rPr>
        <w:t>”), (b) leaving such Borrower with unreasonably small capital or assets, within the meaning of Section 548 of the Bankruptcy Code, Section 4 of the UFTA,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04" w:right="339" w:bottom="1440" w:gutter="0" w:footer="0" w:header="0"/>
        </w:sectPr>
      </w:pPr>
    </w:p>
    <w:bookmarkStart w:id="173" w:name="page174"/>
    <w:bookmarkEnd w:id="17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Section 5 of the UFCA, or (c) leaving such Borrower unable to pay its debts as they become due within the meaning of Section 548 of the Bankruptcy Code or Section 4 of the UFTA, or Section 5 of the UFCA.</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7"/>
          <w:szCs w:val="17"/>
          <w:b w:val="1"/>
          <w:bCs w:val="1"/>
          <w:color w:val="auto"/>
        </w:rPr>
        <w:t>Time of Essence</w:t>
      </w:r>
      <w:r>
        <w:rPr>
          <w:rFonts w:ascii="Times New Roman" w:cs="Times New Roman" w:eastAsia="Times New Roman" w:hAnsi="Times New Roman"/>
          <w:sz w:val="17"/>
          <w:szCs w:val="17"/>
          <w:color w:val="auto"/>
        </w:rPr>
        <w:t>. Time is of the essence for the performance of all Obligations in this Agreement.</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12.6. Severability of Provisions</w:t>
      </w:r>
      <w:r>
        <w:rPr>
          <w:rFonts w:ascii="Times New Roman" w:cs="Times New Roman" w:eastAsia="Times New Roman" w:hAnsi="Times New Roman"/>
          <w:sz w:val="18"/>
          <w:szCs w:val="18"/>
          <w:color w:val="auto"/>
        </w:rPr>
        <w:t>. Each provision of this Agreement is severable from every other provision in determining the enforceability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provision.</w:t>
      </w:r>
    </w:p>
    <w:p>
      <w:pPr>
        <w:spacing w:after="0" w:line="14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12.7. Correction of Loan Documents</w:t>
      </w:r>
      <w:r>
        <w:rPr>
          <w:rFonts w:ascii="Times New Roman" w:cs="Times New Roman" w:eastAsia="Times New Roman" w:hAnsi="Times New Roman"/>
          <w:sz w:val="18"/>
          <w:szCs w:val="18"/>
          <w:color w:val="auto"/>
        </w:rPr>
        <w:t>. Agent may correct patent errors and fill in any blanks in the Loan Documents 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of the parties.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12.8.</w:t>
        <w:tab/>
        <w:t>Amendments</w:t>
      </w:r>
      <w:r>
        <w:rPr>
          <w:rFonts w:ascii="Times New Roman" w:cs="Times New Roman" w:eastAsia="Times New Roman" w:hAnsi="Times New Roman"/>
          <w:sz w:val="18"/>
          <w:szCs w:val="18"/>
          <w:color w:val="auto"/>
        </w:rPr>
        <w:t>. No amendment, waiver or other modification of any provision of this Agreement or any other Loan Document, and no</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consent with respect to any departure by any Loan Party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waiver, amendment, or consent shall,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in writing and signed by all of the Lenders directly affected thereby and all of the Loan Parties that are party thereto, do any of the following:</w:t>
      </w:r>
    </w:p>
    <w:p>
      <w:pPr>
        <w:spacing w:after="0" w:line="165" w:lineRule="exact"/>
        <w:rPr>
          <w:sz w:val="20"/>
          <w:szCs w:val="20"/>
          <w:color w:val="auto"/>
        </w:rPr>
      </w:pPr>
    </w:p>
    <w:p>
      <w:pPr>
        <w:ind w:right="20" w:firstLine="1304"/>
        <w:spacing w:after="0" w:line="237" w:lineRule="auto"/>
        <w:tabs>
          <w:tab w:leader="none" w:pos="194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or extend the expiration date of any Commitment of any Lender or amend, modify any provision regarding the ratable application of payments or Collateral proceeds to Obligations owing to Lenders;</w:t>
      </w:r>
    </w:p>
    <w:p>
      <w:pPr>
        <w:spacing w:after="0" w:line="171" w:lineRule="exact"/>
        <w:rPr>
          <w:rFonts w:ascii="Times New Roman" w:cs="Times New Roman" w:eastAsia="Times New Roman" w:hAnsi="Times New Roman"/>
          <w:sz w:val="18"/>
          <w:szCs w:val="18"/>
          <w:color w:val="auto"/>
        </w:rPr>
      </w:pPr>
    </w:p>
    <w:p>
      <w:pPr>
        <w:ind w:firstLine="1304"/>
        <w:spacing w:after="0" w:line="237" w:lineRule="auto"/>
        <w:tabs>
          <w:tab w:leader="none" w:pos="19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or delay any date fixed by this Agreement or any other Loan Document for any payment of principal, interest, fees, or other amounts due hereunder or under any other Loan Document,</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4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the rate of interest on, any loan or other extension of credit hereunder, or reduce any fees or other amounts payable hereunder or under any other Loan Document, except in connection with a waiver of applicability of the Default Rate (which waiver shall be effective with the written consent of the Required Lenders),</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eliminate this Section or any provision of this Agreement providing for consent or other action by all</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w:t>
      </w:r>
    </w:p>
    <w:p>
      <w:pPr>
        <w:spacing w:after="0" w:line="16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contractually subordinated Agent’s Lien in and to any of the Collateral,</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eliminate the definitions of “Required Lenders”, or</w:t>
      </w:r>
    </w:p>
    <w:p>
      <w:pPr>
        <w:spacing w:after="0" w:line="198"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w:t>
      </w:r>
    </w:p>
    <w:p>
      <w:pPr>
        <w:spacing w:after="0" w:line="171" w:lineRule="exact"/>
        <w:rPr>
          <w:rFonts w:ascii="Times New Roman" w:cs="Times New Roman" w:eastAsia="Times New Roman" w:hAnsi="Times New Roman"/>
          <w:sz w:val="18"/>
          <w:szCs w:val="18"/>
          <w:color w:val="auto"/>
        </w:rPr>
      </w:pPr>
    </w:p>
    <w:p>
      <w:pPr>
        <w:jc w:val="both"/>
        <w:ind w:firstLine="1304"/>
        <w:spacing w:after="0" w:line="226" w:lineRule="auto"/>
        <w:tabs>
          <w:tab w:leader="none" w:pos="19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waiver, modification, or consent shall amend, modify, waive, or eliminate, any provision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pertaining to Agent, or any other rights or duties of Agent under this Agreement or the other Loan Documents, without the written consent of Agent, Borrower Representative, and the Required Lenders;</w:t>
      </w:r>
    </w:p>
    <w:p>
      <w:pPr>
        <w:spacing w:after="0" w:line="171" w:lineRule="exact"/>
        <w:rPr>
          <w:rFonts w:ascii="Times New Roman" w:cs="Times New Roman" w:eastAsia="Times New Roman" w:hAnsi="Times New Roman"/>
          <w:sz w:val="18"/>
          <w:szCs w:val="18"/>
          <w:color w:val="auto"/>
        </w:rPr>
      </w:pPr>
    </w:p>
    <w:p>
      <w:pPr>
        <w:jc w:val="both"/>
        <w:ind w:firstLine="1304"/>
        <w:spacing w:after="0" w:line="220" w:lineRule="auto"/>
        <w:tabs>
          <w:tab w:leader="none" w:pos="193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Anything in this </w:t>
      </w: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Lenders among themselves, and that does not affect the rights or obligations of any Loan Party, shall not require consent by or the agreement of any Loan Party, and (ii) any amendment, waiver, modification, elimination, or consent of or with respect to any provision of this Agreement or any other Loan Document may be entered into without the consent of, or over the objection of, any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-2673350</wp:posOffset>
            </wp:positionV>
            <wp:extent cx="285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12.9.</w:t>
        <w:tab/>
        <w:t>Counterparts; Electronic Execution of Documents</w:t>
      </w:r>
      <w:r>
        <w:rPr>
          <w:rFonts w:ascii="Times New Roman" w:cs="Times New Roman" w:eastAsia="Times New Roman" w:hAnsi="Times New Roman"/>
          <w:sz w:val="18"/>
          <w:szCs w:val="18"/>
          <w:color w:val="auto"/>
        </w:rPr>
        <w:t>. This Agreement may be executed in any number of counterparts and by different</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parties on separate counterparts, each of which, when executed and delivered, is an original, and all taken together, constitute one Agreement.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paper-based recordkeeping systems, as the case may be, to the extent and as provided for in any applicable law, including, without limitation, any state law based on the Uniform Electronic Transactions Act. Delivery of an executed counterpart of a signature page of any Loan Document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0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electronic means including by email delivery of a “.pdf” format data file shall be effective as delivery of an original executed counterpart of such Loan Document.</w:t>
      </w:r>
    </w:p>
    <w:p>
      <w:pPr>
        <w:spacing w:after="0" w:line="14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12.10. Confidentiality</w:t>
      </w:r>
      <w:r>
        <w:rPr>
          <w:rFonts w:ascii="Times New Roman" w:cs="Times New Roman" w:eastAsia="Times New Roman" w:hAnsi="Times New Roman"/>
          <w:sz w:val="18"/>
          <w:szCs w:val="18"/>
          <w:color w:val="auto"/>
        </w:rPr>
        <w:t>. In handling any confidential information, each Secured Party shall exercise the same degree of care that it exercises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own proprietary information, but disclosure of information may be made: (a) to such Secured Party’s Subsidiaries or Affiliates (such Subsidiaries and</w:t>
      </w:r>
    </w:p>
    <w:p>
      <w:pPr>
        <w:jc w:val="both"/>
        <w:spacing w:after="0" w:line="219" w:lineRule="auto"/>
        <w:rPr>
          <w:sz w:val="20"/>
          <w:szCs w:val="20"/>
          <w:color w:val="auto"/>
        </w:rPr>
      </w:pPr>
      <w:r>
        <w:rPr>
          <w:rFonts w:ascii="Times New Roman" w:cs="Times New Roman" w:eastAsia="Times New Roman" w:hAnsi="Times New Roman"/>
          <w:sz w:val="17"/>
          <w:szCs w:val="17"/>
          <w:color w:val="auto"/>
        </w:rPr>
        <w:t>Affiliates, together with Secured Party, collectively, “</w:t>
      </w:r>
      <w:r>
        <w:rPr>
          <w:rFonts w:ascii="Times New Roman" w:cs="Times New Roman" w:eastAsia="Times New Roman" w:hAnsi="Times New Roman"/>
          <w:sz w:val="17"/>
          <w:szCs w:val="17"/>
          <w:b w:val="1"/>
          <w:bCs w:val="1"/>
          <w:color w:val="auto"/>
        </w:rPr>
        <w:t>Secured Party Entities</w:t>
      </w:r>
      <w:r>
        <w:rPr>
          <w:rFonts w:ascii="Times New Roman" w:cs="Times New Roman" w:eastAsia="Times New Roman" w:hAnsi="Times New Roman"/>
          <w:sz w:val="17"/>
          <w:szCs w:val="17"/>
          <w:color w:val="auto"/>
        </w:rPr>
        <w:t>”); (b) to prospective transferees or purchasers of any interest in the Credit Extensions (provided, however, each Secured Party shall use its best efforts to obtain any prospective transferee’s or purchaser’s agreement to the terms of this provision); (c) as required by law, regulation, subpoena, or other order and in connection with reporting obligations applicable to a Secured Party, including pursuant to the Securities Exchange Act of 1934, as amended; (d) to a Secured Party’s regulators or as otherwise required in connection with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Secured Party’s examination or audit; (e) as a Secured Party considers appropriate in exercising remedies under the Loan Documents; and (f) to third-party service providers of a Secured Party so long as such service providers have executed a confidentiality agreement with such Secured Party with terms no less restrictive than those contained herein. Confidential information does not include information that is either: (i) in the public domain or in a Secured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Party’s possession when disclosed to such Secured Party, or becomes part of the public domain (other than as a result of its disclosure by Secured Party Entities in violation of this Agreement) after disclosure to a Secured Party; or (ii) disclosed to a Secured Party by a third party, if a Secured Party does not know that the third party is prohibited from disclosing the information.</w:t>
      </w:r>
    </w:p>
    <w:p>
      <w:pPr>
        <w:spacing w:after="0" w:line="168"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12.11. Attorneys’ Fees, Costs and Expenses</w:t>
      </w:r>
      <w:r>
        <w:rPr>
          <w:rFonts w:ascii="Times New Roman" w:cs="Times New Roman" w:eastAsia="Times New Roman" w:hAnsi="Times New Roman"/>
          <w:sz w:val="18"/>
          <w:szCs w:val="18"/>
          <w:color w:val="auto"/>
        </w:rPr>
        <w:t>. In any action or proceeding among Borrowers and Secured Party arising out of or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Documents, the prevailing party shall be entitled to recover its reasonable attorneys’ fees and other costs and expenses incurred, in addition to any other relief to which it may be entitled.</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12.12. Borrower Representative</w:t>
      </w:r>
      <w:r>
        <w:rPr>
          <w:rFonts w:ascii="Times New Roman" w:cs="Times New Roman" w:eastAsia="Times New Roman" w:hAnsi="Times New Roman"/>
          <w:sz w:val="18"/>
          <w:szCs w:val="18"/>
          <w:color w:val="auto"/>
        </w:rPr>
        <w:t>. Each of the Borrowers hereby appoints Borrower Representative to act as its exclusive agent for all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Loan Documents (including, without limitation, with respect to all matters related to the borrowing and repayment of any Credit Extension). Each of the Borrowers acknowledges and agrees that (a) Borrower Representative may execute such documents on behalf of any Borrower as Borrower</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Representative deems appropriate in its sole discretion and each Borrower shall be bound by and obligated by all of the terms of any such document executed by Borrower Representative on its behalf, (b) any notice or other communication delivered by Secured Party hereunder to Borrower Representative shall be deemed to have been delivered to each Borrower and (c) each Secured Party shall accept (and shall be permitted to rely on)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document or agreement executed by Borrower Representative on behalf of Borrowers (or any of them). Borrower must act through the Borrower Representative for all purposes under this Agreement and the other Loan Documents. Notwithstanding anything contained herein to the contrary, to the extent any provision in this Agreement requires any Borrower to interact in any manner with any Secured Party, such Borrower shall do so through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Representative.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12.13.</w:t>
      </w:r>
      <w:r>
        <w:rPr>
          <w:sz w:val="20"/>
          <w:szCs w:val="20"/>
          <w:color w:val="auto"/>
        </w:rPr>
        <w:tab/>
      </w:r>
      <w:r>
        <w:rPr>
          <w:rFonts w:ascii="Times New Roman" w:cs="Times New Roman" w:eastAsia="Times New Roman" w:hAnsi="Times New Roman"/>
          <w:sz w:val="17"/>
          <w:szCs w:val="17"/>
          <w:b w:val="1"/>
          <w:bCs w:val="1"/>
          <w:color w:val="auto"/>
        </w:rPr>
        <w:t>Captions</w:t>
      </w:r>
      <w:r>
        <w:rPr>
          <w:rFonts w:ascii="Times New Roman" w:cs="Times New Roman" w:eastAsia="Times New Roman" w:hAnsi="Times New Roman"/>
          <w:sz w:val="17"/>
          <w:szCs w:val="17"/>
          <w:color w:val="auto"/>
        </w:rPr>
        <w:t>. The headings used in this Agreement are for convenience only and shall not affect the interpretation of this Agreement.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12.14.</w:t>
        <w:tab/>
        <w:t>Construction of Agreement</w:t>
      </w:r>
      <w:r>
        <w:rPr>
          <w:rFonts w:ascii="Times New Roman" w:cs="Times New Roman" w:eastAsia="Times New Roman" w:hAnsi="Times New Roman"/>
          <w:sz w:val="18"/>
          <w:szCs w:val="18"/>
          <w:color w:val="auto"/>
        </w:rPr>
        <w:t>. The parties mutually acknowledge that they and their attorneys have participated in the preparation and</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negotiation of this Agreement. In cases of uncertainty this Agreement shall be construed without regard to which of the parties caused the uncertainty to exist.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12.15.</w:t>
        <w:tab/>
        <w:t>Relationship</w:t>
      </w:r>
      <w:r>
        <w:rPr>
          <w:rFonts w:ascii="Times New Roman" w:cs="Times New Roman" w:eastAsia="Times New Roman" w:hAnsi="Times New Roman"/>
          <w:sz w:val="18"/>
          <w:szCs w:val="18"/>
          <w:color w:val="auto"/>
        </w:rPr>
        <w:t>. The relationship of the parties to this Agreement is determined solely by the provisions of this Agreement. The parties do</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not intend to create any agency, partnership, joint venture, trust, fiduciary or other relationship with duties or incidents different from those of parties to an arm’s-length contract.</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12.16. Publicity; Press Releases</w:t>
      </w:r>
      <w:r>
        <w:rPr>
          <w:rFonts w:ascii="Times New Roman" w:cs="Times New Roman" w:eastAsia="Times New Roman" w:hAnsi="Times New Roman"/>
          <w:sz w:val="18"/>
          <w:szCs w:val="18"/>
          <w:color w:val="auto"/>
        </w:rPr>
        <w:t>. Borrowers agree that CIBC may issue a press release announcing the financing pursuant to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may display any Borrower’s logo on its website and other marketing materials consistent with CIBC’s practices with respect to its loan portfolio.</w:t>
      </w:r>
    </w:p>
    <w:p>
      <w:pPr>
        <w:spacing w:after="0" w:line="14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12.17. Third Parties</w:t>
      </w:r>
      <w:r>
        <w:rPr>
          <w:rFonts w:ascii="Times New Roman" w:cs="Times New Roman" w:eastAsia="Times New Roman" w:hAnsi="Times New Roman"/>
          <w:sz w:val="18"/>
          <w:szCs w:val="18"/>
          <w:color w:val="auto"/>
        </w:rPr>
        <w:t>. Nothing in this Agreement, whether express or implied, is intended to: (a) confer any benefits, rights or remedies 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reason of this Agreement on any persons other than the express parties to it and their respective permitted successors and assigns; (b) relieve or</w:t>
      </w:r>
    </w:p>
    <w:p>
      <w:pPr>
        <w:jc w:val="both"/>
        <w:spacing w:after="0" w:line="226" w:lineRule="auto"/>
        <w:rPr>
          <w:sz w:val="20"/>
          <w:szCs w:val="20"/>
          <w:color w:val="auto"/>
        </w:rPr>
      </w:pPr>
      <w:r>
        <w:rPr>
          <w:rFonts w:ascii="Times New Roman" w:cs="Times New Roman" w:eastAsia="Times New Roman" w:hAnsi="Times New Roman"/>
          <w:sz w:val="18"/>
          <w:szCs w:val="18"/>
          <w:color w:val="auto"/>
        </w:rPr>
        <w:t>discharge the obligation or liability of any person not an express party to this Agreement; or (c) give any person not an express party to this Agreement any right of subrogation or action against any party to this Agreement.</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12.18.</w:t>
        <w:tab/>
        <w:t>Amendment and Restatement</w:t>
      </w:r>
      <w:r>
        <w:rPr>
          <w:rFonts w:ascii="Times New Roman" w:cs="Times New Roman" w:eastAsia="Times New Roman" w:hAnsi="Times New Roman"/>
          <w:sz w:val="18"/>
          <w:szCs w:val="18"/>
          <w:color w:val="auto"/>
        </w:rPr>
        <w:t>. The parties to this Agreement agree that, on the Effective Date, the terms and provisions of the Existing</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Loan Agreement shall be and hereby are amended, superseded and restated in their entirety by the terms and provisions of this Agreement. This Agreement is not intended to be, and shall not constitute, a novation, and the security interest granted pursuant to the Existing Loan Agreement to secure the Obligations shall continue from the date of its original grant, held by Agent for the ratable benefit of Lenders.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04" w:right="339" w:bottom="1440" w:gutter="0" w:footer="0" w:header="0"/>
        </w:sectPr>
      </w:pPr>
    </w:p>
    <w:bookmarkStart w:id="175" w:name="page176"/>
    <w:bookmarkEnd w:id="17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Extensions made, and Obligations outstanding under the Existing Credit Agreement which continue to be outstanding on the Effective Date shall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continue under (and shall be governed by the terms of) this Agreement and the other Loan Documents. Without limiting the foregoing, upon the effectiveness of the Agreement on the Effective Date, all references in the “Loan Documents” (as defined in the Existing Loan Agreement) to the “Loan Agreement” or “Agreement” and the “Loan Documents” shall be deemed to refer to this Agreement and the Loan Documents.</w:t>
      </w:r>
    </w:p>
    <w:p>
      <w:pPr>
        <w:spacing w:after="0" w:line="16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b w:val="1"/>
          <w:bCs w:val="1"/>
          <w:color w:val="auto"/>
        </w:rPr>
        <w:t>12.19. Waiver</w:t>
      </w:r>
      <w:r>
        <w:rPr>
          <w:rFonts w:ascii="Times New Roman" w:cs="Times New Roman" w:eastAsia="Times New Roman" w:hAnsi="Times New Roman"/>
          <w:sz w:val="18"/>
          <w:szCs w:val="18"/>
          <w:color w:val="auto"/>
        </w:rPr>
        <w:t>. Any Event of Default arising prior to the Restatement Date due to (i) any transfers to Borrowers’ Collateral Account maintained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Sutton Bank (used for deposits to cover five (5) days of transaction volume on Expensify Cards) in excess of the amounts permitted by the Existing Agreement, (ii) maintenance of balances in Collateral Accounts not subject to Account Control Agreements in excess of amounts permitted by the Existing Agreement , (iii) any failure to maintain the required Fixed Charge Coverage Ratio (as defined in the Existing Agreement) for the period ended December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31, 2023, and (iv) failure to comply with the asset or revenue limitations applicable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prior to the Effective Date, are hereby waived. The foregoing waiver shall be limited precisely as written, shall not establish any course of dealing or otherwise obligate Agent or any Lender to waive any other breach or Event of Default.</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12.20. Acknowledgement and Consent to Bail-In of EEA Financial Institutions</w:t>
      </w:r>
      <w:r>
        <w:rPr>
          <w:rFonts w:ascii="Times New Roman" w:cs="Times New Roman" w:eastAsia="Times New Roman" w:hAnsi="Times New Roman"/>
          <w:sz w:val="18"/>
          <w:szCs w:val="18"/>
          <w:color w:val="auto"/>
        </w:rPr>
        <w:t>. Notwithstanding anything to the contrary in any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 EEA Resolution Authority and agrees and consents to, and acknowledges and agrees to be bound by:</w:t>
      </w:r>
    </w:p>
    <w:p>
      <w:pPr>
        <w:spacing w:after="0" w:line="165" w:lineRule="exact"/>
        <w:rPr>
          <w:sz w:val="20"/>
          <w:szCs w:val="20"/>
          <w:color w:val="auto"/>
        </w:rPr>
      </w:pPr>
    </w:p>
    <w:p>
      <w:pPr>
        <w:ind w:firstLine="1304"/>
        <w:spacing w:after="0" w:line="237" w:lineRule="auto"/>
        <w:tabs>
          <w:tab w:leader="none" w:pos="194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84"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84" w:lineRule="exact"/>
        <w:rPr>
          <w:rFonts w:ascii="Times New Roman" w:cs="Times New Roman" w:eastAsia="Times New Roman" w:hAnsi="Times New Roman"/>
          <w:sz w:val="18"/>
          <w:szCs w:val="18"/>
          <w:color w:val="auto"/>
        </w:rPr>
      </w:pPr>
    </w:p>
    <w:p>
      <w:pPr>
        <w:ind w:left="1960" w:right="100" w:firstLine="640"/>
        <w:spacing w:after="0" w:line="224" w:lineRule="auto"/>
        <w:tabs>
          <w:tab w:leader="none" w:pos="3246"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2" w:lineRule="exact"/>
        <w:rPr>
          <w:rFonts w:ascii="Times New Roman" w:cs="Times New Roman" w:eastAsia="Times New Roman" w:hAnsi="Times New Roman"/>
          <w:sz w:val="18"/>
          <w:szCs w:val="18"/>
          <w:color w:val="auto"/>
        </w:rPr>
      </w:pPr>
    </w:p>
    <w:p>
      <w:pPr>
        <w:ind w:left="1960" w:right="260" w:firstLine="640"/>
        <w:spacing w:after="0" w:line="237" w:lineRule="auto"/>
        <w:tabs>
          <w:tab w:leader="none" w:pos="3256"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APPOINTMENT OF AGENT</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13.1. Appointment and Authorization of Agent</w:t>
      </w:r>
      <w:r>
        <w:rPr>
          <w:rFonts w:ascii="Times New Roman" w:cs="Times New Roman" w:eastAsia="Times New Roman" w:hAnsi="Times New Roman"/>
          <w:sz w:val="18"/>
          <w:szCs w:val="18"/>
          <w:color w:val="auto"/>
        </w:rPr>
        <w:t>. Each Lender hereby designates and appoints CIBC to act as administrative agent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on its behalf under this Agreement and the other Loan Documents and each Lender hereby irrevocably authorizes Agent to execute and deliver each of the other Loan Documents on its behalf, hold the security interest for its ratable benefit to secure the Obligations, and to take such other</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administrative agent and collateral agent for and on behalf of Lenders on the terms and conditions contained in this </w:t>
      </w:r>
      <w:r>
        <w:rPr>
          <w:rFonts w:ascii="Times New Roman" w:cs="Times New Roman" w:eastAsia="Times New Roman" w:hAnsi="Times New Roman"/>
          <w:sz w:val="18"/>
          <w:szCs w:val="18"/>
          <w:u w:val="single" w:color="auto"/>
          <w:color w:val="auto"/>
        </w:rPr>
        <w:t>Section 13.</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Agent shall not have any duties or responsibilities, except those expressly set forth herein or in the other Loan Documents, nor shall Agent have or be deemed to have any fiduciary relationship with any Lender, and no implied covenants, functions, responsibilities, duties, obligations or liabilities shall be read into this Agreement or any other Loan Document or otherwise exist against Agent. Without limiting the generality of the foregoing, the use of the term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Agent to act as the secured party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04"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reflecting the status of the Obligations, the Collateral, payments and proceeds of Collateral, and related matters, (b) execute or file any and all financing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 Revolving Loans, for itself or on behalf of</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Secured Parties with respect to any Loan Party or its Subsidiaries, the Obligations, the Collateral, or otherwise related to any of same as provided in the Loan Documents, and (g) incur</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and pay such Secured Party Expenses as Agent may deem necessary or appropriate for the performance and fulfillment of its functions and powers pursuant to the Loan Documents.</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13.2.</w:t>
        <w:tab/>
        <w:t>Delegation of Duties</w:t>
      </w:r>
      <w:r>
        <w:rPr>
          <w:rFonts w:ascii="Times New Roman" w:cs="Times New Roman" w:eastAsia="Times New Roman" w:hAnsi="Times New Roman"/>
          <w:sz w:val="18"/>
          <w:szCs w:val="18"/>
          <w:color w:val="auto"/>
        </w:rPr>
        <w:t>. Agent may execute any of its duties under this Agreement or any other Loan Document by or through agents,</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13.3. Liability of Agent</w:t>
      </w:r>
      <w:r>
        <w:rPr>
          <w:rFonts w:ascii="Times New Roman" w:cs="Times New Roman" w:eastAsia="Times New Roman" w:hAnsi="Times New Roman"/>
          <w:sz w:val="18"/>
          <w:szCs w:val="18"/>
          <w:color w:val="auto"/>
        </w:rPr>
        <w:t>. None of the Agent-Related Persons shall (a) be liable for any action taken or omitted to be taken by any of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or in connection with this Agreement or any other Loan Document or the transactions contemplated hereby (except for its own gross negligence or willful misconduct), or (b) be responsible in any manner to any of the Lenders for any recital, statement, representation or warranty made by any Loan</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failure of any Loan Party or its Subsidiaries or any other party to any Loan Document to perform its obligations hereunder or thereunder. No Agent-Related Person shall be under any obligation to any Lenders to ascertain or to inquire as to the observance or performance of any of the agreements contained in, or conditions of, this Agreement or any other Loan Document, or to inspect the books and records or properties of any Loan Party or its Subsidiaries. No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13.4. Reliance by Agent</w:t>
      </w:r>
      <w:r>
        <w:rPr>
          <w:rFonts w:ascii="Times New Roman" w:cs="Times New Roman" w:eastAsia="Times New Roman" w:hAnsi="Times New Roman"/>
          <w:sz w:val="18"/>
          <w:szCs w:val="18"/>
          <w:color w:val="auto"/>
        </w:rPr>
        <w:t>. Agent shall be entitled to rely, and shall be fully protected in relying, upon any writing, resolution, notice,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advisable. If Agent so requests, it shall first be indemnified to its reasonable satisfaction by the Lenders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failure to act pursuant thereto shall be binding upon all of the Lenders.</w:t>
      </w:r>
    </w:p>
    <w:p>
      <w:pPr>
        <w:spacing w:after="0" w:line="161"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13.5. Notice of Default or Event of Default</w:t>
      </w:r>
      <w:r>
        <w:rPr>
          <w:rFonts w:ascii="Times New Roman" w:cs="Times New Roman" w:eastAsia="Times New Roman" w:hAnsi="Times New Roman"/>
          <w:sz w:val="18"/>
          <w:szCs w:val="18"/>
          <w:color w:val="auto"/>
        </w:rPr>
        <w:t>. Agent shall not be deemed to have knowledge or notice of the occurrence of any Default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except with respect to defaults in the payment of principal, interest, fees, and expenses required to be paid to Agent for the account of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knowledge of any Event of Default, such Lender promptly shall notify the other Lenders and Agent of such Event of Default. Each Lender shall be solely responsible for giving any notices to its Participants, if any. Subject to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Agent shall take such action with respect to such Default or Event of Default as may be requested by the Required Lenders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Agent has received any such request,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Agent may (but shall not be obligated to) take such action, or refrain from taking such action, with respect to such Default or Event of Default as it shall deem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04"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13.6.</w:t>
        <w:tab/>
        <w:t>Credit Decision</w:t>
      </w:r>
      <w:r>
        <w:rPr>
          <w:rFonts w:ascii="Times New Roman" w:cs="Times New Roman" w:eastAsia="Times New Roman" w:hAnsi="Times New Roman"/>
          <w:sz w:val="18"/>
          <w:szCs w:val="18"/>
          <w:color w:val="auto"/>
        </w:rPr>
        <w:t>. Each Lender acknowledges that none of the Agent-Related Persons has made any representation or warranty to it, and</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no act by Agent hereinafter taken, including any review of the affairs of any Loan Party and its Subsidiaries or Affiliates, shall be deemed to constitute any representation or warranty by any Agent-Related Person to any Lender. Each Lender represents to Agent that it has, independently and without reliance upon any Agent-Related Person and based on such due diligence, documents and information as it has deemed appropriate, made its own appraisal of, and</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that it will, independently and without reliance upon any Agent-Related Person and based on such documents and information as it shall deem appropriate at the time, continue to make its own credit analysis, appraisals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 have any duty or responsibility to provide any Lender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that Agent does not have any duty or responsibility, either initially or on a continuing basis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(except to the extent, if any, that is expressly specified herein) to provide such Lender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13.7. Costs and Expenses; Indemnification</w:t>
      </w:r>
      <w:r>
        <w:rPr>
          <w:rFonts w:ascii="Times New Roman" w:cs="Times New Roman" w:eastAsia="Times New Roman" w:hAnsi="Times New Roman"/>
          <w:sz w:val="18"/>
          <w:szCs w:val="18"/>
          <w:color w:val="auto"/>
        </w:rPr>
        <w:t>. Agent may incur and pay Lender Group Expenses to the extent Agent reasonably deems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expenses prior to the distribution of any amounts to Lenders. In the event Agent is not reimbursed for such costs and expenses by the Loan Parties and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reimbursed by or on behalf of Borrowers and without limiting the obligation of Borrowers to do so) from and against any and all Indemnified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13.8. Agent in Individual Capacity</w:t>
      </w:r>
      <w:r>
        <w:rPr>
          <w:rFonts w:ascii="Times New Roman" w:cs="Times New Roman" w:eastAsia="Times New Roman" w:hAnsi="Times New Roman"/>
          <w:sz w:val="18"/>
          <w:szCs w:val="18"/>
          <w:color w:val="auto"/>
        </w:rPr>
        <w:t>. CIBC and its Affiliates may make loans to, issue letters of credit for the account of, accept deposits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Bank Services to, acquire Equity Interests in, and generally engage in any kind of banking, trust, financial advisory, underwriting, or other business with any Loan Party and its Subsidiaries and Affiliates and any other Person party to any Loan Document as though CIBC were not Agent hereunder, and,</w:t>
      </w:r>
    </w:p>
    <w:p>
      <w:pPr>
        <w:spacing w:after="0" w:line="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in each case, without notice to or consent of any other Lender. Each of the Lenders acknowledge that, pursuant to such activities, CIBC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that, in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such circumstances (and in the absence of a waiver of such confidentiality obligations, which waiver Agent will use its reasonable best efforts to obtain), Agent shall not be under any obligation to provide such information to them. The terms “Lender” and “Lenders” include CIBC in its individual capacity.</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13.9.</w:t>
        <w:tab/>
        <w:t>Successor Agent</w:t>
      </w:r>
      <w:r>
        <w:rPr>
          <w:rFonts w:ascii="Times New Roman" w:cs="Times New Roman" w:eastAsia="Times New Roman" w:hAnsi="Times New Roman"/>
          <w:sz w:val="18"/>
          <w:szCs w:val="18"/>
          <w:color w:val="auto"/>
        </w:rPr>
        <w:t>. Agent may resign as Agent upon 30 days (ten days if an Event of Default has occurred and is continuing) prior written</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notice to the Lenders (unless such notice is waived by the Required Lenders) and Borrowers (unless such notice is waived by Borrowers or a Default or Event of Default has occurred and is continuing). If Agent resigns under this Agreement, the Required Lenders shall be entitled, with (so long as no Event of Default has occurred and is continuing) the consent of Borrowers (such consent not to be unreasonably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04"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withheld, delayed, or conditioned), appoint a successor Agent for the Lenders. If no successor Agent is appointed prior to the effective date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 xml:space="preserve"> shall inure to its benefit as to any actions taken or omitted to be taken by it while it was Agent under this Agreement. If no successor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13.10. Lender in Individual Capacity</w:t>
      </w:r>
      <w:r>
        <w:rPr>
          <w:rFonts w:ascii="Times New Roman" w:cs="Times New Roman" w:eastAsia="Times New Roman" w:hAnsi="Times New Roman"/>
          <w:sz w:val="18"/>
          <w:szCs w:val="18"/>
          <w:color w:val="auto"/>
        </w:rPr>
        <w:t>. Any Lender and its respective Affiliates may make loans to, issue letters of credit for the account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 deposits from, provide Bank Services to, acquire Equity Interests in and generally engage in any kind of banking, trust, financial advisory, underwriting, or other business with any Loan Party and its Subsidiaries and Affiliates and any other Person party to any Loan Documents as though such</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Lender were not a Lender hereunder without notice to or consent of any other Lender. Each other Lender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Lenders, and the Lenders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15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13.11.</w:t>
        <w:tab/>
        <w:t>Collateral Matters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1304"/>
        <w:spacing w:after="0" w:line="212" w:lineRule="auto"/>
        <w:tabs>
          <w:tab w:leader="none" w:pos="194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Agent to release any Lien on any Collateral (i) upon the termination of the Commitments and payment and satisfaction in full by the Loan Parties and their Subsidiaries of all of the Obligations, (ii) constituting property being sold or disposed of if a release is required or desirable in connection therewith and if Borrowers certify to Agent that the sale or disposition is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The Loan Parties and the Lenders 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Agent, based upon the instruction of the Required Lenders, may accept non-cash consideration, including debt and equity securities issued by any entities used to consummate such credit bid or purchase and in connection therewith Agent may reduce the Obligations owed to Lenders based upon the value of such non-cash consideration.</w:t>
      </w:r>
    </w:p>
    <w:p>
      <w:pPr>
        <w:spacing w:after="0" w:line="166" w:lineRule="exact"/>
        <w:rPr>
          <w:rFonts w:ascii="Times New Roman" w:cs="Times New Roman" w:eastAsia="Times New Roman" w:hAnsi="Times New Roman"/>
          <w:sz w:val="18"/>
          <w:szCs w:val="18"/>
          <w:color w:val="auto"/>
        </w:rPr>
      </w:pPr>
    </w:p>
    <w:p>
      <w:pPr>
        <w:jc w:val="both"/>
        <w:ind w:firstLine="1304"/>
        <w:spacing w:after="0" w:line="216" w:lineRule="auto"/>
        <w:tabs>
          <w:tab w:leader="none" w:pos="193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no obligation whatsoever to any of the Lenders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impose, maintain, increase, reduce, implement, or eliminate any particular reserve hereunder or to determine whether the amount of any reserve is appropriate or not, or (iv)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as to any of the foregoing, except as otherwise expressly provided herein.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13.12.</w:t>
      </w:r>
      <w:r>
        <w:rPr>
          <w:sz w:val="20"/>
          <w:szCs w:val="20"/>
          <w:color w:val="auto"/>
        </w:rPr>
        <w:tab/>
      </w:r>
      <w:r>
        <w:rPr>
          <w:rFonts w:ascii="Times New Roman" w:cs="Times New Roman" w:eastAsia="Times New Roman" w:hAnsi="Times New Roman"/>
          <w:sz w:val="17"/>
          <w:szCs w:val="17"/>
          <w:b w:val="1"/>
          <w:bCs w:val="1"/>
          <w:color w:val="auto"/>
        </w:rPr>
        <w:t>Restrictions on Actions by Lenders; Sharing of Payments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04"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1304"/>
        <w:spacing w:after="0" w:line="220" w:lineRule="auto"/>
        <w:tabs>
          <w:tab w:leader="none" w:pos="194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57" w:lineRule="exact"/>
        <w:rPr>
          <w:rFonts w:ascii="Times New Roman" w:cs="Times New Roman" w:eastAsia="Times New Roman" w:hAnsi="Times New Roman"/>
          <w:sz w:val="18"/>
          <w:szCs w:val="18"/>
          <w:color w:val="auto"/>
        </w:rPr>
      </w:pPr>
    </w:p>
    <w:p>
      <w:pPr>
        <w:jc w:val="both"/>
        <w:ind w:firstLine="1304"/>
        <w:spacing w:after="0" w:line="214" w:lineRule="auto"/>
        <w:tabs>
          <w:tab w:leader="none" w:pos="193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w:t>
      </w:r>
    </w:p>
    <w:p>
      <w:pPr>
        <w:spacing w:after="0" w:line="1" w:lineRule="exact"/>
        <w:rPr>
          <w:rFonts w:ascii="Times New Roman" w:cs="Times New Roman" w:eastAsia="Times New Roman" w:hAnsi="Times New Roman"/>
          <w:sz w:val="18"/>
          <w:szCs w:val="18"/>
          <w:color w:val="auto"/>
        </w:rPr>
      </w:pPr>
    </w:p>
    <w:p>
      <w:pPr>
        <w:jc w:val="both"/>
        <w:ind w:firstLine="8"/>
        <w:spacing w:after="0" w:line="215" w:lineRule="auto"/>
        <w:tabs>
          <w:tab w:leader="none" w:pos="31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13.13.</w:t>
        <w:tab/>
        <w:t>Agency for Perfection</w:t>
      </w:r>
      <w:r>
        <w:rPr>
          <w:rFonts w:ascii="Times New Roman" w:cs="Times New Roman" w:eastAsia="Times New Roman" w:hAnsi="Times New Roman"/>
          <w:sz w:val="18"/>
          <w:szCs w:val="18"/>
          <w:color w:val="auto"/>
        </w:rPr>
        <w:t>. Agent hereby appoints each other Lender as its agent (and each Lender hereby accepts such appointment) for the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168"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13.14. Payments by Agent to the Lenders</w:t>
      </w:r>
      <w:r>
        <w:rPr>
          <w:rFonts w:ascii="Times New Roman" w:cs="Times New Roman" w:eastAsia="Times New Roman" w:hAnsi="Times New Roman"/>
          <w:sz w:val="18"/>
          <w:szCs w:val="18"/>
          <w:color w:val="auto"/>
        </w:rPr>
        <w:t>. All payments to be made by Agent to the Lenders shall be made by bank wire transfer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13.15. Concerning the Collateral and Related Loan Documents</w:t>
      </w:r>
      <w:r>
        <w:rPr>
          <w:rFonts w:ascii="Times New Roman" w:cs="Times New Roman" w:eastAsia="Times New Roman" w:hAnsi="Times New Roman"/>
          <w:sz w:val="18"/>
          <w:szCs w:val="18"/>
          <w:color w:val="auto"/>
        </w:rPr>
        <w:t>. Each of the Lenders authorizes and directs Agent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other Loan Documents. Each Lender agrees that any action taken by Agent in accordance with the terms of this Agreement or the other Loan Documents relating to the Collateral and the exercise by Agent of its powers set forth therein or herein, together with such other powers that are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incidental thereto, shall be binding upon each Lender.</w:t>
      </w:r>
    </w:p>
    <w:p>
      <w:pPr>
        <w:spacing w:after="0" w:line="161"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14.1.</w:t>
        <w:tab/>
        <w:t>Payments</w:t>
      </w:r>
      <w:r>
        <w:rPr>
          <w:rFonts w:ascii="Times New Roman" w:cs="Times New Roman" w:eastAsia="Times New Roman" w:hAnsi="Times New Roman"/>
          <w:sz w:val="18"/>
          <w:szCs w:val="18"/>
          <w:color w:val="auto"/>
        </w:rPr>
        <w:t>. All payments made by any Loan Party under any Loan Document will be made free and clear of, and without deduction or</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withholding for, any 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certified copies of tax receipts evidencing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payment by the Loan Parties.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after withholding or deduction for or on account of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Indemnified Taxes, will not be less than the amount provided for herein. The Loan Parties will promptly pay any Other Taxes or reimburse Agent for such Other Taxes upon Agent’s demand. The Loan Parties shall jointly and severally indemnify each Indemnified Person (collectively a “</w:t>
      </w:r>
      <w:r>
        <w:rPr>
          <w:rFonts w:ascii="Times New Roman" w:cs="Times New Roman" w:eastAsia="Times New Roman" w:hAnsi="Times New Roman"/>
          <w:sz w:val="18"/>
          <w:szCs w:val="18"/>
          <w:u w:val="single" w:color="auto"/>
          <w:color w:val="auto"/>
        </w:rPr>
        <w:t>Tax Indemnitee</w:t>
      </w:r>
      <w:r>
        <w:rPr>
          <w:rFonts w:ascii="Times New Roman" w:cs="Times New Roman" w:eastAsia="Times New Roman" w:hAnsi="Times New Roman"/>
          <w:sz w:val="18"/>
          <w:szCs w:val="18"/>
          <w:color w:val="auto"/>
        </w:rPr>
        <w:t>”) for the full amount of Indemnified Taxes arising in connection with this Agreement or any other Loan Document or breach thereof by any Loan Party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(including, without limitation, any Indemnified Taxes imposed or asserted on, or attributable to, amounts payable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survive the termination of this Agreement, the resignation and replacement of the Agent, and the repayment of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04"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14.2.</w:t>
        <w:tab/>
        <w:t>Exemptions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both"/>
        <w:ind w:firstLine="1304"/>
        <w:spacing w:after="0" w:line="226" w:lineRule="auto"/>
        <w:tabs>
          <w:tab w:leader="none" w:pos="19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Borrower Representative on behalf of all Borrowers one of the following before receiving its first payment under this Agreement:</w:t>
      </w:r>
    </w:p>
    <w:p>
      <w:pPr>
        <w:spacing w:after="0" w:line="171" w:lineRule="exact"/>
        <w:rPr>
          <w:rFonts w:ascii="Times New Roman" w:cs="Times New Roman" w:eastAsia="Times New Roman" w:hAnsi="Times New Roman"/>
          <w:sz w:val="18"/>
          <w:szCs w:val="18"/>
          <w:color w:val="auto"/>
        </w:rPr>
      </w:pPr>
    </w:p>
    <w:p>
      <w:pPr>
        <w:ind w:left="1960" w:right="40" w:firstLine="640"/>
        <w:spacing w:after="0" w:line="217" w:lineRule="auto"/>
        <w:tabs>
          <w:tab w:leader="none" w:pos="325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Lender or Participant is entitled to claim an exemption from United States withholding tax pursuant to the portfolio interest exception, (A) a statement of the Lender or Participant, signed under penalty of perjury, that it is not a (I) a “bank” as described in Section 881(c)(3)(A) of the IRC, (II) a 10% shareholder of Borrower Representative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159" w:lineRule="exact"/>
        <w:rPr>
          <w:rFonts w:ascii="Times New Roman" w:cs="Times New Roman" w:eastAsia="Times New Roman" w:hAnsi="Times New Roman"/>
          <w:sz w:val="18"/>
          <w:szCs w:val="18"/>
          <w:color w:val="auto"/>
        </w:rPr>
      </w:pPr>
    </w:p>
    <w:p>
      <w:pPr>
        <w:ind w:left="1960" w:right="60" w:firstLine="640"/>
        <w:spacing w:after="0" w:line="250" w:lineRule="auto"/>
        <w:tabs>
          <w:tab w:leader="none" w:pos="324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149" w:lineRule="exact"/>
        <w:rPr>
          <w:rFonts w:ascii="Times New Roman" w:cs="Times New Roman" w:eastAsia="Times New Roman" w:hAnsi="Times New Roman"/>
          <w:sz w:val="18"/>
          <w:szCs w:val="18"/>
          <w:color w:val="auto"/>
        </w:rPr>
      </w:pPr>
    </w:p>
    <w:p>
      <w:pPr>
        <w:ind w:left="1960" w:right="40" w:firstLine="640"/>
        <w:spacing w:after="0" w:line="231" w:lineRule="auto"/>
        <w:tabs>
          <w:tab w:leader="none" w:pos="325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158" w:lineRule="exact"/>
        <w:rPr>
          <w:rFonts w:ascii="Times New Roman" w:cs="Times New Roman" w:eastAsia="Times New Roman" w:hAnsi="Times New Roman"/>
          <w:sz w:val="18"/>
          <w:szCs w:val="18"/>
          <w:color w:val="auto"/>
        </w:rPr>
      </w:pPr>
    </w:p>
    <w:p>
      <w:pPr>
        <w:jc w:val="both"/>
        <w:ind w:left="1960" w:right="40" w:firstLine="640"/>
        <w:spacing w:after="0" w:line="224" w:lineRule="auto"/>
        <w:tabs>
          <w:tab w:leader="none" w:pos="324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158" w:lineRule="exact"/>
        <w:rPr>
          <w:rFonts w:ascii="Times New Roman" w:cs="Times New Roman" w:eastAsia="Times New Roman" w:hAnsi="Times New Roman"/>
          <w:sz w:val="18"/>
          <w:szCs w:val="18"/>
          <w:color w:val="auto"/>
        </w:rPr>
      </w:pPr>
    </w:p>
    <w:p>
      <w:pPr>
        <w:ind w:left="1960" w:right="420" w:firstLine="640"/>
        <w:spacing w:after="0" w:line="231" w:lineRule="auto"/>
        <w:tabs>
          <w:tab w:leader="none" w:pos="325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58"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w:t>
      </w:r>
    </w:p>
    <w:p>
      <w:pPr>
        <w:spacing w:after="0" w:line="158"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Lender or Participant claims an exemption from withholding tax in a jurisdiction other than the United States, such Lender or such Participant agrees with and in favor of Agent and Borrowers, to deliver to Agent and Borrower Representative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14.2(c)</w:t>
      </w:r>
      <w:r>
        <w:rPr>
          <w:rFonts w:ascii="Times New Roman" w:cs="Times New Roman" w:eastAsia="Times New Roman" w:hAnsi="Times New Roman"/>
          <w:sz w:val="18"/>
          <w:szCs w:val="18"/>
          <w:color w:val="auto"/>
        </w:rPr>
        <w:t xml:space="preserve"> shall require a Lender or Participant to disclose any information that it deems to be confidential (including without limitation, its tax returns). Each Lender and each Participant shall provide new forms (or successor forms) upon the expiration or obsolescence of any previously delivered forms and to promptly notify Agent and Borrower Representative (or, in the case of a Participant, to the Lender granting the participation only) of any change in circumstances which would modify or render invalid any claimed exemption or reduction.</w:t>
      </w:r>
    </w:p>
    <w:p>
      <w:pPr>
        <w:spacing w:after="0" w:line="170" w:lineRule="exact"/>
        <w:rPr>
          <w:rFonts w:ascii="Times New Roman" w:cs="Times New Roman" w:eastAsia="Times New Roman" w:hAnsi="Times New Roman"/>
          <w:sz w:val="18"/>
          <w:szCs w:val="18"/>
          <w:color w:val="auto"/>
        </w:rPr>
      </w:pPr>
    </w:p>
    <w:p>
      <w:pPr>
        <w:jc w:val="both"/>
        <w:ind w:firstLine="1304"/>
        <w:spacing w:after="0" w:line="217" w:lineRule="auto"/>
        <w:tabs>
          <w:tab w:leader="none" w:pos="19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Borrower Representative (or, in the case of a sale of a participation interest, to the Lender granting the participation only) of the percentage amount in which it is no longer the beneficial owner of Obligations of Borrowers to such Lender or Participant. To the extent of such percentage amount, Agent and Borrower Representative will treat such Lender’s or such Participant’s documentation provided pursuant to </w:t>
      </w:r>
      <w:r>
        <w:rPr>
          <w:rFonts w:ascii="Times New Roman" w:cs="Times New Roman" w:eastAsia="Times New Roman" w:hAnsi="Times New Roman"/>
          <w:sz w:val="18"/>
          <w:szCs w:val="18"/>
          <w:u w:val="single" w:color="auto"/>
          <w:color w:val="auto"/>
        </w:rPr>
        <w:t>Section 14.2(a)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14.2(c)</w:t>
      </w:r>
      <w:r>
        <w:rPr>
          <w:rFonts w:ascii="Times New Roman" w:cs="Times New Roman" w:eastAsia="Times New Roman" w:hAnsi="Times New Roman"/>
          <w:sz w:val="18"/>
          <w:szCs w:val="18"/>
          <w:color w:val="auto"/>
        </w:rPr>
        <w:t xml:space="preserve"> as no longer valid. With respect to such percentage amount, such Participant or Assignee may provide new documentation, pursuant to </w:t>
      </w:r>
      <w:r>
        <w:rPr>
          <w:rFonts w:ascii="Times New Roman" w:cs="Times New Roman" w:eastAsia="Times New Roman" w:hAnsi="Times New Roman"/>
          <w:sz w:val="18"/>
          <w:szCs w:val="18"/>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04"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14.2(a)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14.2(c)</w:t>
      </w:r>
      <w:r>
        <w:rPr>
          <w:rFonts w:ascii="Times New Roman" w:cs="Times New Roman" w:eastAsia="Times New Roman" w:hAnsi="Times New Roman"/>
          <w:sz w:val="18"/>
          <w:szCs w:val="18"/>
          <w:color w:val="auto"/>
        </w:rPr>
        <w:t xml:space="preserve">, if applicable. Borrowers agree that each Participant shall be entitled to the benefits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with respect to its participation in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 xml:space="preserve">any portion of the Commitments and the Obligations so long as such Participant complies with the obligations set forth in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with respect thereto.</w:t>
      </w:r>
    </w:p>
    <w:p>
      <w:pPr>
        <w:spacing w:after="0" w:line="157" w:lineRule="exact"/>
        <w:rPr>
          <w:sz w:val="20"/>
          <w:szCs w:val="20"/>
          <w:color w:val="auto"/>
        </w:rPr>
      </w:pPr>
    </w:p>
    <w:p>
      <w:pPr>
        <w:jc w:val="both"/>
        <w:ind w:firstLine="1304"/>
        <w:spacing w:after="0" w:line="216" w:lineRule="auto"/>
        <w:tabs>
          <w:tab w:leader="none" w:pos="194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“FATCA” shall include any amendments made to FATCA after the date of this Agreement.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14.3.</w:t>
      </w:r>
      <w:r>
        <w:rPr>
          <w:sz w:val="20"/>
          <w:szCs w:val="20"/>
          <w:color w:val="auto"/>
        </w:rPr>
        <w:tab/>
      </w:r>
      <w:r>
        <w:rPr>
          <w:rFonts w:ascii="Times New Roman" w:cs="Times New Roman" w:eastAsia="Times New Roman" w:hAnsi="Times New Roman"/>
          <w:sz w:val="17"/>
          <w:szCs w:val="17"/>
          <w:b w:val="1"/>
          <w:bCs w:val="1"/>
          <w:color w:val="auto"/>
        </w:rPr>
        <w:t>Reductions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jc w:val="both"/>
        <w:ind w:firstLine="1304"/>
        <w:spacing w:after="0" w:line="223" w:lineRule="auto"/>
        <w:tabs>
          <w:tab w:leader="none" w:pos="194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Times New Roman" w:cs="Times New Roman" w:eastAsia="Times New Roman" w:hAnsi="Times New Roman"/>
          <w:sz w:val="18"/>
          <w:szCs w:val="18"/>
          <w:u w:val="single" w:color="auto"/>
          <w:color w:val="auto"/>
        </w:rPr>
        <w:t>Section 14.2(a)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14.2(c)</w:t>
      </w:r>
      <w:r>
        <w:rPr>
          <w:rFonts w:ascii="Times New Roman" w:cs="Times New Roman" w:eastAsia="Times New Roman" w:hAnsi="Times New Roman"/>
          <w:sz w:val="18"/>
          <w:szCs w:val="18"/>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58" w:lineRule="exact"/>
        <w:rPr>
          <w:rFonts w:ascii="Times New Roman" w:cs="Times New Roman" w:eastAsia="Times New Roman" w:hAnsi="Times New Roman"/>
          <w:sz w:val="18"/>
          <w:szCs w:val="18"/>
          <w:color w:val="auto"/>
        </w:rPr>
      </w:pPr>
    </w:p>
    <w:p>
      <w:pPr>
        <w:jc w:val="both"/>
        <w:ind w:firstLine="1304"/>
        <w:spacing w:after="0" w:line="215" w:lineRule="auto"/>
        <w:tabs>
          <w:tab w:leader="none" w:pos="193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Agent or a Lender determines, in its sole discretion, that it has received a refund of any Indemnified Taxes to which the Loan Parties have paid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additional amounts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so long as no Default or Event of Default has occurred and is continuing, it shall pay over such refund to the Borrower Representative on behalf of the Loan Parties (but only to the extent of payments made, or additional amounts paid, by the Loan Parties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with respect to Indemnified Taxes giving rise to such a refund), net of all out-of-pocket expenses of Agent or such Lender and without interest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(other than any interest paid by the applicable Governmental Authority with respect to such a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Loan Parties, upon the request of Agent or such Lender, agrees to repay the amount paid over to the Loan Parties (plus any penalties, interest or other charges, imposed by the applicable Governmental Authority, other than such penalties, interest or other charges imposed as a result of the willful misconduct or gross negligence of Agent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not be construed to require Agent or any Lender to make available its tax returns (or any other information which it deems confidential) to Loan Parties or any other Person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require Agent or any Lender to pay any amount to an indemnifying party pursuant to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 never been paid.</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04"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1600" w:firstLine="952"/>
        <w:spacing w:after="0" w:line="528" w:lineRule="auto"/>
        <w:rPr>
          <w:sz w:val="20"/>
          <w:szCs w:val="20"/>
          <w:color w:val="auto"/>
        </w:rPr>
      </w:pPr>
      <w:r>
        <w:rPr>
          <w:rFonts w:ascii="Times New Roman" w:cs="Times New Roman" w:eastAsia="Times New Roman" w:hAnsi="Times New Roman"/>
          <w:sz w:val="17"/>
          <w:szCs w:val="17"/>
          <w:color w:val="auto"/>
        </w:rPr>
        <w:t>[SIGNATURE PAGE TO SECOND AMENDED AND RESTATED LOAN AND SECURITY AGREEMENT] IN WITNESS WHEREOF, the parties hereto have caused this Agreement to be executed as of the Effective Date.</w:t>
      </w:r>
    </w:p>
    <w:p>
      <w:pPr>
        <w:spacing w:after="0" w:line="2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BORROWER</w:t>
      </w: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EXPENSIFY, INC.</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-7620</wp:posOffset>
            </wp:positionV>
            <wp:extent cx="9010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-7620</wp:posOffset>
            </wp:positionV>
            <wp:extent cx="7645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-7620</wp:posOffset>
            </wp:positionV>
            <wp:extent cx="11779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1177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4858-6000-9114v.4</w:t>
      </w:r>
    </w:p>
    <w:p>
      <w:pPr>
        <w:sectPr>
          <w:pgSz w:w="11900" w:h="16838" w:orient="portrait"/>
          <w:cols w:equalWidth="0" w:num="1">
            <w:col w:w="11240"/>
          </w:cols>
          <w:pgMar w:left="320" w:top="104"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1600" w:firstLine="952"/>
        <w:spacing w:after="0" w:line="528" w:lineRule="auto"/>
        <w:rPr>
          <w:sz w:val="20"/>
          <w:szCs w:val="20"/>
          <w:color w:val="auto"/>
        </w:rPr>
      </w:pPr>
      <w:r>
        <w:rPr>
          <w:rFonts w:ascii="Times New Roman" w:cs="Times New Roman" w:eastAsia="Times New Roman" w:hAnsi="Times New Roman"/>
          <w:sz w:val="17"/>
          <w:szCs w:val="17"/>
          <w:color w:val="auto"/>
        </w:rPr>
        <w:t>[SIGNATURE PAGE TO SECOND AMENDED AND RESTATED LOAN AND SECURITY AGREEMENT] IN WITNESS WHEREOF, the parties hereto have caused this Agreement to be executed as of the Effective Date.</w:t>
      </w:r>
    </w:p>
    <w:p>
      <w:pPr>
        <w:spacing w:after="0" w:line="200" w:lineRule="exact"/>
        <w:rPr>
          <w:sz w:val="20"/>
          <w:szCs w:val="20"/>
          <w:color w:val="auto"/>
        </w:rPr>
      </w:pPr>
    </w:p>
    <w:p>
      <w:pPr>
        <w:spacing w:after="0" w:line="2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AGENT:</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CANADIAN IMPERIAL BANK OF COMMERCE</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-7620</wp:posOffset>
            </wp:positionV>
            <wp:extent cx="6915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-7620</wp:posOffset>
            </wp:positionV>
            <wp:extent cx="5549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-7620</wp:posOffset>
            </wp:positionV>
            <wp:extent cx="11010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-7620</wp:posOffset>
            </wp:positionV>
            <wp:extent cx="7918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-7620</wp:posOffset>
            </wp:positionV>
            <wp:extent cx="655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65532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-7620</wp:posOffset>
            </wp:positionV>
            <wp:extent cx="11010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LENDER</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CANADIAN IMPERIAL BANK OF COMMERCE</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-7620</wp:posOffset>
            </wp:positionV>
            <wp:extent cx="6915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-7620</wp:posOffset>
            </wp:positionV>
            <wp:extent cx="5549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55499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-7620</wp:posOffset>
            </wp:positionV>
            <wp:extent cx="11010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-7620</wp:posOffset>
            </wp:positionV>
            <wp:extent cx="7918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3878580</wp:posOffset>
            </wp:positionH>
            <wp:positionV relativeFrom="paragraph">
              <wp:posOffset>-7620</wp:posOffset>
            </wp:positionV>
            <wp:extent cx="655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655320" cy="8890"/>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-7620</wp:posOffset>
            </wp:positionV>
            <wp:extent cx="11010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4858-6000-9114v.4</w:t>
      </w:r>
    </w:p>
    <w:p>
      <w:pPr>
        <w:sectPr>
          <w:pgSz w:w="11900" w:h="16838" w:orient="portrait"/>
          <w:cols w:equalWidth="0" w:num="1">
            <w:col w:w="11240"/>
          </w:cols>
          <w:pgMar w:left="320" w:top="104"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capitalized terms have the following meanings:</w:t>
      </w:r>
    </w:p>
    <w:p>
      <w:pPr>
        <w:spacing w:after="0" w:line="181"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means any “account” as defined in the Code with such additions to such term as may hereafter be made, and includes, without limitation, all accounts receivable and other sums owing to a Borrower.</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Control Agreement</w:t>
      </w:r>
      <w:r>
        <w:rPr>
          <w:rFonts w:ascii="Times New Roman" w:cs="Times New Roman" w:eastAsia="Times New Roman" w:hAnsi="Times New Roman"/>
          <w:sz w:val="18"/>
          <w:szCs w:val="18"/>
          <w:color w:val="auto"/>
        </w:rPr>
        <w:t>” means any control agreement entered into among the depository institution at which a Loan Party maintains a Deposit Account or the securities intermediary or commodity intermediary at which a Borrower or any other Loan Party maintains a Securities Account or a Commodity Account, a Loan Party, and Lender pursuant to which Lender obtains control (within the meaning of the Code) over such Deposit Account,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Account, or Commodity Account.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means any “account debtor” as defined in the Code with such additions to such term as may hereafter be made.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each other Person that owns or controls, directly or indirectly the Person, any Person that controls</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is controlled by or is under common control with the Person, and each of that Person’s senior executive officers, directors, partners and, for any Person that is a limited liability company, that Person’s managers and members.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has the meaning set forth in the preamble hereto.</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Agent-Related Persons</w:t>
      </w:r>
      <w:r>
        <w:rPr>
          <w:rFonts w:ascii="Times New Roman" w:cs="Times New Roman" w:eastAsia="Times New Roman" w:hAnsi="Times New Roman"/>
          <w:sz w:val="18"/>
          <w:szCs w:val="18"/>
          <w:color w:val="auto"/>
        </w:rPr>
        <w:t>” means Agent, together with its Affiliates, officers, directors, employees, attorneys, and agents.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 of this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the FCPA, the U.K. Bribery Act of 2010, as amended, and all other applicable laws and regulations or</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ordinances concerning or relating to bribery, money laundering or corruption in any jurisdiction in which any Loan Party or any of its Subsidiaries or Affiliates is located or is doing business.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Order</w:t>
      </w:r>
      <w:r>
        <w:rPr>
          <w:rFonts w:ascii="Times New Roman" w:cs="Times New Roman" w:eastAsia="Times New Roman" w:hAnsi="Times New Roman"/>
          <w:sz w:val="18"/>
          <w:szCs w:val="18"/>
          <w:color w:val="auto"/>
        </w:rPr>
        <w:t>” means Executive Order No. 13,224 as of September 24, 2001, Blocking Property and Prohibiting Transactions with Persons Who Commit, Threaten to Commit or Support Terrorism, 66 U.S. Fed. Reg. 49,079 (2001), as amended.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Interest Rate</w:t>
      </w:r>
      <w:r>
        <w:rPr>
          <w:rFonts w:ascii="Times New Roman" w:cs="Times New Roman" w:eastAsia="Times New Roman" w:hAnsi="Times New Roman"/>
          <w:sz w:val="18"/>
          <w:szCs w:val="18"/>
          <w:color w:val="auto"/>
        </w:rPr>
        <w:t>” means a floating annual rate of the Prime Rate plus 1.00%,</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Percentage</w:t>
      </w:r>
      <w:r>
        <w:rPr>
          <w:rFonts w:ascii="Times New Roman" w:cs="Times New Roman" w:eastAsia="Times New Roman" w:hAnsi="Times New Roman"/>
          <w:sz w:val="18"/>
          <w:szCs w:val="18"/>
          <w:color w:val="auto"/>
        </w:rPr>
        <w:t>” means, as of any date of determination, with respect to each Lender, the percentage which such Lender’s Revolving Loan Commitment then constitutes of the Total Revolving Loan Commitment, or at any time after the Revolving Loan Commitments shall have expired or terminated, the percentage which the aggregate principal amount of such Lender’s Revolving Loans then outstanding constitutes of the aggregate principal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all Revolving Loans then outstanding.</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Application Event</w:t>
      </w:r>
      <w:r>
        <w:rPr>
          <w:rFonts w:ascii="Times New Roman" w:cs="Times New Roman" w:eastAsia="Times New Roman" w:hAnsi="Times New Roman"/>
          <w:sz w:val="18"/>
          <w:szCs w:val="18"/>
          <w:color w:val="auto"/>
        </w:rPr>
        <w:t xml:space="preserve">” means the date that an Event of Default has occurred and Agent or Required Lenders have required that payments or proceeds of Collateral be applied pursuant to </w:t>
      </w:r>
      <w:r>
        <w:rPr>
          <w:rFonts w:ascii="Times New Roman" w:cs="Times New Roman" w:eastAsia="Times New Roman" w:hAnsi="Times New Roman"/>
          <w:sz w:val="18"/>
          <w:szCs w:val="18"/>
          <w:u w:val="single" w:color="auto"/>
          <w:color w:val="auto"/>
        </w:rPr>
        <w:t>Section 2.7(f).</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Acceptance</w:t>
      </w:r>
      <w:r>
        <w:rPr>
          <w:rFonts w:ascii="Times New Roman" w:cs="Times New Roman" w:eastAsia="Times New Roman" w:hAnsi="Times New Roman"/>
          <w:sz w:val="18"/>
          <w:szCs w:val="18"/>
          <w:color w:val="auto"/>
        </w:rPr>
        <w:t xml:space="preserve">” means an Assignment and Acceptance Agreement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 this Agreement.</w:t>
      </w:r>
    </w:p>
    <w:p>
      <w:pPr>
        <w:spacing w:after="0" w:line="18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Average Unused Revolving Loan Amount</w:t>
      </w:r>
      <w:r>
        <w:rPr>
          <w:rFonts w:ascii="Times New Roman" w:cs="Times New Roman" w:eastAsia="Times New Roman" w:hAnsi="Times New Roman"/>
          <w:sz w:val="18"/>
          <w:szCs w:val="18"/>
          <w:color w:val="auto"/>
        </w:rPr>
        <w:t>” means, for each quarter measurement period, the Total Revolving Loan Commitments, less the average Bank Services Utilization Amount for such period, less the average closing balance of the Revolving Loans outstanding for each day in such</w:t>
      </w:r>
    </w:p>
    <w:p>
      <w:pPr>
        <w:spacing w:after="0"/>
        <w:rPr>
          <w:sz w:val="20"/>
          <w:szCs w:val="20"/>
          <w:color w:val="auto"/>
        </w:rPr>
      </w:pPr>
      <w:r>
        <w:rPr>
          <w:rFonts w:ascii="Times New Roman" w:cs="Times New Roman" w:eastAsia="Times New Roman" w:hAnsi="Times New Roman"/>
          <w:sz w:val="18"/>
          <w:szCs w:val="18"/>
          <w:color w:val="auto"/>
        </w:rPr>
        <w:t>period, as determined by Agent.</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240"/>
          </w:cols>
          <w:pgMar w:left="320" w:top="104"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w:t>
      </w:r>
    </w:p>
    <w:p>
      <w:pPr>
        <w:spacing w:after="0"/>
        <w:rPr>
          <w:sz w:val="20"/>
          <w:szCs w:val="20"/>
          <w:color w:val="auto"/>
        </w:rPr>
      </w:pPr>
      <w:r>
        <w:rPr>
          <w:rFonts w:ascii="Times New Roman" w:cs="Times New Roman" w:eastAsia="Times New Roman" w:hAnsi="Times New Roman"/>
          <w:sz w:val="18"/>
          <w:szCs w:val="18"/>
          <w:color w:val="auto"/>
        </w:rPr>
        <w:t>EU Bail-In Legislation Schedule.</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w:t>
      </w:r>
      <w:r>
        <w:rPr>
          <w:rFonts w:ascii="Times New Roman" w:cs="Times New Roman" w:eastAsia="Times New Roman" w:hAnsi="Times New Roman"/>
          <w:sz w:val="18"/>
          <w:szCs w:val="18"/>
          <w:color w:val="auto"/>
        </w:rPr>
        <w:t>” means, any products, credit services, and/or financial accommodations provided to a Borrower or any of its Subsidiaries at the request of Borrower Representative, including without limitation, any Letters of Credit, cash management services (including, without limitation, merchant</w:t>
      </w:r>
    </w:p>
    <w:p>
      <w:pPr>
        <w:jc w:val="both"/>
        <w:spacing w:after="0" w:line="226" w:lineRule="auto"/>
        <w:rPr>
          <w:sz w:val="20"/>
          <w:szCs w:val="20"/>
          <w:color w:val="auto"/>
        </w:rPr>
      </w:pPr>
      <w:r>
        <w:rPr>
          <w:rFonts w:ascii="Times New Roman" w:cs="Times New Roman" w:eastAsia="Times New Roman" w:hAnsi="Times New Roman"/>
          <w:sz w:val="18"/>
          <w:szCs w:val="18"/>
          <w:color w:val="auto"/>
        </w:rPr>
        <w:t>services, direct deposit of payroll, business credit cards, and check cashing services), interest rate swap arrangements, and foreign exchange services as any such products or services may be identified in various bank services agreements related thereto.</w:t>
      </w:r>
    </w:p>
    <w:p>
      <w:pPr>
        <w:spacing w:after="0" w:line="153"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 Provider</w:t>
      </w:r>
      <w:r>
        <w:rPr>
          <w:rFonts w:ascii="Times New Roman" w:cs="Times New Roman" w:eastAsia="Times New Roman" w:hAnsi="Times New Roman"/>
          <w:sz w:val="18"/>
          <w:szCs w:val="18"/>
          <w:color w:val="auto"/>
        </w:rPr>
        <w:t>” means CIBC, or such other Revolving Lender as agreed from time to time among Agent, CIBC and Borrower Representative.</w:t>
      </w:r>
    </w:p>
    <w:p>
      <w:pPr>
        <w:spacing w:after="0" w:line="14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 Utilization Amount</w:t>
      </w:r>
      <w:r>
        <w:rPr>
          <w:rFonts w:ascii="Times New Roman" w:cs="Times New Roman" w:eastAsia="Times New Roman" w:hAnsi="Times New Roman"/>
          <w:sz w:val="18"/>
          <w:szCs w:val="18"/>
          <w:color w:val="auto"/>
        </w:rPr>
        <w:t>” means, as of any date of determination, the sum of (i) the committed amount of any cash management services (including, without limitation, merchant services, direct deposit of payroll, business credit cards, and check cashing services) made available under</w:t>
      </w:r>
    </w:p>
    <w:p>
      <w:pPr>
        <w:jc w:val="both"/>
        <w:spacing w:after="0" w:line="226" w:lineRule="auto"/>
        <w:rPr>
          <w:sz w:val="20"/>
          <w:szCs w:val="20"/>
          <w:color w:val="auto"/>
        </w:rPr>
      </w:pPr>
      <w:r>
        <w:rPr>
          <w:rFonts w:ascii="Times New Roman" w:cs="Times New Roman" w:eastAsia="Times New Roman" w:hAnsi="Times New Roman"/>
          <w:sz w:val="18"/>
          <w:szCs w:val="18"/>
          <w:color w:val="auto"/>
        </w:rPr>
        <w:t>the Revolving Loan Facility and any associated reserves, and (ii) the aggregate face amount of outstanding Letters of Credit (including drawn but unreimbursed amounts).</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with respect to any Person, the board of directors, board of managers, managers or other similar bodies or authorities performing similar governing functions for such Person.</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has the meaning set forth in the preamble hereof.</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Representative</w:t>
      </w:r>
      <w:r>
        <w:rPr>
          <w:rFonts w:ascii="Times New Roman" w:cs="Times New Roman" w:eastAsia="Times New Roman" w:hAnsi="Times New Roman"/>
          <w:sz w:val="18"/>
          <w:szCs w:val="18"/>
          <w:color w:val="auto"/>
        </w:rPr>
        <w:t>” has the meaning set forth in the preamble hereof.</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all of each Borrower’s books and records including ledgers, federal and state tax returns, records regarding such Borrower’s assets or liabilities, the Collateral, business operations or financial condition, and all computer programs or storage or any equipment containing such information.</w:t>
      </w:r>
    </w:p>
    <w:p>
      <w:pPr>
        <w:spacing w:after="0" w:line="16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Sunday or a day on which commercial banks in the State of California are required or permitted to be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 marketable direct obligations issued or unconditionally guaranteed by the United States or any agency or any State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issued by any bank with assets of at least $500,000,000 maturing no more than one year from the date of investment therein; and (d) money market funds at least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ninety-five percent (95%) of the assets of which constitute Cash Equivalents of the kinds described in </w:t>
      </w:r>
      <w:r>
        <w:rPr>
          <w:rFonts w:ascii="Times New Roman" w:cs="Times New Roman" w:eastAsia="Times New Roman" w:hAnsi="Times New Roman"/>
          <w:sz w:val="18"/>
          <w:szCs w:val="18"/>
          <w:u w:val="single" w:color="auto"/>
          <w:color w:val="auto"/>
        </w:rPr>
        <w:t>clauses (a) through (c)</w:t>
      </w:r>
      <w:r>
        <w:rPr>
          <w:rFonts w:ascii="Times New Roman" w:cs="Times New Roman" w:eastAsia="Times New Roman" w:hAnsi="Times New Roman"/>
          <w:sz w:val="18"/>
          <w:szCs w:val="18"/>
          <w:color w:val="auto"/>
        </w:rPr>
        <w:t xml:space="preserve"> of this definition.</w:t>
      </w:r>
    </w:p>
    <w:p>
      <w:pPr>
        <w:spacing w:after="0" w:line="16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of the following (or any combination of the following) whether arising from any single transaction event or series of related transactions or events that, individually or in the aggregate, result in: (a) any “person” or “group” (within the meaning of Section 13(d) and</w:t>
      </w:r>
    </w:p>
    <w:p>
      <w:pPr>
        <w:jc w:val="both"/>
        <w:spacing w:after="0" w:line="208" w:lineRule="auto"/>
        <w:rPr>
          <w:sz w:val="20"/>
          <w:szCs w:val="20"/>
          <w:color w:val="auto"/>
        </w:rPr>
      </w:pPr>
      <w:r>
        <w:rPr>
          <w:rFonts w:ascii="Times New Roman" w:cs="Times New Roman" w:eastAsia="Times New Roman" w:hAnsi="Times New Roman"/>
          <w:sz w:val="18"/>
          <w:szCs w:val="18"/>
          <w:color w:val="auto"/>
        </w:rPr>
        <w:t>14(d)(2) of the Securities Exchange Act of 1934) becoming the “beneficial owner” (as defined in Rule 13d-3 under the Securities Exchange Act of 1934), directly or indirectly, of a sufficient number of Equity Interests of Borrower Representative ordinarily entitled to vote in the election of directors, empowering such “person” or “group” to elect a majority of the members of the Board of Borrower Representative, who did not have such power before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such transaction; or (b) the Transfer of all or substantially all assets of Borrowers or of a material business line of Borrowers; or (c) Borrower Representative ceasing to own and control, (other than in connection with the dissolution of a Subsidiary of Borrower Representative pursuant to which all assets of such Subsidiary are transferred to a Borrower), free and clear of any Liens (other than Permitted Liens), directly or indirectly, all of the Equity Interests in each of its Subsidiaries or failing to have the power to direct or cause the direction of the management and policies of each such Subsidiary.</w:t>
      </w:r>
    </w:p>
    <w:p>
      <w:pPr>
        <w:spacing w:after="0" w:line="16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or (c) the making or issuance by any</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Governmental Authority of any request, rule, guideline or directive, whether or not having the force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in this Agreement to the contrary, (i) the Dodd-Frank Wall Street Reform and Consumer Protection Act and all requests, rules, guidelines or directives thereunder or issued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40"/>
          </w:cols>
          <w:pgMar w:left="320" w:top="104"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a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regardless of the date enacted, adopted or issued.</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CIBC</w:t>
      </w:r>
      <w:r>
        <w:rPr>
          <w:rFonts w:ascii="Times New Roman" w:cs="Times New Roman" w:eastAsia="Times New Roman" w:hAnsi="Times New Roman"/>
          <w:sz w:val="18"/>
          <w:szCs w:val="18"/>
          <w:color w:val="auto"/>
        </w:rPr>
        <w:t>” has the meaning set forth in the preamble 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CIBC USA</w:t>
      </w:r>
      <w:r>
        <w:rPr>
          <w:rFonts w:ascii="Times New Roman" w:cs="Times New Roman" w:eastAsia="Times New Roman" w:hAnsi="Times New Roman"/>
          <w:sz w:val="18"/>
          <w:szCs w:val="18"/>
          <w:color w:val="auto"/>
        </w:rPr>
        <w:t>” means CIBC Bank USA.</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May 24, 2018.</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Uniform Commercial Code, as the same may, from time to time, be enacted and in effect in the State of California; provided,</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by the Uniform Commercial Code in effect in a jurisdiction other than the State of California, the term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means any and all properties, rights and assets of Borrower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any collateral securing the Obligations pursuant to any guaranty or pursuant to any other Loan Document.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means an agreement with respect to a Loan Party’s leased location or bailee location, in each case in form and substance reasonably satisfactory to Agent.</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means any Deposit Account, Securities Account, or Commodity Account of a Loan Party.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means, collectively, the Revolving Loan Commitments, and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shall mean each of them.</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means any “commodity account” as defined in the Code with such additions to such term as may hereafter be made.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that certain certificate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for any Person, any direct or indirect liability, contingent or not, of that Person for (a) any indebtedness, lease,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agreement or arrangement designated to protect a Person against fluctuation in interest rates, currency exchange rates or commodity prices.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any guarantee or other support arrangement.</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means any and all copyright rights, copyright applications, copyright registrations and like protections of a Person in each work of authorship and derivative work thereof, whether published or unpublished and whether or not the same also constitutes a trade secret.</w:t>
      </w:r>
    </w:p>
    <w:p>
      <w:pPr>
        <w:spacing w:after="0" w:line="1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Authorization</w:t>
      </w:r>
      <w:r>
        <w:rPr>
          <w:rFonts w:ascii="Times New Roman" w:cs="Times New Roman" w:eastAsia="Times New Roman" w:hAnsi="Times New Roman"/>
          <w:sz w:val="18"/>
          <w:szCs w:val="18"/>
          <w:color w:val="auto"/>
        </w:rPr>
        <w:t xml:space="preserve">” means an authorization to credit a Collateral Account of a Borrower with CIBC USA in the form attached hereto as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the Revolving Loans or any other extension of credit hereunder for Borrowers’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240"/>
          </w:cols>
          <w:pgMar w:left="320" w:top="104" w:right="339" w:bottom="1440" w:gutter="0" w:footer="0" w:header="0"/>
        </w:sectPr>
      </w:pPr>
    </w:p>
    <w:bookmarkStart w:id="187" w:name="page188"/>
    <w:bookmarkEnd w:id="187"/>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Debit Authorization</w:t>
      </w:r>
      <w:r>
        <w:rPr>
          <w:rFonts w:ascii="Times New Roman" w:cs="Times New Roman" w:eastAsia="Times New Roman" w:hAnsi="Times New Roman"/>
          <w:sz w:val="17"/>
          <w:szCs w:val="17"/>
          <w:color w:val="auto"/>
        </w:rPr>
        <w:t xml:space="preserve">” means an authorization to debit a Collateral Account of a Borrower with CIBC USA in the form attached hereto as </w:t>
      </w:r>
      <w:r>
        <w:rPr>
          <w:rFonts w:ascii="Times New Roman" w:cs="Times New Roman" w:eastAsia="Times New Roman" w:hAnsi="Times New Roman"/>
          <w:sz w:val="17"/>
          <w:szCs w:val="17"/>
          <w:u w:val="single" w:color="auto"/>
          <w:color w:val="auto"/>
        </w:rPr>
        <w:t>Exhibit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E-1</w:t>
      </w:r>
    </w:p>
    <w:p>
      <w:pPr>
        <w:spacing w:after="0" w:line="17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circumstance, event or condition that constitutes an Event of Default or that, with the giving of any notice, the passage of time, or both, would be an Event of Default.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means any Lender that (a) has failed to (i) fund all or any portion of its Loans within two (2) Business Days of the date such Loans were required to be funded hereunder unless such Lender notifies Agent and Borrower Representative in writing that such failure is the result of such Lender’s reasonable determination that one or more conditions precedent to funding (each of which conditions precedent, together with any applicable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default, shall be specifically identified in such writing) has not been satisfied, or (ii) pay to Agent or any other Lender any other amount required to be paid by it hereunder within two (2) Business Days of the date when due, (b) has notified Borrower Representative or Agent in writing that it does not intend to comply with its funding obligations hereunder, or has made a public statement to that effect (unless such writing or public statement relates to such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Representative, to confirm in writing to Agent and</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Borrower Representative that it will comply with its prospective funding obligations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Lender shall cease to be a Defaulting Lender pursuant to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upon receipt of such written confirmation by Agent and Borrower Representative), or (d) has, or has a direct or indirect parent company that has, (i) become the subject of a under any applicable debtor relief law, (ii) become the subject of a Bail-In Action or (iii) had appointed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determination by Agent that a Lender is a Defaulting Lender under any one or more of </w:t>
      </w:r>
      <w:r>
        <w:rPr>
          <w:rFonts w:ascii="Times New Roman" w:cs="Times New Roman" w:eastAsia="Times New Roman" w:hAnsi="Times New Roman"/>
          <w:sz w:val="18"/>
          <w:szCs w:val="18"/>
          <w:u w:val="single" w:color="auto"/>
          <w:color w:val="auto"/>
        </w:rPr>
        <w:t>clauses (a) through (d)</w:t>
      </w:r>
      <w:r>
        <w:rPr>
          <w:rFonts w:ascii="Times New Roman" w:cs="Times New Roman" w:eastAsia="Times New Roman" w:hAnsi="Times New Roman"/>
          <w:sz w:val="18"/>
          <w:szCs w:val="18"/>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upon delivery of written notice of such determination to Borrower Representative and each Lender.</w:t>
      </w:r>
    </w:p>
    <w:p>
      <w:pPr>
        <w:spacing w:after="0" w:line="1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any “deposit account” as defined in the Code with such additions to such term as may hereafter be made, and includes any checking account, savings account or certificate of deposit.</w:t>
      </w:r>
    </w:p>
    <w:p>
      <w:pPr>
        <w:spacing w:after="0" w:line="15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use of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4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with respect to any period, (a) Net Income for such period, plus (b)(i) Interest Expense for such period, (ii) to the extent deducted in the calculation of Net Income, depreciation expense and amortization expense for such period, (iii) income tax expense for such period, and</w:t>
      </w:r>
    </w:p>
    <w:p>
      <w:pPr>
        <w:jc w:val="both"/>
        <w:ind w:firstLine="8"/>
        <w:spacing w:after="0" w:line="218" w:lineRule="auto"/>
        <w:tabs>
          <w:tab w:leader="none" w:pos="31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expenses incurred pursuant to any management equity plan or stock option plan or any other management or employee benefit plan or agreement, minus (c)(i) interest income for such period, (ii) income tax credits for such period, (iii) capitalized software development costs for such period, and (iv) any other non-cash items increasing Net Income for such period.</w:t>
      </w:r>
    </w:p>
    <w:p>
      <w:pPr>
        <w:spacing w:after="0" w:line="154"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w:t>
      </w:r>
    </w:p>
    <w:p>
      <w:pPr>
        <w:ind w:right="20" w:firstLine="8"/>
        <w:spacing w:after="0" w:line="226" w:lineRule="auto"/>
        <w:tabs>
          <w:tab w:leader="none" w:pos="249" w:val="left"/>
        </w:tabs>
        <w:numPr>
          <w:ilvl w:val="0"/>
          <w:numId w:val="1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240"/>
          </w:cols>
          <w:pgMar w:left="320" w:top="104"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 hereto.</w:t>
      </w:r>
    </w:p>
    <w:p>
      <w:pPr>
        <w:spacing w:after="0" w:line="18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Transferee</w:t>
      </w:r>
      <w:r>
        <w:rPr>
          <w:rFonts w:ascii="Times New Roman" w:cs="Times New Roman" w:eastAsia="Times New Roman" w:hAnsi="Times New Roman"/>
          <w:sz w:val="18"/>
          <w:szCs w:val="18"/>
          <w:color w:val="auto"/>
        </w:rPr>
        <w:t>” means (a) any Lender (other than a Defaulting Lender), any Affiliate of any Lender and any Related Fund of any Lender; and (b) (i) a commercial bank organized under the laws of the United States or any state thereof, and having total assets in excess of $500,000,000; (ii) a</w:t>
      </w:r>
    </w:p>
    <w:p>
      <w:pPr>
        <w:jc w:val="both"/>
        <w:spacing w:after="0" w:line="208" w:lineRule="auto"/>
        <w:rPr>
          <w:sz w:val="20"/>
          <w:szCs w:val="20"/>
          <w:color w:val="auto"/>
        </w:rPr>
      </w:pPr>
      <w:r>
        <w:rPr>
          <w:rFonts w:ascii="Times New Roman" w:cs="Times New Roman" w:eastAsia="Times New Roman" w:hAnsi="Times New Roman"/>
          <w:sz w:val="18"/>
          <w:szCs w:val="18"/>
          <w:color w:val="auto"/>
        </w:rPr>
        <w:t>savings and loan association or savings bank organized under the laws of the United States or any state thereof, and having total assets in excess of $500,000,000; (iii) a commercial bank organized under the laws of any other country or a political subdivision thereof; provided that (A) (x) such bank is acting through a branch or agency located in the United States or (y) such bank is organized under the laws of a country that is a member of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Organization for Economic Cooperation and Development or a political subdivision of such country, and (B) such bank has total assets in excess of $500,000,000;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in excess of $500,000,000; and (d) during the continuation of an Event of Default, any other Person approved by Agent.</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means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any of the shares of capital stock of (or other ownership, membership or profit interests in) such Person, any of the warrants, options or other rights for the purchase or acquisition from such Person of shares of capital stock of (or other ownership, membership or profit interests in) such Person, any of the securities convertible into or exchangeable for shares of capital stock of (or other ownership,</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membership or profit interests in) such Person or warrants, rights or options for the purchase or acquisition from such Person of such shares (or such other interests), and any of the other ownership, membership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and its regulations.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means with respect to Borrower Representative and its Subsidiaries, on a consolidated basis, in any applicable fiscal year,</w:t>
      </w:r>
    </w:p>
    <w:p>
      <w:pPr>
        <w:spacing w:after="0" w:line="202" w:lineRule="exact"/>
        <w:rPr>
          <w:sz w:val="20"/>
          <w:szCs w:val="20"/>
          <w:color w:val="auto"/>
        </w:rPr>
      </w:pPr>
    </w:p>
    <w:p>
      <w:pPr>
        <w:ind w:left="1300" w:hanging="64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EBITDA for such fiscal year, </w:t>
      </w:r>
      <w:r>
        <w:rPr>
          <w:rFonts w:ascii="Times New Roman" w:cs="Times New Roman" w:eastAsia="Times New Roman" w:hAnsi="Times New Roman"/>
          <w:sz w:val="18"/>
          <w:szCs w:val="18"/>
          <w:u w:val="single" w:color="auto"/>
          <w:color w:val="auto"/>
        </w:rPr>
        <w:t>less</w:t>
      </w:r>
    </w:p>
    <w:p>
      <w:pPr>
        <w:spacing w:after="0" w:line="184" w:lineRule="exact"/>
        <w:rPr>
          <w:rFonts w:ascii="Times New Roman" w:cs="Times New Roman" w:eastAsia="Times New Roman" w:hAnsi="Times New Roman"/>
          <w:sz w:val="18"/>
          <w:szCs w:val="18"/>
          <w:color w:val="auto"/>
        </w:rPr>
      </w:pPr>
    </w:p>
    <w:p>
      <w:pPr>
        <w:ind w:left="1300" w:right="20" w:hanging="644"/>
        <w:spacing w:after="0" w:line="237" w:lineRule="auto"/>
        <w:tabs>
          <w:tab w:leader="none" w:pos="129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following, in each case, for such fiscal year (without duplication and only to the extent added back in the determination of EBITDA for such fiscal year):</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to the extent paid in cash;</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based on income, profits, or capital, to the extent paid in cash;</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payments in respect of Indebtedness, to the extent paid in cash;</w:t>
      </w:r>
    </w:p>
    <w:p>
      <w:pPr>
        <w:spacing w:after="0" w:line="19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(excluding the principal amount of Indebtedness incurred to finance such capital expenditures); and</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any other cash add-backs to EBITDA.</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98"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Locations</w:t>
      </w:r>
      <w:r>
        <w:rPr>
          <w:rFonts w:ascii="Times New Roman" w:cs="Times New Roman" w:eastAsia="Times New Roman" w:hAnsi="Times New Roman"/>
          <w:sz w:val="18"/>
          <w:szCs w:val="18"/>
          <w:color w:val="auto"/>
        </w:rPr>
        <w:t>” means the following locations where Collateral may be located from time to time: (a) locations where mobile office equipment (e.g. laptops, mobile phones and the like) may be located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240"/>
          </w:cols>
          <w:pgMar w:left="320" w:top="104" w:right="339" w:bottom="1440" w:gutter="0" w:footer="0" w:header="0"/>
        </w:sectPr>
      </w:pPr>
    </w:p>
    <w:bookmarkStart w:id="189" w:name="page190"/>
    <w:bookmarkEnd w:id="189"/>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employees in the Ordinary Course of Business, and (b) other locations where, in the aggregate for all such locations, less than Fifty Thousand Dollars ($50,000) of Collateral is located.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spacing w:after="0" w:line="189" w:lineRule="exact"/>
        <w:rPr>
          <w:sz w:val="20"/>
          <w:szCs w:val="20"/>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MSB Subsidiary,</w:t>
      </w:r>
    </w:p>
    <w:p>
      <w:pPr>
        <w:spacing w:after="0" w:line="184" w:lineRule="exact"/>
        <w:rPr>
          <w:rFonts w:ascii="Times New Roman" w:cs="Times New Roman" w:eastAsia="Times New Roman" w:hAnsi="Times New Roman"/>
          <w:sz w:val="18"/>
          <w:szCs w:val="18"/>
          <w:color w:val="auto"/>
        </w:rPr>
      </w:pPr>
    </w:p>
    <w:p>
      <w:pPr>
        <w:ind w:right="20" w:firstLine="656"/>
        <w:spacing w:after="0" w:line="250" w:lineRule="auto"/>
        <w:tabs>
          <w:tab w:leader="none" w:pos="129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SPV, as long as such Subsidiary has no material assets other than the real estate the real estate financed pursuant to the Real Estate Loan Facility and other assets contemplated to be owned by Real Estate SPV pursuant to the terms of the Real Estate Loan Facility;</w:t>
      </w:r>
    </w:p>
    <w:p>
      <w:pPr>
        <w:spacing w:after="0" w:line="149" w:lineRule="exact"/>
        <w:rPr>
          <w:rFonts w:ascii="Times New Roman" w:cs="Times New Roman" w:eastAsia="Times New Roman" w:hAnsi="Times New Roman"/>
          <w:sz w:val="18"/>
          <w:szCs w:val="18"/>
          <w:color w:val="auto"/>
        </w:rPr>
      </w:pPr>
    </w:p>
    <w:p>
      <w:pPr>
        <w:ind w:firstLine="656"/>
        <w:spacing w:after="0" w:line="237" w:lineRule="auto"/>
        <w:tabs>
          <w:tab w:leader="none" w:pos="129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Subsidiary that is not a Loan Party and designated as an Excluded Subsidiary by Borrower Representative by written notice to Agent, provided that with respect to all Subsidiaries so designated in accordance with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Borrowers maintain compliance with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firstLine="656"/>
        <w:spacing w:after="0" w:line="237" w:lineRule="auto"/>
        <w:tabs>
          <w:tab w:leader="none" w:pos="129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Expensify Limited, Expensify Australia Pty Ltd, Expensify Canada Inc., Expensify Lounge LLC, Expensify Netherlands B.V., Damasko, LLC and Fifth &amp; Harvey, LLC are designated as Excluded Subsidiaries consistent with the foregoing requirements.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means (i) any tax imposed on the net income or net profits of any Lender or any Participant (including any branch profits</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(other than any such connection arising solely from such Lender or such Participant having executed, delivered or performed its obligations or received payment under, or enforced its rights or remedies under this Agreement or any other Loan Document), (ii) United States federal withholding taxes that would not have been imposed but for a Lender’s or a Participant’s failure to comply with the requirements of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of this Agreement, (iii)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that Excluded Taxes shall not include (A) any amount that such Foreign Lender (or its assignor, if any) was previously entitled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receive pursuant to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decision or other Change in Law with respect to any of the foregoing by any Governmental Authority, and (iv) any United States federal withholding taxes imposed under FATCA.</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Loan Agreement</w:t>
      </w:r>
      <w:r>
        <w:rPr>
          <w:rFonts w:ascii="Times New Roman" w:cs="Times New Roman" w:eastAsia="Times New Roman" w:hAnsi="Times New Roman"/>
          <w:sz w:val="18"/>
          <w:szCs w:val="18"/>
          <w:color w:val="auto"/>
        </w:rPr>
        <w:t>” has the meaning set forth in the preamble hereto.</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or regulatory legislation, rules, or practices adopted pursuant to any such intergovernmental agreement entered into in connection therewith).</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United States Foreign Corrupt Practices Act of 1977, as amended.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Federal Reserve System, or any successor thereto.</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means any Lender or Participant that is not a United States person within the meaning of IRC section 7701(a)(30).</w:t>
      </w:r>
    </w:p>
    <w:p>
      <w:pPr>
        <w:spacing w:after="0" w:line="18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means, for any period, an amount equal to the sum of (a) the amount of “cash flows from operating activities” for such period, provided that for purposes of the foregoing, cash flows attributable to receipt or disbursement of customer funds held by Borrower Representative or any of its Subsidiaries (including any MSB Subsidiary) shall be disregarded, less (b) “cash flows from investing activities” for such period, in each case, as set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the line items so identified in the consolidated cash flow statements of Borrower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104"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which cash flow statements shall be prepared in a format and using accounting practices consistent with cash flow statements provided by Borrower Representative as of the Closing Date.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means any date on which a Credit Extension is made to or for the account of a Borrower which shall be a Business Day.</w:t>
      </w:r>
    </w:p>
    <w:p>
      <w:pPr>
        <w:spacing w:after="0" w:line="18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w:t>
      </w: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statements by such other Person as may be approved by a significant segment of the accounting profession, which are applicable to the circumstances as of the date of determination, provided, however, that if there occurs after the Closing Date any change in GAAP that affects in any respect the calculation of any covenant or threshold in this Agreement, Required Lenders and Borrowers shall negotiate in good faith amendments to the provisions of this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Agreement that relate to the calculation of such covenant or threshold with the intent of having the respective positions of Lenders and Borrowers after such change in GAAP conform as nearly as possible to their respective positions as of the Closing Date, and, until any such amendments have been agreed upon, such covenants and thresholds shall be calculated as if no such change in GAAP has occurred.</w:t>
      </w:r>
    </w:p>
    <w:p>
      <w:pPr>
        <w:spacing w:after="0" w:line="16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General Intangibles</w:t>
      </w:r>
      <w:r>
        <w:rPr>
          <w:rFonts w:ascii="Times New Roman" w:cs="Times New Roman" w:eastAsia="Times New Roman" w:hAnsi="Times New Roman"/>
          <w:sz w:val="17"/>
          <w:szCs w:val="17"/>
          <w:color w:val="auto"/>
        </w:rPr>
        <w:t>” means all “general intangibles” as defined in the Code in effect on the Closing Date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tort or otherwise), insurance policies (including without limitation key man, property damage, and business interruption insurance), payments of insurance and rights to payment of any kind.</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means any consent, authorization, approval, order, license, franchise, permit, certificate, accreditation, registration, filing or notice, of, issued by, from or to, or other act by or in respect of, any Governmental Authority.</w:t>
      </w:r>
    </w:p>
    <w:p>
      <w:pPr>
        <w:spacing w:after="0" w:line="14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any state or other political subdivision thereof, any agency, authority, instrumentality, regulatory body, court, central bank or other entity exercising executive, legislative, judicial, taxing, regulatory or administrative functions</w:t>
      </w:r>
    </w:p>
    <w:p>
      <w:pPr>
        <w:spacing w:after="0"/>
        <w:rPr>
          <w:sz w:val="20"/>
          <w:szCs w:val="20"/>
          <w:color w:val="auto"/>
        </w:rPr>
      </w:pPr>
      <w:r>
        <w:rPr>
          <w:rFonts w:ascii="Times New Roman" w:cs="Times New Roman" w:eastAsia="Times New Roman" w:hAnsi="Times New Roman"/>
          <w:sz w:val="18"/>
          <w:szCs w:val="18"/>
          <w:color w:val="auto"/>
        </w:rPr>
        <w:t>of or pertaining to government, any securities exchange and any self-regulatory organization.</w:t>
      </w:r>
    </w:p>
    <w:p>
      <w:pPr>
        <w:spacing w:after="0" w:line="161"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any Person providing a Guaranty in favor of Secured Parties or providing collateral, security or other credit support for all or any portion of the Obligations.</w:t>
      </w:r>
    </w:p>
    <w:p>
      <w:pPr>
        <w:spacing w:after="0" w:line="168"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means any guarantee of all or any part of the Obligations, as the same may from time to time be amended, restated, modified or otherwise supplemented.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(a) indebtedness for borrowed money or the deferred price of property or services, (b) any reimbursement and other</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obligations for surety bonds and letters of credit, (c) obligations evidenced by notes, bonds, debentures or similar instruments, (d) capital lease obligations, and (e) Contingent Obligations.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Loan Party under any Loan Document, and (b) to the extent not otherwise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means any proceeding by or against any Person under the United States Bankruptcy Code, or any other bankruptcy or</w:t>
      </w:r>
    </w:p>
    <w:p>
      <w:pPr>
        <w:spacing w:after="0" w:line="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insolvency law, including assignments for the benefit of creditors, compositions, extensions generally with its creditors, or proceedings seeking reorganization, arrangement, or other relief.</w:t>
      </w:r>
    </w:p>
    <w:p>
      <w:pPr>
        <w:spacing w:after="0" w:line="15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with respect to any Loan Party (or, as applicable, any of its Subsidiaries), all of such Loan Party’s or Subsidiary’s right, title, and interest in and to the following:</w:t>
      </w:r>
    </w:p>
    <w:p>
      <w:pPr>
        <w:spacing w:after="0" w:line="172" w:lineRule="exact"/>
        <w:rPr>
          <w:sz w:val="20"/>
          <w:szCs w:val="20"/>
          <w:color w:val="auto"/>
        </w:rPr>
      </w:pPr>
    </w:p>
    <w:p>
      <w:pPr>
        <w:ind w:left="1940" w:hanging="636"/>
        <w:spacing w:after="0"/>
        <w:tabs>
          <w:tab w:leader="none" w:pos="19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184" w:lineRule="exact"/>
        <w:rPr>
          <w:rFonts w:ascii="Times New Roman" w:cs="Times New Roman" w:eastAsia="Times New Roman" w:hAnsi="Times New Roman"/>
          <w:sz w:val="18"/>
          <w:szCs w:val="18"/>
          <w:color w:val="auto"/>
        </w:rPr>
      </w:pPr>
    </w:p>
    <w:p>
      <w:pPr>
        <w:ind w:left="660" w:firstLine="644"/>
        <w:spacing w:after="0" w:line="237" w:lineRule="auto"/>
        <w:tabs>
          <w:tab w:leader="none" w:pos="195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know-how, operating manuals;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04" w:right="339" w:bottom="1440" w:gutter="0" w:footer="0" w:header="0"/>
        </w:sectPr>
      </w:pPr>
    </w:p>
    <w:bookmarkStart w:id="191" w:name="page192"/>
    <w:bookmarkEnd w:id="191"/>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6"/>
        <w:spacing w:after="0"/>
        <w:tabs>
          <w:tab w:leader="none" w:pos="19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18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such Person;</w:t>
      </w:r>
    </w:p>
    <w:p>
      <w:pPr>
        <w:spacing w:after="0" w:line="198" w:lineRule="exact"/>
        <w:rPr>
          <w:rFonts w:ascii="Times New Roman" w:cs="Times New Roman" w:eastAsia="Times New Roman" w:hAnsi="Times New Roman"/>
          <w:sz w:val="18"/>
          <w:szCs w:val="18"/>
          <w:color w:val="auto"/>
        </w:rPr>
      </w:pPr>
    </w:p>
    <w:p>
      <w:pPr>
        <w:ind w:left="660" w:firstLine="644"/>
        <w:spacing w:after="0" w:line="237" w:lineRule="auto"/>
        <w:tabs>
          <w:tab w:leader="none" w:pos="195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19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 means for any fiscal period, interest expense (whether cash or non-cash) of Borrowers and each of its Subsidiaries, determined on a consolidated basis and in accordance with GAAP for the relevant period ending on such date, including, in any event, interest expense with respect to any Credit Extension and other Indebtedness of such Borrower or Subsidiary, including, without limitation or duplication, all commissions,</w:t>
      </w:r>
    </w:p>
    <w:p>
      <w:pPr>
        <w:spacing w:after="0" w:line="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means all “inventory” as defined in the Code in effect on the Closing Date with such additions to such term as may hereafter be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interest in any Person (including stock, partnership interest or other securities or Equity Interests), and any loan, advance or capital contribution to any Person, or the acquisition of all or substantially all of the assets or properties of another Person.</w:t>
      </w:r>
    </w:p>
    <w:p>
      <w:pPr>
        <w:spacing w:after="0" w:line="16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Security Agreement</w:t>
      </w:r>
      <w:r>
        <w:rPr>
          <w:rFonts w:ascii="Times New Roman" w:cs="Times New Roman" w:eastAsia="Times New Roman" w:hAnsi="Times New Roman"/>
          <w:sz w:val="18"/>
          <w:szCs w:val="18"/>
          <w:color w:val="auto"/>
        </w:rPr>
        <w:t>” means that certain intellectual property security agreement entered into by each Loan Party which is the owner of Intellectual Property registered with the United States Patent and Trademark Office or United States Copyright Office, as of the Closing Date, as amended, restated, supplemented or otherwise modified, from time to time.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means the Chief Executive Officer, President and Chief Financial Officer of Borrower Representative.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has the meaning set forth in the preamble hereof.</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 claim, mortgage, deed of trust, levy, charge, pledge, security interest or other encumbrance of any kind, whether voluntarily incurred or arising by operation of law or otherwise against any property.</w:t>
      </w:r>
    </w:p>
    <w:p>
      <w:pPr>
        <w:spacing w:after="0" w:line="141"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Coverage Ratio</w:t>
      </w:r>
      <w:r>
        <w:rPr>
          <w:rFonts w:ascii="Times New Roman" w:cs="Times New Roman" w:eastAsia="Times New Roman" w:hAnsi="Times New Roman"/>
          <w:sz w:val="18"/>
          <w:szCs w:val="18"/>
          <w:color w:val="auto"/>
        </w:rPr>
        <w:t>” means, as of any date of determination, the sum of Qualified Cash, plus 50% of net Accounts, divided by Total Funded Debt, in each case, as of such date.</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collectively, this Agreement and any schedules, exhibits, certificates, notices, and any other documents related to this Agreement, an IP Security Agreement, the Account Control Agreements, the collateral access agreements, any Subordination Agreement, any note, or notes or guaranties executed by a Loan Party, and any other present or future agreement by a Loan Party with or for the benefit of Agent or any Secured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in connection with this Agreement, all as amended, modified, supplemented, extended or restated from time to time.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each Borrower and each Guarantor, if any, from time to time party 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Request</w:t>
      </w:r>
      <w:r>
        <w:rPr>
          <w:rFonts w:ascii="Times New Roman" w:cs="Times New Roman" w:eastAsia="Times New Roman" w:hAnsi="Times New Roman"/>
          <w:sz w:val="18"/>
          <w:szCs w:val="18"/>
          <w:color w:val="auto"/>
        </w:rPr>
        <w:t xml:space="preserve">” means a request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means the Revolving Loans, and a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shall mean any one of them.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a material impairment in the perfection or priority of Agent’s Lien in the Collateral or in the value of the</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Collateral; or (b) a material adverse effect upon: (i) the business, operations, properties, assets or condition (financial or otherwise) of the Loan Parties and their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240"/>
          </w:cols>
          <w:pgMar w:left="320" w:top="104" w:right="339" w:bottom="1440" w:gutter="0" w:footer="0" w:header="0"/>
        </w:sectPr>
      </w:pPr>
    </w:p>
    <w:bookmarkStart w:id="192" w:name="page193"/>
    <w:bookmarkEnd w:id="192"/>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237" w:lineRule="auto"/>
        <w:tabs>
          <w:tab w:leader="none" w:pos="27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 of repayment of any part of the Obligations as they become due and payable; or (iii) the ability of Agent to enforce any of its rights or remedies with respect to any Obligations.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2.3(d)</w:t>
      </w:r>
      <w:r>
        <w:rPr>
          <w:rFonts w:ascii="Times New Roman" w:cs="Times New Roman" w:eastAsia="Times New Roman" w:hAnsi="Times New Roman"/>
          <w:sz w:val="18"/>
          <w:szCs w:val="18"/>
          <w:color w:val="auto"/>
        </w:rPr>
        <w:t xml:space="preserve"> hereof.</w:t>
      </w:r>
    </w:p>
    <w:p>
      <w:pPr>
        <w:spacing w:after="0" w:line="185"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MSB Subsidiary</w:t>
      </w:r>
      <w:r>
        <w:rPr>
          <w:rFonts w:ascii="Times New Roman" w:cs="Times New Roman" w:eastAsia="Times New Roman" w:hAnsi="Times New Roman"/>
          <w:sz w:val="18"/>
          <w:szCs w:val="18"/>
          <w:color w:val="auto"/>
        </w:rPr>
        <w:t>” means (i) Expensify Payments LLC and (ii) any Person that engages in a “money services business” as defined in 31 CFR 1010.100(ff) (without regard to any activity threshold amounts), and includes without limitation the following: currency dealer or exchanger; check</w:t>
      </w:r>
    </w:p>
    <w:p>
      <w:pPr>
        <w:ind w:right="20"/>
        <w:spacing w:after="0" w:line="226" w:lineRule="auto"/>
        <w:rPr>
          <w:sz w:val="20"/>
          <w:szCs w:val="20"/>
          <w:color w:val="auto"/>
        </w:rPr>
      </w:pPr>
      <w:r>
        <w:rPr>
          <w:rFonts w:ascii="Times New Roman" w:cs="Times New Roman" w:eastAsia="Times New Roman" w:hAnsi="Times New Roman"/>
          <w:sz w:val="18"/>
          <w:szCs w:val="18"/>
          <w:color w:val="auto"/>
        </w:rPr>
        <w:t>cashing; issuer of traveler’s checks, money orders or stored value; seller or redeemer of traveler’s checks, money orders or stored value; and money transmitter.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means the net profit (or loss), after provision for taxes, of Borrowers and each of its Subsidiaries, on a consolidated basis, for any</w:t>
      </w:r>
    </w:p>
    <w:p>
      <w:pPr>
        <w:spacing w:after="0" w:line="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period as at any date of determination, for such period taken as a single accounting period. For the avoidance of doubt, for each period, expenses incurred during such period in connection with actual or threatened litigation shall be included in the calculation of Net Income for such period.</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of Borrowers’ and each other Loan Party’s obligations to pay the Credit Extensions when due any debts, principal,</w:t>
      </w:r>
    </w:p>
    <w:p>
      <w:pPr>
        <w:spacing w:after="0" w:line="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interest, fees, Secured Party Expenses, the Prepayment Fee, and any other amounts any Loan Party owes to any Secured Party under this Agreement, or any other Loan Document, including, without limitation, interest accruing after Insolvency Proceedings begin (whether or not allowed).</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means, for any Person, such Person’s formation documents, as certified by the Secretary of State (or equivalent agency) of such Person’s jurisdiction of formation, organization or incorporation on a date that is no earlier than thirty (30) days prior to the Effective Date and,</w:t>
      </w:r>
    </w:p>
    <w:p>
      <w:pPr>
        <w:spacing w:after="0" w:line="1" w:lineRule="exact"/>
        <w:rPr>
          <w:sz w:val="20"/>
          <w:szCs w:val="20"/>
          <w:color w:val="auto"/>
        </w:rPr>
      </w:pPr>
    </w:p>
    <w:p>
      <w:pPr>
        <w:jc w:val="both"/>
        <w:ind w:firstLine="8"/>
        <w:spacing w:after="0" w:line="223" w:lineRule="auto"/>
        <w:tabs>
          <w:tab w:leader="none" w:pos="25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corporation, its bylaws in current form, (b) if such Person is a limited liability company, its limited liability company agreement or operating agreement (or similar agreement), and (c) if such Person is a partnership, its partnership agreement (or similar agreement), each of the foregoing with all current amendments, restatements and modifications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in respect of any transaction involving any Person, the ordinary course of such Person’s business as</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conducted by any such Person in accordance with (a) the usual and customary customs and practices in the kind of business in which such Person is engaged, and (b) the past practice and operations of such Person, and in each case, undertaken by such Person in good faith and not for purposes of evading any covenant or restriction in any Loan Document.</w:t>
      </w:r>
    </w:p>
    <w:p>
      <w:pPr>
        <w:spacing w:after="0" w:line="16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6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of a Person including without limitation improvements, divisions, continuations, renewals, reissues, extensions and continuations-in-part of the same and all rights therein provided by international treaties or conventions.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means the first day of calendar quarter.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Repurchase Amount</w:t>
      </w:r>
      <w:r>
        <w:rPr>
          <w:rFonts w:ascii="Times New Roman" w:cs="Times New Roman" w:eastAsia="Times New Roman" w:hAnsi="Times New Roman"/>
          <w:sz w:val="18"/>
          <w:szCs w:val="18"/>
          <w:color w:val="auto"/>
        </w:rPr>
        <w:t>” means, as of any date of determination, an amount equal to twenty percent (20%) of Free Cash Flow for the twelve month period ending as of the last day of the month with respect to which quarterly financial statements are required to have been delivered (and</w:t>
      </w: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have so been delivered) in accordance with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as of such date of determination, less the aggregate purchase price paid in respect of repurchases of Equity Interests of Borrower Representative during the twelve month period ending as of such date of determination pursuant to </w:t>
      </w:r>
      <w:r>
        <w:rPr>
          <w:rFonts w:ascii="Times New Roman" w:cs="Times New Roman" w:eastAsia="Times New Roman" w:hAnsi="Times New Roman"/>
          <w:sz w:val="18"/>
          <w:szCs w:val="18"/>
          <w:u w:val="single" w:color="auto"/>
          <w:color w:val="auto"/>
        </w:rPr>
        <w:t>Section 7.7(a)(v)</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Cash Collateral</w:t>
      </w:r>
      <w:r>
        <w:rPr>
          <w:rFonts w:ascii="Times New Roman" w:cs="Times New Roman" w:eastAsia="Times New Roman" w:hAnsi="Times New Roman"/>
          <w:sz w:val="18"/>
          <w:szCs w:val="18"/>
          <w:color w:val="auto"/>
        </w:rPr>
        <w:t xml:space="preserve">” means cash collateral securing Permitted Indebtedness described in </w:t>
      </w:r>
      <w:r>
        <w:rPr>
          <w:rFonts w:ascii="Times New Roman" w:cs="Times New Roman" w:eastAsia="Times New Roman" w:hAnsi="Times New Roman"/>
          <w:sz w:val="18"/>
          <w:szCs w:val="18"/>
          <w:u w:val="single" w:color="auto"/>
          <w:color w:val="auto"/>
        </w:rPr>
        <w:t>clauses (g) and (h)</w:t>
      </w:r>
      <w:r>
        <w:rPr>
          <w:rFonts w:ascii="Times New Roman" w:cs="Times New Roman" w:eastAsia="Times New Roman" w:hAnsi="Times New Roman"/>
          <w:sz w:val="18"/>
          <w:szCs w:val="18"/>
          <w:color w:val="auto"/>
        </w:rPr>
        <w:t xml:space="preserve"> of the defined term “Permitted Indebtedness” (in an amounts not to exceed the limits specified therein) and maintained in a Deposit Account used exclusively for such purpose</w:t>
      </w:r>
    </w:p>
    <w:p>
      <w:pPr>
        <w:spacing w:after="0"/>
        <w:rPr>
          <w:sz w:val="20"/>
          <w:szCs w:val="20"/>
          <w:color w:val="auto"/>
        </w:rPr>
      </w:pPr>
      <w:r>
        <w:rPr>
          <w:rFonts w:ascii="Times New Roman" w:cs="Times New Roman" w:eastAsia="Times New Roman" w:hAnsi="Times New Roman"/>
          <w:sz w:val="18"/>
          <w:szCs w:val="18"/>
          <w:color w:val="auto"/>
        </w:rPr>
        <w:t>and identified to Agent on the Perfection Certificate or from time to time thereafter in writing.</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240"/>
          </w:cols>
          <w:pgMar w:left="320" w:top="104" w:right="339" w:bottom="1440" w:gutter="0" w:footer="0" w:header="0"/>
        </w:sectPr>
      </w:pPr>
    </w:p>
    <w:bookmarkStart w:id="193" w:name="page194"/>
    <w:bookmarkEnd w:id="193"/>
    <w:p>
      <w:pPr>
        <w:ind w:left="966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636"/>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Party’s Indebtedness under this Agreement and the other Loan Documents;</w:t>
      </w:r>
    </w:p>
    <w:p>
      <w:pPr>
        <w:spacing w:after="0" w:line="184" w:lineRule="exact"/>
        <w:rPr>
          <w:rFonts w:ascii="Times New Roman" w:cs="Times New Roman" w:eastAsia="Times New Roman" w:hAnsi="Times New Roman"/>
          <w:sz w:val="18"/>
          <w:szCs w:val="18"/>
          <w:color w:val="auto"/>
        </w:rPr>
      </w:pPr>
    </w:p>
    <w:p>
      <w:pPr>
        <w:jc w:val="both"/>
        <w:ind w:firstLine="644"/>
        <w:spacing w:after="0" w:line="231" w:lineRule="auto"/>
        <w:tabs>
          <w:tab w:leader="none" w:pos="129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and shown on the Perfection Certificate (except for Indebtedness indicated as being repaid on the Effective Date), provided that to the extent the amount of such Indebtedness is limited pursuant to a clause of this defined term, amounts existing on the Effective Date or any permitted refinancing thereof shall count towards such limit;</w:t>
      </w:r>
    </w:p>
    <w:p>
      <w:pPr>
        <w:spacing w:after="0" w:line="158"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198"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184"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 Business;</w:t>
      </w:r>
    </w:p>
    <w:p>
      <w:pPr>
        <w:spacing w:after="0" w:line="184"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secured by Liens permitted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“Permitted Liens” hereunder;</w:t>
      </w:r>
    </w:p>
    <w:p>
      <w:pPr>
        <w:spacing w:after="0" w:line="198" w:lineRule="exact"/>
        <w:rPr>
          <w:rFonts w:ascii="Times New Roman" w:cs="Times New Roman" w:eastAsia="Times New Roman" w:hAnsi="Times New Roman"/>
          <w:sz w:val="18"/>
          <w:szCs w:val="18"/>
          <w:color w:val="auto"/>
        </w:rPr>
      </w:pPr>
    </w:p>
    <w:p>
      <w:pPr>
        <w:ind w:firstLine="644"/>
        <w:spacing w:after="0" w:line="237" w:lineRule="auto"/>
        <w:tabs>
          <w:tab w:leader="none" w:pos="129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obligations with respect to letters of credit entered into in the ordinary course of business in an aggregate amount not to exceed $100,000 at any time and the letter of credit existing as of the Effective Date set forth on the Perfection Certificate;</w:t>
      </w:r>
    </w:p>
    <w:p>
      <w:pPr>
        <w:spacing w:after="0" w:line="158"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pursuant to credit cards in the Ordinary Course of Business in an aggregate amount not to exceed $250,000;</w:t>
      </w:r>
    </w:p>
    <w:p>
      <w:pPr>
        <w:spacing w:after="0" w:line="198"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pursuant to the Real Estate Loan Facility;</w:t>
      </w:r>
    </w:p>
    <w:p>
      <w:pPr>
        <w:spacing w:after="0" w:line="184" w:lineRule="exact"/>
        <w:rPr>
          <w:rFonts w:ascii="Times New Roman" w:cs="Times New Roman" w:eastAsia="Times New Roman" w:hAnsi="Times New Roman"/>
          <w:sz w:val="18"/>
          <w:szCs w:val="18"/>
          <w:color w:val="auto"/>
        </w:rPr>
      </w:pPr>
    </w:p>
    <w:p>
      <w:pPr>
        <w:ind w:firstLine="644"/>
        <w:spacing w:after="0" w:line="237" w:lineRule="auto"/>
        <w:tabs>
          <w:tab w:leader="none" w:pos="129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permitted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defined term “Permitted Investments”, subject to satisfactory subordination terms with respect to intercompany loans, as set forth therein; and</w:t>
      </w:r>
    </w:p>
    <w:p>
      <w:pPr>
        <w:spacing w:after="0" w:line="171" w:lineRule="exact"/>
        <w:rPr>
          <w:rFonts w:ascii="Times New Roman" w:cs="Times New Roman" w:eastAsia="Times New Roman" w:hAnsi="Times New Roman"/>
          <w:sz w:val="18"/>
          <w:szCs w:val="18"/>
          <w:color w:val="auto"/>
        </w:rPr>
      </w:pPr>
    </w:p>
    <w:p>
      <w:pPr>
        <w:jc w:val="both"/>
        <w:ind w:firstLine="644"/>
        <w:spacing w:after="0" w:line="226" w:lineRule="auto"/>
        <w:tabs>
          <w:tab w:leader="none" w:pos="129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extensions, refinancings, modifications, amendments and restatements of any items of Permitted Indebtedness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provided that the principal amount thereof is not increased or the terms thereof are not modified to impose more burdensome terms upon a Borrower or any of its Subsidiaries, as the case may be.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w:t>
      </w:r>
    </w:p>
    <w:p>
      <w:pPr>
        <w:spacing w:after="0" w:line="189" w:lineRule="exact"/>
        <w:rPr>
          <w:sz w:val="20"/>
          <w:szCs w:val="20"/>
          <w:color w:val="auto"/>
        </w:rPr>
      </w:pPr>
    </w:p>
    <w:p>
      <w:pPr>
        <w:ind w:left="1280" w:hanging="636"/>
        <w:spacing w:after="0"/>
        <w:tabs>
          <w:tab w:leader="none" w:pos="12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without limitation, Subsidiaries) existing on the Effective Date and shown on the Perfection Certificate;</w:t>
      </w:r>
    </w:p>
    <w:p>
      <w:pPr>
        <w:spacing w:after="0" w:line="184" w:lineRule="exact"/>
        <w:rPr>
          <w:rFonts w:ascii="Times New Roman" w:cs="Times New Roman" w:eastAsia="Times New Roman" w:hAnsi="Times New Roman"/>
          <w:sz w:val="18"/>
          <w:szCs w:val="18"/>
          <w:color w:val="auto"/>
        </w:rPr>
      </w:pPr>
    </w:p>
    <w:p>
      <w:pPr>
        <w:jc w:val="both"/>
        <w:ind w:firstLine="644"/>
        <w:spacing w:after="0" w:line="231" w:lineRule="auto"/>
        <w:tabs>
          <w:tab w:leader="none" w:pos="129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Cash Equivalents, and (ii) any Investments permitted by Borrower Representative’s investment policy, as amended from time to time, provided that such investment policy (and any such amendment thereto) has been approved in writing by Required Lenders;</w:t>
      </w:r>
    </w:p>
    <w:p>
      <w:pPr>
        <w:spacing w:after="0" w:line="158" w:lineRule="exact"/>
        <w:rPr>
          <w:rFonts w:ascii="Times New Roman" w:cs="Times New Roman" w:eastAsia="Times New Roman" w:hAnsi="Times New Roman"/>
          <w:sz w:val="18"/>
          <w:szCs w:val="18"/>
          <w:color w:val="auto"/>
        </w:rPr>
      </w:pPr>
    </w:p>
    <w:p>
      <w:pPr>
        <w:ind w:firstLine="644"/>
        <w:spacing w:after="0" w:line="250" w:lineRule="auto"/>
        <w:tabs>
          <w:tab w:leader="none" w:pos="129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repurchases of Borrower Representative’s Equity Interests from former employees, officers and directors of Borrower Representative to the extent permitted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49" w:lineRule="exact"/>
        <w:rPr>
          <w:rFonts w:ascii="Times New Roman" w:cs="Times New Roman" w:eastAsia="Times New Roman" w:hAnsi="Times New Roman"/>
          <w:sz w:val="18"/>
          <w:szCs w:val="18"/>
          <w:color w:val="auto"/>
        </w:rPr>
      </w:pPr>
    </w:p>
    <w:p>
      <w:pPr>
        <w:jc w:val="both"/>
        <w:ind w:firstLine="644"/>
        <w:spacing w:after="0" w:line="217" w:lineRule="auto"/>
        <w:tabs>
          <w:tab w:leader="none" w:pos="129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among Loan Parties, (ii) in Subsidiaries which are not Loan Parties (including MSB Subsidiaries), which (A) are made pursuant to cost plus arrangements, in the Ordinary Course of Business, provided that the margin shall not exceed 6% except if approved by Required Lenders, or (B) to the extent not made in accordance with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subject to no Default or Event of Default existing or resulting therefrom, subject to compliance with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and pro forma financial covenant compliance, as confirmed by calculations delivered by Borrower Representative concurrently with each such Investment, and (iii) by Subsidiaries which are not Loan Parties in Loan Parties, provided that any Investments in the form of intercompany loans shall be subject an intercompany subordination agreement in form and substance satisfactory to Agent.</w:t>
      </w:r>
    </w:p>
    <w:p>
      <w:pPr>
        <w:spacing w:after="0" w:line="161" w:lineRule="exact"/>
        <w:rPr>
          <w:rFonts w:ascii="Times New Roman" w:cs="Times New Roman" w:eastAsia="Times New Roman" w:hAnsi="Times New Roman"/>
          <w:sz w:val="18"/>
          <w:szCs w:val="18"/>
          <w:color w:val="auto"/>
        </w:rPr>
      </w:pPr>
    </w:p>
    <w:p>
      <w:pPr>
        <w:jc w:val="both"/>
        <w:ind w:firstLine="644"/>
        <w:spacing w:after="0" w:line="231" w:lineRule="auto"/>
        <w:tabs>
          <w:tab w:leader="none" w:pos="129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in trust accounts of Borrower Representative or any of its Subsidiaries maintained with The Bancorp Bank (or any replacement bank reasonably acceptable to Agent) to cover failed ACH transactions and next-day reimbursements in the Ordinary Course of Business and (ii)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580"/>
          </w:cols>
          <w:pgMar w:left="980" w:top="104"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Collateral Account of Borrower Representative or any of its Subsidiaries maintained with Sutton Bank (or any replacement bank reasonably acceptable to Agent) to cover up to five (5) days of transaction volume on Expensify Cards in the Ordinary Course of Business, provided that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foregoing Investments shall be subject to no Default or Event of Default existing or resulting therefrom and pro forma financial covenant compliance, as confirmed by calculations delivered by Borrower Representative concurrently with each such Investment, provided further, that, in each case, Borrower Representative shall not, and shall not permit any of its Subsidiaries to maintain the foregoing Investments in excess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required by the applicable bank;</w:t>
      </w:r>
    </w:p>
    <w:p>
      <w:pPr>
        <w:spacing w:after="0" w:line="165" w:lineRule="exact"/>
        <w:rPr>
          <w:sz w:val="20"/>
          <w:szCs w:val="20"/>
          <w:color w:val="auto"/>
        </w:rPr>
      </w:pPr>
    </w:p>
    <w:p>
      <w:pPr>
        <w:jc w:val="both"/>
        <w:ind w:firstLine="644"/>
        <w:spacing w:after="0" w:line="224" w:lineRule="auto"/>
        <w:tabs>
          <w:tab w:leader="none" w:pos="128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not to exceed Two Hundred Fifty Thousand Dollars ($250,000) outstanding in the aggregate at any time consisting of (i) travel advances and employee relocation loans and other employee loans and advances in the Ordinary Course of Business, and (ii) loans not involving the net transfer of cash proceeds to employees, officers or directors relating to the purchase of Equity Interests of Borrower Representative pursuant to employee stock purchase plans or other similar agreements approved by Borrower Representative’s Board;</w:t>
      </w:r>
    </w:p>
    <w:p>
      <w:pPr>
        <w:spacing w:after="0" w:line="158" w:lineRule="exact"/>
        <w:rPr>
          <w:rFonts w:ascii="Times New Roman" w:cs="Times New Roman" w:eastAsia="Times New Roman" w:hAnsi="Times New Roman"/>
          <w:sz w:val="18"/>
          <w:szCs w:val="18"/>
          <w:color w:val="auto"/>
        </w:rPr>
      </w:pPr>
    </w:p>
    <w:p>
      <w:pPr>
        <w:ind w:firstLine="644"/>
        <w:spacing w:after="0" w:line="250" w:lineRule="auto"/>
        <w:tabs>
          <w:tab w:leader="none" w:pos="129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9"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in which Agent has a perfected security interest; and</w:t>
      </w:r>
    </w:p>
    <w:p>
      <w:pPr>
        <w:spacing w:after="0" w:line="184" w:lineRule="exact"/>
        <w:rPr>
          <w:rFonts w:ascii="Times New Roman" w:cs="Times New Roman" w:eastAsia="Times New Roman" w:hAnsi="Times New Roman"/>
          <w:sz w:val="18"/>
          <w:szCs w:val="18"/>
          <w:color w:val="auto"/>
        </w:rPr>
      </w:pPr>
    </w:p>
    <w:p>
      <w:pPr>
        <w:jc w:val="both"/>
        <w:ind w:firstLine="644"/>
        <w:spacing w:after="0" w:line="231" w:lineRule="auto"/>
        <w:tabs>
          <w:tab w:leader="none" w:pos="129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accounts receivable of, or prepaid royalties and other credit extensions, to customers and suppliers who are not Affiliates, in the Ordinary Course of Business; provided that this paragraph (j) shall not apply to Investments of a Loan Party in any Subsidiary.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202" w:lineRule="exact"/>
        <w:rPr>
          <w:sz w:val="20"/>
          <w:szCs w:val="20"/>
          <w:color w:val="auto"/>
        </w:rPr>
      </w:pPr>
    </w:p>
    <w:p>
      <w:pPr>
        <w:ind w:left="1280" w:hanging="636"/>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this Agreement and the other Loan Documents;</w:t>
      </w:r>
    </w:p>
    <w:p>
      <w:pPr>
        <w:spacing w:after="0" w:line="184" w:lineRule="exact"/>
        <w:rPr>
          <w:rFonts w:ascii="Times New Roman" w:cs="Times New Roman" w:eastAsia="Times New Roman" w:hAnsi="Times New Roman"/>
          <w:sz w:val="18"/>
          <w:szCs w:val="18"/>
          <w:color w:val="auto"/>
        </w:rPr>
      </w:pPr>
    </w:p>
    <w:p>
      <w:pPr>
        <w:jc w:val="both"/>
        <w:ind w:right="20" w:firstLine="644"/>
        <w:spacing w:after="0" w:line="231" w:lineRule="auto"/>
        <w:tabs>
          <w:tab w:leader="none" w:pos="12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and shown on the Perfection Certificate (except for Liens indicated as being released on the Effective Date), provided that to the extent the amount of Indebtedness secured by such Lien is limited pursuant to a clause of this defined term, amounts existing on the Effective Date or any permitted refinancing thereof shall count towards such limit;</w:t>
      </w:r>
    </w:p>
    <w:p>
      <w:pPr>
        <w:spacing w:after="0" w:line="158" w:lineRule="exact"/>
        <w:rPr>
          <w:rFonts w:ascii="Times New Roman" w:cs="Times New Roman" w:eastAsia="Times New Roman" w:hAnsi="Times New Roman"/>
          <w:sz w:val="18"/>
          <w:szCs w:val="18"/>
          <w:color w:val="auto"/>
        </w:rPr>
      </w:pPr>
    </w:p>
    <w:p>
      <w:pPr>
        <w:jc w:val="both"/>
        <w:ind w:firstLine="644"/>
        <w:spacing w:after="0" w:line="231" w:lineRule="auto"/>
        <w:tabs>
          <w:tab w:leader="none" w:pos="12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(i) on Equipment acquired or held by a Loan Party or Subsidiary thereof incurred for financing the acquisition of the Equipment, or (ii) existing on Equipment when acquired, if the Lien is confined to the property and improvements and the proceeds of the Equipment, in each case, securing no more than Three Million Dollars ($3,000,000) in the aggregate amount outstanding;</w:t>
      </w:r>
    </w:p>
    <w:p>
      <w:pPr>
        <w:spacing w:after="0" w:line="158"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Permitted Cash Collateral;</w:t>
      </w:r>
    </w:p>
    <w:p>
      <w:pPr>
        <w:spacing w:after="0" w:line="184" w:lineRule="exact"/>
        <w:rPr>
          <w:rFonts w:ascii="Times New Roman" w:cs="Times New Roman" w:eastAsia="Times New Roman" w:hAnsi="Times New Roman"/>
          <w:sz w:val="18"/>
          <w:szCs w:val="18"/>
          <w:color w:val="auto"/>
        </w:rPr>
      </w:pPr>
    </w:p>
    <w:p>
      <w:pPr>
        <w:ind w:firstLine="644"/>
        <w:spacing w:after="0" w:line="250" w:lineRule="auto"/>
        <w:tabs>
          <w:tab w:leader="none" w:pos="12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yet delinquent or (ii) being contested in good faith and for which such Loan Party or Subsidiary maintains adequate reserves on its books;</w:t>
      </w:r>
    </w:p>
    <w:p>
      <w:pPr>
        <w:spacing w:after="0" w:line="149" w:lineRule="exact"/>
        <w:rPr>
          <w:rFonts w:ascii="Times New Roman" w:cs="Times New Roman" w:eastAsia="Times New Roman" w:hAnsi="Times New Roman"/>
          <w:sz w:val="18"/>
          <w:szCs w:val="18"/>
          <w:color w:val="auto"/>
        </w:rPr>
      </w:pPr>
    </w:p>
    <w:p>
      <w:pPr>
        <w:jc w:val="both"/>
        <w:ind w:firstLine="644"/>
        <w:spacing w:after="0" w:line="263" w:lineRule="auto"/>
        <w:tabs>
          <w:tab w:leader="none" w:pos="1287"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or subleases of real property granted in the Ordinary Course of Business of such Person, and leases, subleases, non-exclusive licenses or sublicenses of personal property (other than Intellectual Property) granted in the Ordinary Course of Business of such Person;</w:t>
      </w:r>
    </w:p>
    <w:p>
      <w:pPr>
        <w:spacing w:after="0" w:line="152" w:lineRule="exact"/>
        <w:rPr>
          <w:rFonts w:ascii="Times New Roman" w:cs="Times New Roman" w:eastAsia="Times New Roman" w:hAnsi="Times New Roman"/>
          <w:sz w:val="17"/>
          <w:szCs w:val="17"/>
          <w:color w:val="auto"/>
        </w:rPr>
      </w:pPr>
    </w:p>
    <w:p>
      <w:pPr>
        <w:jc w:val="both"/>
        <w:ind w:firstLine="644"/>
        <w:spacing w:after="0" w:line="224" w:lineRule="auto"/>
        <w:tabs>
          <w:tab w:leader="none" w:pos="12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58" w:lineRule="exact"/>
        <w:rPr>
          <w:rFonts w:ascii="Times New Roman" w:cs="Times New Roman" w:eastAsia="Times New Roman" w:hAnsi="Times New Roman"/>
          <w:sz w:val="18"/>
          <w:szCs w:val="18"/>
          <w:color w:val="auto"/>
        </w:rPr>
      </w:pPr>
    </w:p>
    <w:p>
      <w:pPr>
        <w:ind w:right="20" w:firstLine="644"/>
        <w:spacing w:after="0" w:line="237" w:lineRule="auto"/>
        <w:tabs>
          <w:tab w:leader="none" w:pos="12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580"/>
          </w:cols>
          <w:pgMar w:left="980" w:top="104"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60" w:firstLine="644"/>
        <w:spacing w:after="0" w:line="231" w:lineRule="auto"/>
        <w:tabs>
          <w:tab w:leader="none" w:pos="19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of cash to secure bids, tenders, contracts (other than contracts for the payment of money), leases, surety and appeal bonds and other obligations of a like nature arising in the Ordinary Course of Business, in an aggregate amount not exceeding Two Million Dollars ($2,000,000) at any time;</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24" w:lineRule="auto"/>
        <w:tabs>
          <w:tab w:leader="none" w:pos="19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favor of other financial institutions arising in connection with a Deposit Account or Securities Account of a Loan Party or Subsidiary thereof held at such institutions, provided that Agent has a perfected security interest in such Deposit Account, or the security interests maintained therein and Agent has received an Account Control Agreement with respect thereto to the extent required pursuant to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of this Agreement;</w:t>
      </w:r>
    </w:p>
    <w:p>
      <w:pPr>
        <w:spacing w:after="0" w:line="15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which constitute a Permitted Transfer;</w:t>
      </w:r>
    </w:p>
    <w:p>
      <w:pPr>
        <w:spacing w:after="0" w:line="198"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Real Estate Loan Facility; or</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31" w:lineRule="auto"/>
        <w:tabs>
          <w:tab w:leader="none" w:pos="19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in the extension, renewal or refinancing of the indebtedness secured by Liens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but any extension, renewal or replacement Lien must be limited to the property encumbered by the existing Lien and the principal amount of the indebtedness may not increase.</w:t>
      </w:r>
    </w:p>
    <w:p>
      <w:pPr>
        <w:spacing w:after="0" w:line="15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Locations</w:t>
      </w:r>
      <w:r>
        <w:rPr>
          <w:rFonts w:ascii="Times New Roman" w:cs="Times New Roman" w:eastAsia="Times New Roman" w:hAnsi="Times New Roman"/>
          <w:sz w:val="18"/>
          <w:szCs w:val="18"/>
          <w:color w:val="auto"/>
        </w:rPr>
        <w:t xml:space="preserve">” means, collectively, the following locations where Collateral may be located from time to time: (a) locations identified in the Perfection Certificate, (b) locations previously disclosed in a written notice to Agent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(c) the Excluded Locations.</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means (i) sales of Inventory by a Loan Party or any of its Subsidiaries in the Ordinary Course of Business, (ii) non-exclusive licenses and similar arrangements for the use of Intellectual Property of a Loan Party or any of its Subsidiaries in the Ordinary Course of Business, (iii) dispositions of worn-out, obsolete or surplus Equipment in the Ordinary Course of Business that is, in the reasonable judgment of such Loan</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Party or Subsidiary, no longer economically practicable to maintain or useful, (iv) Transfers consisting of the granting of Permitted Liens and the making of Permitted Investments, (v) the use or transfer of money or Cash Equivalents in the Ordinary Course of Business for the payment of ordinary course business expenses in a manner that is not prohibited by the Loan Documents, (vi) Transfers consisting of donations to Expensify.Org in an amount not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exceed for any fiscal year, 10% of interchange revenue for such year, (vii) Transfers to Expensify.Org of amounts as may be required from time to time for wage gap contributions, subject to no Default or Event of Default existing and financial covenant pro forma compliance, as confirmed by calculations delivered by a Responsible Officer to Agent with respect thereto concurrently, and (viii) other Transfers of assets having a fair market value of not more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Two Hundred Fifty Thousand Dollars ($250,000) per fiscal year of Borrower Representative.</w:t>
      </w:r>
    </w:p>
    <w:p>
      <w:pPr>
        <w:spacing w:after="0" w:line="16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the prime rate as published in the Money Rates Section of The Wall Street Journal; provided that, if such rate is, at any time during the term of this Agreement, no longer so published, the term “Prime Rate” shall mean the average of the prime interest rates which are announced, from time to time, by the three largest banks (by assets) headquartered in the United States which publish a prime, base or reference rate, provided that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Rate shall not be less than 3.25%.</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ratable</w:t>
      </w:r>
      <w:r>
        <w:rPr>
          <w:rFonts w:ascii="Times New Roman" w:cs="Times New Roman" w:eastAsia="Times New Roman" w:hAnsi="Times New Roman"/>
          <w:sz w:val="18"/>
          <w:szCs w:val="18"/>
          <w:color w:val="auto"/>
        </w:rPr>
        <w:t>” means, as of any date of determination:</w:t>
      </w:r>
    </w:p>
    <w:p>
      <w:pPr>
        <w:spacing w:after="0" w:line="189" w:lineRule="exact"/>
        <w:rPr>
          <w:sz w:val="20"/>
          <w:szCs w:val="20"/>
          <w:color w:val="auto"/>
        </w:rPr>
      </w:pPr>
    </w:p>
    <w:p>
      <w:pPr>
        <w:jc w:val="both"/>
        <w:ind w:firstLine="1304"/>
        <w:spacing w:after="0" w:line="224" w:lineRule="auto"/>
        <w:tabs>
          <w:tab w:leader="none" w:pos="194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145" w:lineRule="exact"/>
        <w:rPr>
          <w:rFonts w:ascii="Times New Roman" w:cs="Times New Roman" w:eastAsia="Times New Roman" w:hAnsi="Times New Roman"/>
          <w:sz w:val="18"/>
          <w:szCs w:val="18"/>
          <w:color w:val="auto"/>
        </w:rPr>
      </w:pPr>
    </w:p>
    <w:p>
      <w:pPr>
        <w:jc w:val="both"/>
        <w:ind w:firstLine="1304"/>
        <w:spacing w:after="0" w:line="231" w:lineRule="auto"/>
        <w:tabs>
          <w:tab w:leader="none" w:pos="193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other matters and for all other matters as to a particular Lender (including the indemnification obligations arising under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of this Agreement), the percentage obtained by dividing (i) the Revolving Loan Exposure of such Lender, by (ii) the aggregate Revolving Loan Exposure of all Lenders, in any such case as the applicable percentage may be adjusted by assignments permitted pursuant to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04"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Cash</w:t>
      </w:r>
      <w:r>
        <w:rPr>
          <w:rFonts w:ascii="Times New Roman" w:cs="Times New Roman" w:eastAsia="Times New Roman" w:hAnsi="Times New Roman"/>
          <w:sz w:val="18"/>
          <w:szCs w:val="18"/>
          <w:color w:val="auto"/>
        </w:rPr>
        <w:t>” means, as of any date of determination, the aggregate amount of all unrestricted cash maintained by a Loan Party with CIBC or in other Collateral Accounts subject to an Account Control Agreement providing for a first priority perfected security interest in favor of Agent.</w:t>
      </w:r>
    </w:p>
    <w:p>
      <w:pPr>
        <w:spacing w:after="0" w:line="1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Loan Facility</w:t>
      </w:r>
      <w:r>
        <w:rPr>
          <w:rFonts w:ascii="Times New Roman" w:cs="Times New Roman" w:eastAsia="Times New Roman" w:hAnsi="Times New Roman"/>
          <w:sz w:val="18"/>
          <w:szCs w:val="18"/>
          <w:color w:val="auto"/>
        </w:rPr>
        <w:t>” means the loan facility pursuant to that certain Loan Agreement by and between Real Estate SPV, Borrower Representative and CIBC, as amended, restated,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SPV</w:t>
      </w:r>
      <w:r>
        <w:rPr>
          <w:rFonts w:ascii="Times New Roman" w:cs="Times New Roman" w:eastAsia="Times New Roman" w:hAnsi="Times New Roman"/>
          <w:sz w:val="18"/>
          <w:szCs w:val="18"/>
          <w:color w:val="auto"/>
        </w:rPr>
        <w:t>” means 401 SW 5th LLC, a Delaware limited liability company.</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Recurring Revenue</w:t>
      </w:r>
      <w:r>
        <w:rPr>
          <w:rFonts w:ascii="Times New Roman" w:cs="Times New Roman" w:eastAsia="Times New Roman" w:hAnsi="Times New Roman"/>
          <w:sz w:val="18"/>
          <w:szCs w:val="18"/>
          <w:color w:val="auto"/>
        </w:rPr>
        <w:t>” means, with respect to any period, revenue of Borrower Representative and each of its Subsidiaries on a consolidated basis, generated during such period from recurring subscription-based sales and recurring support sales made pursuant to a customer service agreement with Borrower Representative or such Subsidiary.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means any “registered organization” as defined in the Code with such additions to such term as may hereafter be</w:t>
      </w:r>
    </w:p>
    <w:p>
      <w:pPr>
        <w:spacing w:after="0"/>
        <w:rPr>
          <w:sz w:val="20"/>
          <w:szCs w:val="20"/>
          <w:color w:val="auto"/>
        </w:rPr>
      </w:pPr>
      <w:r>
        <w:rPr>
          <w:rFonts w:ascii="Times New Roman" w:cs="Times New Roman" w:eastAsia="Times New Roman" w:hAnsi="Times New Roman"/>
          <w:sz w:val="18"/>
          <w:szCs w:val="18"/>
          <w:color w:val="auto"/>
        </w:rPr>
        <w:t>made.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similar extensions of credit in the ordinary course and that is administered, advised or managed by (a) a Lender, (b) an Affiliate of a Lender, or (c) an entity or an Affiliate of an entity that administers, advises or manages a Lender.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at any time, Lenders having or holding more than 50% of the aggregate Revolving Loan Exposure of all Lenders,</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Revolving Loan Exposure of any Defaulting Lender shall be disregarded in the determination of the Required Lenders,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if there are more than two unaffiliated Lenders, at least two such unaffiliated Lenders shall be required to constitute Required Lenders.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means as to any Person, the organizational or governing documents of such Person, and any law (statutory or common),</w:t>
      </w:r>
    </w:p>
    <w:p>
      <w:pPr>
        <w:spacing w:after="0" w:line="6"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treaty, rule or regulation or determination of an arbitrator or a court or other Governmental Authority, in each case applicable to or binding upon such Person or any of its property or to which such Person or any of its property is subject.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with respect to any Person, any of the Chief Executive Officer, President or Chief Financial Officer of such Person.</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Unless the context otherwise requires, each reference to a Responsible Officer herein shall be a reference to a Responsible Officer of Borrower Representative.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License</w:t>
      </w:r>
      <w:r>
        <w:rPr>
          <w:rFonts w:ascii="Times New Roman" w:cs="Times New Roman" w:eastAsia="Times New Roman" w:hAnsi="Times New Roman"/>
          <w:sz w:val="18"/>
          <w:szCs w:val="18"/>
          <w:color w:val="auto"/>
        </w:rPr>
        <w:t>” means any material license or other material agreement (other than ordinary course customer contracts, off the shelf</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software licenses, licenses that are commercially available to the public, and open source licenses) with respect to which a Loan Party or any of its Subsidiaries is the licensee (a) that prohibits or otherwise restricts such Loan Party or Subsidiary from granting a security interest in such Loan Party or Subsidiary’s interest in such license or agreement or any other property, or (b) for which a default under, or termination of which, could reasonably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interfere with the Agent’s ability to exercise secured party remedies with respect to any Collateral.</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each Lender that has a Revolving Loan Commitment or that holds Revolving Loans.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w:t>
      </w:r>
      <w:r>
        <w:rPr>
          <w:rFonts w:ascii="Times New Roman" w:cs="Times New Roman" w:eastAsia="Times New Roman" w:hAnsi="Times New Roman"/>
          <w:sz w:val="18"/>
          <w:szCs w:val="18"/>
          <w:color w:val="auto"/>
        </w:rPr>
        <w:t xml:space="preserve">” means an advance under the Revolving Loan Facility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Commitment</w:t>
      </w:r>
      <w:r>
        <w:rPr>
          <w:rFonts w:ascii="Times New Roman" w:cs="Times New Roman" w:eastAsia="Times New Roman" w:hAnsi="Times New Roman"/>
          <w:sz w:val="18"/>
          <w:szCs w:val="18"/>
          <w:color w:val="auto"/>
        </w:rPr>
        <w:t xml:space="preserve">” means, with respect to each Revolving Lender, such Revolving Lender’s commitment, to make Revolving Loans in an aggregate principal amount not to exceed the amount set forth under the heading “Revolving Loan Commitment” opposite such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Exposure</w:t>
      </w:r>
      <w:r>
        <w:rPr>
          <w:rFonts w:ascii="Times New Roman" w:cs="Times New Roman" w:eastAsia="Times New Roman" w:hAnsi="Times New Roman"/>
          <w:sz w:val="18"/>
          <w:szCs w:val="18"/>
          <w:color w:val="auto"/>
        </w:rPr>
        <w:t>” means, with respect to any Revolving Lender, as of any date of determination (a) prior to the termination of the Revolving Loan Commitments, the amount of such Lender’s Revolving Loan Commitment, and (b) after the termination of the Revolving Loan Commitments, the aggregate outstanding principal amount of the Revolving Loans of such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Facility</w:t>
      </w:r>
      <w:r>
        <w:rPr>
          <w:rFonts w:ascii="Times New Roman" w:cs="Times New Roman" w:eastAsia="Times New Roman" w:hAnsi="Times New Roman"/>
          <w:sz w:val="18"/>
          <w:szCs w:val="18"/>
          <w:color w:val="auto"/>
        </w:rPr>
        <w:t xml:space="preserve">” means the Revolving Commitments and the extensions of credit made thereunder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40"/>
          </w:cols>
          <w:pgMar w:left="320" w:top="104"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Maturity Date</w:t>
      </w:r>
      <w:r>
        <w:rPr>
          <w:rFonts w:ascii="Times New Roman" w:cs="Times New Roman" w:eastAsia="Times New Roman" w:hAnsi="Times New Roman"/>
          <w:sz w:val="18"/>
          <w:szCs w:val="18"/>
          <w:color w:val="auto"/>
        </w:rPr>
        <w:t>” means September 21, 2025.</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5.11(c)</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collectively, Agent and each Lender.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Party Entities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means any “securities account” as defined in the Code with such additions to such term as may hereafter be made.</w:t>
      </w:r>
    </w:p>
    <w:p>
      <w:pPr>
        <w:spacing w:after="0" w:line="198"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Party Expenses</w:t>
      </w:r>
      <w:r>
        <w:rPr>
          <w:rFonts w:ascii="Times New Roman" w:cs="Times New Roman" w:eastAsia="Times New Roman" w:hAnsi="Times New Roman"/>
          <w:sz w:val="18"/>
          <w:szCs w:val="18"/>
          <w:color w:val="auto"/>
        </w:rPr>
        <w:t>” means all (a) costs or expenses (including taxes and insurance premiums) required to be paid by any Loan Party or its Subsidiaries under any of the Loan Documents that are paid, advanced, or incurred by Lenders, (b) documented out-of-pocket fees or charges paid or incurred by Agent in connection with the transactions contemplated by this Agreement and the Loan Documents, (c) reasonable, documented out-of-pocket</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costs and expenses paid or incurred by Secured Parties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(d) financial examination, appraisal, and valuation fees and expenses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Agent related to any financial examinations, appraisals, or valuation to the extent of the fees and charges, (e) Agent’s and Lenders’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Loan Documents, Agent’s Liens in and to the Collateral, or the Secured Parties’ relationship with any Loan Party or any of its Subsidiaries, (f) Agent’s reasonable and documented costs and expenses (including reasonable and documented attorneys’ fees and due diligence expenses) incurred in advising, structuring, drafting, reviewing, administering, syndicating or other communication costs incurred in connection with a syndication of the loan facilities,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amending, waiving, or modifying the Loan Documents, and (g) Agent’s and each Lender’s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6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Instrument</w:t>
      </w:r>
      <w:r>
        <w:rPr>
          <w:rFonts w:ascii="Times New Roman" w:cs="Times New Roman" w:eastAsia="Times New Roman" w:hAnsi="Times New Roman"/>
          <w:sz w:val="18"/>
          <w:szCs w:val="18"/>
          <w:color w:val="auto"/>
        </w:rPr>
        <w:t>” means any security agreement, assignment, pledge agreement, financing or other similar statement or notice, continuation statement, other agreement or instrument, or any amendment or supplement to any thereof, creating, governing or providing for, evidencing or perfecting any security interest or Lien.</w:t>
      </w:r>
    </w:p>
    <w:p>
      <w:pPr>
        <w:spacing w:after="0" w:line="16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all of the issued and outstanding Equity Interests owned or held of record by a Loan Party or other Loan Party in each of its Subsidiaries.</w:t>
      </w:r>
    </w:p>
    <w:p>
      <w:pPr>
        <w:spacing w:after="0" w:line="15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means Indebtedness incurred by a Loan Party that is subordinated in writing to all of the Obligations, pursuant to a Subordination Agreement, on terms acceptable to Required Lenders, including, without limitation, lien and payment subordination.</w:t>
      </w:r>
    </w:p>
    <w:p>
      <w:pPr>
        <w:spacing w:after="0" w:line="14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means any subordination or intercreditor agreement, providing for the subordination of Indebtedness to the Obligations, on terms and conditions satisfactory to Agent, in its reasonable discretion.</w:t>
      </w:r>
    </w:p>
    <w:p>
      <w:pPr>
        <w:spacing w:after="0" w:line="16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joint venture in which (i) any general partnership interest or (ii) more than fifty percent (50%) of the stock, limited liability company interest, joint venture interest or other Equity Interest of which by the terms thereof has the ordinary voting power to elect the Board of that Person, at the time as of which any determination is being made, is owned or controlled by such Person, either directly or through an Affiliate. Unless the context otherwise requires, each reference to a Subsidiary herein</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shall be a reference to a Subsidiary of a Borrower. For the avoidance of doubt, Expensify.Org shall not be deemed a Subsidiary of Borrower Representative as long as it constitutes a tax exempt charitable organization.</w:t>
      </w:r>
    </w:p>
    <w:p>
      <w:pPr>
        <w:spacing w:after="0" w:line="15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40"/>
          </w:cols>
          <w:pgMar w:left="320" w:top="104"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EBITDA Net Leverage Ratio</w:t>
      </w:r>
      <w:r>
        <w:rPr>
          <w:rFonts w:ascii="Times New Roman" w:cs="Times New Roman" w:eastAsia="Times New Roman" w:hAnsi="Times New Roman"/>
          <w:sz w:val="18"/>
          <w:szCs w:val="18"/>
          <w:color w:val="auto"/>
        </w:rPr>
        <w:t>” means, as of any date of determination, the ratio of (i) an amount equal to (A) Total Funded Debt, as of such date, less (B) the lesser of (x) Qualified Cash, in each case, and (y) $5,000,000, to (ii) EBITDA for the consecutive twelve month period then ended.</w:t>
      </w:r>
    </w:p>
    <w:p>
      <w:pPr>
        <w:spacing w:after="0" w:line="1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Funded Debt</w:t>
      </w:r>
      <w:r>
        <w:rPr>
          <w:rFonts w:ascii="Times New Roman" w:cs="Times New Roman" w:eastAsia="Times New Roman" w:hAnsi="Times New Roman"/>
          <w:sz w:val="18"/>
          <w:szCs w:val="18"/>
          <w:color w:val="auto"/>
        </w:rPr>
        <w:t>” means, as of any date of determination, the total outstanding Obligations and any other Indebtedness, regardless of whether such Indebtedness ranks senior to, pari passu or junior to the Obligations.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Loan Commitment</w:t>
      </w:r>
      <w:r>
        <w:rPr>
          <w:rFonts w:ascii="Times New Roman" w:cs="Times New Roman" w:eastAsia="Times New Roman" w:hAnsi="Times New Roman"/>
          <w:sz w:val="18"/>
          <w:szCs w:val="18"/>
          <w:color w:val="auto"/>
        </w:rPr>
        <w:t xml:space="preserve">” means the aggregate amount of all Revolving Loan Commitments hereunder, as set forth on </w:t>
      </w:r>
      <w:r>
        <w:rPr>
          <w:rFonts w:ascii="Times New Roman" w:cs="Times New Roman" w:eastAsia="Times New Roman" w:hAnsi="Times New Roman"/>
          <w:sz w:val="18"/>
          <w:szCs w:val="18"/>
          <w:u w:val="single" w:color="auto"/>
          <w:color w:val="auto"/>
        </w:rPr>
        <w:t>Schedule 1.</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any trademark and servicemark rights of a Person, whether registered or not, applications to register and registrations of the same and like protections, and the entire goodwill of the business connected with and symbolized by such trademarks.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means defined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means, with respect to any Person, all classes of Equity Interests issued by such Person the holders of which are ordinarily, in the absence of contingencies, entitled to vote for the election of directors or managers (or Persons performing similar functions) of such Person, even though the right so to vote has been suspended by the happening of such a contingency.</w:t>
      </w:r>
    </w:p>
    <w:p>
      <w:pPr>
        <w:spacing w:after="0" w:line="16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40"/>
          </w:cols>
          <w:pgMar w:left="320" w:top="104"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 DESCRIPTION</w:t>
      </w:r>
    </w:p>
    <w:p>
      <w:pPr>
        <w:spacing w:after="0" w:line="17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Collateral consists of all of each Borrower’s right, title and interest in and to the following personal property wherever located, whether now owned or existing or hereafter acquired, created or arising: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goods, Accounts (including health-care receivables), Equipment, Inventory, contract rights or rights to payment of money, leases, license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agreements, franchise agreements, General Intangibles, commercial tort claims, including without limitation, any commercial tort claim described in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of the Perfection Certificate delivered as of the Effective Date, documents, instruments (including any promissory notes), chattel paper (whether tangible or electronic), cash, deposit accounts, fixtures, letters of credit rights (whether or not the letter of credit is evidenced by a writing),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securities, and all other investment property, supporting obligations, and financial assets, whether now owned or hereafter acquired, wherever located; and all such Borrower’s Books relating to the foregoing, and any and all claims, rights and interests in any of the above and all substitutions for, additions, attachments, accessories, accessions and improvements to and replacements, products, proceeds (both cash and non-cash) and insurance proceeds of any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foregoing.</w:t>
      </w:r>
    </w:p>
    <w:p>
      <w:pPr>
        <w:sectPr>
          <w:pgSz w:w="11900" w:h="16838" w:orient="portrait"/>
          <w:cols w:equalWidth="0" w:num="1">
            <w:col w:w="11240"/>
          </w:cols>
          <w:pgMar w:left="320" w:top="104"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C</w:t>
      </w: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COMPLIANCE CERTIFICATE</w:t>
      </w:r>
    </w:p>
    <w:p>
      <w:pPr>
        <w:sectPr>
          <w:pgSz w:w="11900" w:h="16838" w:orient="portrait"/>
          <w:cols w:equalWidth="0" w:num="1">
            <w:col w:w="10120"/>
          </w:cols>
          <w:pgMar w:left="1440" w:top="104"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APPENDIX 1</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FINANCIAL COVENANT CALCULATIONS</w:t>
      </w:r>
    </w:p>
    <w:p>
      <w:pPr>
        <w:spacing w:after="0" w:line="2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SUBSIDIARY COMPLIANCE</w:t>
      </w:r>
    </w:p>
    <w:p>
      <w:pPr>
        <w:sectPr>
          <w:pgSz w:w="11900" w:h="16838" w:orient="portrait"/>
          <w:cols w:equalWidth="0" w:num="1">
            <w:col w:w="10120"/>
          </w:cols>
          <w:pgMar w:left="1440" w:top="104"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18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REQUIREMENTS FOR INSURANCE DOCUMENTATION</w:t>
      </w:r>
    </w:p>
    <w:p>
      <w:pPr>
        <w:sectPr>
          <w:pgSz w:w="11900" w:h="16838" w:orient="portrait"/>
          <w:cols w:equalWidth="0" w:num="1">
            <w:col w:w="10120"/>
          </w:cols>
          <w:pgMar w:left="1440" w:top="104"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19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u w:val="single" w:color="auto"/>
          <w:color w:val="auto"/>
        </w:rPr>
        <w:t>LOAN REQUEST</w:t>
      </w:r>
    </w:p>
    <w:p>
      <w:pPr>
        <w:sectPr>
          <w:pgSz w:w="11900" w:h="16838" w:orient="portrait"/>
          <w:cols w:equalWidth="0" w:num="1">
            <w:col w:w="10120"/>
          </w:cols>
          <w:pgMar w:left="1440" w:top="104" w:right="33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APPENDIX I</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DISBURSEMENT INSTRUCTIONS</w:t>
      </w:r>
    </w:p>
    <w:p>
      <w:pPr>
        <w:sectPr>
          <w:pgSz w:w="11900" w:h="16838" w:orient="portrait"/>
          <w:cols w:equalWidth="0" w:num="1">
            <w:col w:w="10120"/>
          </w:cols>
          <w:pgMar w:left="1440" w:top="104" w:right="33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APPENDIX II</w:t>
      </w:r>
    </w:p>
    <w:p>
      <w:pPr>
        <w:jc w:val="center"/>
        <w:ind w:right="1120"/>
        <w:spacing w:after="0" w:line="232" w:lineRule="auto"/>
        <w:rPr>
          <w:sz w:val="20"/>
          <w:szCs w:val="20"/>
          <w:color w:val="auto"/>
        </w:rPr>
      </w:pPr>
      <w:r>
        <w:rPr>
          <w:rFonts w:ascii="Times New Roman" w:cs="Times New Roman" w:eastAsia="Times New Roman" w:hAnsi="Times New Roman"/>
          <w:sz w:val="17"/>
          <w:szCs w:val="17"/>
          <w:color w:val="auto"/>
        </w:rPr>
        <w:t>FINANCIAL COVENANT CALCULATIONS</w:t>
      </w:r>
    </w:p>
    <w:p>
      <w:pPr>
        <w:ind w:left="3920"/>
        <w:spacing w:after="0"/>
        <w:rPr>
          <w:sz w:val="20"/>
          <w:szCs w:val="20"/>
          <w:color w:val="auto"/>
        </w:rPr>
      </w:pPr>
      <w:r>
        <w:rPr>
          <w:rFonts w:ascii="Times New Roman" w:cs="Times New Roman" w:eastAsia="Times New Roman" w:hAnsi="Times New Roman"/>
          <w:sz w:val="18"/>
          <w:szCs w:val="18"/>
          <w:color w:val="auto"/>
        </w:rPr>
        <w:t>(PRO FORMA)</w:t>
      </w:r>
    </w:p>
    <w:p>
      <w:pPr>
        <w:sectPr>
          <w:pgSz w:w="11900" w:h="16838" w:orient="portrait"/>
          <w:cols w:equalWidth="0" w:num="1">
            <w:col w:w="10120"/>
          </w:cols>
          <w:pgMar w:left="1440" w:top="104"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EXHIBIT E-1</w:t>
      </w:r>
    </w:p>
    <w:p>
      <w:pPr>
        <w:jc w:val="center"/>
        <w:ind w:right="1120"/>
        <w:spacing w:after="0"/>
        <w:rPr>
          <w:sz w:val="20"/>
          <w:szCs w:val="20"/>
          <w:color w:val="auto"/>
        </w:rPr>
      </w:pPr>
      <w:r>
        <w:rPr>
          <w:rFonts w:ascii="Times New Roman" w:cs="Times New Roman" w:eastAsia="Times New Roman" w:hAnsi="Times New Roman"/>
          <w:sz w:val="17"/>
          <w:szCs w:val="17"/>
          <w:color w:val="auto"/>
        </w:rPr>
        <w:t>DEBIT AUTHORIZATION</w:t>
      </w:r>
    </w:p>
    <w:p>
      <w:pPr>
        <w:sectPr>
          <w:pgSz w:w="11900" w:h="16838" w:orient="portrait"/>
          <w:cols w:equalWidth="0" w:num="1">
            <w:col w:w="10120"/>
          </w:cols>
          <w:pgMar w:left="1440" w:top="104"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EXHIBIT E-2</w:t>
      </w:r>
    </w:p>
    <w:p>
      <w:pPr>
        <w:jc w:val="center"/>
        <w:ind w:right="1120"/>
        <w:spacing w:after="0"/>
        <w:rPr>
          <w:sz w:val="20"/>
          <w:szCs w:val="20"/>
          <w:color w:val="auto"/>
        </w:rPr>
      </w:pPr>
      <w:r>
        <w:rPr>
          <w:rFonts w:ascii="Times New Roman" w:cs="Times New Roman" w:eastAsia="Times New Roman" w:hAnsi="Times New Roman"/>
          <w:sz w:val="17"/>
          <w:szCs w:val="17"/>
          <w:color w:val="auto"/>
        </w:rPr>
        <w:t>CREDIT AUTHORIZATION</w:t>
      </w:r>
    </w:p>
    <w:p>
      <w:pPr>
        <w:sectPr>
          <w:pgSz w:w="11900" w:h="16838" w:orient="portrait"/>
          <w:cols w:equalWidth="0" w:num="1">
            <w:col w:w="10120"/>
          </w:cols>
          <w:pgMar w:left="1440" w:top="104"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EXHIBIT F</w:t>
      </w:r>
    </w:p>
    <w:p>
      <w:pPr>
        <w:spacing w:after="0" w:line="212"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FORM OF ASSIGNMENT AND ACCEPTANCE AGREEMENT</w:t>
      </w:r>
    </w:p>
    <w:p>
      <w:pPr>
        <w:sectPr>
          <w:pgSz w:w="11900" w:h="16838" w:orient="portrait"/>
          <w:cols w:equalWidth="0" w:num="1">
            <w:col w:w="10120"/>
          </w:cols>
          <w:pgMar w:left="1440" w:top="104"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Annex 1 to Assignment and Acceptance Agreement</w:t>
      </w:r>
    </w:p>
    <w:p>
      <w:pPr>
        <w:spacing w:after="0" w:line="18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STANDARD TERMS AND CONDITIONS FOR</w:t>
      </w:r>
    </w:p>
    <w:p>
      <w:pPr>
        <w:jc w:val="center"/>
        <w:ind w:right="1100"/>
        <w:spacing w:after="0"/>
        <w:rPr>
          <w:sz w:val="20"/>
          <w:szCs w:val="20"/>
          <w:color w:val="auto"/>
        </w:rPr>
      </w:pPr>
      <w:r>
        <w:rPr>
          <w:rFonts w:ascii="Times New Roman" w:cs="Times New Roman" w:eastAsia="Times New Roman" w:hAnsi="Times New Roman"/>
          <w:sz w:val="18"/>
          <w:szCs w:val="18"/>
          <w:color w:val="auto"/>
        </w:rPr>
        <w:t>ASSIGNMENT AND ACCEPTANCE</w:t>
      </w:r>
    </w:p>
    <w:p>
      <w:pPr>
        <w:sectPr>
          <w:pgSz w:w="11900" w:h="16838" w:orient="portrait"/>
          <w:cols w:equalWidth="0" w:num="1">
            <w:col w:w="10120"/>
          </w:cols>
          <w:pgMar w:left="1440" w:top="104"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SCHEDULE 1</w:t>
      </w:r>
    </w:p>
    <w:p>
      <w:pPr>
        <w:spacing w:after="0" w:line="19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COMMITMENTS</w:t>
      </w:r>
    </w:p>
    <w:p>
      <w:pPr>
        <w:sectPr>
          <w:pgSz w:w="11900" w:h="16838" w:orient="portrait"/>
          <w:cols w:equalWidth="0" w:num="1">
            <w:col w:w="10120"/>
          </w:cols>
          <w:pgMar w:left="1440" w:top="104"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SCHEDULE 2</w:t>
      </w:r>
    </w:p>
    <w:p>
      <w:pPr>
        <w:spacing w:after="0" w:line="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CLOSING CONDITIONS</w:t>
      </w:r>
    </w:p>
    <w:p>
      <w:pPr>
        <w:sectPr>
          <w:pgSz w:w="11900" w:h="16838" w:orient="portrait"/>
          <w:cols w:equalWidth="0" w:num="1">
            <w:col w:w="10120"/>
          </w:cols>
          <w:pgMar w:left="1440" w:top="104"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3</w:t>
      </w:r>
    </w:p>
    <w:p>
      <w:pPr>
        <w:spacing w:after="0" w:line="19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POST-CLOSING DELIVERIES</w:t>
      </w:r>
    </w:p>
    <w:p>
      <w:pPr>
        <w:sectPr>
          <w:pgSz w:w="11900" w:h="16838" w:orient="portrait"/>
          <w:cols w:equalWidth="0" w:num="1">
            <w:col w:w="10120"/>
          </w:cols>
          <w:pgMar w:left="1440" w:top="104"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THIRD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LOAN AND SECURITY AGREEMENT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THIRD AMENDMENT TO SECOND AMENDED AND RESTATED LOAN AND SECURITY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February 13, 2025 by and among EXPENSIFY, INC., a Delaware corporation (in its capacity as borrower representative,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the Lenders party hereto, constituting Required Lenders, Canadian Imperial Bank of Commerce (in its individual capacity, “</w:t>
      </w:r>
      <w:r>
        <w:rPr>
          <w:rFonts w:ascii="Times New Roman" w:cs="Times New Roman" w:eastAsia="Times New Roman" w:hAnsi="Times New Roman"/>
          <w:sz w:val="18"/>
          <w:szCs w:val="18"/>
          <w:b w:val="1"/>
          <w:bCs w:val="1"/>
          <w:color w:val="auto"/>
        </w:rPr>
        <w:t>CIBC</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its capacity as administrative agent and collateral agent for the Lenders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56"/>
        <w:spacing w:after="0" w:line="266" w:lineRule="auto"/>
        <w:tabs>
          <w:tab w:leader="none" w:pos="129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Lenders and Agent are parties to that certain Second Amended and Restated Loan and Security Agreement, dated as of February 21, 2024 (as amended, restated, supplemented or otherwise modified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Capitalized terms used but not otherwise defined herein shall have the meanings given to them in the Agreement.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8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has requested a waiver and certain modifications to the terms of the Agreement, and Agent and Required Lenders, although under no obligation to do so, have agreed to the waiver and amendments, on the terms set forth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agree as follows:</w:t>
      </w:r>
    </w:p>
    <w:p>
      <w:pPr>
        <w:spacing w:after="0" w:line="221"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but not defined in this Amendment shall have the respective meanings given to them in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 xml:space="preserve">Section 7.7(a)(vi) </w:t>
      </w:r>
      <w:r>
        <w:rPr>
          <w:rFonts w:ascii="Times New Roman" w:cs="Times New Roman" w:eastAsia="Times New Roman" w:hAnsi="Times New Roman"/>
          <w:sz w:val="18"/>
          <w:szCs w:val="18"/>
          <w:color w:val="auto"/>
        </w:rPr>
        <w:t>of the Agreement is hereby amended and restated to read as follows:</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Representative may repurchase or otherwise retire</w:t>
      </w:r>
    </w:p>
    <w:p>
      <w:pPr>
        <w:spacing w:after="0" w:line="225" w:lineRule="exact"/>
        <w:rPr>
          <w:rFonts w:ascii="Times New Roman" w:cs="Times New Roman" w:eastAsia="Times New Roman" w:hAnsi="Times New Roman"/>
          <w:sz w:val="18"/>
          <w:szCs w:val="18"/>
          <w:color w:val="auto"/>
        </w:rPr>
      </w:pPr>
    </w:p>
    <w:p>
      <w:pPr>
        <w:ind w:left="3540" w:hanging="292"/>
        <w:spacing w:after="0"/>
        <w:tabs>
          <w:tab w:leader="none" w:pos="3540"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shares of its common stock otherwise issuable</w:t>
      </w:r>
    </w:p>
    <w:p>
      <w:pPr>
        <w:spacing w:after="0" w:line="225" w:lineRule="exact"/>
        <w:rPr>
          <w:rFonts w:ascii="Times New Roman" w:cs="Times New Roman" w:eastAsia="Times New Roman" w:hAnsi="Times New Roman"/>
          <w:sz w:val="18"/>
          <w:szCs w:val="18"/>
          <w:color w:val="auto"/>
        </w:rPr>
      </w:pPr>
    </w:p>
    <w:p>
      <w:pPr>
        <w:ind w:left="4160" w:hanging="264"/>
        <w:spacing w:after="0"/>
        <w:tabs>
          <w:tab w:leader="none" w:pos="4160" w:val="left"/>
        </w:tabs>
        <w:numPr>
          <w:ilvl w:val="3"/>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conversion of restricted stock unit awards and</w:t>
      </w:r>
    </w:p>
    <w:p>
      <w:pPr>
        <w:spacing w:after="0" w:line="225" w:lineRule="exact"/>
        <w:rPr>
          <w:rFonts w:ascii="Times New Roman" w:cs="Times New Roman" w:eastAsia="Times New Roman" w:hAnsi="Times New Roman"/>
          <w:sz w:val="18"/>
          <w:szCs w:val="18"/>
          <w:color w:val="auto"/>
        </w:rPr>
      </w:pPr>
    </w:p>
    <w:p>
      <w:pPr>
        <w:ind w:left="3240" w:firstLine="656"/>
        <w:spacing w:after="0" w:line="282" w:lineRule="auto"/>
        <w:tabs>
          <w:tab w:leader="none" w:pos="4144" w:val="left"/>
        </w:tabs>
        <w:numPr>
          <w:ilvl w:val="3"/>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its stock purchase and matching plan, or other equity incentive awards or equity-based compensation;</w:t>
      </w:r>
    </w:p>
    <w:p>
      <w:pPr>
        <w:spacing w:after="0" w:line="162" w:lineRule="exact"/>
        <w:rPr>
          <w:sz w:val="20"/>
          <w:szCs w:val="20"/>
          <w:color w:val="auto"/>
        </w:rPr>
      </w:pPr>
    </w:p>
    <w:p>
      <w:pPr>
        <w:ind w:left="3240"/>
        <w:spacing w:after="0" w:line="282" w:lineRule="auto"/>
        <w:rPr>
          <w:sz w:val="20"/>
          <w:szCs w:val="20"/>
          <w:color w:val="auto"/>
        </w:rPr>
      </w:pPr>
      <w:r>
        <w:rPr>
          <w:rFonts w:ascii="Times New Roman" w:cs="Times New Roman" w:eastAsia="Times New Roman" w:hAnsi="Times New Roman"/>
          <w:sz w:val="18"/>
          <w:szCs w:val="18"/>
          <w:color w:val="auto"/>
        </w:rPr>
        <w:t>in each case, to satisfy certain tax obligations with respect to such awards or other equity issuances contemplated by clauses (x) and (y), or shares owing by the applicable employee, and</w:t>
      </w:r>
    </w:p>
    <w:p>
      <w:pPr>
        <w:spacing w:after="0" w:line="162" w:lineRule="exact"/>
        <w:rPr>
          <w:sz w:val="20"/>
          <w:szCs w:val="20"/>
          <w:color w:val="auto"/>
        </w:rPr>
      </w:pPr>
    </w:p>
    <w:p>
      <w:pPr>
        <w:ind w:left="2600" w:firstLine="648"/>
        <w:spacing w:after="0" w:line="282" w:lineRule="auto"/>
        <w:tabs>
          <w:tab w:leader="none" w:pos="354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options or restricted stock grants granted to of the employees, directors, officers or consultants under equity incentive plans to be repurchased upon the departure or other termination of service,</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provided that</w:t>
      </w:r>
    </w:p>
    <w:p>
      <w:pPr>
        <w:spacing w:after="0" w:line="225" w:lineRule="exact"/>
        <w:rPr>
          <w:sz w:val="20"/>
          <w:szCs w:val="20"/>
          <w:color w:val="auto"/>
        </w:rPr>
      </w:pPr>
    </w:p>
    <w:p>
      <w:pPr>
        <w:ind w:left="2600" w:right="20"/>
        <w:spacing w:after="0" w:line="282" w:lineRule="auto"/>
        <w:tabs>
          <w:tab w:leader="none" w:pos="283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cash amount paid in connection with such repurchases described in </w:t>
      </w:r>
      <w:r>
        <w:rPr>
          <w:rFonts w:ascii="Times New Roman" w:cs="Times New Roman" w:eastAsia="Times New Roman" w:hAnsi="Times New Roman"/>
          <w:sz w:val="18"/>
          <w:szCs w:val="18"/>
          <w:u w:val="single" w:color="auto"/>
          <w:color w:val="auto"/>
        </w:rPr>
        <w:t>clauses (A) and (B)</w:t>
      </w:r>
      <w:r>
        <w:rPr>
          <w:rFonts w:ascii="Times New Roman" w:cs="Times New Roman" w:eastAsia="Times New Roman" w:hAnsi="Times New Roman"/>
          <w:sz w:val="18"/>
          <w:szCs w:val="18"/>
          <w:color w:val="auto"/>
        </w:rPr>
        <w:t xml:space="preserve"> shall not, during any consecutive twelve (12) month period, exceed $2,500,000, and</w:t>
      </w:r>
    </w:p>
    <w:p>
      <w:pPr>
        <w:sectPr>
          <w:pgSz w:w="11900" w:h="16838" w:orient="portrait"/>
          <w:cols w:equalWidth="0" w:num="1">
            <w:col w:w="11240"/>
          </w:cols>
          <w:pgMar w:left="320" w:top="117"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860" w:hanging="260"/>
        <w:spacing w:after="0"/>
        <w:tabs>
          <w:tab w:leader="none" w:pos="28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or result from such repurchase or other retirement of shares,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u w:val="single" w:color="auto"/>
          <w:color w:val="auto"/>
        </w:rPr>
        <w:t xml:space="preserve">Exhibit C </w:t>
      </w:r>
      <w:r>
        <w:rPr>
          <w:rFonts w:ascii="Times New Roman" w:cs="Times New Roman" w:eastAsia="Times New Roman" w:hAnsi="Times New Roman"/>
          <w:sz w:val="18"/>
          <w:szCs w:val="18"/>
          <w:color w:val="auto"/>
        </w:rPr>
        <w:t>to the Agreement is hereby amended and restated as set forth in</w:t>
      </w:r>
      <w:r>
        <w:rPr>
          <w:rFonts w:ascii="Times New Roman" w:cs="Times New Roman" w:eastAsia="Times New Roman" w:hAnsi="Times New Roman"/>
          <w:sz w:val="18"/>
          <w:szCs w:val="18"/>
          <w:u w:val="single" w:color="auto"/>
          <w:color w:val="auto"/>
        </w:rPr>
        <w:t xml:space="preserve"> Exhibit C </w:t>
      </w:r>
      <w:r>
        <w:rPr>
          <w:rFonts w:ascii="Times New Roman" w:cs="Times New Roman" w:eastAsia="Times New Roman" w:hAnsi="Times New Roman"/>
          <w:sz w:val="18"/>
          <w:szCs w:val="18"/>
          <w:color w:val="auto"/>
        </w:rPr>
        <w:t>attached hereto.</w:t>
      </w:r>
    </w:p>
    <w:p>
      <w:pPr>
        <w:spacing w:after="0" w:line="221"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Agent and Lender hereby agree to waive any Event of Default resulting from any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in effect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of this Amendment) resulting from the deemed repurchase of shares of common stock of Borrower Representative in connection with the net settlement of an equity incentive option granted to its executive officer and related cash payment of certain tax liabilities in connection therewith in November 2024 in an amount of 1,657,892 as disclosed to Agent as of the date of this Amendment (the “</w:t>
      </w:r>
      <w:r>
        <w:rPr>
          <w:rFonts w:ascii="Times New Roman" w:cs="Times New Roman" w:eastAsia="Times New Roman" w:hAnsi="Times New Roman"/>
          <w:sz w:val="18"/>
          <w:szCs w:val="18"/>
          <w:b w:val="1"/>
          <w:bCs w:val="1"/>
          <w:color w:val="auto"/>
        </w:rPr>
        <w:t>Specified Repurchase</w:t>
      </w:r>
      <w:r>
        <w:rPr>
          <w:rFonts w:ascii="Times New Roman" w:cs="Times New Roman" w:eastAsia="Times New Roman" w:hAnsi="Times New Roman"/>
          <w:sz w:val="18"/>
          <w:szCs w:val="18"/>
          <w:color w:val="auto"/>
        </w:rPr>
        <w:t xml:space="preserve">”), and the parties hereby agree that the amount of the Specified Repurchase shall be disregarded for purposes of determining the Permitted Repurchase Amount and, for the avoidance of doubt, available capacity under </w:t>
      </w:r>
      <w:r>
        <w:rPr>
          <w:rFonts w:ascii="Times New Roman" w:cs="Times New Roman" w:eastAsia="Times New Roman" w:hAnsi="Times New Roman"/>
          <w:sz w:val="18"/>
          <w:szCs w:val="18"/>
          <w:u w:val="single" w:color="auto"/>
          <w:color w:val="auto"/>
        </w:rPr>
        <w:t>Section 7.7(a)(vi)</w:t>
      </w:r>
      <w:r>
        <w:rPr>
          <w:rFonts w:ascii="Times New Roman" w:cs="Times New Roman" w:eastAsia="Times New Roman" w:hAnsi="Times New Roman"/>
          <w:sz w:val="18"/>
          <w:szCs w:val="18"/>
          <w:color w:val="auto"/>
        </w:rPr>
        <w:t>. The foregoing waiver shall be precisely limited as written and shall not be deemed to (a) be a consent to any amendment, waiver or modification of any other term or condition of any Loan Document except as expressly set forth herein, (b) create a course of dealing with respect to any future amendment, waiver, consent or other modification of any other term or condition of the Loan Documents (or with respect to any existing or future breach of the Loan Documents), or (c) otherwise prejudice any right or remedy which Secured Parties may now have or may have in the future under or in connection with any Loan Document.</w:t>
      </w:r>
    </w:p>
    <w:p>
      <w:pPr>
        <w:spacing w:after="0" w:line="185" w:lineRule="exact"/>
        <w:rPr>
          <w:rFonts w:ascii="Times New Roman" w:cs="Times New Roman" w:eastAsia="Times New Roman" w:hAnsi="Times New Roman"/>
          <w:sz w:val="18"/>
          <w:szCs w:val="18"/>
          <w:color w:val="auto"/>
        </w:rPr>
      </w:pPr>
    </w:p>
    <w:p>
      <w:pPr>
        <w:jc w:val="both"/>
        <w:ind w:firstLine="656"/>
        <w:spacing w:after="0" w:line="262" w:lineRule="auto"/>
        <w:tabs>
          <w:tab w:leader="none" w:pos="129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Each Borrower hereby acknowledges that the Obligations are due and owing as set forth in the Agreement without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recoupment, defense or counterclaim, in law or in equity, of any nature or kind. All security interests granted to Agent by Borrowers under any Loan Document is hereby reaffirmed by Borrowers and shall continue to secure the Obligations from the Closing Date. Except as expressly set forth herein, the terms of the Loan Documents remain in effect. This Amendment is a Loan Document.</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w:t>
      </w:r>
      <w:r>
        <w:rPr>
          <w:rFonts w:ascii="Times New Roman" w:cs="Times New Roman" w:eastAsia="Times New Roman" w:hAnsi="Times New Roman"/>
          <w:sz w:val="18"/>
          <w:szCs w:val="18"/>
          <w:color w:val="auto"/>
        </w:rPr>
        <w:t>. To induce Agent and Lenders to enter into this Amendment, each Borrower hereby represents and warrants as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5.1 The representations and warranties contained in the Agreement and the other Loan Documents are true and correct in all material respects as of the date of this Amendment (except for such representations and warranties referring to another date, which representations and warranties are true and correct in all material respects as of such date), provided that the Perfection Certificate is hereby amended and restated as set forth in the Schedule hereto.</w:t>
      </w:r>
    </w:p>
    <w:p>
      <w:pPr>
        <w:spacing w:after="0" w:line="18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No Event of Default has occurred or presently exists.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5.3 Each Borrower has the power and authority to execute and deliver this Amendment and to perform its obligations under the Agreement, as amended by this Amendment.</w:t>
      </w:r>
    </w:p>
    <w:p>
      <w:pPr>
        <w:spacing w:after="0" w:line="162"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5.4 The execution and delivery by each Borrower of this Amendment and the performance by such Borrower of its obligations under the Agreement (a) have been duly authorized by all necessary action on the part of such Borrower, and (b) will not contravene (i) any law or regulation binding on or affecting such Borrower, (ii) any contractual restriction with a Person binding on such Borrower, (iii) any order, judgment or decree of any court or other governmental or public body or authority, or subdivision thereof, binding on such Borrower, or (iv) the Operating Documents of such Borrower.</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5.5 The execution and delivery by each Borrower of this Amendment and the performance by such Borrower of its obligations under the Agreement, as amended by this Amendment, do not require any order, consent, approval, license, authorization or validation of, or filing, recording or registration with, or exemption by, any governmental or public body or authority, or subdivision thereof, binding on such Borrower, except as already has been obtained or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656"/>
        <w:spacing w:after="0" w:line="262" w:lineRule="auto"/>
        <w:tabs>
          <w:tab w:leader="none" w:pos="129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 Electronic Execution of Documents</w:t>
      </w:r>
      <w:r>
        <w:rPr>
          <w:rFonts w:ascii="Times New Roman" w:cs="Times New Roman" w:eastAsia="Times New Roman" w:hAnsi="Times New Roman"/>
          <w:sz w:val="18"/>
          <w:szCs w:val="18"/>
          <w:color w:val="auto"/>
        </w:rPr>
        <w:t>. This Amendment may be executed in any number of counterparts and by different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on separate counterparts, each of which, when executed and delivered, is an original, and all taken together, constitute one Agreement. Delivery of an executed counterpart of a signature page of this Amendment or any document delivered in connection therewith by electronic means including by email delivery of a “.pdf” format data file shall be effective as delivery of an original executed counterpart thereof.</w:t>
      </w:r>
    </w:p>
    <w:p>
      <w:pPr>
        <w:spacing w:after="0" w:line="17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This Amendment shall be effective upon due execution and delivery of this Amendment by the parties hereto.</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Borrowers shall pay all Lender Expenses incurred in connection with this Amendment upon demand.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right="560" w:hanging="173"/>
        <w:spacing w:after="0" w:line="532" w:lineRule="auto"/>
        <w:rPr>
          <w:sz w:val="20"/>
          <w:szCs w:val="20"/>
          <w:color w:val="auto"/>
        </w:rPr>
      </w:pPr>
      <w:r>
        <w:rPr>
          <w:rFonts w:ascii="Times New Roman" w:cs="Times New Roman" w:eastAsia="Times New Roman" w:hAnsi="Times New Roman"/>
          <w:sz w:val="18"/>
          <w:szCs w:val="18"/>
          <w:color w:val="auto"/>
        </w:rPr>
        <w:t>[SIGNATURE PAGE TO THIRD AMENDMENT TO SECOND AMENDED AND RESTATED LOAN AND SECURITY AGREEMENT] IN WITNESS WHEREOF, the undersigned have executed this Amendment as of the first date above written.</w:t>
      </w:r>
    </w:p>
    <w:p>
      <w:pPr>
        <w:spacing w:after="0" w:line="16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EXPENSIFY, INC.</w:t>
      </w:r>
    </w:p>
    <w:p>
      <w:pPr>
        <w:spacing w:after="0" w:line="200" w:lineRule="exact"/>
        <w:rPr>
          <w:sz w:val="20"/>
          <w:szCs w:val="20"/>
          <w:color w:val="auto"/>
        </w:rPr>
      </w:pPr>
    </w:p>
    <w:p>
      <w:pPr>
        <w:spacing w:after="0" w:line="241" w:lineRule="exact"/>
        <w:rPr>
          <w:sz w:val="20"/>
          <w:szCs w:val="20"/>
          <w:color w:val="auto"/>
        </w:rPr>
      </w:pPr>
    </w:p>
    <w:p>
      <w:pPr>
        <w:ind w:left="3340"/>
        <w:spacing w:after="0"/>
        <w:tabs>
          <w:tab w:leader="none" w:pos="3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-7620</wp:posOffset>
            </wp:positionV>
            <wp:extent cx="9010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20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Name: Ryan Schaffer</w:t>
      </w:r>
    </w:p>
    <w:p>
      <w:pPr>
        <w:spacing w:after="0" w:line="2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u w:val="single" w:color="auto"/>
          <w:color w:val="auto"/>
        </w:rPr>
        <w:t>ADMINISTRATIVE AGENT AND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CANADIAN IMPERIAL BANK OF COMMERCE</w:t>
      </w:r>
    </w:p>
    <w:p>
      <w:pPr>
        <w:spacing w:after="0" w:line="200" w:lineRule="exact"/>
        <w:rPr>
          <w:sz w:val="20"/>
          <w:szCs w:val="20"/>
          <w:color w:val="auto"/>
        </w:rPr>
      </w:pPr>
    </w:p>
    <w:p>
      <w:pPr>
        <w:spacing w:after="0" w:line="241" w:lineRule="exact"/>
        <w:rPr>
          <w:sz w:val="20"/>
          <w:szCs w:val="20"/>
          <w:color w:val="auto"/>
        </w:rPr>
      </w:pPr>
    </w:p>
    <w:p>
      <w:pPr>
        <w:ind w:left="3340"/>
        <w:spacing w:after="0"/>
        <w:tabs>
          <w:tab w:leader="none" w:pos="3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-7620</wp:posOffset>
            </wp:positionV>
            <wp:extent cx="6915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20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Name: Ian Curry</w:t>
      </w:r>
    </w:p>
    <w:p>
      <w:pPr>
        <w:spacing w:after="0" w:line="2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3" w:lineRule="exact"/>
        <w:rPr>
          <w:sz w:val="20"/>
          <w:szCs w:val="20"/>
          <w:color w:val="auto"/>
        </w:rPr>
      </w:pPr>
    </w:p>
    <w:p>
      <w:pPr>
        <w:ind w:left="3340"/>
        <w:spacing w:after="0"/>
        <w:tabs>
          <w:tab w:leader="none" w:pos="3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Joshua 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-7620</wp:posOffset>
            </wp:positionV>
            <wp:extent cx="7918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Name: Joshua Tam</w:t>
      </w:r>
    </w:p>
    <w:p>
      <w:pPr>
        <w:spacing w:after="0" w:line="2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680"/>
          </w:cols>
          <w:pgMar w:left="880" w:top="117"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COMPLIANCE CERTIFICATE</w:t>
      </w:r>
    </w:p>
    <w:p>
      <w:pPr>
        <w:sectPr>
          <w:pgSz w:w="11900" w:h="16838" w:orient="portrait"/>
          <w:cols w:equalWidth="0" w:num="1">
            <w:col w:w="10120"/>
          </w:cols>
          <w:pgMar w:left="1440" w:top="117"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u w:val="single" w:color="auto"/>
          <w:color w:val="auto"/>
        </w:rPr>
        <w:t>APPENDIX 1</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FINANCIAL COVENANT CALCULATIONS</w:t>
      </w:r>
    </w:p>
    <w:p>
      <w:pPr>
        <w:sectPr>
          <w:pgSz w:w="11900" w:h="16838" w:orient="portrait"/>
          <w:cols w:equalWidth="0" w:num="1">
            <w:col w:w="10120"/>
          </w:cols>
          <w:pgMar w:left="1440" w:top="117" w:right="339" w:bottom="1440" w:gutter="0" w:footer="0" w:header="0"/>
        </w:sectPr>
      </w:pPr>
    </w:p>
    <w:bookmarkStart w:id="219" w:name="page220"/>
    <w:bookmarkEnd w:id="219"/>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Compliance Policy and Procedures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Expensify, Inc.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result in dismissal from the 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Persons Covered and Administration of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Insider Trading Compliance Policy and Procedures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applies to all officers, directors, contractors, consultants and employees of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Officers, directors, contractors, consultants and employees, together with any other person designated as being subject to this Policy by the Chief Compliance Officer or his or her designee (the “</w:t>
      </w:r>
      <w:r>
        <w:rPr>
          <w:rFonts w:ascii="Times New Roman" w:cs="Times New Roman" w:eastAsia="Times New Roman" w:hAnsi="Times New Roman"/>
          <w:sz w:val="18"/>
          <w:szCs w:val="18"/>
          <w:u w:val="single" w:color="auto"/>
          <w:color w:val="auto"/>
        </w:rPr>
        <w:t>Compliance Officer</w:t>
      </w:r>
      <w:r>
        <w:rPr>
          <w:rFonts w:ascii="Times New Roman" w:cs="Times New Roman" w:eastAsia="Times New Roman" w:hAnsi="Times New Roman"/>
          <w:sz w:val="18"/>
          <w:szCs w:val="18"/>
          <w:color w:val="auto"/>
        </w:rPr>
        <w:t>”), are referred to collectively as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Questions regarding the Policy should be directed to the Compliance Officer, who is responsible for the administration of this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Policy Statement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stocks, bonds, notes, debentures, options, warrants, equity and other convertible securities, as well as derivative instruments.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broadly under the federal securities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not only the actual purchase of a security,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also any contract to purchase or otherwise acquire a security.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laws and regulations concerning insider trading are complex, and Covered Persons are encouraged to seek guidance from the Compliance Officer prior to considering a transaction in Company securities or if you have any questions regarding this Policy. While you are encouraged to consult with the Compliance Officer, you should be aware that the Compliance Officer cannot provide you with personal legal advice, and the Compliance Officer’s approval is not a legal opinion that a transaction is lawful.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Blackout Periods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director, officer, or individual on a list to be designated by the Compliance Officer, as amended from time to time by the Board of Directors, the Chief Executive Officer or the Compliance Officer, (as well as any individual or entity covered by this Policy by virtue of their relationship to such director, officer or listed person) shall purchase or sell any security of the Company during the period beginning on the 1st calendar day following the end of any fiscal quarter of the Company and ending after completion of the second full trading day after the public release of earnings data for such fiscal quarter or during any other trading suspension period declared by the Company, such period, a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whether or not the Company is or any of its officers, directors, contractors, consultants or employees are in possession of material nonpublic information. A “trading day” is a day on which U.S. national stock exchanges are open for trading. If, for example, the Company were to make an announcement on Monday </w:t>
      </w:r>
      <w:r>
        <w:rPr>
          <w:rFonts w:ascii="Times New Roman" w:cs="Times New Roman" w:eastAsia="Times New Roman" w:hAnsi="Times New Roman"/>
          <w:sz w:val="18"/>
          <w:szCs w:val="18"/>
          <w:i w:val="1"/>
          <w:iCs w:val="1"/>
          <w:color w:val="auto"/>
        </w:rPr>
        <w:t>prior</w:t>
      </w:r>
      <w:r>
        <w:rPr>
          <w:rFonts w:ascii="Times New Roman" w:cs="Times New Roman" w:eastAsia="Times New Roman" w:hAnsi="Times New Roman"/>
          <w:sz w:val="18"/>
          <w:szCs w:val="18"/>
          <w:color w:val="auto"/>
        </w:rPr>
        <w:t xml:space="preserve"> to 9:30 a.m. Eastern Time, then the blackout period would terminate </w:t>
      </w:r>
      <w:r>
        <w:rPr>
          <w:rFonts w:ascii="Times New Roman" w:cs="Times New Roman" w:eastAsia="Times New Roman" w:hAnsi="Times New Roman"/>
          <w:sz w:val="18"/>
          <w:szCs w:val="18"/>
          <w:i w:val="1"/>
          <w:iCs w:val="1"/>
          <w:color w:val="auto"/>
        </w:rPr>
        <w:t>after</w:t>
      </w:r>
      <w:r>
        <w:rPr>
          <w:rFonts w:ascii="Times New Roman" w:cs="Times New Roman" w:eastAsia="Times New Roman" w:hAnsi="Times New Roman"/>
          <w:sz w:val="18"/>
          <w:szCs w:val="18"/>
          <w:color w:val="auto"/>
        </w:rPr>
        <w:t xml:space="preserve"> the close of trading on Tuesday. If an announcement were made on Monday after 9:30 a.m. Eastern Time, then the blackout period would terminate after the close of trading on Wednesday. If you have any question as to whether information is publicly available, please direct an inquiry to the Compliance Officer.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prohibitions do not apply to:</w:t>
      </w:r>
    </w:p>
    <w:p>
      <w:pPr>
        <w:spacing w:after="0" w:line="212" w:lineRule="exact"/>
        <w:rPr>
          <w:sz w:val="20"/>
          <w:szCs w:val="20"/>
          <w:color w:val="auto"/>
        </w:rPr>
      </w:pPr>
    </w:p>
    <w:p>
      <w:pPr>
        <w:ind w:left="1300" w:hanging="64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securities from the Company, or sales of the Company’s securities to the Company;</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23" w:lineRule="auto"/>
        <w:tabs>
          <w:tab w:leader="none" w:pos="12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of restricted stock units and settlement of such units in shares of the Company’s stock;</w:t>
      </w:r>
    </w:p>
    <w:p>
      <w:pPr>
        <w:spacing w:after="0" w:line="182" w:lineRule="exact"/>
        <w:rPr>
          <w:rFonts w:ascii="Times New Roman" w:cs="Times New Roman" w:eastAsia="Times New Roman" w:hAnsi="Times New Roman"/>
          <w:sz w:val="18"/>
          <w:szCs w:val="18"/>
          <w:color w:val="auto"/>
        </w:rPr>
      </w:pPr>
    </w:p>
    <w:p>
      <w:pPr>
        <w:ind w:left="1300" w:hanging="644"/>
        <w:spacing w:after="0" w:line="253" w:lineRule="auto"/>
        <w:tabs>
          <w:tab w:leader="none" w:pos="12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of the Company’s securities, unless the individual making the gift knows, or is reckless in not knowing, the recipient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intends to sell the securities while the donor is in possession of material nonpublic information about the Company; or</w:t>
      </w:r>
    </w:p>
    <w:p>
      <w:pPr>
        <w:spacing w:after="0" w:line="146" w:lineRule="exact"/>
        <w:rPr>
          <w:rFonts w:ascii="Times New Roman" w:cs="Times New Roman" w:eastAsia="Times New Roman" w:hAnsi="Times New Roman"/>
          <w:sz w:val="18"/>
          <w:szCs w:val="18"/>
          <w:color w:val="auto"/>
        </w:rPr>
      </w:pPr>
    </w:p>
    <w:p>
      <w:pPr>
        <w:ind w:left="1300" w:hanging="644"/>
        <w:spacing w:after="0" w:line="237" w:lineRule="auto"/>
        <w:tabs>
          <w:tab w:leader="none" w:pos="129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the Company’s securities made pursuant to a plan adopted to comply with the Exchange Act Rule 10b5-1 (“</w:t>
      </w:r>
      <w:r>
        <w:rPr>
          <w:rFonts w:ascii="Times New Roman" w:cs="Times New Roman" w:eastAsia="Times New Roman" w:hAnsi="Times New Roman"/>
          <w:sz w:val="18"/>
          <w:szCs w:val="18"/>
          <w:u w:val="single" w:color="auto"/>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10b5-1</w:t>
      </w:r>
      <w:r>
        <w:rPr>
          <w:rFonts w:ascii="Times New Roman" w:cs="Times New Roman" w:eastAsia="Times New Roman" w:hAnsi="Times New Roman"/>
          <w:sz w:val="18"/>
          <w:szCs w:val="18"/>
          <w:color w:val="auto"/>
        </w:rPr>
        <w:t>”); or</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 a non-Rule 10b5-1 trading arrangement as defined in Item 408(c) of Regulation S-K.</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Exceptions to the blackout period policy may be approved by the Compliance Officer or, in the case of an exception for the Compliance Officer (or persons or entities subject to this Policy as a result of their relationship with the Compliance Officer), the Chief Executive Officer or, in the case of exceptions for directors (or persons or entities subject to this Policy as a result of their relationship with a director), the Audit Committee.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Compliance Officer, the Board of Directors or the Company’s Audit Committee may recommend that directors, officers, contractors, consultants, employees or others suspend trading in Company securities because of developments that have not yet been disclosed to the public. Subject to the exceptions noted above, all of those individuals affected should not trade in the Company’s securities while the suspension is in effect, and should not disclose to others that the Company has suspended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7"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Preclearance of Trades by Directors, Officers and Employees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Directors, officers, and individuals on a list to be designated by the Compliance Officer, as amended from time to time by the Board of Directors, the Chief Executive Officer or the Compliance Officer (each, a “</w:t>
      </w:r>
      <w:r>
        <w:rPr>
          <w:rFonts w:ascii="Times New Roman" w:cs="Times New Roman" w:eastAsia="Times New Roman" w:hAnsi="Times New Roman"/>
          <w:sz w:val="18"/>
          <w:szCs w:val="18"/>
          <w:u w:val="single" w:color="auto"/>
          <w:color w:val="auto"/>
        </w:rPr>
        <w:t>Preclearance Person</w:t>
      </w:r>
      <w:r>
        <w:rPr>
          <w:rFonts w:ascii="Times New Roman" w:cs="Times New Roman" w:eastAsia="Times New Roman" w:hAnsi="Times New Roman"/>
          <w:sz w:val="18"/>
          <w:szCs w:val="18"/>
          <w:color w:val="auto"/>
        </w:rPr>
        <w:t>”), must be precleared by the Compliance Officer, or the Chief Executive Officer for transactions by the Compliance Officer. Preclearance should not be understood to represent legal advice by the company that a proposed transaction complies with the law.</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request for preclearance must be in writing (including without limitation by e-mail), should be made at least two business days in advance of the proposed transaction, and should include the identity of the Preclearance Person, a description of the proposed transaction, the proposed date of the transaction, and the number of shares, options or other securities involved. In addition, the Preclearance Person must execute a certification that he or she is not aware of material nonpublic information about the Company. The Compliance Officer, or the Chief Executive Officer for transactions by the Compliance Officer, shall have sole discretion to decide whether to clear any contemplated transaction. 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approved Rule 10b5-1 plan or a previously approved non-Rule 10b5-1 trading agreement are not subject to further preclearance.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 the Compliance Officer, the Chief Executive Officer or the Company’s other employees will have any liability for any delay in reviewing, or refusal of, a request for preclearance.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Nonpublic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Information is considered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Examples of material information may include (but are not limited to) information about:</w:t>
      </w:r>
    </w:p>
    <w:p>
      <w:pPr>
        <w:spacing w:after="0" w:line="225" w:lineRule="exact"/>
        <w:rPr>
          <w:sz w:val="20"/>
          <w:szCs w:val="20"/>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earnings or earnings forecasts;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mergers, acquisitions, tender offers, or dispositions;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products or product developments;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business developments, such as developments regarding strategic collaborations;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or control changes;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financing developments including pending public sales or offerings of debt or equity securities;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borrowings;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7"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80" w:hanging="324"/>
        <w:spacing w:after="0" w:line="282" w:lineRule="auto"/>
        <w:tabs>
          <w:tab w:leader="none" w:pos="97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breaches or cybersecurity incidents (including any such breaches or incidents relating to third-party information technology infrastructure);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regulatory actions and developments.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Information is “</w:t>
      </w:r>
      <w:r>
        <w:rPr>
          <w:rFonts w:ascii="Times New Roman" w:cs="Times New Roman" w:eastAsia="Times New Roman" w:hAnsi="Times New Roman"/>
          <w:sz w:val="18"/>
          <w:szCs w:val="18"/>
          <w:u w:val="single" w:color="auto"/>
          <w:color w:val="auto"/>
        </w:rPr>
        <w:t>nonpublic</w:t>
      </w:r>
      <w:r>
        <w:rPr>
          <w:rFonts w:ascii="Times New Roman" w:cs="Times New Roman" w:eastAsia="Times New Roman" w:hAnsi="Times New Roman"/>
          <w:sz w:val="18"/>
          <w:szCs w:val="18"/>
          <w:color w:val="auto"/>
        </w:rPr>
        <w:t>” if it is not available to the general public. In order for information to be considered “</w:t>
      </w:r>
      <w:r>
        <w:rPr>
          <w:rFonts w:ascii="Times New Roman" w:cs="Times New Roman" w:eastAsia="Times New Roman" w:hAnsi="Times New Roman"/>
          <w:sz w:val="18"/>
          <w:szCs w:val="18"/>
          <w:u w:val="single" w:color="auto"/>
          <w:color w:val="auto"/>
        </w:rPr>
        <w:t>public</w:t>
      </w:r>
      <w:r>
        <w:rPr>
          <w:rFonts w:ascii="Times New Roman" w:cs="Times New Roman" w:eastAsia="Times New Roman" w:hAnsi="Times New Roman"/>
          <w:sz w:val="18"/>
          <w:szCs w:val="18"/>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a Regulation FD-compliant conference call. The Compliance Officer shall have sole discretion to decide whether information is public for purposes of this Policy.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circulation of rumors, even if accurate and reported in the media, does not constitute public dissemination. Similarly, information would not be considered widely disseminated if it is available only to Company employees.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Post-Termination Transactions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an individual is in possession of material nonpublic information when the individual’s service terminates, the individual may not trade in the Company’s securities until that information has become public or is no longer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Prohibited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Transactions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7"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rewards of ownership. When that occurs, the Covered Person may no longer have the same objectives as the Company’s other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Margin Accounts and Pledging</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 An exception to this prohibition may be granted where you wish to pledge the Company’s securities as collateral for a loan (not including margin debt) and clearly demonstrate the financial capacity to repay the loan without resort to the pledged securities. If you wish to pledge the Company’s securities as collateral for a loan, you must submit a request for approval to the Compliance Officer at least two (2) weeks prior to the proposed execution of documents evidencing the proposed pledge. An exception to this prohibition may also be granted with the approval of the full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 Distributions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Rule 10b5-1 Trading Plans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restrictions set forth in this Policy, other than those transactions described under “</w:t>
      </w:r>
      <w:r>
        <w:rPr>
          <w:rFonts w:ascii="Times New Roman" w:cs="Times New Roman" w:eastAsia="Times New Roman" w:hAnsi="Times New Roman"/>
          <w:sz w:val="18"/>
          <w:szCs w:val="18"/>
          <w:u w:val="single" w:color="auto"/>
          <w:color w:val="auto"/>
        </w:rPr>
        <w:t>Prohibited Transactions</w:t>
      </w:r>
      <w:r>
        <w:rPr>
          <w:rFonts w:ascii="Times New Roman" w:cs="Times New Roman" w:eastAsia="Times New Roman" w:hAnsi="Times New Roman"/>
          <w:sz w:val="18"/>
          <w:szCs w:val="18"/>
          <w:color w:val="auto"/>
        </w:rPr>
        <w:t>,” do not apply to (1) transactions under a previously established contract, plan or instruction to trade in the Company’s securities that satisfies the elements of a non-Rule 10b5-1 trading arrangement (as defined in Item 408(c) of Regulation S-K) (a “</w:t>
      </w:r>
      <w:r>
        <w:rPr>
          <w:rFonts w:ascii="Times New Roman" w:cs="Times New Roman" w:eastAsia="Times New Roman" w:hAnsi="Times New Roman"/>
          <w:sz w:val="18"/>
          <w:szCs w:val="18"/>
          <w:u w:val="single" w:color="auto"/>
          <w:color w:val="auto"/>
        </w:rPr>
        <w:t>Trading Arrangement</w:t>
      </w:r>
      <w:r>
        <w:rPr>
          <w:rFonts w:ascii="Times New Roman" w:cs="Times New Roman" w:eastAsia="Times New Roman" w:hAnsi="Times New Roman"/>
          <w:sz w:val="18"/>
          <w:szCs w:val="18"/>
          <w:color w:val="auto"/>
        </w:rPr>
        <w:t>”) that has been submitted to and preapproved by the Compliance Officer or (2) transactions under a previously established contract, plan or instruction to trade in the Company’s securities entered into in accordance with Rule 10b5-1 (a “</w:t>
      </w:r>
      <w:r>
        <w:rPr>
          <w:rFonts w:ascii="Times New Roman" w:cs="Times New Roman" w:eastAsia="Times New Roman" w:hAnsi="Times New Roman"/>
          <w:sz w:val="18"/>
          <w:szCs w:val="18"/>
          <w:u w:val="single" w:color="auto"/>
          <w:color w:val="auto"/>
        </w:rPr>
        <w:t>Trading Plan</w:t>
      </w:r>
      <w:r>
        <w:rPr>
          <w:rFonts w:ascii="Times New Roman" w:cs="Times New Roman" w:eastAsia="Times New Roman" w:hAnsi="Times New Roman"/>
          <w:sz w:val="18"/>
          <w:szCs w:val="18"/>
          <w:color w:val="auto"/>
        </w:rPr>
        <w:t>”) that:</w:t>
      </w:r>
    </w:p>
    <w:p>
      <w:pPr>
        <w:spacing w:after="0" w:line="183"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submitted to and preapproved by the Compliance Officer;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“Cooling Off Period” for</w:t>
      </w:r>
    </w:p>
    <w:p>
      <w:pPr>
        <w:spacing w:after="0" w:line="225" w:lineRule="exact"/>
        <w:rPr>
          <w:sz w:val="20"/>
          <w:szCs w:val="20"/>
          <w:color w:val="auto"/>
        </w:rPr>
      </w:pPr>
    </w:p>
    <w:p>
      <w:pPr>
        <w:jc w:val="both"/>
        <w:ind w:left="1960" w:hanging="332"/>
        <w:spacing w:after="0" w:line="266" w:lineRule="auto"/>
        <w:tabs>
          <w:tab w:leader="none" w:pos="1955"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spacing w:after="0" w:line="175" w:lineRule="exact"/>
        <w:rPr>
          <w:rFonts w:ascii="Times New Roman" w:cs="Times New Roman" w:eastAsia="Times New Roman" w:hAnsi="Times New Roman"/>
          <w:sz w:val="18"/>
          <w:szCs w:val="18"/>
          <w:color w:val="auto"/>
        </w:rPr>
      </w:pPr>
    </w:p>
    <w:p>
      <w:pPr>
        <w:ind w:left="1960" w:hanging="332"/>
        <w:spacing w:after="0" w:line="282" w:lineRule="auto"/>
        <w:tabs>
          <w:tab w:leader="none" w:pos="1955"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and any other persons, other than the Company, that extends 30 days after adoption or modification of a Trading Plan;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7"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1300" w:hanging="644"/>
        <w:spacing w:after="0" w:line="266" w:lineRule="auto"/>
        <w:tabs>
          <w:tab w:leader="none" w:pos="12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all other applicable requirements of Rule 10b5-1.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Compliance Officer may impose such other conditions on the implementation and operation of the Trading Plan or the Trading Arrangement as the Compliance Officer deems necessary or advisable. Individuals may not adopt more than one Trading Plan at a time except under the limited circumstances permitted by Rule 10b5-1 and subject to preapproval by the Compliance Officer.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individual may only modify a Trading Plan or Trading Arrangement outside of a blackout period and, in any event, when the individual does not possess material nonpublic information. Modifications to and terminations of a Trading Plan and Trading Arrangements are subject to preapproval by the Compliance Officer and modifications of a Trading Plan that change the amount, price, or timing of the purchase or sale of the securities underlying a Trading Plan will trigger a new Cooling-Off Period.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reserves the right to publicly disclose, announce, or respond to inquiries from the media regarding the adoption, modification, or termination of a Trading Plan and Trading Arrangements, or the execution of transactions made under a Trading Plan or Trading Arrangements. The Company also reserves the right from time to time to suspend, discontinue, or otherwise prohibit transactions under a Trading Plan or Trading Arrangement if the Compliance Officer or the Board of Directors, in its discretion, determines that such suspension, discontinuation, or other prohibition is in the best interests of the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Compliance of a Trading Plan with the requirements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 Amendment, and Implementation of this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Actions taken by the Company, the Compliance Officer, or any other Company personnel do not constitute legal advice, nor do they insulate you from the consequences of noncompliance with this Policy or with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Compliance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directors, officers, employees and others subject to this Policy may be asked periodically to certify their compliance with the terms and provisions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7"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Subsidiaries of the Registrant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Expensify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Expensify Australia Pty Ltd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Expensify Canada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Expensify Netherlands B.V.</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 SW 5th Ave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Expensify Payments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Expensify Lounge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Fifth &amp; Harvey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Damasko LLC</w:t>
      </w:r>
    </w:p>
    <w:p>
      <w:pPr>
        <w:sectPr>
          <w:pgSz w:w="11900" w:h="16838" w:orient="portrait"/>
          <w:cols w:equalWidth="0" w:num="1">
            <w:col w:w="11240"/>
          </w:cols>
          <w:pgMar w:left="320" w:top="117"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43" w:lineRule="exact"/>
        <w:rPr>
          <w:sz w:val="20"/>
          <w:szCs w:val="20"/>
          <w:color w:val="auto"/>
        </w:rPr>
      </w:pPr>
    </w:p>
    <w:p>
      <w:pPr>
        <w:ind w:left="660" w:hanging="328"/>
        <w:spacing w:after="0" w:line="255" w:lineRule="auto"/>
        <w:tabs>
          <w:tab w:leader="none" w:pos="6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333-270371) pertaining to the Expensify, Inc. 2021 Incentive Award Plan and the Expensify, Inc. 2021 Stock Purchase and Matching Plan,</w:t>
      </w:r>
    </w:p>
    <w:p>
      <w:pPr>
        <w:spacing w:after="0" w:line="91" w:lineRule="exact"/>
        <w:rPr>
          <w:rFonts w:ascii="Times New Roman" w:cs="Times New Roman" w:eastAsia="Times New Roman" w:hAnsi="Times New Roman"/>
          <w:sz w:val="20"/>
          <w:szCs w:val="20"/>
          <w:color w:val="auto"/>
        </w:rPr>
      </w:pPr>
    </w:p>
    <w:p>
      <w:pPr>
        <w:jc w:val="both"/>
        <w:ind w:left="660" w:hanging="328"/>
        <w:spacing w:after="0" w:line="247" w:lineRule="auto"/>
        <w:tabs>
          <w:tab w:leader="none" w:pos="6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333-260933) pertaining to the Expensify, Inc. 2009 Stock Plan, the Expensify, Inc. 2019 Stock Plan, the Expensify, Inc. 2021 Incentive Award Plan, and the Expensify, Inc. 2021 Non-Qualified Employee Stock Purchase and Matching Plan, and</w:t>
      </w:r>
    </w:p>
    <w:p>
      <w:pPr>
        <w:spacing w:after="0" w:line="99"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333-260934) pertaining to the Expensify, Inc. 2009 Stock Plan and the Expensify, Inc. 2019 Stock Plan;</w:t>
      </w:r>
    </w:p>
    <w:p>
      <w:pPr>
        <w:spacing w:after="0" w:line="78"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of our reports dated February 27, 2025, with respect to the consolidated financial statements of Expensify, Inc. and the effectiveness of internal control over financial reporting of Expensify, Inc. included in this Annual Report (Form 10-K) of Expensify, Inc. for the year ended December 31,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1900" w:h="16838" w:orient="portrait"/>
          <w:cols w:equalWidth="0" w:num="1">
            <w:col w:w="11240"/>
          </w:cols>
          <w:pgMar w:left="320" w:top="117"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Expensify, Inc.;</w:t>
      </w:r>
    </w:p>
    <w:p>
      <w:pPr>
        <w:spacing w:after="0" w:line="144"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45" w:lineRule="auto"/>
        <w:tabs>
          <w:tab w:leader="none" w:pos="64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February 27, 2025</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Expensify, Inc.;</w:t>
      </w:r>
    </w:p>
    <w:p>
      <w:pPr>
        <w:spacing w:after="0" w:line="15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53"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1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February 27, 2025</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right="240" w:firstLine="208"/>
        <w:spacing w:after="0" w:line="268" w:lineRule="auto"/>
        <w:tabs>
          <w:tab w:leader="none" w:pos="5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2024,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February 27, 2025</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right="280" w:firstLine="208"/>
        <w:spacing w:after="0" w:line="268" w:lineRule="auto"/>
        <w:tabs>
          <w:tab w:leader="none" w:pos="5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2024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February 27, 2025</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72B14"/>
    <w:multiLevelType w:val="hybridMultilevel"/>
    <w:lvl w:ilvl="0">
      <w:lvlJc w:val="left"/>
      <w:lvlText w:val="☒"/>
      <w:numFmt w:val="bullet"/>
      <w:start w:val="1"/>
    </w:lvl>
  </w:abstractNum>
  <w:abstractNum w:abstractNumId="1">
    <w:nsid w:val="11447B73"/>
    <w:multiLevelType w:val="hybridMultilevel"/>
    <w:lvl w:ilvl="0">
      <w:lvlJc w:val="left"/>
      <w:lvlText w:val="☐"/>
      <w:numFmt w:val="bullet"/>
      <w:start w:val="1"/>
    </w:lvl>
  </w:abstractNum>
  <w:abstractNum w:abstractNumId="2">
    <w:nsid w:val="42963E5A"/>
    <w:multiLevelType w:val="hybridMultilevel"/>
    <w:lvl w:ilvl="0">
      <w:lvlJc w:val="left"/>
      <w:lvlText w:val="•"/>
      <w:numFmt w:val="bullet"/>
      <w:start w:val="1"/>
    </w:lvl>
  </w:abstractNum>
  <w:abstractNum w:abstractNumId="3">
    <w:nsid w:val="A0382C5"/>
    <w:multiLevelType w:val="hybridMultilevel"/>
    <w:lvl w:ilvl="0">
      <w:lvlJc w:val="left"/>
      <w:lvlText w:val="•"/>
      <w:numFmt w:val="bullet"/>
      <w:start w:val="1"/>
    </w:lvl>
  </w:abstractNum>
  <w:abstractNum w:abstractNumId="4">
    <w:nsid w:val="8F2B15E"/>
    <w:multiLevelType w:val="hybridMultilevel"/>
    <w:lvl w:ilvl="0">
      <w:lvlJc w:val="left"/>
      <w:lvlText w:val="•"/>
      <w:numFmt w:val="bullet"/>
      <w:start w:val="1"/>
    </w:lvl>
  </w:abstractNum>
  <w:abstractNum w:abstractNumId="5">
    <w:nsid w:val="1A32234B"/>
    <w:multiLevelType w:val="hybridMultilevel"/>
    <w:lvl w:ilvl="0">
      <w:lvlJc w:val="left"/>
      <w:lvlText w:val="•"/>
      <w:numFmt w:val="bullet"/>
      <w:start w:val="1"/>
    </w:lvl>
  </w:abstractNum>
  <w:abstractNum w:abstractNumId="6">
    <w:nsid w:val="3B0FD379"/>
    <w:multiLevelType w:val="hybridMultilevel"/>
    <w:lvl w:ilvl="0">
      <w:lvlJc w:val="left"/>
      <w:lvlText w:val="\endash "/>
      <w:numFmt w:val="bullet"/>
      <w:start w:val="1"/>
    </w:lvl>
  </w:abstractNum>
  <w:abstractNum w:abstractNumId="7">
    <w:nsid w:val="68EB2F63"/>
    <w:multiLevelType w:val="hybridMultilevel"/>
    <w:lvl w:ilvl="0">
      <w:lvlJc w:val="left"/>
      <w:lvlText w:val="•"/>
      <w:numFmt w:val="bullet"/>
      <w:start w:val="1"/>
    </w:lvl>
  </w:abstractNum>
  <w:abstractNum w:abstractNumId="8">
    <w:nsid w:val="4962813B"/>
    <w:multiLevelType w:val="hybridMultilevel"/>
    <w:lvl w:ilvl="0">
      <w:lvlJc w:val="left"/>
      <w:lvlText w:val="•"/>
      <w:numFmt w:val="bullet"/>
      <w:start w:val="1"/>
    </w:lvl>
  </w:abstractNum>
  <w:abstractNum w:abstractNumId="9">
    <w:nsid w:val="60B6DF70"/>
    <w:multiLevelType w:val="hybridMultilevel"/>
    <w:lvl w:ilvl="0">
      <w:lvlJc w:val="left"/>
      <w:lvlText w:val="•"/>
      <w:numFmt w:val="bullet"/>
      <w:start w:val="1"/>
    </w:lvl>
  </w:abstractNum>
  <w:abstractNum w:abstractNumId="10">
    <w:nsid w:val="6A5EE64"/>
    <w:multiLevelType w:val="hybridMultilevel"/>
    <w:lvl w:ilvl="0">
      <w:lvlJc w:val="left"/>
      <w:lvlText w:val="•"/>
      <w:numFmt w:val="bullet"/>
      <w:start w:val="1"/>
    </w:lvl>
  </w:abstractNum>
  <w:abstractNum w:abstractNumId="11">
    <w:nsid w:val="14330624"/>
    <w:multiLevelType w:val="hybridMultilevel"/>
    <w:lvl w:ilvl="0">
      <w:lvlJc w:val="left"/>
      <w:lvlText w:val="•"/>
      <w:numFmt w:val="bullet"/>
      <w:start w:val="1"/>
    </w:lvl>
  </w:abstractNum>
  <w:abstractNum w:abstractNumId="12">
    <w:nsid w:val="7FFFCA11"/>
    <w:multiLevelType w:val="hybridMultilevel"/>
    <w:lvl w:ilvl="0">
      <w:lvlJc w:val="left"/>
      <w:lvlText w:val="•"/>
      <w:numFmt w:val="bullet"/>
      <w:start w:val="1"/>
    </w:lvl>
    <w:lvl w:ilvl="1">
      <w:lvlJc w:val="left"/>
      <w:lvlText w:val="◦"/>
      <w:numFmt w:val="bullet"/>
      <w:start w:val="1"/>
    </w:lvl>
  </w:abstractNum>
  <w:abstractNum w:abstractNumId="13">
    <w:nsid w:val="1A27709E"/>
    <w:multiLevelType w:val="hybridMultilevel"/>
    <w:lvl w:ilvl="0">
      <w:lvlJc w:val="left"/>
      <w:lvlText w:val="•"/>
      <w:numFmt w:val="bullet"/>
      <w:start w:val="1"/>
    </w:lvl>
    <w:lvl w:ilvl="1">
      <w:lvlJc w:val="left"/>
      <w:lvlText w:val="◦"/>
      <w:numFmt w:val="bullet"/>
      <w:start w:val="1"/>
    </w:lvl>
  </w:abstractNum>
  <w:abstractNum w:abstractNumId="14">
    <w:nsid w:val="71EA1109"/>
    <w:multiLevelType w:val="hybridMultilevel"/>
    <w:lvl w:ilvl="0">
      <w:lvlJc w:val="left"/>
      <w:lvlText w:val="•"/>
      <w:numFmt w:val="bullet"/>
      <w:start w:val="1"/>
    </w:lvl>
  </w:abstractNum>
  <w:abstractNum w:abstractNumId="15">
    <w:nsid w:val="100F59DC"/>
    <w:multiLevelType w:val="hybridMultilevel"/>
    <w:lvl w:ilvl="0">
      <w:lvlJc w:val="left"/>
      <w:lvlText w:val="•"/>
      <w:numFmt w:val="bullet"/>
      <w:start w:val="1"/>
    </w:lvl>
  </w:abstractNum>
  <w:abstractNum w:abstractNumId="16">
    <w:nsid w:val="7FB7E0AA"/>
    <w:multiLevelType w:val="hybridMultilevel"/>
    <w:lvl w:ilvl="0">
      <w:lvlJc w:val="left"/>
      <w:lvlText w:val="•"/>
      <w:numFmt w:val="bullet"/>
      <w:start w:val="1"/>
    </w:lvl>
  </w:abstractNum>
  <w:abstractNum w:abstractNumId="17">
    <w:nsid w:val="6EB5BD4"/>
    <w:multiLevelType w:val="hybridMultilevel"/>
    <w:lvl w:ilvl="0">
      <w:lvlJc w:val="left"/>
      <w:lvlText w:val="•"/>
      <w:numFmt w:val="bullet"/>
      <w:start w:val="1"/>
    </w:lvl>
  </w:abstractNum>
  <w:abstractNum w:abstractNumId="18">
    <w:nsid w:val="6F6DD9AC"/>
    <w:multiLevelType w:val="hybridMultilevel"/>
    <w:lvl w:ilvl="0">
      <w:lvlJc w:val="left"/>
      <w:lvlText w:val="•"/>
      <w:numFmt w:val="bullet"/>
      <w:start w:val="1"/>
    </w:lvl>
  </w:abstractNum>
  <w:abstractNum w:abstractNumId="19">
    <w:nsid w:val="94211F2"/>
    <w:multiLevelType w:val="hybridMultilevel"/>
    <w:lvl w:ilvl="0">
      <w:lvlJc w:val="left"/>
      <w:lvlText w:val="•"/>
      <w:numFmt w:val="bullet"/>
      <w:start w:val="1"/>
    </w:lvl>
  </w:abstractNum>
  <w:abstractNum w:abstractNumId="20">
    <w:nsid w:val="885E1B"/>
    <w:multiLevelType w:val="hybridMultilevel"/>
    <w:lvl w:ilvl="0">
      <w:lvlJc w:val="left"/>
      <w:lvlText w:val="•"/>
      <w:numFmt w:val="bullet"/>
      <w:start w:val="1"/>
    </w:lvl>
  </w:abstractNum>
  <w:abstractNum w:abstractNumId="21">
    <w:nsid w:val="76272110"/>
    <w:multiLevelType w:val="hybridMultilevel"/>
    <w:lvl w:ilvl="0">
      <w:lvlJc w:val="left"/>
      <w:lvlText w:val="•"/>
      <w:numFmt w:val="bullet"/>
      <w:start w:val="1"/>
    </w:lvl>
  </w:abstractNum>
  <w:abstractNum w:abstractNumId="22">
    <w:nsid w:val="4C04A8AF"/>
    <w:multiLevelType w:val="hybridMultilevel"/>
    <w:lvl w:ilvl="0">
      <w:lvlJc w:val="left"/>
      <w:lvlText w:val="•"/>
      <w:numFmt w:val="bullet"/>
      <w:start w:val="1"/>
    </w:lvl>
  </w:abstractNum>
  <w:abstractNum w:abstractNumId="23">
    <w:nsid w:val="1716703B"/>
    <w:multiLevelType w:val="hybridMultilevel"/>
    <w:lvl w:ilvl="0">
      <w:lvlJc w:val="left"/>
      <w:lvlText w:val="•"/>
      <w:numFmt w:val="bullet"/>
      <w:start w:val="1"/>
    </w:lvl>
  </w:abstractNum>
  <w:abstractNum w:abstractNumId="24">
    <w:nsid w:val="14E17E33"/>
    <w:multiLevelType w:val="hybridMultilevel"/>
    <w:lvl w:ilvl="0">
      <w:lvlJc w:val="left"/>
      <w:lvlText w:val="•"/>
      <w:numFmt w:val="bullet"/>
      <w:start w:val="1"/>
    </w:lvl>
  </w:abstractNum>
  <w:abstractNum w:abstractNumId="25">
    <w:nsid w:val="3222E7CD"/>
    <w:multiLevelType w:val="hybridMultilevel"/>
    <w:lvl w:ilvl="0">
      <w:lvlJc w:val="left"/>
      <w:lvlText w:val="•"/>
      <w:numFmt w:val="bullet"/>
      <w:start w:val="1"/>
    </w:lvl>
  </w:abstractNum>
  <w:abstractNum w:abstractNumId="26">
    <w:nsid w:val="74DE0EE3"/>
    <w:multiLevelType w:val="hybridMultilevel"/>
    <w:lvl w:ilvl="0">
      <w:lvlJc w:val="left"/>
      <w:lvlText w:val="•"/>
      <w:numFmt w:val="bullet"/>
      <w:start w:val="1"/>
    </w:lvl>
  </w:abstractNum>
  <w:abstractNum w:abstractNumId="27">
    <w:nsid w:val="68EBC550"/>
    <w:multiLevelType w:val="hybridMultilevel"/>
    <w:lvl w:ilvl="0">
      <w:lvlJc w:val="left"/>
      <w:lvlText w:val="•"/>
      <w:numFmt w:val="bullet"/>
      <w:start w:val="1"/>
    </w:lvl>
  </w:abstractNum>
  <w:abstractNum w:abstractNumId="28">
    <w:nsid w:val="2DF6D648"/>
    <w:multiLevelType w:val="hybridMultilevel"/>
    <w:lvl w:ilvl="0">
      <w:lvlJc w:val="left"/>
      <w:lvlText w:val="•"/>
      <w:numFmt w:val="bullet"/>
      <w:start w:val="1"/>
    </w:lvl>
  </w:abstractNum>
  <w:abstractNum w:abstractNumId="29">
    <w:nsid w:val="46B7D447"/>
    <w:multiLevelType w:val="hybridMultilevel"/>
    <w:lvl w:ilvl="0">
      <w:lvlJc w:val="left"/>
      <w:lvlText w:val="•"/>
      <w:numFmt w:val="bullet"/>
      <w:start w:val="1"/>
    </w:lvl>
  </w:abstractNum>
  <w:abstractNum w:abstractNumId="30">
    <w:nsid w:val="4A2AC315"/>
    <w:multiLevelType w:val="hybridMultilevel"/>
    <w:lvl w:ilvl="0">
      <w:lvlJc w:val="left"/>
      <w:lvlText w:val="•"/>
      <w:numFmt w:val="bullet"/>
      <w:start w:val="1"/>
    </w:lvl>
  </w:abstractNum>
  <w:abstractNum w:abstractNumId="31">
    <w:nsid w:val="39EE015C"/>
    <w:multiLevelType w:val="hybridMultilevel"/>
    <w:lvl w:ilvl="0">
      <w:lvlJc w:val="left"/>
      <w:lvlText w:val="•"/>
      <w:numFmt w:val="bullet"/>
      <w:start w:val="1"/>
    </w:lvl>
  </w:abstractNum>
  <w:abstractNum w:abstractNumId="32">
    <w:nsid w:val="57FC4FBB"/>
    <w:multiLevelType w:val="hybridMultilevel"/>
    <w:lvl w:ilvl="0">
      <w:lvlJc w:val="left"/>
      <w:lvlText w:val="•"/>
      <w:numFmt w:val="bullet"/>
      <w:start w:val="1"/>
    </w:lvl>
  </w:abstractNum>
  <w:abstractNum w:abstractNumId="33">
    <w:nsid w:val="CC1016F"/>
    <w:multiLevelType w:val="hybridMultilevel"/>
    <w:lvl w:ilvl="0">
      <w:lvlJc w:val="left"/>
      <w:lvlText w:val="•"/>
      <w:numFmt w:val="bullet"/>
      <w:start w:val="1"/>
    </w:lvl>
  </w:abstractNum>
  <w:abstractNum w:abstractNumId="34">
    <w:nsid w:val="43F18422"/>
    <w:multiLevelType w:val="hybridMultilevel"/>
    <w:lvl w:ilvl="0">
      <w:lvlJc w:val="left"/>
      <w:lvlText w:val="•"/>
      <w:numFmt w:val="bullet"/>
      <w:start w:val="1"/>
    </w:lvl>
  </w:abstractNum>
  <w:abstractNum w:abstractNumId="35">
    <w:nsid w:val="60EF0119"/>
    <w:multiLevelType w:val="hybridMultilevel"/>
    <w:lvl w:ilvl="0">
      <w:lvlJc w:val="left"/>
      <w:lvlText w:val="•"/>
      <w:numFmt w:val="bullet"/>
      <w:start w:val="1"/>
    </w:lvl>
  </w:abstractNum>
  <w:abstractNum w:abstractNumId="36">
    <w:nsid w:val="26F324BA"/>
    <w:multiLevelType w:val="hybridMultilevel"/>
    <w:lvl w:ilvl="0">
      <w:lvlJc w:val="left"/>
      <w:lvlText w:val="•"/>
      <w:numFmt w:val="bullet"/>
      <w:start w:val="1"/>
    </w:lvl>
  </w:abstractNum>
  <w:abstractNum w:abstractNumId="37">
    <w:nsid w:val="7F01579B"/>
    <w:multiLevelType w:val="hybridMultilevel"/>
    <w:lvl w:ilvl="0">
      <w:lvlJc w:val="left"/>
      <w:lvlText w:val="•"/>
      <w:numFmt w:val="bullet"/>
      <w:start w:val="1"/>
    </w:lvl>
  </w:abstractNum>
  <w:abstractNum w:abstractNumId="38">
    <w:nsid w:val="49DA307D"/>
    <w:multiLevelType w:val="hybridMultilevel"/>
    <w:lvl w:ilvl="0">
      <w:lvlJc w:val="left"/>
      <w:lvlText w:val="•"/>
      <w:numFmt w:val="bullet"/>
      <w:start w:val="1"/>
    </w:lvl>
  </w:abstractNum>
  <w:abstractNum w:abstractNumId="39">
    <w:nsid w:val="7055A5F5"/>
    <w:multiLevelType w:val="hybridMultilevel"/>
    <w:lvl w:ilvl="0">
      <w:lvlJc w:val="left"/>
      <w:lvlText w:val="•"/>
      <w:numFmt w:val="bullet"/>
      <w:start w:val="1"/>
    </w:lvl>
  </w:abstractNum>
  <w:abstractNum w:abstractNumId="40">
    <w:nsid w:val="5FB8370B"/>
    <w:multiLevelType w:val="hybridMultilevel"/>
    <w:lvl w:ilvl="0">
      <w:lvlJc w:val="left"/>
      <w:lvlText w:val="•"/>
      <w:numFmt w:val="bullet"/>
      <w:start w:val="1"/>
    </w:lvl>
  </w:abstractNum>
  <w:abstractNum w:abstractNumId="41">
    <w:nsid w:val="50801EE1"/>
    <w:multiLevelType w:val="hybridMultilevel"/>
    <w:lvl w:ilvl="0">
      <w:lvlJc w:val="left"/>
      <w:lvlText w:val="•"/>
      <w:numFmt w:val="bullet"/>
      <w:start w:val="1"/>
    </w:lvl>
  </w:abstractNum>
  <w:abstractNum w:abstractNumId="42">
    <w:nsid w:val="488AC1A"/>
    <w:multiLevelType w:val="hybridMultilevel"/>
    <w:lvl w:ilvl="0">
      <w:lvlJc w:val="left"/>
      <w:lvlText w:val="(%1)"/>
      <w:numFmt w:val="lowerRoman"/>
      <w:start w:val="3"/>
    </w:lvl>
  </w:abstractNum>
  <w:abstractNum w:abstractNumId="43">
    <w:nsid w:val="5FB8011C"/>
    <w:multiLevelType w:val="hybridMultilevel"/>
    <w:lvl w:ilvl="0">
      <w:lvlJc w:val="left"/>
      <w:lvlText w:val="•"/>
      <w:numFmt w:val="bullet"/>
      <w:start w:val="1"/>
    </w:lvl>
  </w:abstractNum>
  <w:abstractNum w:abstractNumId="44">
    <w:nsid w:val="6AA78F7F"/>
    <w:multiLevelType w:val="hybridMultilevel"/>
    <w:lvl w:ilvl="0">
      <w:lvlJc w:val="left"/>
      <w:lvlText w:val="•"/>
      <w:numFmt w:val="bullet"/>
      <w:start w:val="1"/>
    </w:lvl>
  </w:abstractNum>
  <w:abstractNum w:abstractNumId="45">
    <w:nsid w:val="7672BD23"/>
    <w:multiLevelType w:val="hybridMultilevel"/>
    <w:lvl w:ilvl="0">
      <w:lvlJc w:val="left"/>
      <w:lvlText w:val="•"/>
      <w:numFmt w:val="bullet"/>
      <w:start w:val="1"/>
    </w:lvl>
  </w:abstractNum>
  <w:abstractNum w:abstractNumId="46">
    <w:nsid w:val="6FC75AF8"/>
    <w:multiLevelType w:val="hybridMultilevel"/>
    <w:lvl w:ilvl="0">
      <w:lvlJc w:val="left"/>
      <w:lvlText w:val="•"/>
      <w:numFmt w:val="bullet"/>
      <w:start w:val="1"/>
    </w:lvl>
  </w:abstractNum>
  <w:abstractNum w:abstractNumId="47">
    <w:nsid w:val="6A5F7029"/>
    <w:multiLevelType w:val="hybridMultilevel"/>
    <w:lvl w:ilvl="0">
      <w:lvlJc w:val="left"/>
      <w:lvlText w:val="(%1)"/>
      <w:numFmt w:val="decimal"/>
      <w:start w:val="1"/>
    </w:lvl>
  </w:abstractNum>
  <w:abstractNum w:abstractNumId="48">
    <w:nsid w:val="7D5E18F8"/>
    <w:multiLevelType w:val="hybridMultilevel"/>
    <w:lvl w:ilvl="0">
      <w:lvlJc w:val="left"/>
      <w:lvlText w:val="(%1)"/>
      <w:numFmt w:val="lowerRoman"/>
      <w:start w:val="2"/>
    </w:lvl>
  </w:abstractNum>
  <w:abstractNum w:abstractNumId="49">
    <w:nsid w:val="5F3534A4"/>
    <w:multiLevelType w:val="hybridMultilevel"/>
    <w:lvl w:ilvl="0">
      <w:lvlJc w:val="left"/>
      <w:lvlText w:val="(%1)"/>
      <w:numFmt w:val="decimal"/>
      <w:start w:val="1"/>
    </w:lvl>
  </w:abstractNum>
  <w:abstractNum w:abstractNumId="50">
    <w:nsid w:val="73A1821B"/>
    <w:multiLevelType w:val="hybridMultilevel"/>
    <w:lvl w:ilvl="0">
      <w:lvlJc w:val="left"/>
      <w:lvlText w:val="(%1)"/>
      <w:numFmt w:val="decimal"/>
      <w:start w:val="1"/>
    </w:lvl>
  </w:abstractNum>
  <w:abstractNum w:abstractNumId="51">
    <w:nsid w:val="7DE67713"/>
    <w:multiLevelType w:val="hybridMultilevel"/>
    <w:lvl w:ilvl="0">
      <w:lvlJc w:val="left"/>
      <w:lvlText w:val="(%1)"/>
      <w:numFmt w:val="lowerLetter"/>
      <w:start w:val="1"/>
    </w:lvl>
    <w:lvl w:ilvl="1">
      <w:lvlJc w:val="left"/>
      <w:lvlText w:val="%2."/>
      <w:numFmt w:val="decimal"/>
      <w:start w:val="1"/>
    </w:lvl>
  </w:abstractNum>
  <w:abstractNum w:abstractNumId="52">
    <w:nsid w:val="555C55B5"/>
    <w:multiLevelType w:val="hybridMultilevel"/>
    <w:lvl w:ilvl="0">
      <w:lvlJc w:val="left"/>
      <w:lvlText w:val="%1."/>
      <w:numFmt w:val="decimal"/>
      <w:start w:val="2"/>
    </w:lvl>
  </w:abstractNum>
  <w:abstractNum w:abstractNumId="53">
    <w:nsid w:val="3FA62ACA"/>
    <w:multiLevelType w:val="hybridMultilevel"/>
    <w:lvl w:ilvl="0">
      <w:lvlJc w:val="left"/>
      <w:lvlText w:val="*"/>
      <w:numFmt w:val="bullet"/>
      <w:start w:val="1"/>
    </w:lvl>
  </w:abstractNum>
  <w:abstractNum w:abstractNumId="54">
    <w:nsid w:val="14FCE74E"/>
    <w:multiLevelType w:val="hybridMultilevel"/>
    <w:lvl w:ilvl="0">
      <w:lvlJc w:val="left"/>
      <w:lvlText w:val="†"/>
      <w:numFmt w:val="bullet"/>
      <w:start w:val="1"/>
    </w:lvl>
  </w:abstractNum>
  <w:abstractNum w:abstractNumId="55">
    <w:nsid w:val="6A3DD3E8"/>
    <w:multiLevelType w:val="hybridMultilevel"/>
    <w:lvl w:ilvl="0">
      <w:lvlJc w:val="left"/>
      <w:lvlText w:val="**"/>
      <w:numFmt w:val="bullet"/>
      <w:start w:val="1"/>
    </w:lvl>
  </w:abstractNum>
  <w:abstractNum w:abstractNumId="56">
    <w:nsid w:val="71C91298"/>
    <w:multiLevelType w:val="hybridMultilevel"/>
    <w:lvl w:ilvl="0">
      <w:lvlJc w:val="left"/>
      <w:lvlText w:val="•"/>
      <w:numFmt w:val="bullet"/>
      <w:start w:val="1"/>
    </w:lvl>
  </w:abstractNum>
  <w:abstractNum w:abstractNumId="57">
    <w:nsid w:val="9DAF632"/>
    <w:multiLevelType w:val="hybridMultilevel"/>
    <w:lvl w:ilvl="0">
      <w:lvlJc w:val="left"/>
      <w:lvlText w:val="•"/>
      <w:numFmt w:val="bullet"/>
      <w:start w:val="1"/>
    </w:lvl>
  </w:abstractNum>
  <w:abstractNum w:abstractNumId="58">
    <w:nsid w:val="53299938"/>
    <w:multiLevelType w:val="hybridMultilevel"/>
    <w:lvl w:ilvl="0">
      <w:lvlJc w:val="left"/>
      <w:lvlText w:val="(%1)"/>
      <w:numFmt w:val="upperLetter"/>
      <w:start w:val="2"/>
    </w:lvl>
  </w:abstractNum>
  <w:abstractNum w:abstractNumId="59">
    <w:nsid w:val="1FBFE8E0"/>
    <w:multiLevelType w:val="hybridMultilevel"/>
    <w:lvl w:ilvl="0">
      <w:lvlJc w:val="left"/>
      <w:lvlText w:val="%1."/>
      <w:numFmt w:val="decimal"/>
      <w:start w:val="1"/>
    </w:lvl>
  </w:abstractNum>
  <w:abstractNum w:abstractNumId="60">
    <w:nsid w:val="5092CA79"/>
    <w:multiLevelType w:val="hybridMultilevel"/>
    <w:lvl w:ilvl="0">
      <w:lvlJc w:val="left"/>
      <w:lvlText w:val="%1."/>
      <w:numFmt w:val="decimal"/>
      <w:start w:val="2"/>
    </w:lvl>
  </w:abstractNum>
  <w:abstractNum w:abstractNumId="61">
    <w:nsid w:val="1D545C4D"/>
    <w:multiLevelType w:val="hybridMultilevel"/>
    <w:lvl w:ilvl="0">
      <w:lvlJc w:val="left"/>
      <w:lvlText w:val="(%1)"/>
      <w:numFmt w:val="lowerLetter"/>
      <w:start w:val="1"/>
    </w:lvl>
  </w:abstractNum>
  <w:abstractNum w:abstractNumId="62">
    <w:nsid w:val="59ADEA3D"/>
    <w:multiLevelType w:val="hybridMultilevel"/>
    <w:lvl w:ilvl="0">
      <w:lvlJc w:val="left"/>
      <w:lvlText w:val="(%1)"/>
      <w:numFmt w:val="lowerLetter"/>
      <w:start w:val="1"/>
    </w:lvl>
  </w:abstractNum>
  <w:abstractNum w:abstractNumId="63">
    <w:nsid w:val="288F1A34"/>
    <w:multiLevelType w:val="hybridMultilevel"/>
    <w:lvl w:ilvl="0">
      <w:lvlJc w:val="left"/>
      <w:lvlText w:val="(%1)"/>
      <w:numFmt w:val="lowerLetter"/>
      <w:start w:val="1"/>
    </w:lvl>
    <w:lvl w:ilvl="1">
      <w:lvlJc w:val="left"/>
      <w:lvlText w:val="(%2)"/>
      <w:numFmt w:val="lowerRoman"/>
      <w:start w:val="1"/>
    </w:lvl>
  </w:abstractNum>
  <w:abstractNum w:abstractNumId="64">
    <w:nsid w:val="2A155DBC"/>
    <w:multiLevelType w:val="hybridMultilevel"/>
    <w:lvl w:ilvl="0">
      <w:lvlJc w:val="left"/>
      <w:lvlText w:val="(%1)"/>
      <w:numFmt w:val="lowerLetter"/>
      <w:start w:val="1"/>
    </w:lvl>
    <w:lvl w:ilvl="1">
      <w:lvlJc w:val="left"/>
      <w:lvlText w:val="(%2)"/>
      <w:numFmt w:val="lowerLetter"/>
      <w:start w:val="9"/>
    </w:lvl>
  </w:abstractNum>
  <w:abstractNum w:abstractNumId="65">
    <w:nsid w:val="1D9F6E5F"/>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66">
    <w:nsid w:val="97E1B4E"/>
    <w:multiLevelType w:val="hybridMultilevel"/>
    <w:lvl w:ilvl="0">
      <w:lvlJc w:val="left"/>
      <w:lvlText w:val="(%1)"/>
      <w:numFmt w:val="lowerLetter"/>
      <w:start w:val="7"/>
    </w:lvl>
    <w:lvl w:ilvl="1">
      <w:lvlJc w:val="left"/>
      <w:lvlText w:val="%2"/>
      <w:numFmt w:val="lowerRoman"/>
      <w:start w:val="1"/>
    </w:lvl>
    <w:lvl w:ilvl="2">
      <w:lvlJc w:val="left"/>
      <w:lvlText w:val="%3"/>
      <w:numFmt w:val="lowerLetter"/>
      <w:start w:val="1"/>
    </w:lvl>
  </w:abstractNum>
  <w:abstractNum w:abstractNumId="67">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1CA0C5F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9">
    <w:nsid w:val="53584BCB"/>
    <w:multiLevelType w:val="hybridMultilevel"/>
    <w:lvl w:ilvl="0">
      <w:lvlJc w:val="left"/>
      <w:lvlText w:val="(%1)"/>
      <w:numFmt w:val="lowerLetter"/>
      <w:start w:val="1"/>
    </w:lvl>
  </w:abstractNum>
  <w:abstractNum w:abstractNumId="70">
    <w:nsid w:val="415E286C"/>
    <w:multiLevelType w:val="hybridMultilevel"/>
    <w:lvl w:ilvl="0">
      <w:lvlJc w:val="left"/>
      <w:lvlText w:val="%1"/>
      <w:numFmt w:val="decimal"/>
      <w:start w:val="1"/>
    </w:lvl>
    <w:lvl w:ilvl="1">
      <w:lvlJc w:val="left"/>
      <w:lvlText w:val="(%2)"/>
      <w:numFmt w:val="lowerLetter"/>
      <w:start w:val="1"/>
    </w:lvl>
  </w:abstractNum>
  <w:abstractNum w:abstractNumId="71">
    <w:nsid w:val="7C58FD05"/>
    <w:multiLevelType w:val="hybridMultilevel"/>
    <w:lvl w:ilvl="0">
      <w:lvlJc w:val="left"/>
      <w:lvlText w:val="%1."/>
      <w:numFmt w:val="decimal"/>
      <w:start w:val="4"/>
    </w:lvl>
    <w:lvl w:ilvl="1">
      <w:lvlJc w:val="left"/>
      <w:lvlText w:val="%2"/>
      <w:numFmt w:val="lowerLetter"/>
      <w:start w:val="1"/>
    </w:lvl>
  </w:abstractNum>
  <w:abstractNum w:abstractNumId="72">
    <w:nsid w:val="23D86AAC"/>
    <w:multiLevelType w:val="hybridMultilevel"/>
    <w:lvl w:ilvl="0">
      <w:lvlJc w:val="left"/>
      <w:lvlText w:val="%1."/>
      <w:numFmt w:val="decimal"/>
      <w:start w:val="5"/>
    </w:lvl>
  </w:abstractNum>
  <w:abstractNum w:abstractNumId="73">
    <w:nsid w:val="45E6D486"/>
    <w:multiLevelType w:val="hybridMultilevel"/>
    <w:lvl w:ilvl="0">
      <w:lvlJc w:val="left"/>
      <w:lvlText w:val="(%1)"/>
      <w:numFmt w:val="lowerLetter"/>
      <w:start w:val="1"/>
    </w:lvl>
  </w:abstractNum>
  <w:abstractNum w:abstractNumId="74">
    <w:nsid w:val="5C10FE21"/>
    <w:multiLevelType w:val="hybridMultilevel"/>
    <w:lvl w:ilvl="0">
      <w:lvlJc w:val="left"/>
      <w:lvlText w:val="(%1)"/>
      <w:numFmt w:val="lowerLetter"/>
      <w:start w:val="1"/>
    </w:lvl>
  </w:abstractNum>
  <w:abstractNum w:abstractNumId="75">
    <w:nsid w:val="E7FFA2B"/>
    <w:multiLevelType w:val="hybridMultilevel"/>
    <w:lvl w:ilvl="0">
      <w:lvlJc w:val="left"/>
      <w:lvlText w:val="(%1)"/>
      <w:numFmt w:val="lowerLetter"/>
      <w:start w:val="5"/>
    </w:lvl>
  </w:abstractNum>
  <w:abstractNum w:abstractNumId="76">
    <w:nsid w:val="3C5991AA"/>
    <w:multiLevelType w:val="hybridMultilevel"/>
    <w:lvl w:ilvl="0">
      <w:lvlJc w:val="left"/>
      <w:lvlText w:val="(%1)"/>
      <w:numFmt w:val="lowerLetter"/>
      <w:start w:val="1"/>
    </w:lvl>
  </w:abstractNum>
  <w:abstractNum w:abstractNumId="77">
    <w:nsid w:val="4BD8591A"/>
    <w:multiLevelType w:val="hybridMultilevel"/>
    <w:lvl w:ilvl="0">
      <w:lvlJc w:val="left"/>
      <w:lvlText w:val="%1."/>
      <w:numFmt w:val="decimal"/>
      <w:start w:val="6"/>
    </w:lvl>
  </w:abstractNum>
  <w:abstractNum w:abstractNumId="78">
    <w:nsid w:val="78DF6A55"/>
    <w:multiLevelType w:val="hybridMultilevel"/>
    <w:lvl w:ilvl="0">
      <w:lvlJc w:val="left"/>
      <w:lvlText w:val="(%1)"/>
      <w:numFmt w:val="lowerLetter"/>
      <w:start w:val="1"/>
    </w:lvl>
  </w:abstractNum>
  <w:abstractNum w:abstractNumId="79">
    <w:nsid w:val="39B7AAA2"/>
    <w:multiLevelType w:val="hybridMultilevel"/>
    <w:lvl w:ilvl="0">
      <w:lvlJc w:val="left"/>
      <w:lvlText w:val="(%1)"/>
      <w:numFmt w:val="lowerLetter"/>
      <w:start w:val="9"/>
    </w:lvl>
  </w:abstractNum>
  <w:abstractNum w:abstractNumId="80">
    <w:nsid w:val="2B0D8DBE"/>
    <w:multiLevelType w:val="hybridMultilevel"/>
    <w:lvl w:ilvl="0">
      <w:lvlJc w:val="left"/>
      <w:lvlText w:val="(%1)"/>
      <w:numFmt w:val="lowerLetter"/>
      <w:start w:val="1"/>
    </w:lvl>
  </w:abstractNum>
  <w:abstractNum w:abstractNumId="81">
    <w:nsid w:val="6C80EC70"/>
    <w:multiLevelType w:val="hybridMultilevel"/>
    <w:lvl w:ilvl="0">
      <w:lvlJc w:val="left"/>
      <w:lvlText w:val="(%1)"/>
      <w:numFmt w:val="lowerLetter"/>
      <w:start w:val="5"/>
    </w:lvl>
  </w:abstractNum>
  <w:abstractNum w:abstractNumId="82">
    <w:nsid w:val="379E21B5"/>
    <w:multiLevelType w:val="hybridMultilevel"/>
    <w:lvl w:ilvl="0">
      <w:lvlJc w:val="left"/>
      <w:lvlText w:val="(%1)"/>
      <w:numFmt w:val="lowerLetter"/>
      <w:start w:val="1"/>
    </w:lvl>
    <w:lvl w:ilvl="1">
      <w:lvlJc w:val="left"/>
      <w:lvlText w:val="(%2)"/>
      <w:numFmt w:val="lowerRoman"/>
      <w:start w:val="1"/>
    </w:lvl>
  </w:abstractNum>
  <w:abstractNum w:abstractNumId="83">
    <w:nsid w:val="69E373"/>
    <w:multiLevelType w:val="hybridMultilevel"/>
    <w:lvl w:ilvl="0">
      <w:lvlJc w:val="left"/>
      <w:lvlText w:val="(%1)"/>
      <w:numFmt w:val="lowerLetter"/>
      <w:start w:val="1"/>
    </w:lvl>
  </w:abstractNum>
  <w:abstractNum w:abstractNumId="84">
    <w:nsid w:val="2C27173B"/>
    <w:multiLevelType w:val="hybridMultilevel"/>
    <w:lvl w:ilvl="0">
      <w:lvlJc w:val="left"/>
      <w:lvlText w:val="(%1)"/>
      <w:numFmt w:val="lowerLetter"/>
      <w:start w:val="3"/>
    </w:lvl>
  </w:abstractNum>
  <w:abstractNum w:abstractNumId="85">
    <w:nsid w:val="4C9B090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86">
    <w:nsid w:val="6AA7B75C"/>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9"/>
    </w:lvl>
  </w:abstractNum>
  <w:abstractNum w:abstractNumId="87">
    <w:nsid w:val="1DF029D3"/>
    <w:multiLevelType w:val="hybridMultilevel"/>
    <w:lvl w:ilvl="0">
      <w:lvlJc w:val="left"/>
      <w:lvlText w:val="%1"/>
      <w:numFmt w:val="decimal"/>
      <w:start w:val="1"/>
    </w:lvl>
    <w:lvl w:ilvl="1">
      <w:lvlJc w:val="left"/>
      <w:lvlText w:val="(%2)"/>
      <w:numFmt w:val="lowerLetter"/>
      <w:start w:val="1"/>
    </w:lvl>
  </w:abstractNum>
  <w:abstractNum w:abstractNumId="88">
    <w:nsid w:val="5675FF36"/>
    <w:multiLevelType w:val="hybridMultilevel"/>
    <w:lvl w:ilvl="0">
      <w:lvlJc w:val="left"/>
      <w:lvlText w:val="(%1)"/>
      <w:numFmt w:val="decimal"/>
      <w:start w:val="5"/>
    </w:lvl>
    <w:lvl w:ilvl="1">
      <w:lvlJc w:val="left"/>
      <w:lvlText w:val="(%2)"/>
      <w:numFmt w:val="lowerLetter"/>
      <w:start w:val="2"/>
    </w:lvl>
  </w:abstractNum>
  <w:abstractNum w:abstractNumId="89">
    <w:nsid w:val="3DD15094"/>
    <w:multiLevelType w:val="hybridMultilevel"/>
    <w:lvl w:ilvl="0">
      <w:lvlJc w:val="left"/>
      <w:lvlText w:val="(%1)"/>
      <w:numFmt w:val="lowerLetter"/>
      <w:start w:val="3"/>
    </w:lvl>
  </w:abstractNum>
  <w:abstractNum w:abstractNumId="90">
    <w:nsid w:val="3DB012B3"/>
    <w:multiLevelType w:val="hybridMultilevel"/>
    <w:lvl w:ilvl="0">
      <w:lvlJc w:val="left"/>
      <w:lvlText w:val="(%1)"/>
      <w:numFmt w:val="lowerLetter"/>
      <w:start w:val="1"/>
    </w:lvl>
  </w:abstractNum>
  <w:abstractNum w:abstractNumId="91">
    <w:nsid w:val="2708C9AF"/>
    <w:multiLevelType w:val="hybridMultilevel"/>
    <w:lvl w:ilvl="0">
      <w:lvlJc w:val="left"/>
      <w:lvlText w:val="%1."/>
      <w:numFmt w:val="decimal"/>
      <w:start w:val="7"/>
    </w:lvl>
  </w:abstractNum>
  <w:abstractNum w:abstractNumId="92">
    <w:nsid w:val="5B25ACE2"/>
    <w:multiLevelType w:val="hybridMultilevel"/>
    <w:lvl w:ilvl="0">
      <w:lvlJc w:val="left"/>
      <w:lvlText w:val="(%1)"/>
      <w:numFmt w:val="lowerLetter"/>
      <w:start w:val="1"/>
    </w:lvl>
    <w:lvl w:ilvl="1">
      <w:lvlJc w:val="left"/>
      <w:lvlText w:val="(%2)"/>
      <w:numFmt w:val="lowerRoman"/>
      <w:start w:val="1"/>
    </w:lvl>
  </w:abstractNum>
  <w:abstractNum w:abstractNumId="93">
    <w:nsid w:val="175DFCF0"/>
    <w:multiLevelType w:val="hybridMultilevel"/>
    <w:lvl w:ilvl="0">
      <w:lvlJc w:val="left"/>
      <w:lvlText w:val="(%1)"/>
      <w:numFmt w:val="lowerLetter"/>
      <w:start w:val="2"/>
    </w:lvl>
  </w:abstractNum>
  <w:abstractNum w:abstractNumId="94">
    <w:nsid w:val="4F97E3E4"/>
    <w:multiLevelType w:val="hybridMultilevel"/>
    <w:lvl w:ilvl="0">
      <w:lvlJc w:val="left"/>
      <w:lvlText w:val="%1"/>
      <w:numFmt w:val="decimal"/>
      <w:start w:val="1"/>
    </w:lvl>
    <w:lvl w:ilvl="1">
      <w:lvlJc w:val="left"/>
      <w:lvlText w:val="(%2)"/>
      <w:numFmt w:val="lowerLetter"/>
      <w:start w:val="1"/>
    </w:lvl>
  </w:abstractNum>
  <w:abstractNum w:abstractNumId="95">
    <w:nsid w:val="53B0A9E"/>
    <w:multiLevelType w:val="hybridMultilevel"/>
    <w:lvl w:ilvl="0">
      <w:lvlJc w:val="left"/>
      <w:lvlText w:val="%1."/>
      <w:numFmt w:val="decimal"/>
      <w:start w:val="8"/>
    </w:lvl>
    <w:lvl w:ilvl="1">
      <w:lvlJc w:val="left"/>
      <w:lvlText w:val="%2"/>
      <w:numFmt w:val="lowerLetter"/>
      <w:start w:val="1"/>
    </w:lvl>
  </w:abstractNum>
  <w:abstractNum w:abstractNumId="96">
    <w:nsid w:val="34FD6B4F"/>
    <w:multiLevelType w:val="hybridMultilevel"/>
    <w:lvl w:ilvl="0">
      <w:lvlJc w:val="left"/>
      <w:lvlText w:val="(%1)"/>
      <w:numFmt w:val="lowerLetter"/>
      <w:start w:val="2"/>
    </w:lvl>
  </w:abstractNum>
  <w:abstractNum w:abstractNumId="97">
    <w:nsid w:val="5915FF32"/>
    <w:multiLevelType w:val="hybridMultilevel"/>
    <w:lvl w:ilvl="0">
      <w:lvlJc w:val="left"/>
      <w:lvlText w:val="(%1)"/>
      <w:numFmt w:val="lowerLetter"/>
      <w:start w:val="1"/>
    </w:lvl>
  </w:abstractNum>
  <w:abstractNum w:abstractNumId="98">
    <w:nsid w:val="56438D15"/>
    <w:multiLevelType w:val="hybridMultilevel"/>
    <w:lvl w:ilvl="0">
      <w:lvlJc w:val="left"/>
      <w:lvlText w:val="(%1)"/>
      <w:numFmt w:val="lowerLetter"/>
      <w:start w:val="1"/>
    </w:lvl>
  </w:abstractNum>
  <w:abstractNum w:abstractNumId="99">
    <w:nsid w:val="519E3149"/>
    <w:multiLevelType w:val="hybridMultilevel"/>
    <w:lvl w:ilvl="0">
      <w:lvlJc w:val="left"/>
      <w:lvlText w:val="%1."/>
      <w:numFmt w:val="decimal"/>
      <w:start w:val="9"/>
    </w:lvl>
  </w:abstractNum>
  <w:abstractNum w:abstractNumId="100">
    <w:nsid w:val="2C6E4AFD"/>
    <w:multiLevelType w:val="hybridMultilevel"/>
    <w:lvl w:ilvl="0">
      <w:lvlJc w:val="left"/>
      <w:lvlText w:val="(%1)"/>
      <w:numFmt w:val="lowerLetter"/>
      <w:start w:val="1"/>
    </w:lvl>
  </w:abstractNum>
  <w:abstractNum w:abstractNumId="101">
    <w:nsid w:val="17A1B582"/>
    <w:multiLevelType w:val="hybridMultilevel"/>
    <w:lvl w:ilvl="0">
      <w:lvlJc w:val="left"/>
      <w:lvlText w:val="%1."/>
      <w:numFmt w:val="decimal"/>
      <w:start w:val="10"/>
    </w:lvl>
  </w:abstractNum>
  <w:abstractNum w:abstractNumId="102">
    <w:nsid w:val="4DF72E4E"/>
    <w:multiLevelType w:val="hybridMultilevel"/>
    <w:lvl w:ilvl="0">
      <w:lvlJc w:val="left"/>
      <w:lvlText w:val="%1."/>
      <w:numFmt w:val="decimal"/>
      <w:start w:val="11"/>
    </w:lvl>
  </w:abstractNum>
  <w:abstractNum w:abstractNumId="103">
    <w:nsid w:val="5046B5A9"/>
    <w:multiLevelType w:val="hybridMultilevel"/>
    <w:lvl w:ilvl="0">
      <w:lvlJc w:val="left"/>
      <w:lvlText w:val="%1."/>
      <w:numFmt w:val="decimal"/>
      <w:start w:val="12"/>
    </w:lvl>
  </w:abstractNum>
  <w:abstractNum w:abstractNumId="104">
    <w:nsid w:val="5D888A08"/>
    <w:multiLevelType w:val="hybridMultilevel"/>
    <w:lvl w:ilvl="0">
      <w:lvlJc w:val="left"/>
      <w:lvlText w:val="(%1)"/>
      <w:numFmt w:val="lowerLetter"/>
      <w:start w:val="1"/>
    </w:lvl>
    <w:lvl w:ilvl="1">
      <w:lvlJc w:val="left"/>
      <w:lvlText w:val="(%2)"/>
      <w:numFmt w:val="lowerRoman"/>
      <w:start w:val="1"/>
    </w:lvl>
  </w:abstractNum>
  <w:abstractNum w:abstractNumId="105">
    <w:nsid w:val="2A082C70"/>
    <w:multiLevelType w:val="hybridMultilevel"/>
    <w:lvl w:ilvl="0">
      <w:lvlJc w:val="left"/>
      <w:lvlText w:val="%1"/>
      <w:numFmt w:val="lowerLetter"/>
      <w:start w:val="1"/>
    </w:lvl>
    <w:lvl w:ilvl="1">
      <w:lvlJc w:val="left"/>
      <w:lvlText w:val="(%2)"/>
      <w:numFmt w:val="lowerRoman"/>
      <w:start w:val="7"/>
    </w:lvl>
  </w:abstractNum>
  <w:abstractNum w:abstractNumId="106">
    <w:nsid w:val="5EC6AFD4"/>
    <w:multiLevelType w:val="hybridMultilevel"/>
    <w:lvl w:ilvl="0">
      <w:lvlJc w:val="left"/>
      <w:lvlText w:val="(%1)"/>
      <w:numFmt w:val="lowerLetter"/>
      <w:start w:val="3"/>
    </w:lvl>
    <w:lvl w:ilvl="1">
      <w:lvlJc w:val="left"/>
      <w:lvlText w:val="%2"/>
      <w:numFmt w:val="lowerRoman"/>
      <w:start w:val="1"/>
    </w:lvl>
  </w:abstractNum>
  <w:abstractNum w:abstractNumId="107">
    <w:nsid w:val="19E21BB2"/>
    <w:multiLevelType w:val="hybridMultilevel"/>
    <w:lvl w:ilvl="0">
      <w:lvlJc w:val="left"/>
      <w:lvlText w:val="(%1)"/>
      <w:numFmt w:val="lowerLetter"/>
      <w:start w:val="7"/>
    </w:lvl>
  </w:abstractNum>
  <w:abstractNum w:abstractNumId="108">
    <w:nsid w:val="75E0858A"/>
    <w:multiLevelType w:val="hybridMultilevel"/>
    <w:lvl w:ilvl="0">
      <w:lvlJc w:val="left"/>
      <w:lvlText w:val="(%1)"/>
      <w:numFmt w:val="lowerLetter"/>
      <w:start w:val="1"/>
    </w:lvl>
  </w:abstractNum>
  <w:abstractNum w:abstractNumId="109">
    <w:nsid w:val="57A61A29"/>
    <w:multiLevelType w:val="hybridMultilevel"/>
    <w:lvl w:ilvl="0">
      <w:lvlJc w:val="left"/>
      <w:lvlText w:val="(%1)"/>
      <w:numFmt w:val="lowerLetter"/>
      <w:start w:val="7"/>
    </w:lvl>
  </w:abstractNum>
  <w:abstractNum w:abstractNumId="110">
    <w:nsid w:val="5399C654"/>
    <w:multiLevelType w:val="hybridMultilevel"/>
    <w:lvl w:ilvl="0">
      <w:lvlJc w:val="left"/>
      <w:lvlText w:val="(%1)"/>
      <w:numFmt w:val="lowerLetter"/>
      <w:start w:val="1"/>
    </w:lvl>
  </w:abstractNum>
  <w:abstractNum w:abstractNumId="111">
    <w:nsid w:val="20EE13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2">
    <w:nsid w:val="4427069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13">
    <w:nsid w:val="B37E80A"/>
    <w:multiLevelType w:val="hybridMultilevel"/>
    <w:lvl w:ilvl="0">
      <w:lvlJc w:val="left"/>
      <w:lvlText w:val="(%1)"/>
      <w:numFmt w:val="lowerLetter"/>
      <w:start w:val="1"/>
    </w:lvl>
  </w:abstractNum>
  <w:abstractNum w:abstractNumId="114">
    <w:nsid w:val="2157F6BC"/>
    <w:multiLevelType w:val="hybridMultilevel"/>
    <w:lvl w:ilvl="0">
      <w:lvlJc w:val="left"/>
      <w:lvlText w:val="%1"/>
      <w:numFmt w:val="upperLetter"/>
      <w:start w:val="1"/>
    </w:lvl>
    <w:lvl w:ilvl="1">
      <w:lvlJc w:val="left"/>
      <w:lvlText w:val="(%2)"/>
      <w:numFmt w:val="lowerLetter"/>
      <w:start w:val="1"/>
    </w:lvl>
  </w:abstractNum>
  <w:abstractNum w:abstractNumId="115">
    <w:nsid w:val="704E1DD5"/>
    <w:multiLevelType w:val="hybridMultilevel"/>
    <w:lvl w:ilvl="0">
      <w:lvlJc w:val="left"/>
      <w:lvlText w:val="(%1)"/>
      <w:numFmt w:val="upperLetter"/>
      <w:start w:val="2"/>
    </w:lvl>
    <w:lvl w:ilvl="1">
      <w:lvlJc w:val="left"/>
      <w:lvlText w:val="%2"/>
      <w:numFmt w:val="lowerLetter"/>
      <w:start w:val="1"/>
    </w:lvl>
  </w:abstractNum>
  <w:abstractNum w:abstractNumId="116">
    <w:nsid w:val="57D2F10E"/>
    <w:multiLevelType w:val="hybridMultilevel"/>
    <w:lvl w:ilvl="0">
      <w:lvlJc w:val="left"/>
      <w:lvlText w:val="%1."/>
      <w:numFmt w:val="decimal"/>
      <w:start w:val="14"/>
    </w:lvl>
  </w:abstractNum>
  <w:abstractNum w:abstractNumId="117">
    <w:nsid w:val="BFFAE18"/>
    <w:multiLevelType w:val="hybridMultilevel"/>
    <w:lvl w:ilvl="0">
      <w:lvlJc w:val="left"/>
      <w:lvlText w:val="(%1)"/>
      <w:numFmt w:val="lowerLetter"/>
      <w:start w:val="1"/>
    </w:lvl>
    <w:lvl w:ilvl="1">
      <w:lvlJc w:val="left"/>
      <w:lvlText w:val="(%2)"/>
      <w:numFmt w:val="lowerRoman"/>
      <w:start w:val="1"/>
    </w:lvl>
  </w:abstractNum>
  <w:abstractNum w:abstractNumId="118">
    <w:nsid w:val="E3E47A8"/>
    <w:multiLevelType w:val="hybridMultilevel"/>
    <w:lvl w:ilvl="0">
      <w:lvlJc w:val="left"/>
      <w:lvlText w:val="(%1)"/>
      <w:numFmt w:val="lowerLetter"/>
      <w:start w:val="5"/>
    </w:lvl>
  </w:abstractNum>
  <w:abstractNum w:abstractNumId="119">
    <w:nsid w:val="2E48F044"/>
    <w:multiLevelType w:val="hybridMultilevel"/>
    <w:lvl w:ilvl="0">
      <w:lvlJc w:val="left"/>
      <w:lvlText w:val="(%1)"/>
      <w:numFmt w:val="lowerLetter"/>
      <w:start w:val="1"/>
    </w:lvl>
  </w:abstractNum>
  <w:abstractNum w:abstractNumId="120">
    <w:nsid w:val="49D0FEAC"/>
    <w:multiLevelType w:val="hybridMultilevel"/>
    <w:lvl w:ilvl="0">
      <w:lvlJc w:val="left"/>
      <w:lvlText w:val="(%1)"/>
      <w:numFmt w:val="lowerRoman"/>
      <w:start w:val="4"/>
    </w:lvl>
  </w:abstractNum>
  <w:abstractNum w:abstractNumId="121">
    <w:nsid w:val="4BEE5A5B"/>
    <w:multiLevelType w:val="hybridMultilevel"/>
    <w:lvl w:ilvl="0">
      <w:lvlJc w:val="left"/>
      <w:lvlText w:val="(%1)"/>
      <w:numFmt w:val="lowerLetter"/>
      <w:start w:val="1"/>
    </w:lvl>
  </w:abstractNum>
  <w:abstractNum w:abstractNumId="122">
    <w:nsid w:val="5551B9F3"/>
    <w:multiLevelType w:val="hybridMultilevel"/>
    <w:lvl w:ilvl="0">
      <w:lvlJc w:val="left"/>
      <w:lvlText w:val="(%1)"/>
      <w:numFmt w:val="lowerRoman"/>
      <w:start w:val="1"/>
    </w:lvl>
    <w:lvl w:ilvl="1">
      <w:lvlJc w:val="left"/>
      <w:lvlText w:val="(%2)"/>
      <w:numFmt w:val="upperLetter"/>
      <w:start w:val="1"/>
    </w:lvl>
  </w:abstractNum>
  <w:abstractNum w:abstractNumId="123">
    <w:nsid w:val="24F6AB8E"/>
    <w:multiLevelType w:val="hybridMultilevel"/>
    <w:lvl w:ilvl="0">
      <w:lvlJc w:val="left"/>
      <w:lvlText w:val="(%1)"/>
      <w:numFmt w:val="lowerLetter"/>
      <w:start w:val="1"/>
    </w:lvl>
  </w:abstractNum>
  <w:abstractNum w:abstractNumId="124">
    <w:nsid w:val="634C574C"/>
    <w:multiLevelType w:val="hybridMultilevel"/>
    <w:lvl w:ilvl="0">
      <w:lvlJc w:val="left"/>
      <w:lvlText w:val="(%1)"/>
      <w:numFmt w:val="lowerLetter"/>
      <w:start w:val="1"/>
    </w:lvl>
  </w:abstractNum>
  <w:abstractNum w:abstractNumId="125">
    <w:nsid w:val="24E99DD7"/>
    <w:multiLevelType w:val="hybridMultilevel"/>
    <w:lvl w:ilvl="0">
      <w:lvlJc w:val="left"/>
      <w:lvlText w:val="(%1)"/>
      <w:numFmt w:val="lowerLetter"/>
      <w:start w:val="3"/>
    </w:lvl>
  </w:abstractNum>
  <w:abstractNum w:abstractNumId="126">
    <w:nsid w:val="2A31B62D"/>
    <w:multiLevelType w:val="hybridMultilevel"/>
    <w:lvl w:ilvl="0">
      <w:lvlJc w:val="left"/>
      <w:lvlText w:val="(%1)"/>
      <w:numFmt w:val="lowerRoman"/>
      <w:start w:val="2"/>
    </w:lvl>
  </w:abstractNum>
  <w:abstractNum w:abstractNumId="127">
    <w:nsid w:val="1849C29B"/>
    <w:multiLevelType w:val="hybridMultilevel"/>
    <w:lvl w:ilvl="0">
      <w:lvlJc w:val="left"/>
      <w:lvlText w:val="(%1)"/>
      <w:numFmt w:val="lowerLetter"/>
      <w:start w:val="1"/>
    </w:lvl>
  </w:abstractNum>
  <w:abstractNum w:abstractNumId="128">
    <w:nsid w:val="7DFF9D09"/>
    <w:multiLevelType w:val="hybridMultilevel"/>
    <w:lvl w:ilvl="0">
      <w:lvlJc w:val="left"/>
      <w:lvlText w:val="(%1)"/>
      <w:numFmt w:val="lowerLetter"/>
      <w:start w:val="1"/>
    </w:lvl>
  </w:abstractNum>
  <w:abstractNum w:abstractNumId="129">
    <w:nsid w:val="754342"/>
    <w:multiLevelType w:val="hybridMultilevel"/>
    <w:lvl w:ilvl="0">
      <w:lvlJc w:val="left"/>
      <w:lvlText w:val="(%1)"/>
      <w:numFmt w:val="lowerLetter"/>
      <w:start w:val="1"/>
    </w:lvl>
  </w:abstractNum>
  <w:abstractNum w:abstractNumId="130">
    <w:nsid w:val="69E7F3E5"/>
    <w:multiLevelType w:val="hybridMultilevel"/>
    <w:lvl w:ilvl="0">
      <w:lvlJc w:val="left"/>
      <w:lvlText w:val="(%1)"/>
      <w:numFmt w:val="lowerLetter"/>
      <w:start w:val="6"/>
    </w:lvl>
  </w:abstractNum>
  <w:abstractNum w:abstractNumId="131">
    <w:nsid w:val="2A6DE806"/>
    <w:multiLevelType w:val="hybridMultilevel"/>
    <w:lvl w:ilvl="0">
      <w:lvlJc w:val="left"/>
      <w:lvlText w:val="(%1)"/>
      <w:numFmt w:val="lowerLetter"/>
      <w:start w:val="1"/>
    </w:lvl>
  </w:abstractNum>
  <w:abstractNum w:abstractNumId="132">
    <w:nsid w:val="1816F8C4"/>
    <w:multiLevelType w:val="hybridMultilevel"/>
    <w:lvl w:ilvl="0">
      <w:lvlJc w:val="left"/>
      <w:lvlText w:val="(%1)"/>
      <w:numFmt w:val="lowerLetter"/>
      <w:start w:val="9"/>
    </w:lvl>
  </w:abstractNum>
  <w:abstractNum w:abstractNumId="133">
    <w:nsid w:val="37DF2233"/>
    <w:multiLevelType w:val="hybridMultilevel"/>
    <w:lvl w:ilvl="0">
      <w:lvlJc w:val="left"/>
      <w:lvlText w:val="(%1)"/>
      <w:numFmt w:val="lowerLetter"/>
      <w:start w:val="1"/>
    </w:lvl>
  </w:abstractNum>
  <w:abstractNum w:abstractNumId="134">
    <w:nsid w:val="7AB49DAF"/>
    <w:multiLevelType w:val="hybridMultilevel"/>
    <w:lvl w:ilvl="0">
      <w:lvlJc w:val="left"/>
      <w:lvlText w:val="%1."/>
      <w:numFmt w:val="upperLetter"/>
      <w:start w:val="1"/>
    </w:lvl>
  </w:abstractNum>
  <w:abstractNum w:abstractNumId="135">
    <w:nsid w:val="759F82CD"/>
    <w:multiLevelType w:val="hybridMultilevel"/>
    <w:lvl w:ilvl="0">
      <w:lvlJc w:val="left"/>
      <w:lvlText w:val="%1."/>
      <w:numFmt w:val="decimal"/>
      <w:start w:val="1"/>
    </w:lvl>
    <w:lvl w:ilvl="1">
      <w:lvlJc w:val="left"/>
      <w:lvlText w:val="(%2)"/>
      <w:numFmt w:val="lowerRoman"/>
      <w:start w:val="6"/>
    </w:lvl>
    <w:lvl w:ilvl="2">
      <w:lvlJc w:val="left"/>
      <w:lvlText w:val="(%3)"/>
      <w:numFmt w:val="upperLetter"/>
      <w:start w:val="1"/>
    </w:lvl>
    <w:lvl w:ilvl="3">
      <w:lvlJc w:val="left"/>
      <w:lvlText w:val="(%4)"/>
      <w:numFmt w:val="lowerLetter"/>
      <w:start w:val="24"/>
    </w:lvl>
  </w:abstractNum>
  <w:abstractNum w:abstractNumId="136">
    <w:nsid w:val="61E74EA3"/>
    <w:multiLevelType w:val="hybridMultilevel"/>
    <w:lvl w:ilvl="0">
      <w:lvlJc w:val="left"/>
      <w:lvlText w:val="(%1)"/>
      <w:numFmt w:val="upperLetter"/>
      <w:start w:val="2"/>
    </w:lvl>
  </w:abstractNum>
  <w:abstractNum w:abstractNumId="137">
    <w:nsid w:val="597B4D84"/>
    <w:multiLevelType w:val="hybridMultilevel"/>
    <w:lvl w:ilvl="0">
      <w:lvlJc w:val="left"/>
      <w:lvlText w:val="(%1)"/>
      <w:numFmt w:val="lowerRoman"/>
      <w:start w:val="1"/>
    </w:lvl>
  </w:abstractNum>
  <w:abstractNum w:abstractNumId="138">
    <w:nsid w:val="F819E7F"/>
    <w:multiLevelType w:val="hybridMultilevel"/>
    <w:lvl w:ilvl="0">
      <w:lvlJc w:val="left"/>
      <w:lvlText w:val="%1"/>
      <w:numFmt w:val="decimal"/>
      <w:start w:val="1"/>
    </w:lvl>
    <w:lvl w:ilvl="1">
      <w:lvlJc w:val="left"/>
      <w:lvlText w:val="(%2)"/>
      <w:numFmt w:val="lowerRoman"/>
      <w:start w:val="2"/>
    </w:lvl>
  </w:abstractNum>
  <w:abstractNum w:abstractNumId="139">
    <w:nsid w:val="57C7D42D"/>
    <w:multiLevelType w:val="hybridMultilevel"/>
    <w:lvl w:ilvl="0">
      <w:lvlJc w:val="left"/>
      <w:lvlText w:val="%1."/>
      <w:numFmt w:val="decimal"/>
      <w:start w:val="3"/>
    </w:lvl>
    <w:lvl w:ilvl="1">
      <w:lvlJc w:val="left"/>
      <w:lvlText w:val="%2"/>
      <w:numFmt w:val="lowerRoman"/>
      <w:start w:val="1"/>
    </w:lvl>
  </w:abstractNum>
  <w:abstractNum w:abstractNumId="140">
    <w:nsid w:val="312167AD"/>
    <w:multiLevelType w:val="hybridMultilevel"/>
    <w:lvl w:ilvl="0">
      <w:lvlJc w:val="left"/>
      <w:lvlText w:val="%1."/>
      <w:numFmt w:val="decimal"/>
      <w:start w:val="6"/>
    </w:lvl>
  </w:abstractNum>
  <w:abstractNum w:abstractNumId="141">
    <w:nsid w:val="631B64D4"/>
    <w:multiLevelType w:val="hybridMultilevel"/>
    <w:lvl w:ilvl="0">
      <w:lvlJc w:val="left"/>
      <w:lvlText w:val="•"/>
      <w:numFmt w:val="bullet"/>
      <w:start w:val="1"/>
    </w:lvl>
  </w:abstractNum>
  <w:abstractNum w:abstractNumId="142">
    <w:nsid w:val="78B5E776"/>
    <w:multiLevelType w:val="hybridMultilevel"/>
    <w:lvl w:ilvl="0">
      <w:lvlJc w:val="left"/>
      <w:lvlText w:val="•"/>
      <w:numFmt w:val="bullet"/>
      <w:start w:val="1"/>
    </w:lvl>
  </w:abstractNum>
  <w:abstractNum w:abstractNumId="143">
    <w:nsid w:val="75486E47"/>
    <w:multiLevelType w:val="hybridMultilevel"/>
    <w:lvl w:ilvl="0">
      <w:lvlJc w:val="left"/>
      <w:lvlText w:val="•"/>
      <w:numFmt w:val="bullet"/>
      <w:start w:val="1"/>
    </w:lvl>
  </w:abstractNum>
  <w:abstractNum w:abstractNumId="144">
    <w:nsid w:val="6E534CDE"/>
    <w:multiLevelType w:val="hybridMultilevel"/>
    <w:lvl w:ilvl="0">
      <w:lvlJc w:val="left"/>
      <w:lvlText w:val="•"/>
      <w:numFmt w:val="bullet"/>
      <w:start w:val="1"/>
    </w:lvl>
  </w:abstractNum>
  <w:abstractNum w:abstractNumId="145">
    <w:nsid w:val="1A0DDE32"/>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146">
    <w:nsid w:val="65968C1C"/>
    <w:multiLevelType w:val="hybridMultilevel"/>
    <w:lvl w:ilvl="0">
      <w:lvlJc w:val="left"/>
      <w:lvlText w:val="•"/>
      <w:numFmt w:val="bullet"/>
      <w:start w:val="1"/>
    </w:lvl>
  </w:abstractNum>
  <w:abstractNum w:abstractNumId="147">
    <w:nsid w:val="46263DEC"/>
    <w:multiLevelType w:val="hybridMultilevel"/>
    <w:lvl w:ilvl="0">
      <w:lvlJc w:val="left"/>
      <w:lvlText w:val="%1."/>
      <w:numFmt w:val="decimal"/>
      <w:start w:val="1"/>
    </w:lvl>
  </w:abstractNum>
  <w:abstractNum w:abstractNumId="148">
    <w:nsid w:val="260D8C4A"/>
    <w:multiLevelType w:val="hybridMultilevel"/>
    <w:lvl w:ilvl="0">
      <w:lvlJc w:val="left"/>
      <w:lvlText w:val="%1."/>
      <w:numFmt w:val="decimal"/>
      <w:start w:val="1"/>
    </w:lvl>
    <w:lvl w:ilvl="1">
      <w:lvlJc w:val="left"/>
      <w:lvlText w:val="%2."/>
      <w:numFmt w:val="lowerLetter"/>
      <w:start w:val="1"/>
    </w:lvl>
  </w:abstractNum>
  <w:abstractNum w:abstractNumId="149">
    <w:nsid w:val="73D4D3C4"/>
    <w:multiLevelType w:val="hybridMultilevel"/>
    <w:lvl w:ilvl="0">
      <w:lvlJc w:val="left"/>
      <w:lvlText w:val="%1."/>
      <w:numFmt w:val="decimal"/>
      <w:start w:val="1"/>
    </w:lvl>
    <w:lvl w:ilvl="1">
      <w:lvlJc w:val="left"/>
      <w:lvlText w:val="%2."/>
      <w:numFmt w:val="lowerLetter"/>
      <w:start w:val="1"/>
    </w:lvl>
  </w:abstractNum>
  <w:abstractNum w:abstractNumId="150">
    <w:nsid w:val="746F2E30"/>
    <w:multiLevelType w:val="hybridMultilevel"/>
    <w:lvl w:ilvl="0">
      <w:lvlJc w:val="left"/>
      <w:lvlText w:val="(%1)"/>
      <w:numFmt w:val="lowerRoman"/>
      <w:start w:val="1"/>
    </w:lvl>
  </w:abstractNum>
  <w:abstractNum w:abstractNumId="151">
    <w:nsid w:val="6FDE8AF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8" Type="http://schemas.openxmlformats.org/officeDocument/2006/relationships/image" Target="media/image194.png"/><Relationship Id="rId229"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01" Type="http://schemas.openxmlformats.org/officeDocument/2006/relationships/hyperlink" Target="https://www.sec.gov/ix?doc=/Archives/edgar/data/1476840/000147684024000215/exfy-20240930.htm" TargetMode="External"/><Relationship Id="rId202" Type="http://schemas.openxmlformats.org/officeDocument/2006/relationships/hyperlink" Target="https://www.sec.gov/Archives/edgar/data/0001476840/000162828021023404/exhibit32-8xkclosing.htm" TargetMode="External"/><Relationship Id="rId203" Type="http://schemas.openxmlformats.org/officeDocument/2006/relationships/hyperlink" Target="https://www.sec.gov/Archives/edgar/data/0001476840/000162828021020900/exhibit41-sx1a2.htm" TargetMode="External"/><Relationship Id="rId204" Type="http://schemas.openxmlformats.org/officeDocument/2006/relationships/hyperlink" Target="https://www.sec.gov/Archives/edgar/data/1476840/000162828021020137/exhibit42-sx1a1.htm" TargetMode="External"/><Relationship Id="rId205" Type="http://schemas.openxmlformats.org/officeDocument/2006/relationships/hyperlink" Target="https://www.sec.gov/Archives/edgar/data/0001476840/000147684022000016/exhibit91-10xk.htm" TargetMode="External"/><Relationship Id="rId206" Type="http://schemas.openxmlformats.org/officeDocument/2006/relationships/hyperlink" Target="https://www.sec.gov/Archives/edgar/data/1476840/000147684024000069/exhibit102-firstamendmentt.htm" TargetMode="External"/><Relationship Id="rId207" Type="http://schemas.openxmlformats.org/officeDocument/2006/relationships/hyperlink" Target="https://www.sec.gov/Archives/edgar/data/1476840/000147684024000215/exhibit102-secondamendment.htm" TargetMode="External"/><Relationship Id="rId209" Type="http://schemas.openxmlformats.org/officeDocument/2006/relationships/hyperlink" Target="https://www.sec.gov/Archives/edgar/data/1476840/000162828021020137/exhibit103-sx1a1.htm" TargetMode="External"/><Relationship Id="rId210" Type="http://schemas.openxmlformats.org/officeDocument/2006/relationships/hyperlink" Target="https://www.sec.gov/Archives/edgar/data/1476840/000162828021020137/exhibit104-sx1a1.htm" TargetMode="External"/><Relationship Id="rId211" Type="http://schemas.openxmlformats.org/officeDocument/2006/relationships/hyperlink" Target="https://www.sec.gov/Archives/edgar/data/1476840/000162828021020137/exhibit105-sx1a1.htm" TargetMode="External"/><Relationship Id="rId212" Type="http://schemas.openxmlformats.org/officeDocument/2006/relationships/hyperlink" Target="https://www.sec.gov/Archives/edgar/data/0001476840/000162828021020900/exhibit106-sx1a2.htm" TargetMode="External"/><Relationship Id="rId213" Type="http://schemas.openxmlformats.org/officeDocument/2006/relationships/hyperlink" Target="https://www.sec.gov/Archives/edgar/data/0001476840/000162828021020900/exhibit107-sx1a2.htm" TargetMode="External"/><Relationship Id="rId214" Type="http://schemas.openxmlformats.org/officeDocument/2006/relationships/hyperlink" Target="https://www.sec.gov/Archives/edgar/data/0001476840/000162828021020900/exhibit108-sx1a2.htm" TargetMode="External"/><Relationship Id="rId215" Type="http://schemas.openxmlformats.org/officeDocument/2006/relationships/hyperlink" Target="https://www.sec.gov/Archives/edgar/data/0001476840/000162828021020900/exhibit109-sx1a2.htm" TargetMode="External"/><Relationship Id="rId216" Type="http://schemas.openxmlformats.org/officeDocument/2006/relationships/hyperlink" Target="https://www.sec.gov/Archives/edgar/data/0001476840/000162828021020900/exhibit1010-sx1a2.htm" TargetMode="External"/><Relationship Id="rId217" Type="http://schemas.openxmlformats.org/officeDocument/2006/relationships/hyperlink" Target="https://www.sec.gov/Archives/edgar/data/0001476840/000162828021020900/exhibit1011s-1a2.htm" TargetMode="External"/><Relationship Id="rId218" Type="http://schemas.openxmlformats.org/officeDocument/2006/relationships/hyperlink" Target="https://www.sec.gov/Archives/edgar/data/0001476840/000162828021020900/exhibit1012-sx1a2.htm" TargetMode="External"/><Relationship Id="rId219" Type="http://schemas.openxmlformats.org/officeDocument/2006/relationships/hyperlink" Target="https://www.sec.gov/Archives/edgar/data/0001476840/000162828021020900/exhibit1013-sx1a2.htm" TargetMode="External"/><Relationship Id="rId220" Type="http://schemas.openxmlformats.org/officeDocument/2006/relationships/hyperlink" Target="https://www.sec.gov/Archives/edgar/data/0001476840/000162828021020900/exhibit1014-sx1a2.htm" TargetMode="External"/><Relationship Id="rId221" Type="http://schemas.openxmlformats.org/officeDocument/2006/relationships/hyperlink" Target="https://www.sec.gov/Archives/edgar/data/0001476840/000162828021020900/exhibit1015-sx1a2.htm" TargetMode="External"/><Relationship Id="rId222" Type="http://schemas.openxmlformats.org/officeDocument/2006/relationships/hyperlink" Target="https://www.sec.gov/Archives/edgar/data/0001476840/000162828021020900/exhibit1016-sx1a2.htm" TargetMode="External"/><Relationship Id="rId223" Type="http://schemas.openxmlformats.org/officeDocument/2006/relationships/hyperlink" Target="https://www.sec.gov/Archives/edgar/data/0001476840/000162828021020900/exhibit1017-sx1a2.htm" TargetMode="External"/><Relationship Id="rId224" Type="http://schemas.openxmlformats.org/officeDocument/2006/relationships/hyperlink" Target="https://www.sec.gov/Archives/edgar/data/0001476840/000162828021020900/exhibit1018-sx1a2.htm" TargetMode="External"/><Relationship Id="rId225" Type="http://schemas.openxmlformats.org/officeDocument/2006/relationships/hyperlink" Target="https://www.sec.gov/Archives/edgar/data/0001476840/000162828021020900/exhibit1020-sx1a2.htm" TargetMode="External"/><Relationship Id="rId226" Type="http://schemas.openxmlformats.org/officeDocument/2006/relationships/hyperlink" Target="https://www.sec.gov/Archives/edgar/data/0001476840/000162828021020900/exhibit1021-sx1a2.htm" TargetMode="External"/><Relationship Id="rId227" Type="http://schemas.openxmlformats.org/officeDocument/2006/relationships/hyperlink" Target="https://www.sec.gov/Archives/edgar/data/0001476840/000147684022000016/exhibit1019-10xk.htm" TargetMode="External"/><Relationship Id="rId228" Type="http://schemas.openxmlformats.org/officeDocument/2006/relationships/hyperlink" Target="https://www.sec.gov/Archives/edgar/data/0001476840/000162828021020900/exhibit1022-sx1a2.htm" TargetMode="External"/><Relationship Id="rId230" Type="http://schemas.openxmlformats.org/officeDocument/2006/relationships/hyperlink" Target="https://www.sec.gov/Archives/edgar/data/0001476840/000162828021020900/exhibit1023-sx1a2.htm" TargetMode="External"/><Relationship Id="rId231" Type="http://schemas.openxmlformats.org/officeDocument/2006/relationships/hyperlink" Target="https://www.sec.gov/Archives/edgar/data/0001476840/000147684024000016/exhibit971-10xk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2025-02-27T17:29:47Z</dcterms:created>
  <dcterms:modified xsi:type="dcterms:W3CDTF">2025-02-27T17:29:47Z</dcterms:modified>
</cp:coreProperties>
</file>