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8713</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20824.07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69194671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11/28/2023</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8713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11/28/2023 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Note for 3(e): As of November 3, 2023, as stated in Issuer's quarterly report on Form 10-Q for the quarterly period</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ending September 30, 2023.</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11/29/2023</w:t>
            </w:r>
          </w:p>
        </w:tc>
        <w:tc>
          <w:tcPr>
            <w:tcW w:w="0" w:type="dxa"/>
            <w:vAlign w:val="bottom"/>
          </w:tcPr>
          <w:p>
            <w:pPr>
              <w:spacing w:after="0"/>
              <w:rPr>
                <w:sz w:val="1"/>
                <w:szCs w:val="1"/>
                <w:color w:val="auto"/>
              </w:rPr>
            </w:pPr>
          </w:p>
        </w:tc>
      </w:t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0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2023-11-29T19:34:32Z</dcterms:created>
  <dcterms:modified xsi:type="dcterms:W3CDTF">2023-11-29T19:34:32Z</dcterms:modified>
</cp:coreProperties>
</file>