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10, 2022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Expensify, Inc.</w:t>
      </w:r>
    </w:p>
    <w:p>
      <w:pPr>
        <w:spacing w:after="0" w:line="52" w:lineRule="exact"/>
        <w:rPr>
          <w:sz w:val="24"/>
          <w:szCs w:val="24"/>
          <w:color w:val="auto"/>
        </w:rPr>
      </w:pPr>
    </w:p>
    <w:tbl>
      <w:tblPr>
        <w:tblLayout w:type="fixed"/>
        <w:tblInd w:w="1140" w:type="dxa"/>
        <w:tblCellMar>
          <w:top w:w="0" w:type="dxa"/>
          <w:left w:w="0" w:type="dxa"/>
          <w:bottom w:w="0" w:type="dxa"/>
          <w:right w:w="0" w:type="dxa"/>
        </w:tblCellMar>
      </w:tblPr>
      <w:tr>
        <w:trPr>
          <w:trHeight w:val="204"/>
        </w:trPr>
        <w:tc>
          <w:tcPr>
            <w:tcW w:w="2080" w:type="dxa"/>
            <w:vAlign w:val="bottom"/>
          </w:tcPr>
          <w:p>
            <w:pPr>
              <w:spacing w:after="0"/>
              <w:rPr>
                <w:sz w:val="17"/>
                <w:szCs w:val="17"/>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1700" w:type="dxa"/>
            <w:vAlign w:val="bottom"/>
          </w:tcPr>
          <w:p>
            <w:pPr>
              <w:spacing w:after="0"/>
              <w:rPr>
                <w:sz w:val="17"/>
                <w:szCs w:val="17"/>
                <w:color w:val="auto"/>
              </w:rPr>
            </w:pPr>
          </w:p>
        </w:tc>
      </w:tr>
      <w:tr>
        <w:trPr>
          <w:trHeight w:val="219"/>
        </w:trPr>
        <w:tc>
          <w:tcPr>
            <w:tcW w:w="2080" w:type="dxa"/>
            <w:vAlign w:val="bottom"/>
          </w:tcPr>
          <w:p>
            <w:pPr>
              <w:jc w:val="center"/>
              <w:ind w:right="532"/>
              <w:spacing w:after="0"/>
              <w:rPr>
                <w:sz w:val="20"/>
                <w:szCs w:val="20"/>
                <w:color w:val="auto"/>
              </w:rPr>
            </w:pPr>
            <w:r>
              <w:rPr>
                <w:rFonts w:ascii="Arial" w:cs="Arial" w:eastAsia="Arial" w:hAnsi="Arial"/>
                <w:sz w:val="16"/>
                <w:szCs w:val="16"/>
                <w:b w:val="1"/>
                <w:bCs w:val="1"/>
                <w:color w:val="auto"/>
                <w:w w:val="91"/>
              </w:rPr>
              <w:t>Delaware</w:t>
            </w:r>
          </w:p>
        </w:tc>
        <w:tc>
          <w:tcPr>
            <w:tcW w:w="4920" w:type="dxa"/>
            <w:vAlign w:val="bottom"/>
          </w:tcPr>
          <w:p>
            <w:pPr>
              <w:jc w:val="center"/>
              <w:ind w:right="48"/>
              <w:spacing w:after="0"/>
              <w:rPr>
                <w:sz w:val="20"/>
                <w:szCs w:val="20"/>
                <w:color w:val="auto"/>
              </w:rPr>
            </w:pPr>
            <w:r>
              <w:rPr>
                <w:rFonts w:ascii="Arial" w:cs="Arial" w:eastAsia="Arial" w:hAnsi="Arial"/>
                <w:sz w:val="16"/>
                <w:szCs w:val="16"/>
                <w:b w:val="1"/>
                <w:bCs w:val="1"/>
                <w:color w:val="auto"/>
                <w:w w:val="88"/>
              </w:rPr>
              <w:t>001-41043</w:t>
            </w:r>
          </w:p>
        </w:tc>
        <w:tc>
          <w:tcPr>
            <w:tcW w:w="1700" w:type="dxa"/>
            <w:vAlign w:val="bottom"/>
          </w:tcPr>
          <w:p>
            <w:pPr>
              <w:jc w:val="center"/>
              <w:ind w:left="672"/>
              <w:spacing w:after="0"/>
              <w:rPr>
                <w:sz w:val="20"/>
                <w:szCs w:val="20"/>
                <w:color w:val="auto"/>
              </w:rPr>
            </w:pPr>
            <w:r>
              <w:rPr>
                <w:rFonts w:ascii="Arial" w:cs="Arial" w:eastAsia="Arial" w:hAnsi="Arial"/>
                <w:sz w:val="16"/>
                <w:szCs w:val="16"/>
                <w:b w:val="1"/>
                <w:bCs w:val="1"/>
                <w:color w:val="auto"/>
                <w:w w:val="88"/>
              </w:rPr>
              <w:t>27-0239450</w:t>
            </w:r>
          </w:p>
        </w:tc>
      </w:tr>
      <w:tr>
        <w:trPr>
          <w:trHeight w:val="159"/>
        </w:trPr>
        <w:tc>
          <w:tcPr>
            <w:tcW w:w="2080" w:type="dxa"/>
            <w:vAlign w:val="bottom"/>
          </w:tcPr>
          <w:p>
            <w:pPr>
              <w:jc w:val="center"/>
              <w:ind w:right="532"/>
              <w:spacing w:after="0"/>
              <w:rPr>
                <w:sz w:val="20"/>
                <w:szCs w:val="20"/>
                <w:color w:val="auto"/>
              </w:rPr>
            </w:pPr>
            <w:r>
              <w:rPr>
                <w:rFonts w:ascii="Arial" w:cs="Arial" w:eastAsia="Arial" w:hAnsi="Arial"/>
                <w:sz w:val="13"/>
                <w:szCs w:val="13"/>
                <w:b w:val="1"/>
                <w:bCs w:val="1"/>
                <w:color w:val="auto"/>
                <w:w w:val="87"/>
              </w:rPr>
              <w:t>(State or Other Jurisdiction</w:t>
            </w:r>
          </w:p>
        </w:tc>
        <w:tc>
          <w:tcPr>
            <w:tcW w:w="4920" w:type="dxa"/>
            <w:vAlign w:val="bottom"/>
          </w:tcPr>
          <w:p>
            <w:pPr>
              <w:jc w:val="center"/>
              <w:ind w:right="68"/>
              <w:spacing w:after="0"/>
              <w:rPr>
                <w:sz w:val="20"/>
                <w:szCs w:val="20"/>
                <w:color w:val="auto"/>
              </w:rPr>
            </w:pPr>
            <w:r>
              <w:rPr>
                <w:rFonts w:ascii="Arial" w:cs="Arial" w:eastAsia="Arial" w:hAnsi="Arial"/>
                <w:sz w:val="13"/>
                <w:szCs w:val="13"/>
                <w:b w:val="1"/>
                <w:bCs w:val="1"/>
                <w:color w:val="auto"/>
                <w:w w:val="84"/>
              </w:rPr>
              <w:t>(Commission</w:t>
            </w:r>
          </w:p>
        </w:tc>
        <w:tc>
          <w:tcPr>
            <w:tcW w:w="1700" w:type="dxa"/>
            <w:vAlign w:val="bottom"/>
          </w:tcPr>
          <w:p>
            <w:pPr>
              <w:jc w:val="center"/>
              <w:ind w:left="652"/>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2080" w:type="dxa"/>
            <w:vAlign w:val="bottom"/>
          </w:tcPr>
          <w:p>
            <w:pPr>
              <w:jc w:val="center"/>
              <w:ind w:right="532"/>
              <w:spacing w:after="0"/>
              <w:rPr>
                <w:sz w:val="20"/>
                <w:szCs w:val="20"/>
                <w:color w:val="auto"/>
              </w:rPr>
            </w:pPr>
            <w:r>
              <w:rPr>
                <w:rFonts w:ascii="Arial" w:cs="Arial" w:eastAsia="Arial" w:hAnsi="Arial"/>
                <w:sz w:val="13"/>
                <w:szCs w:val="13"/>
                <w:b w:val="1"/>
                <w:bCs w:val="1"/>
                <w:color w:val="auto"/>
                <w:w w:val="88"/>
              </w:rPr>
              <w:t>of Incorporation)</w:t>
            </w: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90"/>
              </w:rPr>
              <w:t>File Number)</w:t>
            </w:r>
          </w:p>
        </w:tc>
        <w:tc>
          <w:tcPr>
            <w:tcW w:w="1700" w:type="dxa"/>
            <w:vAlign w:val="bottom"/>
          </w:tcPr>
          <w:p>
            <w:pPr>
              <w:jc w:val="center"/>
              <w:ind w:left="652"/>
              <w:spacing w:after="0"/>
              <w:rPr>
                <w:sz w:val="20"/>
                <w:szCs w:val="20"/>
                <w:color w:val="auto"/>
              </w:rPr>
            </w:pPr>
            <w:r>
              <w:rPr>
                <w:rFonts w:ascii="Arial" w:cs="Arial" w:eastAsia="Arial" w:hAnsi="Arial"/>
                <w:sz w:val="13"/>
                <w:szCs w:val="13"/>
                <w:b w:val="1"/>
                <w:bCs w:val="1"/>
                <w:color w:val="auto"/>
                <w:w w:val="89"/>
              </w:rPr>
              <w:t>Identification No.)</w:t>
            </w:r>
          </w:p>
        </w:tc>
      </w:tr>
      <w:tr>
        <w:trPr>
          <w:trHeight w:val="383"/>
        </w:trPr>
        <w:tc>
          <w:tcPr>
            <w:tcW w:w="2080" w:type="dxa"/>
            <w:vAlign w:val="bottom"/>
          </w:tcPr>
          <w:p>
            <w:pPr>
              <w:spacing w:after="0"/>
              <w:rPr>
                <w:sz w:val="24"/>
                <w:szCs w:val="24"/>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7"/>
              </w:rPr>
              <w:t>401 SW 5</w:t>
            </w:r>
            <w:r>
              <w:rPr>
                <w:rFonts w:ascii="Arial" w:cs="Arial" w:eastAsia="Arial" w:hAnsi="Arial"/>
                <w:sz w:val="20"/>
                <w:szCs w:val="20"/>
                <w:b w:val="1"/>
                <w:bCs w:val="1"/>
                <w:color w:val="auto"/>
                <w:w w:val="87"/>
                <w:vertAlign w:val="superscript"/>
              </w:rPr>
              <w:t>th</w:t>
            </w:r>
            <w:r>
              <w:rPr>
                <w:rFonts w:ascii="Arial" w:cs="Arial" w:eastAsia="Arial" w:hAnsi="Arial"/>
                <w:sz w:val="16"/>
                <w:szCs w:val="16"/>
                <w:b w:val="1"/>
                <w:bCs w:val="1"/>
                <w:color w:val="auto"/>
                <w:w w:val="87"/>
              </w:rPr>
              <w:t xml:space="preserve"> Ave</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90"/>
              </w:rPr>
              <w:t>Portland, Oregon 97204</w:t>
            </w:r>
          </w:p>
        </w:tc>
        <w:tc>
          <w:tcPr>
            <w:tcW w:w="1700" w:type="dxa"/>
            <w:vAlign w:val="bottom"/>
          </w:tcPr>
          <w:p>
            <w:pPr>
              <w:spacing w:after="0"/>
              <w:rPr>
                <w:sz w:val="16"/>
                <w:szCs w:val="16"/>
                <w:color w:val="auto"/>
              </w:rPr>
            </w:pPr>
          </w:p>
        </w:tc>
      </w:tr>
      <w:tr>
        <w:trPr>
          <w:trHeight w:val="164"/>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87"/>
              </w:rPr>
              <w:t>(Address of Principal Executive Offices) (Zip Code)</w:t>
            </w:r>
          </w:p>
        </w:tc>
        <w:tc>
          <w:tcPr>
            <w:tcW w:w="1700" w:type="dxa"/>
            <w:vAlign w:val="bottom"/>
          </w:tcPr>
          <w:p>
            <w:pPr>
              <w:spacing w:after="0"/>
              <w:rPr>
                <w:sz w:val="14"/>
                <w:szCs w:val="14"/>
                <w:color w:val="auto"/>
              </w:rPr>
            </w:pPr>
          </w:p>
        </w:tc>
      </w:tr>
      <w:tr>
        <w:trPr>
          <w:trHeight w:val="273"/>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(971) 365-3939</w:t>
            </w:r>
          </w:p>
        </w:tc>
        <w:tc>
          <w:tcPr>
            <w:tcW w:w="1700" w:type="dxa"/>
            <w:vAlign w:val="bottom"/>
          </w:tcPr>
          <w:p>
            <w:pPr>
              <w:spacing w:after="0"/>
              <w:rPr>
                <w:sz w:val="23"/>
                <w:szCs w:val="23"/>
                <w:color w:val="auto"/>
              </w:rPr>
            </w:pPr>
          </w:p>
        </w:tc>
      </w:tr>
      <w:tr>
        <w:trPr>
          <w:trHeight w:val="164"/>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700" w:type="dxa"/>
            <w:vAlign w:val="bottom"/>
          </w:tcPr>
          <w:p>
            <w:pPr>
              <w:spacing w:after="0"/>
              <w:rPr>
                <w:sz w:val="14"/>
                <w:szCs w:val="14"/>
                <w:color w:val="auto"/>
              </w:rPr>
            </w:pPr>
          </w:p>
        </w:tc>
      </w:tr>
      <w:tr>
        <w:trPr>
          <w:trHeight w:val="273"/>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Not applicable</w:t>
            </w:r>
          </w:p>
        </w:tc>
        <w:tc>
          <w:tcPr>
            <w:tcW w:w="1700" w:type="dxa"/>
            <w:vAlign w:val="bottom"/>
          </w:tcPr>
          <w:p>
            <w:pPr>
              <w:spacing w:after="0"/>
              <w:rPr>
                <w:sz w:val="23"/>
                <w:szCs w:val="23"/>
                <w:color w:val="auto"/>
              </w:rPr>
            </w:pPr>
          </w:p>
        </w:tc>
      </w:tr>
      <w:tr>
        <w:trPr>
          <w:trHeight w:val="164"/>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88"/>
              </w:rPr>
              <w:t>(Former Name or Former Address, if Changed Since Last Report)</w:t>
            </w:r>
          </w:p>
        </w:tc>
        <w:tc>
          <w:tcPr>
            <w:tcW w:w="1700" w:type="dxa"/>
            <w:vAlign w:val="bottom"/>
          </w:tcPr>
          <w:p>
            <w:pPr>
              <w:spacing w:after="0"/>
              <w:rPr>
                <w:sz w:val="14"/>
                <w:szCs w:val="14"/>
                <w:color w:val="auto"/>
              </w:rPr>
            </w:pPr>
          </w:p>
        </w:tc>
      </w:tr>
    </w:tbl>
    <w:p>
      <w:pPr>
        <w:spacing w:after="0" w:line="9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64" w:lineRule="exact"/>
        <w:rPr>
          <w:sz w:val="24"/>
          <w:szCs w:val="24"/>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Trading</w:t>
            </w:r>
          </w:p>
        </w:tc>
        <w:tc>
          <w:tcPr>
            <w:tcW w:w="362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r>
      <w:tr>
        <w:trPr>
          <w:trHeight w:val="176"/>
        </w:trPr>
        <w:tc>
          <w:tcPr>
            <w:tcW w:w="3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Title of each class</w:t>
            </w:r>
          </w:p>
        </w:tc>
        <w:tc>
          <w:tcPr>
            <w:tcW w:w="3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Symbol(s)</w:t>
            </w:r>
          </w:p>
        </w:tc>
        <w:tc>
          <w:tcPr>
            <w:tcW w:w="362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r>
        <w:trPr>
          <w:trHeight w:val="203"/>
        </w:trPr>
        <w:tc>
          <w:tcPr>
            <w:tcW w:w="3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Class A Common Stock, par value $0.0001 per share</w:t>
            </w:r>
          </w:p>
        </w:tc>
        <w:tc>
          <w:tcPr>
            <w:tcW w:w="3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EXFY</w:t>
            </w: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Stock Market LLC</w:t>
            </w:r>
          </w:p>
        </w:tc>
      </w:tr>
    </w:tbl>
    <w:p>
      <w:pPr>
        <w:spacing w:after="0" w:line="83" w:lineRule="exact"/>
        <w:rPr>
          <w:sz w:val="24"/>
          <w:szCs w:val="24"/>
          <w:color w:val="auto"/>
        </w:rPr>
      </w:pPr>
    </w:p>
    <w:p>
      <w:pPr>
        <w:ind w:right="24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32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818515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45" w:right="319" w:bottom="1440" w:gutter="0" w:footer="0" w:header="0"/>
        </w:sectPr>
      </w:pPr>
    </w:p>
    <w:bookmarkStart w:id="1" w:name="page2"/>
    <w:bookmarkEnd w:id="1"/>
    <w:p>
      <w:pPr>
        <w:spacing w:after="0" w:line="10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28" w:lineRule="exact"/>
        <w:rPr>
          <w:sz w:val="20"/>
          <w:szCs w:val="20"/>
          <w:color w:val="auto"/>
        </w:rPr>
      </w:pPr>
    </w:p>
    <w:p>
      <w:pPr>
        <w:ind w:left="5"/>
        <w:spacing w:after="0" w:line="252" w:lineRule="auto"/>
        <w:rPr>
          <w:sz w:val="20"/>
          <w:szCs w:val="20"/>
          <w:color w:val="auto"/>
        </w:rPr>
      </w:pPr>
      <w:r>
        <w:rPr>
          <w:rFonts w:ascii="Arial" w:cs="Arial" w:eastAsia="Arial" w:hAnsi="Arial"/>
          <w:sz w:val="16"/>
          <w:szCs w:val="16"/>
          <w:color w:val="auto"/>
        </w:rPr>
        <w:t>On November 10, 2022, Expensify, Inc. (“Expensify” or the “Company”) issued a press release announcing its financial results for the quarter ended September 30, 2022. A copy of this press release is furnished as Exhibit 99.1 to this current report on Form 8-K and is incorporated herein by reference.</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7.01 Regulation FD Disclosure.</w:t>
      </w:r>
    </w:p>
    <w:p>
      <w:pPr>
        <w:spacing w:after="0" w:line="128" w:lineRule="exact"/>
        <w:rPr>
          <w:sz w:val="20"/>
          <w:szCs w:val="20"/>
          <w:color w:val="auto"/>
        </w:rPr>
      </w:pPr>
    </w:p>
    <w:p>
      <w:pPr>
        <w:ind w:left="5" w:right="20"/>
        <w:spacing w:after="0" w:line="241" w:lineRule="auto"/>
        <w:rPr>
          <w:sz w:val="20"/>
          <w:szCs w:val="20"/>
          <w:color w:val="auto"/>
        </w:rPr>
      </w:pPr>
      <w:r>
        <w:rPr>
          <w:rFonts w:ascii="Arial" w:cs="Arial" w:eastAsia="Arial" w:hAnsi="Arial"/>
          <w:sz w:val="16"/>
          <w:szCs w:val="16"/>
          <w:color w:val="auto"/>
        </w:rPr>
        <w:t>On November 10, 2022, the Company posted an investor presentation to its website at https://ir.expensify.com (the “Investor Presentation”). A copy of the Investor Presentation is furnished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spacing w:after="0" w:line="1" w:lineRule="exact"/>
        <w:rPr>
          <w:sz w:val="20"/>
          <w:szCs w:val="20"/>
          <w:color w:val="auto"/>
        </w:rPr>
      </w:pPr>
    </w:p>
    <w:p>
      <w:pPr>
        <w:ind w:left="5" w:right="140"/>
        <w:spacing w:after="0" w:line="277" w:lineRule="auto"/>
        <w:rPr>
          <w:sz w:val="20"/>
          <w:szCs w:val="20"/>
          <w:color w:val="auto"/>
        </w:rPr>
      </w:pPr>
      <w:r>
        <w:rPr>
          <w:rFonts w:ascii="Arial" w:cs="Arial" w:eastAsia="Arial" w:hAnsi="Arial"/>
          <w:sz w:val="14"/>
          <w:szCs w:val="14"/>
          <w:color w:val="auto"/>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spacing w:after="0" w:line="166" w:lineRule="exact"/>
        <w:rPr>
          <w:sz w:val="20"/>
          <w:szCs w:val="20"/>
          <w:color w:val="auto"/>
        </w:rPr>
      </w:pPr>
    </w:p>
    <w:p>
      <w:pPr>
        <w:jc w:val="both"/>
        <w:ind w:left="5" w:right="60"/>
        <w:spacing w:after="0" w:line="302" w:lineRule="auto"/>
        <w:rPr>
          <w:sz w:val="20"/>
          <w:szCs w:val="20"/>
          <w:color w:val="auto"/>
        </w:rPr>
      </w:pPr>
      <w:r>
        <w:rPr>
          <w:rFonts w:ascii="Arial" w:cs="Arial" w:eastAsia="Arial" w:hAnsi="Arial"/>
          <w:sz w:val="14"/>
          <w:szCs w:val="14"/>
          <w:color w:val="auto"/>
        </w:rPr>
        <w:t>The information contained in Item 2.02 and this Item 7.01, including Exhibits 99.1 and 99.2, is being furnished and shall not be deemed “filed” for purposes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28" w:lineRule="exact"/>
        <w:rPr>
          <w:sz w:val="20"/>
          <w:szCs w:val="20"/>
          <w:color w:val="auto"/>
        </w:rPr>
      </w:pPr>
    </w:p>
    <w:p>
      <w:pPr>
        <w:ind w:left="225" w:hanging="225"/>
        <w:spacing w:after="0"/>
        <w:tabs>
          <w:tab w:leader="none" w:pos="225"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Exhibits</w:t>
      </w:r>
      <w:r>
        <w:rPr>
          <w:rFonts w:ascii="Arial" w:cs="Arial" w:eastAsia="Arial" w:hAnsi="Arial"/>
          <w:sz w:val="16"/>
          <w:szCs w:val="16"/>
          <w:color w:val="auto"/>
        </w:rPr>
        <w:t>.</w:t>
      </w:r>
    </w:p>
    <w:p>
      <w:pPr>
        <w:spacing w:after="0" w:line="163" w:lineRule="exact"/>
        <w:rPr>
          <w:sz w:val="20"/>
          <w:szCs w:val="20"/>
          <w:color w:val="auto"/>
        </w:rPr>
      </w:pPr>
    </w:p>
    <w:p>
      <w:pPr>
        <w:ind w:left="105"/>
        <w:spacing w:after="0"/>
        <w:tabs>
          <w:tab w:leader="none" w:pos="925"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94" w:lineRule="exact"/>
        <w:rPr>
          <w:sz w:val="20"/>
          <w:szCs w:val="20"/>
          <w:color w:val="auto"/>
        </w:rPr>
      </w:pPr>
    </w:p>
    <w:p>
      <w:pPr>
        <w:ind w:left="285"/>
        <w:spacing w:after="0"/>
        <w:tabs>
          <w:tab w:leader="none" w:pos="925"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u w:val="single" w:color="auto"/>
          <w:color w:val="0000FF"/>
        </w:rPr>
        <w:t>Press Release issued by Expensify, Inc., dated November 10, 2022.</w:t>
      </w:r>
    </w:p>
    <w:p>
      <w:pPr>
        <w:spacing w:after="0" w:line="88" w:lineRule="exact"/>
        <w:rPr>
          <w:sz w:val="20"/>
          <w:szCs w:val="20"/>
          <w:color w:val="auto"/>
        </w:rPr>
      </w:pPr>
    </w:p>
    <w:p>
      <w:pPr>
        <w:ind w:left="285"/>
        <w:spacing w:after="0"/>
        <w:tabs>
          <w:tab w:leader="none" w:pos="925"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u w:val="single" w:color="auto"/>
          <w:color w:val="0000FF"/>
        </w:rPr>
        <w:t>Investor Presentation, dated November, 10, 2022.</w:t>
      </w:r>
    </w:p>
    <w:p>
      <w:pPr>
        <w:spacing w:after="0" w:line="88" w:lineRule="exact"/>
        <w:rPr>
          <w:sz w:val="20"/>
          <w:szCs w:val="20"/>
          <w:color w:val="auto"/>
        </w:rPr>
      </w:pPr>
    </w:p>
    <w:p>
      <w:pPr>
        <w:ind w:left="305"/>
        <w:spacing w:after="0"/>
        <w:tabs>
          <w:tab w:leader="none" w:pos="925"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839470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2" w:name="page3"/>
    <w:bookmarkEnd w:id="2"/>
    <w:p>
      <w:pPr>
        <w:ind w:left="5160"/>
        <w:spacing w:after="0"/>
        <w:rPr>
          <w:sz w:val="20"/>
          <w:szCs w:val="20"/>
          <w:color w:val="auto"/>
        </w:rPr>
      </w:pPr>
      <w:r>
        <w:rPr>
          <w:rFonts w:ascii="Arial" w:cs="Arial" w:eastAsia="Arial" w:hAnsi="Arial"/>
          <w:sz w:val="16"/>
          <w:szCs w:val="16"/>
          <w:b w:val="1"/>
          <w:bCs w:val="1"/>
          <w:u w:val="single" w:color="auto"/>
          <w:color w:val="auto"/>
        </w:rPr>
        <w:t>SIGNATURE</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Expensify, Inc.</w:t>
      </w:r>
    </w:p>
    <w:p>
      <w:pPr>
        <w:spacing w:after="0" w:line="230" w:lineRule="exact"/>
        <w:rPr>
          <w:sz w:val="20"/>
          <w:szCs w:val="20"/>
          <w:color w:val="auto"/>
        </w:rPr>
      </w:pPr>
    </w:p>
    <w:p>
      <w:pPr>
        <w:ind w:left="8440"/>
        <w:spacing w:after="0"/>
        <w:tabs>
          <w:tab w:leader="none" w:pos="8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5696585</wp:posOffset>
            </wp:positionH>
            <wp:positionV relativeFrom="paragraph">
              <wp:posOffset>19050</wp:posOffset>
            </wp:positionV>
            <wp:extent cx="14497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21" w:lineRule="exact"/>
        <w:rPr>
          <w:sz w:val="20"/>
          <w:szCs w:val="20"/>
          <w:color w:val="auto"/>
        </w:rPr>
      </w:pPr>
    </w:p>
    <w:p>
      <w:pPr>
        <w:ind w:left="8440"/>
        <w:spacing w:after="0"/>
        <w:tabs>
          <w:tab w:leader="none" w:pos="89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Ryan Schaffer</w:t>
      </w:r>
    </w:p>
    <w:p>
      <w:pPr>
        <w:spacing w:after="0" w:line="53" w:lineRule="exact"/>
        <w:rPr>
          <w:sz w:val="20"/>
          <w:szCs w:val="20"/>
          <w:color w:val="auto"/>
        </w:rPr>
      </w:pPr>
    </w:p>
    <w:p>
      <w:pPr>
        <w:ind w:left="8440"/>
        <w:spacing w:after="0"/>
        <w:tabs>
          <w:tab w:leader="none" w:pos="8960" w:val="left"/>
        </w:tabs>
        <w:rPr>
          <w:sz w:val="20"/>
          <w:szCs w:val="20"/>
          <w:color w:val="auto"/>
        </w:rPr>
      </w:pPr>
      <w:r>
        <w:rPr>
          <w:rFonts w:ascii="Arial" w:cs="Arial" w:eastAsia="Arial" w:hAnsi="Arial"/>
          <w:sz w:val="16"/>
          <w:szCs w:val="16"/>
          <w:color w:val="auto"/>
        </w:rPr>
        <w:t>Title:</w:t>
        <w:tab/>
        <w:t>Chief Financial Officer</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10, 2022</w:t>
      </w:r>
    </w:p>
    <w:p>
      <w:pPr>
        <w:sectPr>
          <w:pgSz w:w="11900" w:h="16838" w:orient="portrait"/>
          <w:cols w:equalWidth="0" w:num="1">
            <w:col w:w="10720"/>
          </w:cols>
          <w:pgMar w:left="320" w:top="1258"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EXPENSIFY ANNOUNCES Q3 2022 RESULTS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Business fundamentals remain strong. Company announces plan for additional $6 million in near-term share repurchases, for an expected total of $10 million for FY22 including</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net settling equity awards.</w:t>
      </w:r>
    </w:p>
    <w:p>
      <w:pPr>
        <w:spacing w:after="0" w:line="195"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PORTLAND, Ore.--(BUSINESS WIRE)--November 10, 2022-- Expensify, Inc. (Nasdaq: EXFY), a payments superapp that helps individuals and businesses around the world simplify the way they manage money across expenses, corporate cards and bills, today announced results for its quarter ended September 30th, 2022.</w:t>
      </w:r>
    </w:p>
    <w:p>
      <w:pPr>
        <w:spacing w:after="0" w:line="158"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"The business is doing great and we’re methodically executing our long-term strategy but the economy sucks, especially for SMBs. We have seen tons of interest in the new payroll launch, and we're super excited about what we've got cooking up in the lab," said David Barrett, founder and CEO. "We stand behind our multi-year revenue guidance, with the caveat that hitting this requires the world to return to normalcy – which we think it will soon, but your guess is as good as ours, The waters are a lot choppier than anybody would like, but we believe all of the contributing factors to this volatility are temporary, so we aren't letting them distract us. I contribute 100% of my salary to the ESPP and the company is actively buying back company stock, so we couldn't be more bullish on the future."</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"Despite economic headwinds, we continue to show that Expensify is a strong business able to generate positive cash flow in challenging economic environments,". said Ryan Schaffer, Expensify's CFO. "This quarter we saw modest user growth, with revenue slightly down due to a simplification of subscription management for our accounting partners to streamline client management. We repurchased $4 million in shares in Q3 via net settling equity incentive awards that vested and intend to continue taking advantage of the volatility in the market by repurchasing an additional $6 million starting at market open tomorrow morning."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Third Quarter 2022 Highlights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w:t>
      </w:r>
    </w:p>
    <w:p>
      <w:pPr>
        <w:spacing w:after="0" w:line="21" w:lineRule="exact"/>
        <w:rPr>
          <w:sz w:val="20"/>
          <w:szCs w:val="20"/>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was $42.5 million, an increase of 13% compared to the same period last year.</w:t>
      </w:r>
    </w:p>
    <w:p>
      <w:pPr>
        <w:spacing w:after="0" w:line="135"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cash used by operating activities was $(0.9) million.</w:t>
      </w:r>
    </w:p>
    <w:p>
      <w:pPr>
        <w:spacing w:after="0" w:line="147" w:lineRule="exact"/>
        <w:rPr>
          <w:rFonts w:ascii="Arial" w:cs="Arial" w:eastAsia="Arial" w:hAnsi="Arial"/>
          <w:sz w:val="16"/>
          <w:szCs w:val="16"/>
          <w:color w:val="auto"/>
        </w:rPr>
      </w:pPr>
    </w:p>
    <w:p>
      <w:pPr>
        <w:ind w:left="1140" w:right="100" w:hanging="294"/>
        <w:spacing w:after="0" w:line="268" w:lineRule="auto"/>
        <w:tabs>
          <w:tab w:leader="none" w:pos="1137"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timing of customer settlement funds was the primary driver in decreasing operating cash flow this quarter. Removing customer funds and considering only funds generated by the business gives a Free cash flow of $4.7 million.</w:t>
      </w:r>
    </w:p>
    <w:p>
      <w:pPr>
        <w:spacing w:after="0" w:line="109" w:lineRule="exact"/>
        <w:rPr>
          <w:rFonts w:ascii="Arial" w:cs="Arial" w:eastAsia="Arial" w:hAnsi="Arial"/>
          <w:sz w:val="16"/>
          <w:szCs w:val="16"/>
          <w:color w:val="auto"/>
        </w:rPr>
      </w:pPr>
    </w:p>
    <w:p>
      <w:pPr>
        <w:ind w:left="560" w:right="340" w:hanging="282"/>
        <w:spacing w:after="0" w:line="268" w:lineRule="auto"/>
        <w:tabs>
          <w:tab w:leader="none" w:pos="556"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loss was $8.2 million, compared to $6.3 million for the same period last year. Q3 22's loss was primarily driven by stock-based compensation expenses of $13.4 million.</w:t>
      </w:r>
    </w:p>
    <w:p>
      <w:pPr>
        <w:spacing w:after="0" w:line="109" w:lineRule="exact"/>
        <w:rPr>
          <w:rFonts w:ascii="Arial" w:cs="Arial" w:eastAsia="Arial" w:hAnsi="Arial"/>
          <w:sz w:val="16"/>
          <w:szCs w:val="16"/>
          <w:color w:val="auto"/>
        </w:rPr>
      </w:pPr>
    </w:p>
    <w:p>
      <w:pPr>
        <w:ind w:left="1120" w:hanging="274"/>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6"/>
          <w:szCs w:val="16"/>
          <w:color w:val="auto"/>
        </w:rPr>
        <w:t>Non-GAAP net income was $5.1 million.</w:t>
      </w:r>
    </w:p>
    <w:p>
      <w:pPr>
        <w:spacing w:after="0" w:line="135" w:lineRule="exact"/>
        <w:rPr>
          <w:rFonts w:ascii="Arial" w:cs="Arial" w:eastAsia="Arial" w:hAnsi="Arial"/>
          <w:sz w:val="16"/>
          <w:szCs w:val="16"/>
          <w:color w:val="auto"/>
        </w:rPr>
      </w:pPr>
    </w:p>
    <w:p>
      <w:pPr>
        <w:ind w:left="1120" w:hanging="274"/>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6"/>
          <w:szCs w:val="16"/>
          <w:color w:val="auto"/>
        </w:rPr>
        <w:t>Stock-based compensation is expected to decrease going forward. See stock based compensation schedule below for further details.</w:t>
      </w:r>
    </w:p>
    <w:p>
      <w:pPr>
        <w:spacing w:after="0" w:line="135"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was $9.0 million, with an Adjusted EBITDA margin of 21%.</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Interchange derived from the Expensify Card grew to $1.9 million, an increase of 115% compared to the same period last year.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w:t>
      </w:r>
    </w:p>
    <w:p>
      <w:pPr>
        <w:spacing w:after="0" w:line="135" w:lineRule="exact"/>
        <w:rPr>
          <w:sz w:val="20"/>
          <w:szCs w:val="20"/>
          <w:color w:val="auto"/>
        </w:rPr>
      </w:pPr>
    </w:p>
    <w:p>
      <w:pPr>
        <w:ind w:left="560" w:hanging="282"/>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Paid members </w:t>
      </w:r>
      <w:r>
        <w:rPr>
          <w:rFonts w:ascii="Arial" w:cs="Arial" w:eastAsia="Arial" w:hAnsi="Arial"/>
          <w:sz w:val="16"/>
          <w:szCs w:val="16"/>
          <w:color w:val="auto"/>
        </w:rPr>
        <w:t>- Paid members grew to 761,000, an increase of 14% from the same period last year.</w:t>
      </w:r>
    </w:p>
    <w:p>
      <w:pPr>
        <w:spacing w:after="0" w:line="135" w:lineRule="exact"/>
        <w:rPr>
          <w:rFonts w:ascii="Arial" w:cs="Arial" w:eastAsia="Arial" w:hAnsi="Arial"/>
          <w:sz w:val="16"/>
          <w:szCs w:val="16"/>
          <w:color w:val="auto"/>
        </w:rPr>
      </w:pPr>
    </w:p>
    <w:p>
      <w:pPr>
        <w:ind w:left="560" w:right="100" w:hanging="282"/>
        <w:spacing w:after="0" w:line="288" w:lineRule="auto"/>
        <w:tabs>
          <w:tab w:leader="none" w:pos="556"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Buyback </w:t>
      </w:r>
      <w:r>
        <w:rPr>
          <w:rFonts w:ascii="Arial" w:cs="Arial" w:eastAsia="Arial" w:hAnsi="Arial"/>
          <w:sz w:val="16"/>
          <w:szCs w:val="16"/>
          <w:color w:val="auto"/>
        </w:rPr>
        <w:t>- The company previously announced it had obtained authorization to repurchase $50M in shares. In Q3, $4M was spent on net share settlement of RSUs,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announced its plans to begin repurchasing a further $6M at market open on November 11, 2022.</w:t>
      </w:r>
    </w:p>
    <w:p>
      <w:pPr>
        <w:sectPr>
          <w:pgSz w:w="11900" w:h="16838" w:orient="portrait"/>
          <w:cols w:equalWidth="0" w:num="1">
            <w:col w:w="11260"/>
          </w:cols>
          <w:pgMar w:left="320" w:top="123"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0" w:hanging="282"/>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Payroll </w:t>
      </w:r>
      <w:r>
        <w:rPr>
          <w:rFonts w:ascii="Arial" w:cs="Arial" w:eastAsia="Arial" w:hAnsi="Arial"/>
          <w:sz w:val="16"/>
          <w:szCs w:val="16"/>
          <w:color w:val="auto"/>
        </w:rPr>
        <w:t>- Began on-boarding beta customers to Expensify Payroll, with a significant waitlist of interested customers.</w:t>
      </w:r>
    </w:p>
    <w:p>
      <w:pPr>
        <w:spacing w:after="0" w:line="135" w:lineRule="exact"/>
        <w:rPr>
          <w:rFonts w:ascii="Arial" w:cs="Arial" w:eastAsia="Arial" w:hAnsi="Arial"/>
          <w:sz w:val="16"/>
          <w:szCs w:val="16"/>
          <w:color w:val="auto"/>
        </w:rPr>
      </w:pPr>
    </w:p>
    <w:p>
      <w:pPr>
        <w:ind w:left="560" w:right="80" w:hanging="282"/>
        <w:spacing w:after="0" w:line="288"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New Pricing for Accountants </w:t>
      </w:r>
      <w:r>
        <w:rPr>
          <w:rFonts w:ascii="Arial" w:cs="Arial" w:eastAsia="Arial" w:hAnsi="Arial"/>
          <w:sz w:val="16"/>
          <w:szCs w:val="16"/>
          <w:color w:val="auto"/>
        </w:rPr>
        <w:t>- In addition to the Expensify CPA Card and preferred pricing, accounting firms that join the Expensify Approved! Accountants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now receive flexible subscription management and a dedicated account manager for them and their clients.</w:t>
      </w:r>
    </w:p>
    <w:p>
      <w:pPr>
        <w:spacing w:after="0" w:line="78" w:lineRule="exact"/>
        <w:rPr>
          <w:rFonts w:ascii="Arial" w:cs="Arial" w:eastAsia="Arial" w:hAnsi="Arial"/>
          <w:sz w:val="16"/>
          <w:szCs w:val="16"/>
          <w:color w:val="auto"/>
        </w:rPr>
      </w:pPr>
    </w:p>
    <w:p>
      <w:pPr>
        <w:ind w:left="560" w:right="40" w:hanging="282"/>
        <w:spacing w:after="0" w:line="288"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New Account Managers - </w:t>
      </w:r>
      <w:r>
        <w:rPr>
          <w:rFonts w:ascii="Arial" w:cs="Arial" w:eastAsia="Arial" w:hAnsi="Arial"/>
          <w:sz w:val="16"/>
          <w:szCs w:val="16"/>
          <w:color w:val="auto"/>
        </w:rPr>
        <w:t>Top 41% of customers (by revenue) now have a dedicated account manager. The remaining 59% are being evaluated for account managers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near future.</w:t>
      </w:r>
    </w:p>
    <w:p>
      <w:pPr>
        <w:spacing w:after="0" w:line="78" w:lineRule="exact"/>
        <w:rPr>
          <w:rFonts w:ascii="Arial" w:cs="Arial" w:eastAsia="Arial" w:hAnsi="Arial"/>
          <w:sz w:val="16"/>
          <w:szCs w:val="16"/>
          <w:color w:val="auto"/>
        </w:rPr>
      </w:pPr>
    </w:p>
    <w:p>
      <w:pPr>
        <w:ind w:left="560" w:right="140" w:hanging="282"/>
        <w:spacing w:after="0" w:line="288"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Free Plan </w:t>
      </w:r>
      <w:r>
        <w:rPr>
          <w:rFonts w:ascii="Arial" w:cs="Arial" w:eastAsia="Arial" w:hAnsi="Arial"/>
          <w:sz w:val="16"/>
          <w:szCs w:val="16"/>
          <w:color w:val="auto"/>
        </w:rPr>
        <w:t>- More than 15,000 businesses are now using the Expensify Free Plan, which offers corporate cards, expense management, invoicing, and bill payment at no</w:t>
      </w:r>
      <w:r>
        <w:rPr>
          <w:rFonts w:ascii="Arial" w:cs="Arial" w:eastAsia="Arial" w:hAnsi="Arial"/>
          <w:sz w:val="16"/>
          <w:szCs w:val="16"/>
          <w:b w:val="1"/>
          <w:bCs w:val="1"/>
          <w:color w:val="auto"/>
        </w:rPr>
        <w:t xml:space="preserve"> </w:t>
      </w:r>
      <w:r>
        <w:rPr>
          <w:rFonts w:ascii="Arial" w:cs="Arial" w:eastAsia="Arial" w:hAnsi="Arial"/>
          <w:sz w:val="16"/>
          <w:szCs w:val="16"/>
          <w:color w:val="auto"/>
        </w:rPr>
        <w:t>cost.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Outlook</w:t>
      </w:r>
    </w:p>
    <w:p>
      <w:pPr>
        <w:spacing w:after="0" w:line="128"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spacing w:after="0" w:line="189"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We reaffirm our long term guidance provided in connection with our fourth quarter 2021 results of 25-35% revenue growth over a multi-year period, which assumes an eventual return to normalcy of the world economy.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Expensify is also providing an estimate on what stock based compensation is expected to look like for the next four fiscal quarters. Driven primarily by the pre-IPO grant of</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RSUs issued to all employees (which quarterly vest over 8 years with approximately 7 years remaining), stock based compensation is estimated as seen below:</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 stock-based compensation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66675</wp:posOffset>
            </wp:positionV>
            <wp:extent cx="51669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36195</wp:posOffset>
            </wp:positionV>
            <wp:extent cx="70891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76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Q4 2022</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4"/>
              </w:rPr>
              <w:t>Q1 2023</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4"/>
              </w:rPr>
              <w:t>Q2 2023</w:t>
            </w:r>
          </w:p>
        </w:tc>
        <w:tc>
          <w:tcPr>
            <w:tcW w:w="6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8"/>
              </w:rPr>
              <w:t>Q3 2023</w:t>
            </w:r>
          </w:p>
        </w:tc>
        <w:tc>
          <w:tcPr>
            <w:tcW w:w="680" w:type="dxa"/>
            <w:vAlign w:val="bottom"/>
            <w:tcBorders>
              <w:bottom w:val="single" w:sz="8" w:color="auto"/>
            </w:tcBorders>
          </w:tcPr>
          <w:p>
            <w:pPr>
              <w:spacing w:after="0"/>
              <w:rPr>
                <w:sz w:val="20"/>
                <w:szCs w:val="20"/>
                <w:color w:val="auto"/>
              </w:rPr>
            </w:pPr>
          </w:p>
        </w:tc>
      </w:tr>
      <w:tr>
        <w:trPr>
          <w:trHeight w:val="252"/>
        </w:trPr>
        <w:tc>
          <w:tcPr>
            <w:tcW w:w="3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ind w:left="120"/>
              <w:spacing w:after="0"/>
              <w:rPr>
                <w:sz w:val="20"/>
                <w:szCs w:val="20"/>
                <w:color w:val="auto"/>
              </w:rPr>
            </w:pPr>
            <w:r>
              <w:rPr>
                <w:rFonts w:ascii="Arial" w:cs="Arial" w:eastAsia="Arial" w:hAnsi="Arial"/>
                <w:sz w:val="17"/>
                <w:szCs w:val="17"/>
                <w:b w:val="1"/>
                <w:bCs w:val="1"/>
                <w:color w:val="auto"/>
              </w:rPr>
              <w:t>Low</w:t>
            </w:r>
          </w:p>
        </w:tc>
        <w:tc>
          <w:tcPr>
            <w:tcW w:w="280" w:type="dxa"/>
            <w:vAlign w:val="bottom"/>
          </w:tcPr>
          <w:p>
            <w:pPr>
              <w:spacing w:after="0"/>
              <w:rPr>
                <w:sz w:val="21"/>
                <w:szCs w:val="21"/>
                <w:color w:val="auto"/>
              </w:rPr>
            </w:pPr>
          </w:p>
        </w:tc>
        <w:tc>
          <w:tcPr>
            <w:tcW w:w="760" w:type="dxa"/>
            <w:vAlign w:val="bottom"/>
            <w:gridSpan w:val="2"/>
          </w:tcPr>
          <w:p>
            <w:pPr>
              <w:ind w:left="20"/>
              <w:spacing w:after="0"/>
              <w:rPr>
                <w:sz w:val="20"/>
                <w:szCs w:val="20"/>
                <w:color w:val="auto"/>
              </w:rPr>
            </w:pPr>
            <w:r>
              <w:rPr>
                <w:rFonts w:ascii="Arial" w:cs="Arial" w:eastAsia="Arial" w:hAnsi="Arial"/>
                <w:sz w:val="17"/>
                <w:szCs w:val="17"/>
                <w:b w:val="1"/>
                <w:bCs w:val="1"/>
                <w:color w:val="auto"/>
              </w:rPr>
              <w:t>High</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Low</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ind w:left="20"/>
              <w:spacing w:after="0"/>
              <w:rPr>
                <w:sz w:val="20"/>
                <w:szCs w:val="20"/>
                <w:color w:val="auto"/>
              </w:rPr>
            </w:pPr>
            <w:r>
              <w:rPr>
                <w:rFonts w:ascii="Arial" w:cs="Arial" w:eastAsia="Arial" w:hAnsi="Arial"/>
                <w:sz w:val="17"/>
                <w:szCs w:val="17"/>
                <w:b w:val="1"/>
                <w:bCs w:val="1"/>
                <w:color w:val="auto"/>
              </w:rPr>
              <w:t>High</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Low</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173"/>
              <w:spacing w:after="0"/>
              <w:rPr>
                <w:sz w:val="20"/>
                <w:szCs w:val="20"/>
                <w:color w:val="auto"/>
              </w:rPr>
            </w:pPr>
            <w:r>
              <w:rPr>
                <w:rFonts w:ascii="Arial" w:cs="Arial" w:eastAsia="Arial" w:hAnsi="Arial"/>
                <w:sz w:val="17"/>
                <w:szCs w:val="17"/>
                <w:b w:val="1"/>
                <w:bCs w:val="1"/>
                <w:color w:val="auto"/>
                <w:w w:val="95"/>
              </w:rPr>
              <w:t>High</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Low</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213"/>
              <w:spacing w:after="0"/>
              <w:rPr>
                <w:sz w:val="20"/>
                <w:szCs w:val="20"/>
                <w:color w:val="auto"/>
              </w:rPr>
            </w:pPr>
            <w:r>
              <w:rPr>
                <w:rFonts w:ascii="Arial" w:cs="Arial" w:eastAsia="Arial" w:hAnsi="Arial"/>
                <w:sz w:val="17"/>
                <w:szCs w:val="17"/>
                <w:b w:val="1"/>
                <w:bCs w:val="1"/>
                <w:color w:val="auto"/>
                <w:w w:val="95"/>
              </w:rPr>
              <w:t>High</w:t>
            </w:r>
          </w:p>
        </w:tc>
      </w:tr>
      <w:tr>
        <w:trPr>
          <w:trHeight w:val="260"/>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 net</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3.3</w:t>
            </w:r>
          </w:p>
        </w:tc>
        <w:tc>
          <w:tcPr>
            <w:tcW w:w="8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68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51"/>
        </w:trPr>
        <w:tc>
          <w:tcPr>
            <w:tcW w:w="302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84"/>
              </w:rPr>
              <w:t>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w:t>
            </w:r>
          </w:p>
        </w:tc>
        <w:tc>
          <w:tcPr>
            <w:tcW w:w="6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2"/>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7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3.3</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52"/>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Sales and marketing</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1.5</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1.5</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85"/>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9.8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9.5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68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9.3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Availability of Information on Expensify’s Website</w:t>
      </w:r>
    </w:p>
    <w:p>
      <w:pPr>
        <w:spacing w:after="0" w:line="15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151"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color w:val="auto"/>
        </w:rPr>
        <w:t>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Non-GAAP Financial Measures</w:t>
      </w:r>
    </w:p>
    <w:p>
      <w:pPr>
        <w:sectPr>
          <w:pgSz w:w="11900" w:h="16838" w:orient="portrait"/>
          <w:cols w:equalWidth="0" w:num="1">
            <w:col w:w="11260"/>
          </w:cols>
          <w:pgMar w:left="320" w:top="123"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In addition to financial measures prepared in accordance with U.S. generally accepted accounting principles (“GAAP”), we provide certain non-GAAP financial measures, including adjusted EBITDA, adjusted EBITDA margin, non-GAAP net income, and free cash flow.</w:t>
      </w:r>
    </w:p>
    <w:p>
      <w:pPr>
        <w:spacing w:after="0" w:line="169"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spacing w:after="0" w:line="187" w:lineRule="exact"/>
        <w:rPr>
          <w:sz w:val="20"/>
          <w:szCs w:val="20"/>
          <w:color w:val="auto"/>
        </w:rPr>
      </w:pPr>
    </w:p>
    <w:p>
      <w:pPr>
        <w:ind w:right="600"/>
        <w:spacing w:after="0" w:line="273"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We define adjusted EBITDA as net income from operations excluding provision for income taxes, interest and other expenses, net, depreciation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and stock 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Adjusted EBITDA margin. </w:t>
      </w:r>
      <w:r>
        <w:rPr>
          <w:rFonts w:ascii="Arial" w:cs="Arial" w:eastAsia="Arial" w:hAnsi="Arial"/>
          <w:sz w:val="16"/>
          <w:szCs w:val="16"/>
          <w:color w:val="auto"/>
        </w:rPr>
        <w:t>We define adjusted EBITDA margin as adjusted EBITDA divided by total revenue for the same period.</w:t>
      </w:r>
    </w:p>
    <w:p>
      <w:pPr>
        <w:spacing w:after="0" w:line="230"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b w:val="1"/>
          <w:bCs w:val="1"/>
          <w:color w:val="auto"/>
        </w:rPr>
        <w:t xml:space="preserve">Non-GAAP net income. </w:t>
      </w:r>
      <w:r>
        <w:rPr>
          <w:rFonts w:ascii="Arial" w:cs="Arial" w:eastAsia="Arial" w:hAnsi="Arial"/>
          <w:sz w:val="15"/>
          <w:szCs w:val="15"/>
          <w:color w:val="auto"/>
        </w:rPr>
        <w:t>We define non-GAAP net income as net income from operations in accordance with US GAAP excluding stock-based compensation and IPO-related</w:t>
      </w:r>
      <w:r>
        <w:rPr>
          <w:rFonts w:ascii="Arial" w:cs="Arial" w:eastAsia="Arial" w:hAnsi="Arial"/>
          <w:sz w:val="15"/>
          <w:szCs w:val="15"/>
          <w:b w:val="1"/>
          <w:bCs w:val="1"/>
          <w:color w:val="auto"/>
        </w:rPr>
        <w:t xml:space="preserve"> </w:t>
      </w:r>
      <w:r>
        <w:rPr>
          <w:rFonts w:ascii="Arial" w:cs="Arial" w:eastAsia="Arial" w:hAnsi="Arial"/>
          <w:sz w:val="15"/>
          <w:szCs w:val="15"/>
          <w:color w:val="auto"/>
        </w:rPr>
        <w:t>bonus costs. Prior to the fourth quarter of 2021, this metric only excluded IPO-related bonus costs and did not exclude expenses related to stock-based compensation. However, management now believes that further excluding stock-based compensation from non-GAAP net income is useful to better understand the financial performance of our business and to facilitate a better comparison of our results to those of peer companies over multiple periods given that this item may vary between companies for reasons unrelated to overall operating performance. IPO-related bonus costs impacted the second, third and fourth fiscal quarters of 2021 but did not impact the first or second quarters of 2022 and are not expected to impact future periods.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Non-GAAP net income margin. </w:t>
      </w:r>
      <w:r>
        <w:rPr>
          <w:rFonts w:ascii="Arial" w:cs="Arial" w:eastAsia="Arial" w:hAnsi="Arial"/>
          <w:sz w:val="16"/>
          <w:szCs w:val="16"/>
          <w:color w:val="auto"/>
        </w:rPr>
        <w:t>We define non-GAAP net income as non-GAAP net income divided by total revenue for the same period.</w:t>
      </w:r>
    </w:p>
    <w:p>
      <w:pPr>
        <w:spacing w:after="0" w:line="218" w:lineRule="exact"/>
        <w:rPr>
          <w:sz w:val="20"/>
          <w:szCs w:val="20"/>
          <w:color w:val="auto"/>
        </w:rPr>
      </w:pPr>
    </w:p>
    <w:p>
      <w:pPr>
        <w:ind w:right="140"/>
        <w:spacing w:after="0" w:line="324" w:lineRule="auto"/>
        <w:rPr>
          <w:sz w:val="20"/>
          <w:szCs w:val="20"/>
          <w:color w:val="auto"/>
        </w:rPr>
      </w:pPr>
      <w:r>
        <w:rPr>
          <w:rFonts w:ascii="Arial" w:cs="Arial" w:eastAsia="Arial" w:hAnsi="Arial"/>
          <w:sz w:val="15"/>
          <w:szCs w:val="15"/>
          <w:b w:val="1"/>
          <w:bCs w:val="1"/>
          <w:color w:val="auto"/>
        </w:rPr>
        <w:t xml:space="preserve">Free cash flow. </w:t>
      </w:r>
      <w:r>
        <w:rPr>
          <w:rFonts w:ascii="Arial" w:cs="Arial" w:eastAsia="Arial" w:hAnsi="Arial"/>
          <w:sz w:val="15"/>
          <w:szCs w:val="15"/>
          <w:color w:val="auto"/>
        </w:rPr>
        <w:t>We define Free cash flow as net cash (used in) provided by operating activities excluding changes in settlement assets and settlement liabilities, which represent</w:t>
      </w:r>
      <w:r>
        <w:rPr>
          <w:rFonts w:ascii="Arial" w:cs="Arial" w:eastAsia="Arial" w:hAnsi="Arial"/>
          <w:sz w:val="15"/>
          <w:szCs w:val="15"/>
          <w:b w:val="1"/>
          <w:bCs w:val="1"/>
          <w:color w:val="auto"/>
        </w:rPr>
        <w:t xml:space="preserve"> </w:t>
      </w:r>
      <w:r>
        <w:rPr>
          <w:rFonts w:ascii="Arial" w:cs="Arial" w:eastAsia="Arial" w:hAnsi="Arial"/>
          <w:sz w:val="15"/>
          <w:szCs w:val="15"/>
          <w:color w:val="auto"/>
        </w:rPr>
        <w:t>funds held for customers and customer funds in transit, respectively, reduced by the purchases of property and equipment and software development costs.</w:t>
      </w:r>
    </w:p>
    <w:p>
      <w:pPr>
        <w:spacing w:after="0" w:line="153"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tables at the end of the Condensed Consolidated Financial Statements provide reconciliations to the most directly comparable GAAP financial measure to each of these non-GAAP financial measures.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39" w:lineRule="exact"/>
        <w:rPr>
          <w:sz w:val="20"/>
          <w:szCs w:val="20"/>
          <w:color w:val="auto"/>
        </w:rPr>
      </w:pPr>
    </w:p>
    <w:p>
      <w:pPr>
        <w:ind w:right="20"/>
        <w:spacing w:after="0" w:line="323" w:lineRule="auto"/>
        <w:rPr>
          <w:sz w:val="20"/>
          <w:szCs w:val="20"/>
          <w:color w:val="auto"/>
        </w:rPr>
      </w:pPr>
      <w:r>
        <w:rPr>
          <w:rFonts w:ascii="Arial" w:cs="Arial" w:eastAsia="Arial" w:hAnsi="Arial"/>
          <w:sz w:val="14"/>
          <w:szCs w:val="14"/>
          <w:color w:val="auto"/>
        </w:rPr>
        <w:t>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projected costs,</w:t>
      </w:r>
    </w:p>
    <w:p>
      <w:pPr>
        <w:sectPr>
          <w:pgSz w:w="11900" w:h="16838" w:orient="portrait"/>
          <w:cols w:equalWidth="0" w:num="1">
            <w:col w:w="11260"/>
          </w:cols>
          <w:pgMar w:left="320" w:top="123" w:right="31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prospects, plans, objectives of management and expected market growth, our ability to meet our long-term guidance, the amount and timing of any share repurchases, our stock-based compensation estimates and the timing of when we expect the economy to return to normalcy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the war in Ukraine and escalating geopolitical tensions as a result of Russia's invasion of Ukraine; our ability to effectively manage our exposure to fluctuations in foreign currency exchange rates; the increased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Expensify</w:t>
      </w:r>
    </w:p>
    <w:p>
      <w:pPr>
        <w:spacing w:after="0" w:line="139"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Expensify is a payments superapp that helps individuals and businesses around the world simplify the way they manage money. More than 12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Nick Tooker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investors@expensify.com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Press Contact</w:t>
      </w:r>
    </w:p>
    <w:p>
      <w:pPr>
        <w:sectPr>
          <w:pgSz w:w="11900" w:h="16838" w:orient="portrait"/>
          <w:cols w:equalWidth="0" w:num="1">
            <w:col w:w="11260"/>
          </w:cols>
          <w:pgMar w:left="320" w:top="123" w:right="31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James Dean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press@expensify.com</w:t>
      </w:r>
    </w:p>
    <w:p>
      <w:pPr>
        <w:sectPr>
          <w:pgSz w:w="11900" w:h="16838" w:orient="portrait"/>
          <w:cols w:equalWidth="0" w:num="1">
            <w:col w:w="11260"/>
          </w:cols>
          <w:pgMar w:left="320" w:top="123"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 in thousands, except share and per share data)</w:t>
      </w:r>
    </w:p>
    <w:p>
      <w:pPr>
        <w:sectPr>
          <w:pgSz w:w="11900" w:h="16838" w:orient="portrait"/>
          <w:cols w:equalWidth="0" w:num="1">
            <w:col w:w="11260"/>
          </w:cols>
          <w:pgMar w:left="320" w:top="33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8260"/>
        <w:spacing w:after="0"/>
        <w:rPr>
          <w:sz w:val="20"/>
          <w:szCs w:val="20"/>
          <w:color w:val="auto"/>
        </w:rPr>
      </w:pPr>
      <w:r>
        <w:rPr>
          <w:rFonts w:ascii="Arial" w:cs="Arial" w:eastAsia="Arial" w:hAnsi="Arial"/>
          <w:sz w:val="11"/>
          <w:szCs w:val="11"/>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37465</wp:posOffset>
            </wp:positionV>
            <wp:extent cx="9988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8855" cy="7620"/>
                    </a:xfrm>
                    <a:prstGeom prst="rect">
                      <a:avLst/>
                    </a:prstGeom>
                    <a:noFill/>
                  </pic:spPr>
                </pic:pic>
              </a:graphicData>
            </a:graphic>
          </wp:anchor>
        </w:drawing>
      </w:r>
    </w:p>
    <w:p>
      <w:pPr>
        <w:spacing w:after="0" w:line="66" w:lineRule="exact"/>
        <w:rPr>
          <w:sz w:val="20"/>
          <w:szCs w:val="20"/>
          <w:color w:val="auto"/>
        </w:rPr>
      </w:pPr>
    </w:p>
    <w:p>
      <w:pPr>
        <w:jc w:val="center"/>
        <w:ind w:left="8260"/>
        <w:spacing w:after="0"/>
        <w:rPr>
          <w:sz w:val="20"/>
          <w:szCs w:val="20"/>
          <w:color w:val="auto"/>
        </w:rPr>
      </w:pP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8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37465</wp:posOffset>
            </wp:positionV>
            <wp:extent cx="9988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8855" cy="7620"/>
                    </a:xfrm>
                    <a:prstGeom prst="rect">
                      <a:avLst/>
                    </a:prstGeom>
                    <a:noFill/>
                  </pic:spPr>
                </pic:pic>
              </a:graphicData>
            </a:graphic>
          </wp:anchor>
        </w:drawing>
      </w:r>
    </w:p>
    <w:p>
      <w:pPr>
        <w:spacing w:after="0" w:line="66"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2021</w:t>
      </w:r>
    </w:p>
    <w:p>
      <w:pPr>
        <w:spacing w:after="0" w:line="16" w:lineRule="exact"/>
        <w:rPr>
          <w:sz w:val="20"/>
          <w:szCs w:val="20"/>
          <w:color w:val="auto"/>
        </w:rPr>
      </w:pPr>
    </w:p>
    <w:p>
      <w:pPr>
        <w:sectPr>
          <w:pgSz w:w="11900" w:h="16838" w:orient="portrait"/>
          <w:cols w:equalWidth="0" w:num="2">
            <w:col w:w="9340" w:space="600"/>
            <w:col w:w="1320"/>
          </w:cols>
          <w:pgMar w:left="320" w:top="339" w:right="31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5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106,212</w:t>
            </w:r>
          </w:p>
        </w:tc>
        <w:tc>
          <w:tcPr>
            <w:tcW w:w="100" w:type="dxa"/>
            <w:vAlign w:val="bottom"/>
          </w:tcPr>
          <w:p>
            <w:pPr>
              <w:spacing w:after="0"/>
              <w:rPr>
                <w:sz w:val="15"/>
                <w:szCs w:val="15"/>
                <w:color w:val="auto"/>
              </w:rPr>
            </w:pPr>
          </w:p>
        </w:tc>
        <w:tc>
          <w:tcPr>
            <w:tcW w:w="600" w:type="dxa"/>
            <w:vAlign w:val="bottom"/>
          </w:tcPr>
          <w:p>
            <w:pPr>
              <w:jc w:val="right"/>
              <w:ind w:right="4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98,398</w:t>
            </w: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Accounts receivable, net</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16,274</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15,713</w:t>
            </w: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Settlement assets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39,359</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21,880</w:t>
            </w: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Prepaid expenses</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5,698</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7,436</w:t>
            </w: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Related party loan receivable</w:t>
            </w:r>
          </w:p>
        </w:tc>
        <w:tc>
          <w:tcPr>
            <w:tcW w:w="5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Other current assets</w:t>
            </w: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21,247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14,201</w:t>
            </w:r>
          </w:p>
        </w:tc>
      </w:tr>
      <w:tr>
        <w:trPr>
          <w:trHeight w:val="172"/>
        </w:trPr>
        <w:tc>
          <w:tcPr>
            <w:tcW w:w="8020" w:type="dxa"/>
            <w:vAlign w:val="bottom"/>
          </w:tcPr>
          <w:p>
            <w:pPr>
              <w:ind w:left="680"/>
              <w:spacing w:after="0"/>
              <w:rPr>
                <w:sz w:val="20"/>
                <w:szCs w:val="20"/>
                <w:color w:val="auto"/>
              </w:rPr>
            </w:pPr>
            <w:r>
              <w:rPr>
                <w:rFonts w:ascii="Arial" w:cs="Arial" w:eastAsia="Arial" w:hAnsi="Arial"/>
                <w:sz w:val="13"/>
                <w:szCs w:val="13"/>
                <w:color w:val="auto"/>
              </w:rPr>
              <w:t>Total current assets</w:t>
            </w: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188,790</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157,642</w:t>
            </w: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Capitalized software, net</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6,142</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6,359</w:t>
            </w: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Property and equipment, net</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14,872</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15,930</w:t>
            </w: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Lease right-of-use assets</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1,109</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2,202</w:t>
            </w: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Deferred tax assets, net</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370</w:t>
            </w: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Other assets</w:t>
            </w: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710</w:t>
            </w:r>
          </w:p>
        </w:tc>
      </w:tr>
      <w:tr>
        <w:trPr>
          <w:trHeight w:val="193"/>
        </w:trPr>
        <w:tc>
          <w:tcPr>
            <w:tcW w:w="8020" w:type="dxa"/>
            <w:vAlign w:val="bottom"/>
          </w:tcPr>
          <w:p>
            <w:pPr>
              <w:ind w:left="680"/>
              <w:spacing w:after="0"/>
              <w:rPr>
                <w:sz w:val="20"/>
                <w:szCs w:val="20"/>
                <w:color w:val="auto"/>
              </w:rPr>
            </w:pPr>
            <w:r>
              <w:rPr>
                <w:rFonts w:ascii="Arial" w:cs="Arial" w:eastAsia="Arial" w:hAnsi="Arial"/>
                <w:sz w:val="13"/>
                <w:szCs w:val="13"/>
                <w:color w:val="auto"/>
              </w:rPr>
              <w:t>Total assets</w:t>
            </w:r>
          </w:p>
        </w:tc>
        <w:tc>
          <w:tcPr>
            <w:tcW w:w="5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211,693</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183,213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5"/>
        </w:trPr>
        <w:tc>
          <w:tcPr>
            <w:tcW w:w="802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Liabilities and stockholders' equity</w:t>
            </w:r>
          </w:p>
        </w:tc>
        <w:tc>
          <w:tcPr>
            <w:tcW w:w="5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Accounts payable</w:t>
            </w: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2,177</w:t>
            </w:r>
          </w:p>
        </w:tc>
        <w:tc>
          <w:tcPr>
            <w:tcW w:w="100" w:type="dxa"/>
            <w:vAlign w:val="bottom"/>
          </w:tcPr>
          <w:p>
            <w:pPr>
              <w:spacing w:after="0"/>
              <w:rPr>
                <w:sz w:val="15"/>
                <w:szCs w:val="15"/>
                <w:color w:val="auto"/>
              </w:rPr>
            </w:pPr>
          </w:p>
        </w:tc>
        <w:tc>
          <w:tcPr>
            <w:tcW w:w="600" w:type="dxa"/>
            <w:vAlign w:val="bottom"/>
          </w:tcPr>
          <w:p>
            <w:pPr>
              <w:jc w:val="right"/>
              <w:ind w:right="4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3,752</w:t>
            </w: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Accrued expenses and other liabilities</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7,862</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11,046</w:t>
            </w: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Borrowings under line of credit</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15,000</w:t>
            </w: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Current portion of long-term debt, net of original issuance discount and debt issuance costs</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549</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549</w:t>
            </w: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Lease liabilities, current</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1,549</w:t>
            </w: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Settlement liabilities</w:t>
            </w: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36,383</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21,680</w:t>
            </w:r>
          </w:p>
        </w:tc>
      </w:tr>
      <w:tr>
        <w:trPr>
          <w:trHeight w:val="172"/>
        </w:trPr>
        <w:tc>
          <w:tcPr>
            <w:tcW w:w="8020" w:type="dxa"/>
            <w:vAlign w:val="bottom"/>
          </w:tcPr>
          <w:p>
            <w:pPr>
              <w:ind w:left="680"/>
              <w:spacing w:after="0"/>
              <w:rPr>
                <w:sz w:val="20"/>
                <w:szCs w:val="20"/>
                <w:color w:val="auto"/>
              </w:rPr>
            </w:pPr>
            <w:r>
              <w:rPr>
                <w:rFonts w:ascii="Arial" w:cs="Arial" w:eastAsia="Arial" w:hAnsi="Arial"/>
                <w:sz w:val="13"/>
                <w:szCs w:val="13"/>
                <w:color w:val="auto"/>
              </w:rPr>
              <w:t>Total current liabilities</w:t>
            </w: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63,161</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53,576</w:t>
            </w: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Lease liabilities, non-current</w:t>
            </w:r>
          </w:p>
        </w:tc>
        <w:tc>
          <w:tcPr>
            <w:tcW w:w="5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802</w:t>
            </w: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Other liabilities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1,145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153</w:t>
            </w: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Long-term debt, net of original issuance discount and debt issuance costs</w:t>
            </w: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51,572</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52,067</w:t>
            </w:r>
          </w:p>
        </w:tc>
      </w:tr>
      <w:tr>
        <w:trPr>
          <w:trHeight w:val="172"/>
        </w:trPr>
        <w:tc>
          <w:tcPr>
            <w:tcW w:w="8020" w:type="dxa"/>
            <w:vAlign w:val="bottom"/>
          </w:tcPr>
          <w:p>
            <w:pPr>
              <w:ind w:left="680"/>
              <w:spacing w:after="0"/>
              <w:rPr>
                <w:sz w:val="20"/>
                <w:szCs w:val="20"/>
                <w:color w:val="auto"/>
              </w:rPr>
            </w:pPr>
            <w:r>
              <w:rPr>
                <w:rFonts w:ascii="Arial" w:cs="Arial" w:eastAsia="Arial" w:hAnsi="Arial"/>
                <w:sz w:val="13"/>
                <w:szCs w:val="13"/>
                <w:color w:val="auto"/>
              </w:rPr>
              <w:t>Total liabilities</w:t>
            </w: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115,878</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106,598</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4)</w:t>
            </w:r>
          </w:p>
        </w:tc>
        <w:tc>
          <w:tcPr>
            <w:tcW w:w="5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7"/>
              </w:rPr>
              <w:t>Common stock, par value $0.0001; 1,000,000,000 shares of Class A common stock authorized as of September 30, 2022 and December 31, 2021; 68,575,385</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and 67,844,060 shares of Class A common stock issued and outstanding as of September 30, 2022 and December 31, 2021, respectively; 24,997,561 and</w:t>
            </w: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9"/>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25,000,000 shares of LT10 common stock authorized as of September 30, 2022 and December 31, 2021, respectively; 7,336,191 and 7,332,640 shares of</w:t>
            </w: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0"/>
              </w:rPr>
              <w:t>LT10 common stock issued and outstanding as of September 30, 2022 and December 31, 2021, respectively; 24,999,170 and 25,000,000 shares of LT50</w:t>
            </w: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7"/>
              </w:rPr>
              <w:t>common stock authorized as of September 30, 2022 and December 31, 2021, respectively; 6,732,693 and 6,224,160 shares of LT50 common stock issued and</w:t>
            </w: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9"/>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outstanding as of September 30, 2022 and December 31, 2021, respectively; preferred stock, par value $0.0001; 10,000,000 shares of preferred stock</w:t>
            </w: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authorized as of September 30, 2022 and December 31, 2021; no shares of preferred stock issued and outstanding as of September 30, 2022 and</w:t>
            </w: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December 31, 2021</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Additional paid-in capital</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185,326</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142,515</w:t>
            </w: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Accumulated deficit</w:t>
            </w: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(89,518)</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(65,906)</w:t>
            </w:r>
          </w:p>
        </w:tc>
      </w:tr>
      <w:tr>
        <w:trPr>
          <w:trHeight w:val="172"/>
        </w:trPr>
        <w:tc>
          <w:tcPr>
            <w:tcW w:w="8020" w:type="dxa"/>
            <w:vAlign w:val="bottom"/>
          </w:tcPr>
          <w:p>
            <w:pPr>
              <w:ind w:left="640"/>
              <w:spacing w:after="0"/>
              <w:rPr>
                <w:sz w:val="20"/>
                <w:szCs w:val="20"/>
                <w:color w:val="auto"/>
              </w:rPr>
            </w:pPr>
            <w:r>
              <w:rPr>
                <w:rFonts w:ascii="Arial" w:cs="Arial" w:eastAsia="Arial" w:hAnsi="Arial"/>
                <w:sz w:val="13"/>
                <w:szCs w:val="13"/>
                <w:color w:val="auto"/>
              </w:rPr>
              <w:t>Total stockholders' equity</w:t>
            </w: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95,815</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76,615</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8"/>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3"/>
                <w:szCs w:val="13"/>
                <w:color w:val="auto"/>
              </w:rPr>
              <w:t>Total liabilities and stockholders' equity</w:t>
            </w:r>
          </w:p>
        </w:tc>
        <w:tc>
          <w:tcPr>
            <w:tcW w:w="580" w:type="dxa"/>
            <w:vAlign w:val="bottom"/>
            <w:tcBorders>
              <w:bottom w:val="single" w:sz="8" w:color="auto"/>
            </w:tcBorders>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211,693</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183,213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339" w:right="319" w:bottom="1440" w:gutter="0" w:footer="0" w:header="0"/>
          <w:type w:val="continuous"/>
        </w:sectPr>
      </w:pPr>
    </w:p>
    <w:bookmarkStart w:id="9" w:name="page10"/>
    <w:bookmarkEnd w:id="9"/>
    <w:p>
      <w:pPr>
        <w:jc w:val="center"/>
        <w:ind w:right="-177"/>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ind w:right="-177"/>
        <w:spacing w:after="0"/>
        <w:rPr>
          <w:sz w:val="20"/>
          <w:szCs w:val="20"/>
          <w:color w:val="auto"/>
        </w:rPr>
      </w:pPr>
      <w:r>
        <w:rPr>
          <w:rFonts w:ascii="Arial" w:cs="Arial" w:eastAsia="Arial" w:hAnsi="Arial"/>
          <w:sz w:val="19"/>
          <w:szCs w:val="19"/>
          <w:b w:val="1"/>
          <w:bCs w:val="1"/>
          <w:color w:val="auto"/>
        </w:rPr>
        <w:t>Condensed Consolidated Statements of Operations</w:t>
      </w:r>
    </w:p>
    <w:p>
      <w:pPr>
        <w:spacing w:after="0" w:line="18" w:lineRule="exact"/>
        <w:rPr>
          <w:sz w:val="20"/>
          <w:szCs w:val="20"/>
          <w:color w:val="auto"/>
        </w:rPr>
      </w:pPr>
    </w:p>
    <w:p>
      <w:pPr>
        <w:jc w:val="center"/>
        <w:ind w:right="-177"/>
        <w:spacing w:after="0"/>
        <w:rPr>
          <w:sz w:val="20"/>
          <w:szCs w:val="20"/>
          <w:color w:val="auto"/>
        </w:rPr>
      </w:pPr>
      <w:r>
        <w:rPr>
          <w:rFonts w:ascii="Arial" w:cs="Arial" w:eastAsia="Arial" w:hAnsi="Arial"/>
          <w:sz w:val="16"/>
          <w:szCs w:val="16"/>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185420</wp:posOffset>
            </wp:positionV>
            <wp:extent cx="61956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5695" cy="15240"/>
                    </a:xfrm>
                    <a:prstGeom prst="rect">
                      <a:avLst/>
                    </a:prstGeom>
                    <a:noFill/>
                  </pic:spPr>
                </pic:pic>
              </a:graphicData>
            </a:graphic>
          </wp:anchor>
        </w:drawing>
      </w:r>
    </w:p>
    <w:p>
      <w:pPr>
        <w:spacing w:after="0" w:line="303" w:lineRule="exact"/>
        <w:rPr>
          <w:sz w:val="20"/>
          <w:szCs w:val="20"/>
          <w:color w:val="auto"/>
        </w:rPr>
      </w:pPr>
    </w:p>
    <w:tbl>
      <w:tblPr>
        <w:tblLayout w:type="fixed"/>
        <w:tblInd w:w="198"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b w:val="1"/>
                <w:bCs w:val="1"/>
                <w:color w:val="auto"/>
                <w:w w:val="98"/>
              </w:rPr>
              <w:t>Three months ended September 30,</w:t>
            </w:r>
          </w:p>
        </w:tc>
        <w:tc>
          <w:tcPr>
            <w:tcW w:w="180" w:type="dxa"/>
            <w:vAlign w:val="bottom"/>
          </w:tcPr>
          <w:p>
            <w:pPr>
              <w:spacing w:after="0"/>
              <w:rPr>
                <w:sz w:val="17"/>
                <w:szCs w:val="17"/>
                <w:color w:val="auto"/>
              </w:rPr>
            </w:pPr>
          </w:p>
        </w:tc>
        <w:tc>
          <w:tcPr>
            <w:tcW w:w="2620" w:type="dxa"/>
            <w:vAlign w:val="bottom"/>
            <w:gridSpan w:val="4"/>
          </w:tcPr>
          <w:p>
            <w:pPr>
              <w:jc w:val="right"/>
              <w:ind w:right="161"/>
              <w:spacing w:after="0"/>
              <w:rPr>
                <w:sz w:val="20"/>
                <w:szCs w:val="20"/>
                <w:color w:val="auto"/>
              </w:rPr>
            </w:pPr>
            <w:r>
              <w:rPr>
                <w:rFonts w:ascii="Arial" w:cs="Arial" w:eastAsia="Arial" w:hAnsi="Arial"/>
                <w:sz w:val="16"/>
                <w:szCs w:val="16"/>
                <w:b w:val="1"/>
                <w:bCs w:val="1"/>
                <w:color w:val="auto"/>
                <w:w w:val="89"/>
              </w:rPr>
              <w:t>Nine months ended September 30,</w:t>
            </w: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5"/>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5"/>
          </w:tcPr>
          <w:p>
            <w:pPr>
              <w:ind w:left="40"/>
              <w:spacing w:after="0"/>
              <w:rPr>
                <w:sz w:val="20"/>
                <w:szCs w:val="20"/>
                <w:color w:val="auto"/>
              </w:rPr>
            </w:pPr>
            <w:r>
              <w:rPr>
                <w:rFonts w:ascii="Arial" w:cs="Arial" w:eastAsia="Arial" w:hAnsi="Arial"/>
                <w:sz w:val="16"/>
                <w:szCs w:val="16"/>
                <w:b w:val="1"/>
                <w:bCs w:val="1"/>
                <w:color w:val="auto"/>
                <w:w w:val="95"/>
              </w:rPr>
              <w:t>(in thousands, except per share data)</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42,493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37,447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126,026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102,471</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 net</w:t>
            </w:r>
            <w:r>
              <w:rPr>
                <w:rFonts w:ascii="Arial" w:cs="Arial" w:eastAsia="Arial" w:hAnsi="Arial"/>
                <w:sz w:val="20"/>
                <w:szCs w:val="20"/>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16,554</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18,197</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46,564</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33,768</w:t>
            </w:r>
          </w:p>
        </w:tc>
        <w:tc>
          <w:tcPr>
            <w:tcW w:w="0" w:type="dxa"/>
            <w:vAlign w:val="bottom"/>
          </w:tcPr>
          <w:p>
            <w:pPr>
              <w:spacing w:after="0"/>
              <w:rPr>
                <w:sz w:val="1"/>
                <w:szCs w:val="1"/>
                <w:color w:val="auto"/>
              </w:rPr>
            </w:pPr>
          </w:p>
        </w:tc>
      </w:tr>
      <w:tr>
        <w:trPr>
          <w:trHeight w:val="24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margin</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25,939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19,250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79,462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68,703</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8,138</w:t>
            </w:r>
          </w:p>
        </w:tc>
        <w:tc>
          <w:tcPr>
            <w:tcW w:w="0" w:type="dxa"/>
            <w:vAlign w:val="bottom"/>
          </w:tcPr>
          <w:p>
            <w:pPr>
              <w:spacing w:after="0"/>
              <w:rPr>
                <w:sz w:val="1"/>
                <w:szCs w:val="1"/>
                <w:color w:val="auto"/>
              </w:rPr>
            </w:pPr>
          </w:p>
        </w:tc>
      </w:tr>
      <w:tr>
        <w:trPr>
          <w:trHeight w:val="248"/>
        </w:trPr>
        <w:tc>
          <w:tcPr>
            <w:tcW w:w="4060" w:type="dxa"/>
            <w:vAlign w:val="bottom"/>
          </w:tcPr>
          <w:p>
            <w:pPr>
              <w:ind w:left="20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0"/>
                <w:szCs w:val="20"/>
                <w:color w:val="auto"/>
                <w:vertAlign w:val="superscript"/>
              </w:rPr>
              <w:t>(1)</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18,333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45,335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35,827</w:t>
            </w:r>
          </w:p>
        </w:tc>
        <w:tc>
          <w:tcPr>
            <w:tcW w:w="0" w:type="dxa"/>
            <w:vAlign w:val="bottom"/>
          </w:tcPr>
          <w:p>
            <w:pPr>
              <w:spacing w:after="0"/>
              <w:rPr>
                <w:sz w:val="1"/>
                <w:szCs w:val="1"/>
                <w:color w:val="auto"/>
              </w:rPr>
            </w:pPr>
          </w:p>
        </w:tc>
      </w:tr>
      <w:tr>
        <w:trPr>
          <w:trHeight w:val="248"/>
        </w:trPr>
        <w:tc>
          <w:tcPr>
            <w:tcW w:w="4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0"/>
                <w:szCs w:val="20"/>
                <w:color w:val="auto"/>
                <w:vertAlign w:val="superscript"/>
              </w:rPr>
              <w:t>(1)</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12,342</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37,958</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14,555</w:t>
            </w:r>
          </w:p>
        </w:tc>
        <w:tc>
          <w:tcPr>
            <w:tcW w:w="0" w:type="dxa"/>
            <w:vAlign w:val="bottom"/>
          </w:tcPr>
          <w:p>
            <w:pPr>
              <w:spacing w:after="0"/>
              <w:rPr>
                <w:sz w:val="1"/>
                <w:szCs w:val="1"/>
                <w:color w:val="auto"/>
              </w:rPr>
            </w:pPr>
          </w:p>
        </w:tc>
      </w:tr>
      <w:tr>
        <w:trPr>
          <w:trHeight w:val="203"/>
        </w:trPr>
        <w:tc>
          <w:tcPr>
            <w:tcW w:w="40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28,108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93,994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58,520</w:t>
            </w: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income from operations</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(14,532)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10,183</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income before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7,623</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income allocated to participating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6"/>
                <w:szCs w:val="16"/>
                <w:color w:val="auto"/>
              </w:rPr>
              <w:t>Net (loss) income attributable to Class A, LT10 and LT50</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(8,242)</w:t>
            </w:r>
          </w:p>
        </w:tc>
        <w:tc>
          <w:tcPr>
            <w:tcW w:w="8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(6,345)</w:t>
            </w:r>
          </w:p>
        </w:tc>
        <w:tc>
          <w:tcPr>
            <w:tcW w:w="80" w:type="dxa"/>
            <w:vAlign w:val="bottom"/>
          </w:tcPr>
          <w:p>
            <w:pPr>
              <w:spacing w:after="0"/>
              <w:rPr>
                <w:sz w:val="16"/>
                <w:szCs w:val="16"/>
                <w:color w:val="auto"/>
              </w:rPr>
            </w:pPr>
          </w:p>
        </w:tc>
        <w:tc>
          <w:tcPr>
            <w:tcW w:w="1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(23,612)</w:t>
            </w:r>
          </w:p>
        </w:tc>
        <w:tc>
          <w:tcPr>
            <w:tcW w:w="80" w:type="dxa"/>
            <w:vAlign w:val="bottom"/>
          </w:tcPr>
          <w:p>
            <w:pPr>
              <w:spacing w:after="0"/>
              <w:rPr>
                <w:sz w:val="16"/>
                <w:szCs w:val="16"/>
                <w:color w:val="auto"/>
              </w:rPr>
            </w:pPr>
          </w:p>
        </w:tc>
        <w:tc>
          <w:tcPr>
            <w:tcW w:w="320" w:type="dxa"/>
            <w:vAlign w:val="bottom"/>
            <w:tcBorders>
              <w:top w:val="single" w:sz="8" w:color="auto"/>
            </w:tcBorders>
            <w:vMerge w:val="restart"/>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2,704</w:t>
            </w:r>
          </w:p>
        </w:tc>
        <w:tc>
          <w:tcPr>
            <w:tcW w:w="0" w:type="dxa"/>
            <w:vAlign w:val="bottom"/>
          </w:tcPr>
          <w:p>
            <w:pPr>
              <w:spacing w:after="0"/>
              <w:rPr>
                <w:sz w:val="1"/>
                <w:szCs w:val="1"/>
                <w:color w:val="auto"/>
              </w:rPr>
            </w:pPr>
          </w:p>
        </w:tc>
      </w:tr>
      <w:tr>
        <w:trPr>
          <w:trHeight w:val="207"/>
        </w:trPr>
        <w:tc>
          <w:tcPr>
            <w:tcW w:w="4060" w:type="dxa"/>
            <w:vAlign w:val="bottom"/>
          </w:tcPr>
          <w:p>
            <w:pPr>
              <w:ind w:left="140"/>
              <w:spacing w:after="0"/>
              <w:rPr>
                <w:sz w:val="20"/>
                <w:szCs w:val="20"/>
                <w:color w:val="auto"/>
              </w:rPr>
            </w:pPr>
            <w:r>
              <w:rPr>
                <w:rFonts w:ascii="Arial" w:cs="Arial" w:eastAsia="Arial" w:hAnsi="Arial"/>
                <w:sz w:val="16"/>
                <w:szCs w:val="16"/>
                <w:color w:val="auto"/>
              </w:rPr>
              <w:t>common stockholders</w:t>
            </w:r>
          </w:p>
        </w:tc>
        <w:tc>
          <w:tcPr>
            <w:tcW w:w="14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3"/>
              </w:rPr>
              <w:t>Net (loss) income per share attributable to Class A, LT10 and</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LT50 common stockholders:</w:t>
            </w: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w w:val="88"/>
              </w:rPr>
              <w:t>Weighted-average shares of common stock used to compute net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60" w:type="dxa"/>
            <w:vAlign w:val="bottom"/>
          </w:tcPr>
          <w:p>
            <w:pPr>
              <w:ind w:left="140"/>
              <w:spacing w:after="0"/>
              <w:rPr>
                <w:sz w:val="20"/>
                <w:szCs w:val="20"/>
                <w:color w:val="auto"/>
              </w:rPr>
            </w:pPr>
            <w:r>
              <w:rPr>
                <w:rFonts w:ascii="Arial" w:cs="Arial" w:eastAsia="Arial" w:hAnsi="Arial"/>
                <w:sz w:val="16"/>
                <w:szCs w:val="16"/>
                <w:color w:val="auto"/>
                <w:w w:val="96"/>
              </w:rPr>
              <w:t>(loss) income per share attributable to Class A, LT10 and</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60" w:type="dxa"/>
            <w:vAlign w:val="bottom"/>
          </w:tcPr>
          <w:p>
            <w:pPr>
              <w:ind w:left="140"/>
              <w:spacing w:after="0"/>
              <w:rPr>
                <w:sz w:val="20"/>
                <w:szCs w:val="20"/>
                <w:color w:val="auto"/>
              </w:rPr>
            </w:pPr>
            <w:r>
              <w:rPr>
                <w:rFonts w:ascii="Arial" w:cs="Arial" w:eastAsia="Arial" w:hAnsi="Arial"/>
                <w:sz w:val="16"/>
                <w:szCs w:val="16"/>
                <w:color w:val="auto"/>
              </w:rPr>
              <w:t>LT50 common stockholders: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80,941,664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34,490,860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80,523,557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31,301,387</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80,941,664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34,490,860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80,523,557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41,452,880</w:t>
            </w:r>
          </w:p>
        </w:tc>
        <w:tc>
          <w:tcPr>
            <w:tcW w:w="0" w:type="dxa"/>
            <w:vAlign w:val="bottom"/>
          </w:tcPr>
          <w:p>
            <w:pPr>
              <w:spacing w:after="0"/>
              <w:rPr>
                <w:sz w:val="1"/>
                <w:szCs w:val="1"/>
                <w:color w:val="auto"/>
              </w:rPr>
            </w:pPr>
          </w:p>
        </w:tc>
      </w:tr>
      <w:tr>
        <w:trPr>
          <w:trHeight w:val="64"/>
        </w:trPr>
        <w:tc>
          <w:tcPr>
            <w:tcW w:w="406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558" w:hanging="558"/>
        <w:spacing w:after="0"/>
        <w:tabs>
          <w:tab w:leader="none" w:pos="558"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20320</wp:posOffset>
            </wp:positionV>
            <wp:extent cx="567753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7535" cy="15240"/>
                    </a:xfrm>
                    <a:prstGeom prst="rect">
                      <a:avLst/>
                    </a:prstGeom>
                    <a:noFill/>
                  </pic:spPr>
                </pic:pic>
              </a:graphicData>
            </a:graphic>
          </wp:anchor>
        </w:drawing>
      </w:r>
    </w:p>
    <w:p>
      <w:pPr>
        <w:spacing w:after="0" w:line="51" w:lineRule="exact"/>
        <w:rPr>
          <w:sz w:val="20"/>
          <w:szCs w:val="20"/>
          <w:color w:val="auto"/>
        </w:rPr>
      </w:pPr>
    </w:p>
    <w:tbl>
      <w:tblPr>
        <w:tblLayout w:type="fixed"/>
        <w:tblInd w:w="738" w:type="dxa"/>
        <w:tblCellMar>
          <w:top w:w="0" w:type="dxa"/>
          <w:left w:w="0" w:type="dxa"/>
          <w:bottom w:w="0" w:type="dxa"/>
          <w:right w:w="0" w:type="dxa"/>
        </w:tblCellMar>
      </w:tblPr>
      <w:tr>
        <w:trPr>
          <w:trHeight w:val="164"/>
        </w:trPr>
        <w:tc>
          <w:tcPr>
            <w:tcW w:w="374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Arial" w:cs="Arial" w:eastAsia="Arial" w:hAnsi="Arial"/>
                <w:sz w:val="13"/>
                <w:szCs w:val="13"/>
                <w:b w:val="1"/>
                <w:bCs w:val="1"/>
                <w:color w:val="auto"/>
                <w:w w:val="99"/>
              </w:rPr>
              <w:t>Three months ended 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304"/>
              <w:spacing w:after="0"/>
              <w:rPr>
                <w:sz w:val="20"/>
                <w:szCs w:val="20"/>
                <w:color w:val="auto"/>
              </w:rPr>
            </w:pPr>
            <w:r>
              <w:rPr>
                <w:rFonts w:ascii="Arial" w:cs="Arial" w:eastAsia="Arial" w:hAnsi="Arial"/>
                <w:sz w:val="13"/>
                <w:szCs w:val="13"/>
                <w:b w:val="1"/>
                <w:bCs w:val="1"/>
                <w:color w:val="auto"/>
                <w:w w:val="91"/>
              </w:rPr>
              <w:t>Nine months ended September 30,</w:t>
            </w:r>
          </w:p>
        </w:tc>
      </w:tr>
      <w:tr>
        <w:trPr>
          <w:trHeight w:val="21"/>
        </w:trPr>
        <w:tc>
          <w:tcPr>
            <w:tcW w:w="3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2"/>
        </w:trPr>
        <w:tc>
          <w:tcPr>
            <w:tcW w:w="3740" w:type="dxa"/>
            <w:vAlign w:val="bottom"/>
          </w:tcPr>
          <w:p>
            <w:pPr>
              <w:spacing w:after="0"/>
              <w:rPr>
                <w:sz w:val="14"/>
                <w:szCs w:val="14"/>
                <w:color w:val="auto"/>
              </w:rPr>
            </w:pPr>
          </w:p>
        </w:tc>
        <w:tc>
          <w:tcPr>
            <w:tcW w:w="800" w:type="dxa"/>
            <w:vAlign w:val="bottom"/>
          </w:tcPr>
          <w:p>
            <w:pPr>
              <w:jc w:val="right"/>
              <w:ind w:right="4"/>
              <w:spacing w:after="0"/>
              <w:rPr>
                <w:sz w:val="20"/>
                <w:szCs w:val="20"/>
                <w:color w:val="auto"/>
              </w:rPr>
            </w:pPr>
            <w:r>
              <w:rPr>
                <w:rFonts w:ascii="Arial" w:cs="Arial" w:eastAsia="Arial" w:hAnsi="Arial"/>
                <w:sz w:val="13"/>
                <w:szCs w:val="13"/>
                <w:b w:val="1"/>
                <w:bCs w:val="1"/>
                <w:color w:val="auto"/>
              </w:rPr>
              <w:t>2022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62"/>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43"/>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4"/>
              <w:spacing w:after="0"/>
              <w:rPr>
                <w:sz w:val="20"/>
                <w:szCs w:val="20"/>
                <w:color w:val="auto"/>
              </w:rPr>
            </w:pPr>
            <w:r>
              <w:rPr>
                <w:rFonts w:ascii="Arial" w:cs="Arial" w:eastAsia="Arial" w:hAnsi="Arial"/>
                <w:sz w:val="13"/>
                <w:szCs w:val="13"/>
                <w:b w:val="1"/>
                <w:bCs w:val="1"/>
                <w:color w:val="auto"/>
              </w:rPr>
              <w:t>2021</w:t>
            </w:r>
          </w:p>
        </w:tc>
      </w:tr>
      <w:tr>
        <w:trPr>
          <w:trHeight w:val="21"/>
        </w:trPr>
        <w:tc>
          <w:tcPr>
            <w:tcW w:w="37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Cost of revenue, net</w:t>
            </w:r>
          </w:p>
        </w:tc>
        <w:tc>
          <w:tcPr>
            <w:tcW w:w="800" w:type="dxa"/>
            <w:vAlign w:val="bottom"/>
            <w:tcBorders>
              <w:bottom w:val="single" w:sz="8" w:color="CCEEFF"/>
            </w:tcBorders>
            <w:shd w:val="clear" w:color="auto" w:fill="CCEEFF"/>
          </w:tcPr>
          <w:p>
            <w:pPr>
              <w:jc w:val="right"/>
              <w:ind w:right="684"/>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4,667</w:t>
            </w:r>
          </w:p>
        </w:tc>
        <w:tc>
          <w:tcPr>
            <w:tcW w:w="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1"/>
                <w:szCs w:val="11"/>
                <w:color w:val="auto"/>
                <w:w w:val="97"/>
              </w:rPr>
              <w:t>$</w:t>
            </w:r>
          </w:p>
        </w:tc>
        <w:tc>
          <w:tcPr>
            <w:tcW w:w="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245</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14,278</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670</w:t>
            </w:r>
          </w:p>
        </w:tc>
      </w:tr>
      <w:tr>
        <w:trPr>
          <w:trHeight w:val="164"/>
        </w:trPr>
        <w:tc>
          <w:tcPr>
            <w:tcW w:w="374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1,931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jc w:val="right"/>
              <w:ind w:right="5"/>
              <w:spacing w:after="0"/>
              <w:rPr>
                <w:sz w:val="20"/>
                <w:szCs w:val="20"/>
                <w:color w:val="auto"/>
              </w:rPr>
            </w:pPr>
            <w:r>
              <w:rPr>
                <w:rFonts w:ascii="Arial" w:cs="Arial" w:eastAsia="Arial" w:hAnsi="Arial"/>
                <w:sz w:val="11"/>
                <w:szCs w:val="11"/>
                <w:color w:val="auto"/>
              </w:rPr>
              <w:t>154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6,230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482</w:t>
            </w:r>
          </w:p>
        </w:tc>
      </w:tr>
      <w:tr>
        <w:trPr>
          <w:trHeight w:val="37"/>
        </w:trPr>
        <w:tc>
          <w:tcPr>
            <w:tcW w:w="3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4,624</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410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15,063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1,118</w:t>
            </w:r>
          </w:p>
        </w:tc>
      </w:tr>
      <w:tr>
        <w:trPr>
          <w:trHeight w:val="164"/>
        </w:trPr>
        <w:tc>
          <w:tcPr>
            <w:tcW w:w="3740" w:type="dxa"/>
            <w:vAlign w:val="bottom"/>
          </w:tcPr>
          <w:p>
            <w:pPr>
              <w:ind w:left="20"/>
              <w:spacing w:after="0"/>
              <w:rPr>
                <w:sz w:val="20"/>
                <w:szCs w:val="20"/>
                <w:color w:val="auto"/>
              </w:rPr>
            </w:pPr>
            <w:r>
              <w:rPr>
                <w:rFonts w:ascii="Arial" w:cs="Arial" w:eastAsia="Arial" w:hAnsi="Arial"/>
                <w:sz w:val="12"/>
                <w:szCs w:val="12"/>
                <w:color w:val="auto"/>
              </w:rPr>
              <w:t>Sales and marketing</w:t>
            </w:r>
          </w:p>
        </w:tc>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2,142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jc w:val="right"/>
              <w:ind w:right="5"/>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6,222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225</w:t>
            </w:r>
          </w:p>
        </w:tc>
      </w:tr>
      <w:tr>
        <w:trPr>
          <w:trHeight w:val="37"/>
        </w:trPr>
        <w:tc>
          <w:tcPr>
            <w:tcW w:w="37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9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stock-based compensation expense</w:t>
            </w:r>
          </w:p>
        </w:tc>
        <w:tc>
          <w:tcPr>
            <w:tcW w:w="80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13,364</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1"/>
                <w:szCs w:val="11"/>
                <w:color w:val="auto"/>
                <w:w w:val="97"/>
              </w:rPr>
              <w:t>$</w:t>
            </w:r>
          </w:p>
        </w:tc>
        <w:tc>
          <w:tcPr>
            <w:tcW w:w="2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897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41,793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2,495</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938"/>
          </w:cols>
          <w:pgMar w:left="882" w:top="339" w:right="10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160" w:type="dxa"/>
            <w:vAlign w:val="bottom"/>
            <w:gridSpan w:val="3"/>
          </w:tcPr>
          <w:p>
            <w:pPr>
              <w:jc w:val="right"/>
              <w:ind w:right="185"/>
              <w:spacing w:after="0"/>
              <w:rPr>
                <w:sz w:val="20"/>
                <w:szCs w:val="20"/>
                <w:color w:val="auto"/>
              </w:rPr>
            </w:pPr>
            <w:r>
              <w:rPr>
                <w:rFonts w:ascii="Arial" w:cs="Arial" w:eastAsia="Arial" w:hAnsi="Arial"/>
                <w:sz w:val="11"/>
                <w:szCs w:val="11"/>
                <w:b w:val="1"/>
                <w:bCs w:val="1"/>
                <w:color w:val="auto"/>
              </w:rPr>
              <w:t>Nine months ended September 30,</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760" w:type="dxa"/>
            <w:vAlign w:val="bottom"/>
          </w:tcPr>
          <w:p>
            <w:pPr>
              <w:jc w:val="right"/>
              <w:ind w:right="245"/>
              <w:spacing w:after="0"/>
              <w:rPr>
                <w:sz w:val="20"/>
                <w:szCs w:val="20"/>
                <w:color w:val="auto"/>
              </w:rPr>
            </w:pPr>
            <w:r>
              <w:rPr>
                <w:rFonts w:ascii="Arial" w:cs="Arial" w:eastAsia="Arial" w:hAnsi="Arial"/>
                <w:sz w:val="11"/>
                <w:szCs w:val="11"/>
                <w:b w:val="1"/>
                <w:bCs w:val="1"/>
                <w:color w:val="auto"/>
              </w:rPr>
              <w:t>2022</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20" w:type="dxa"/>
            <w:vAlign w:val="bottom"/>
          </w:tcPr>
          <w:p>
            <w:pPr>
              <w:jc w:val="right"/>
              <w:ind w:right="1305"/>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39"/>
        </w:trPr>
        <w:tc>
          <w:tcPr>
            <w:tcW w:w="5520" w:type="dxa"/>
            <w:vAlign w:val="bottom"/>
            <w:vMerge w:val="restart"/>
          </w:tcPr>
          <w:p>
            <w:pPr>
              <w:ind w:left="20"/>
              <w:spacing w:after="0"/>
              <w:rPr>
                <w:sz w:val="20"/>
                <w:szCs w:val="20"/>
                <w:color w:val="auto"/>
              </w:rPr>
            </w:pPr>
            <w:r>
              <w:rPr>
                <w:rFonts w:ascii="Arial" w:cs="Arial" w:eastAsia="Arial" w:hAnsi="Arial"/>
                <w:sz w:val="11"/>
                <w:szCs w:val="11"/>
                <w:color w:val="auto"/>
              </w:rPr>
              <w:t>Cash flows from operating activities:</w:t>
            </w:r>
          </w:p>
        </w:tc>
        <w:tc>
          <w:tcPr>
            <w:tcW w:w="17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552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income</w:t>
            </w:r>
          </w:p>
        </w:tc>
        <w:tc>
          <w:tcPr>
            <w:tcW w:w="1760" w:type="dxa"/>
            <w:vAlign w:val="bottom"/>
            <w:tcBorders>
              <w:bottom w:val="single" w:sz="8" w:color="CCEEFF"/>
            </w:tcBorders>
            <w:shd w:val="clear" w:color="auto" w:fill="CCEEFF"/>
          </w:tcPr>
          <w:p>
            <w:pPr>
              <w:jc w:val="right"/>
              <w:ind w:right="1625"/>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(23,612)</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1005"/>
              <w:spacing w:after="0"/>
              <w:rPr>
                <w:sz w:val="20"/>
                <w:szCs w:val="20"/>
                <w:color w:val="auto"/>
              </w:rPr>
            </w:pPr>
            <w:r>
              <w:rPr>
                <w:rFonts w:ascii="Arial" w:cs="Arial" w:eastAsia="Arial" w:hAnsi="Arial"/>
                <w:sz w:val="11"/>
                <w:szCs w:val="11"/>
                <w:color w:val="auto"/>
                <w:w w:val="97"/>
              </w:rPr>
              <w:t>$</w:t>
            </w: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8,329</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Adjustments to reconcile net (loss) income to net cash provided by operating activities:</w:t>
            </w:r>
          </w:p>
        </w:tc>
        <w:tc>
          <w:tcPr>
            <w:tcW w:w="1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4,072</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3,732</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Reduction of operating lease right-of-use assets</w:t>
            </w:r>
          </w:p>
        </w:tc>
        <w:tc>
          <w:tcPr>
            <w:tcW w:w="176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531</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ind w:right="5"/>
              <w:spacing w:after="0"/>
              <w:rPr>
                <w:sz w:val="20"/>
                <w:szCs w:val="20"/>
                <w:color w:val="auto"/>
              </w:rPr>
            </w:pPr>
            <w:r>
              <w:rPr>
                <w:rFonts w:ascii="Arial" w:cs="Arial" w:eastAsia="Arial" w:hAnsi="Arial"/>
                <w:sz w:val="11"/>
                <w:szCs w:val="11"/>
                <w:color w:val="auto"/>
              </w:rPr>
              <w:t>552</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on impairment, receivables and sale or disposal of equipment</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722</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283</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76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41,793</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ind w:right="5"/>
              <w:spacing w:after="0"/>
              <w:rPr>
                <w:sz w:val="20"/>
                <w:szCs w:val="20"/>
                <w:color w:val="auto"/>
              </w:rPr>
            </w:pPr>
            <w:r>
              <w:rPr>
                <w:rFonts w:ascii="Arial" w:cs="Arial" w:eastAsia="Arial" w:hAnsi="Arial"/>
                <w:sz w:val="11"/>
                <w:szCs w:val="11"/>
                <w:color w:val="auto"/>
              </w:rPr>
              <w:t>2,495</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Amortization of original issuance discount and debt issuance costs</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22</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Deferred tax assets</w:t>
            </w:r>
          </w:p>
        </w:tc>
        <w:tc>
          <w:tcPr>
            <w:tcW w:w="176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170</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Changes in assets and liabilities:</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Accounts receivable, net</w:t>
            </w:r>
          </w:p>
        </w:tc>
        <w:tc>
          <w:tcPr>
            <w:tcW w:w="17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(1,016)</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1"/>
                <w:szCs w:val="11"/>
                <w:color w:val="auto"/>
              </w:rPr>
              <w:t>(3,865)</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Settlement assets</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(10,096)</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(3,344)</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Prepaid expenses</w:t>
            </w:r>
          </w:p>
        </w:tc>
        <w:tc>
          <w:tcPr>
            <w:tcW w:w="176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1,738</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1"/>
                <w:szCs w:val="11"/>
                <w:color w:val="auto"/>
              </w:rPr>
              <w:t>(2,886)</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Related party loan receivable</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(224)</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Other current assets</w:t>
            </w:r>
          </w:p>
        </w:tc>
        <w:tc>
          <w:tcPr>
            <w:tcW w:w="176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558</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ind w:right="5"/>
              <w:spacing w:after="0"/>
              <w:rPr>
                <w:sz w:val="20"/>
                <w:szCs w:val="20"/>
                <w:color w:val="auto"/>
              </w:rPr>
            </w:pPr>
            <w:r>
              <w:rPr>
                <w:rFonts w:ascii="Arial" w:cs="Arial" w:eastAsia="Arial" w:hAnsi="Arial"/>
                <w:sz w:val="11"/>
                <w:szCs w:val="11"/>
                <w:color w:val="auto"/>
              </w:rPr>
              <w:t>1,212</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Other assets</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17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(1,575)</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1"/>
                <w:szCs w:val="11"/>
                <w:color w:val="auto"/>
              </w:rPr>
              <w:t>(330)</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Accrued expenses and other liabilities</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(2,195)</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18,870</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Operating lease liabilities</w:t>
            </w:r>
          </w:p>
        </w:tc>
        <w:tc>
          <w:tcPr>
            <w:tcW w:w="17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(601)</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1"/>
                <w:szCs w:val="11"/>
                <w:color w:val="auto"/>
              </w:rPr>
              <w:t>(614)</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Settlement liabilities</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14,703</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10,699</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Other liabilities</w:t>
            </w:r>
          </w:p>
        </w:tc>
        <w:tc>
          <w:tcPr>
            <w:tcW w:w="176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990</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1"/>
                <w:szCs w:val="11"/>
                <w:color w:val="auto"/>
              </w:rPr>
              <w:t>(472)</w:t>
            </w:r>
          </w:p>
        </w:tc>
        <w:tc>
          <w:tcPr>
            <w:tcW w:w="0" w:type="dxa"/>
            <w:vAlign w:val="bottom"/>
          </w:tcPr>
          <w:p>
            <w:pPr>
              <w:spacing w:after="0"/>
              <w:rPr>
                <w:sz w:val="1"/>
                <w:szCs w:val="1"/>
                <w:color w:val="auto"/>
              </w:rPr>
            </w:pPr>
          </w:p>
        </w:tc>
      </w:tr>
      <w:tr>
        <w:trPr>
          <w:trHeight w:val="39"/>
        </w:trPr>
        <w:tc>
          <w:tcPr>
            <w:tcW w:w="552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17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26,229</w:t>
            </w: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34,580</w:t>
            </w:r>
          </w:p>
        </w:tc>
        <w:tc>
          <w:tcPr>
            <w:tcW w:w="0" w:type="dxa"/>
            <w:vAlign w:val="bottom"/>
          </w:tcPr>
          <w:p>
            <w:pPr>
              <w:spacing w:after="0"/>
              <w:rPr>
                <w:sz w:val="1"/>
                <w:szCs w:val="1"/>
                <w:color w:val="auto"/>
              </w:rPr>
            </w:pPr>
          </w:p>
        </w:tc>
      </w:tr>
      <w:tr>
        <w:trPr>
          <w:trHeight w:val="130"/>
        </w:trPr>
        <w:tc>
          <w:tcPr>
            <w:tcW w:w="5520" w:type="dxa"/>
            <w:vAlign w:val="bottom"/>
          </w:tcPr>
          <w:p>
            <w:pPr>
              <w:ind w:left="20"/>
              <w:spacing w:after="0"/>
              <w:rPr>
                <w:sz w:val="20"/>
                <w:szCs w:val="20"/>
                <w:color w:val="auto"/>
              </w:rPr>
            </w:pPr>
            <w:r>
              <w:rPr>
                <w:rFonts w:ascii="Arial" w:cs="Arial" w:eastAsia="Arial" w:hAnsi="Arial"/>
                <w:sz w:val="11"/>
                <w:szCs w:val="11"/>
                <w:color w:val="auto"/>
              </w:rPr>
              <w:t>Cash flows from investing activities:</w:t>
            </w:r>
          </w:p>
        </w:tc>
        <w:tc>
          <w:tcPr>
            <w:tcW w:w="17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Purchases of property and equipment</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(467)</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(2,602)</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Software development costs</w:t>
            </w:r>
          </w:p>
        </w:tc>
        <w:tc>
          <w:tcPr>
            <w:tcW w:w="17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(906)</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1"/>
                <w:szCs w:val="11"/>
                <w:color w:val="auto"/>
              </w:rPr>
              <w:t>(4,397)</w:t>
            </w:r>
          </w:p>
        </w:tc>
        <w:tc>
          <w:tcPr>
            <w:tcW w:w="0" w:type="dxa"/>
            <w:vAlign w:val="bottom"/>
          </w:tcPr>
          <w:p>
            <w:pPr>
              <w:spacing w:after="0"/>
              <w:rPr>
                <w:sz w:val="1"/>
                <w:szCs w:val="1"/>
                <w:color w:val="auto"/>
              </w:rPr>
            </w:pPr>
          </w:p>
        </w:tc>
      </w:tr>
      <w:tr>
        <w:trPr>
          <w:trHeight w:val="39"/>
        </w:trPr>
        <w:tc>
          <w:tcPr>
            <w:tcW w:w="552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used by investing activities</w:t>
            </w:r>
          </w:p>
        </w:tc>
        <w:tc>
          <w:tcPr>
            <w:tcW w:w="17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(1,373)</w:t>
            </w: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(6,999)</w:t>
            </w:r>
          </w:p>
        </w:tc>
        <w:tc>
          <w:tcPr>
            <w:tcW w:w="0" w:type="dxa"/>
            <w:vAlign w:val="bottom"/>
          </w:tcPr>
          <w:p>
            <w:pPr>
              <w:spacing w:after="0"/>
              <w:rPr>
                <w:sz w:val="1"/>
                <w:szCs w:val="1"/>
                <w:color w:val="auto"/>
              </w:rPr>
            </w:pPr>
          </w:p>
        </w:tc>
      </w:tr>
      <w:tr>
        <w:trPr>
          <w:trHeight w:val="130"/>
        </w:trPr>
        <w:tc>
          <w:tcPr>
            <w:tcW w:w="5520" w:type="dxa"/>
            <w:vAlign w:val="bottom"/>
          </w:tcPr>
          <w:p>
            <w:pPr>
              <w:ind w:left="20"/>
              <w:spacing w:after="0"/>
              <w:rPr>
                <w:sz w:val="20"/>
                <w:szCs w:val="20"/>
                <w:color w:val="auto"/>
              </w:rPr>
            </w:pPr>
            <w:r>
              <w:rPr>
                <w:rFonts w:ascii="Arial" w:cs="Arial" w:eastAsia="Arial" w:hAnsi="Arial"/>
                <w:sz w:val="11"/>
                <w:szCs w:val="11"/>
                <w:color w:val="auto"/>
              </w:rPr>
              <w:t>Cash flows from financing activities:</w:t>
            </w:r>
          </w:p>
        </w:tc>
        <w:tc>
          <w:tcPr>
            <w:tcW w:w="17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Principal payments of finance leases</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(593)</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(579)</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Principal payments of term loan</w:t>
            </w:r>
          </w:p>
        </w:tc>
        <w:tc>
          <w:tcPr>
            <w:tcW w:w="17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(445)</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1"/>
                <w:szCs w:val="11"/>
                <w:color w:val="auto"/>
              </w:rPr>
              <w:t>(25,157)</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Proceeds from term loan</w:t>
            </w:r>
          </w:p>
        </w:tc>
        <w:tc>
          <w:tcPr>
            <w:tcW w:w="17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45,000</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Repurchases of early exercised stock options</w:t>
            </w:r>
          </w:p>
        </w:tc>
        <w:tc>
          <w:tcPr>
            <w:tcW w:w="17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Proceeds from common stock purchased under Matching Plan</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2,433</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Payments of deferred offering costs</w:t>
            </w:r>
          </w:p>
        </w:tc>
        <w:tc>
          <w:tcPr>
            <w:tcW w:w="17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1"/>
                <w:szCs w:val="11"/>
                <w:color w:val="auto"/>
              </w:rPr>
              <w:t>(4,796)</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Vesting of restricted common stock</w:t>
            </w:r>
          </w:p>
        </w:tc>
        <w:tc>
          <w:tcPr>
            <w:tcW w:w="17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Proceeds from issuance of common stock on exercise of stock options</w:t>
            </w:r>
          </w:p>
        </w:tc>
        <w:tc>
          <w:tcPr>
            <w:tcW w:w="176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700</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ind w:right="5"/>
              <w:spacing w:after="0"/>
              <w:rPr>
                <w:sz w:val="20"/>
                <w:szCs w:val="20"/>
                <w:color w:val="auto"/>
              </w:rPr>
            </w:pPr>
            <w:r>
              <w:rPr>
                <w:rFonts w:ascii="Arial" w:cs="Arial" w:eastAsia="Arial" w:hAnsi="Arial"/>
                <w:sz w:val="11"/>
                <w:szCs w:val="11"/>
                <w:color w:val="auto"/>
              </w:rPr>
              <w:t>2,862</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Payments for employee taxes withheld from stock-based awards</w:t>
            </w:r>
          </w:p>
        </w:tc>
        <w:tc>
          <w:tcPr>
            <w:tcW w:w="17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(4,172)</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5520" w:type="dxa"/>
            <w:vAlign w:val="bottom"/>
          </w:tcPr>
          <w:p>
            <w:pPr>
              <w:ind w:left="20"/>
              <w:spacing w:after="0"/>
              <w:rPr>
                <w:sz w:val="20"/>
                <w:szCs w:val="20"/>
                <w:color w:val="auto"/>
              </w:rPr>
            </w:pPr>
            <w:r>
              <w:rPr>
                <w:rFonts w:ascii="Arial" w:cs="Arial" w:eastAsia="Arial" w:hAnsi="Arial"/>
                <w:sz w:val="11"/>
                <w:szCs w:val="11"/>
                <w:color w:val="auto"/>
              </w:rPr>
              <w:t>Net cash (used) provided by financing activities</w:t>
            </w:r>
          </w:p>
        </w:tc>
        <w:tc>
          <w:tcPr>
            <w:tcW w:w="17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(2,102)</w:t>
            </w:r>
          </w:p>
        </w:tc>
        <w:tc>
          <w:tcPr>
            <w:tcW w:w="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17,564</w:t>
            </w:r>
          </w:p>
        </w:tc>
        <w:tc>
          <w:tcPr>
            <w:tcW w:w="0" w:type="dxa"/>
            <w:vAlign w:val="bottom"/>
          </w:tcPr>
          <w:p>
            <w:pPr>
              <w:spacing w:after="0"/>
              <w:rPr>
                <w:sz w:val="1"/>
                <w:szCs w:val="1"/>
                <w:color w:val="auto"/>
              </w:rPr>
            </w:pPr>
          </w:p>
        </w:tc>
      </w:tr>
      <w:tr>
        <w:trPr>
          <w:trHeight w:val="39"/>
        </w:trPr>
        <w:tc>
          <w:tcPr>
            <w:tcW w:w="552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increase in cash and cash equivalents and restricted cash</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22,754</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45,145</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Cash and cash equivalents and restricted cash, beginning of period</w:t>
            </w:r>
          </w:p>
        </w:tc>
        <w:tc>
          <w:tcPr>
            <w:tcW w:w="176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125,315</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jc w:val="right"/>
              <w:ind w:right="5"/>
              <w:spacing w:after="0"/>
              <w:rPr>
                <w:sz w:val="20"/>
                <w:szCs w:val="20"/>
                <w:color w:val="auto"/>
              </w:rPr>
            </w:pPr>
            <w:r>
              <w:rPr>
                <w:rFonts w:ascii="Arial" w:cs="Arial" w:eastAsia="Arial" w:hAnsi="Arial"/>
                <w:sz w:val="11"/>
                <w:szCs w:val="11"/>
                <w:color w:val="auto"/>
              </w:rPr>
              <w:t>46,878</w:t>
            </w:r>
          </w:p>
        </w:tc>
        <w:tc>
          <w:tcPr>
            <w:tcW w:w="0" w:type="dxa"/>
            <w:vAlign w:val="bottom"/>
          </w:tcPr>
          <w:p>
            <w:pPr>
              <w:spacing w:after="0"/>
              <w:rPr>
                <w:sz w:val="1"/>
                <w:szCs w:val="1"/>
                <w:color w:val="auto"/>
              </w:rPr>
            </w:pPr>
          </w:p>
        </w:tc>
      </w:tr>
      <w:tr>
        <w:trPr>
          <w:trHeight w:val="39"/>
        </w:trPr>
        <w:tc>
          <w:tcPr>
            <w:tcW w:w="552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and restricted cash, end of period</w:t>
            </w:r>
          </w:p>
        </w:tc>
        <w:tc>
          <w:tcPr>
            <w:tcW w:w="1760" w:type="dxa"/>
            <w:vAlign w:val="bottom"/>
            <w:tcBorders>
              <w:bottom w:val="single" w:sz="8" w:color="auto"/>
            </w:tcBorders>
            <w:shd w:val="clear" w:color="auto" w:fill="CCEEFF"/>
          </w:tcPr>
          <w:p>
            <w:pPr>
              <w:jc w:val="right"/>
              <w:ind w:right="1625"/>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148,069</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05"/>
              <w:spacing w:after="0"/>
              <w:rPr>
                <w:sz w:val="20"/>
                <w:szCs w:val="20"/>
                <w:color w:val="auto"/>
              </w:rPr>
            </w:pPr>
            <w:r>
              <w:rPr>
                <w:rFonts w:ascii="Arial" w:cs="Arial" w:eastAsia="Arial" w:hAnsi="Arial"/>
                <w:sz w:val="11"/>
                <w:szCs w:val="11"/>
                <w:color w:val="auto"/>
                <w:w w:val="97"/>
              </w:rPr>
              <w:t>$</w:t>
            </w:r>
          </w:p>
        </w:tc>
        <w:tc>
          <w:tcPr>
            <w:tcW w:w="1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92,023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Supplemental disclosure of cash flow information:</w:t>
            </w: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520" w:type="dxa"/>
            <w:vAlign w:val="bottom"/>
            <w:vMerge w:val="continue"/>
          </w:tcPr>
          <w:p>
            <w:pPr>
              <w:spacing w:after="0"/>
              <w:rPr>
                <w:sz w:val="8"/>
                <w:szCs w:val="8"/>
                <w:color w:val="auto"/>
              </w:rPr>
            </w:pPr>
          </w:p>
        </w:tc>
        <w:tc>
          <w:tcPr>
            <w:tcW w:w="1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paid for interest</w:t>
            </w:r>
          </w:p>
        </w:tc>
        <w:tc>
          <w:tcPr>
            <w:tcW w:w="1760" w:type="dxa"/>
            <w:vAlign w:val="bottom"/>
            <w:tcBorders>
              <w:bottom w:val="single" w:sz="8" w:color="CCEEFF"/>
            </w:tcBorders>
            <w:shd w:val="clear" w:color="auto" w:fill="CCEEFF"/>
          </w:tcPr>
          <w:p>
            <w:pPr>
              <w:jc w:val="right"/>
              <w:ind w:right="1625"/>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2,721</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1005"/>
              <w:spacing w:after="0"/>
              <w:rPr>
                <w:sz w:val="20"/>
                <w:szCs w:val="20"/>
                <w:color w:val="auto"/>
              </w:rPr>
            </w:pPr>
            <w:r>
              <w:rPr>
                <w:rFonts w:ascii="Arial" w:cs="Arial" w:eastAsia="Arial" w:hAnsi="Arial"/>
                <w:sz w:val="11"/>
                <w:szCs w:val="11"/>
                <w:color w:val="auto"/>
                <w:w w:val="97"/>
              </w:rPr>
              <w:t>$</w:t>
            </w: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2,182</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Cash paid for income taxes</w:t>
            </w:r>
          </w:p>
        </w:tc>
        <w:tc>
          <w:tcPr>
            <w:tcW w:w="1760" w:type="dxa"/>
            <w:vAlign w:val="bottom"/>
          </w:tcPr>
          <w:p>
            <w:pPr>
              <w:jc w:val="right"/>
              <w:ind w:right="1625"/>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879</w:t>
            </w:r>
          </w:p>
        </w:tc>
        <w:tc>
          <w:tcPr>
            <w:tcW w:w="80" w:type="dxa"/>
            <w:vAlign w:val="bottom"/>
          </w:tcPr>
          <w:p>
            <w:pPr>
              <w:spacing w:after="0"/>
              <w:rPr>
                <w:sz w:val="13"/>
                <w:szCs w:val="13"/>
                <w:color w:val="auto"/>
              </w:rPr>
            </w:pPr>
          </w:p>
        </w:tc>
        <w:tc>
          <w:tcPr>
            <w:tcW w:w="1140" w:type="dxa"/>
            <w:vAlign w:val="bottom"/>
          </w:tcPr>
          <w:p>
            <w:pPr>
              <w:jc w:val="right"/>
              <w:ind w:right="1005"/>
              <w:spacing w:after="0"/>
              <w:rPr>
                <w:sz w:val="20"/>
                <w:szCs w:val="20"/>
                <w:color w:val="auto"/>
              </w:rPr>
            </w:pPr>
            <w:r>
              <w:rPr>
                <w:rFonts w:ascii="Arial" w:cs="Arial" w:eastAsia="Arial" w:hAnsi="Arial"/>
                <w:sz w:val="11"/>
                <w:szCs w:val="11"/>
                <w:color w:val="auto"/>
                <w:w w:val="97"/>
              </w:rPr>
              <w:t>$</w:t>
            </w:r>
          </w:p>
        </w:tc>
        <w:tc>
          <w:tcPr>
            <w:tcW w:w="1820" w:type="dxa"/>
            <w:vAlign w:val="bottom"/>
          </w:tcPr>
          <w:p>
            <w:pPr>
              <w:jc w:val="right"/>
              <w:ind w:right="5"/>
              <w:spacing w:after="0"/>
              <w:rPr>
                <w:sz w:val="20"/>
                <w:szCs w:val="20"/>
                <w:color w:val="auto"/>
              </w:rPr>
            </w:pPr>
            <w:r>
              <w:rPr>
                <w:rFonts w:ascii="Arial" w:cs="Arial" w:eastAsia="Arial" w:hAnsi="Arial"/>
                <w:sz w:val="11"/>
                <w:szCs w:val="11"/>
                <w:color w:val="auto"/>
              </w:rPr>
              <w:t>6,910</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Noncash investing and financing items:</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Accrued deferred offering costs</w:t>
            </w:r>
          </w:p>
        </w:tc>
        <w:tc>
          <w:tcPr>
            <w:tcW w:w="1760" w:type="dxa"/>
            <w:vAlign w:val="bottom"/>
          </w:tcPr>
          <w:p>
            <w:pPr>
              <w:jc w:val="right"/>
              <w:ind w:right="1625"/>
              <w:spacing w:after="0"/>
              <w:rPr>
                <w:sz w:val="20"/>
                <w:szCs w:val="20"/>
                <w:color w:val="auto"/>
              </w:rPr>
            </w:pPr>
            <w:r>
              <w:rPr>
                <w:rFonts w:ascii="Arial" w:cs="Arial" w:eastAsia="Arial" w:hAnsi="Arial"/>
                <w:sz w:val="11"/>
                <w:szCs w:val="11"/>
                <w:color w:val="auto"/>
                <w:w w:val="97"/>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1005"/>
              <w:spacing w:after="0"/>
              <w:rPr>
                <w:sz w:val="20"/>
                <w:szCs w:val="20"/>
                <w:color w:val="auto"/>
              </w:rPr>
            </w:pPr>
            <w:r>
              <w:rPr>
                <w:rFonts w:ascii="Arial" w:cs="Arial" w:eastAsia="Arial" w:hAnsi="Arial"/>
                <w:sz w:val="11"/>
                <w:szCs w:val="11"/>
                <w:color w:val="auto"/>
                <w:w w:val="97"/>
              </w:rPr>
              <w:t>$</w:t>
            </w:r>
          </w:p>
        </w:tc>
        <w:tc>
          <w:tcPr>
            <w:tcW w:w="1820" w:type="dxa"/>
            <w:vAlign w:val="bottom"/>
          </w:tcPr>
          <w:p>
            <w:pPr>
              <w:jc w:val="right"/>
              <w:ind w:right="5"/>
              <w:spacing w:after="0"/>
              <w:rPr>
                <w:sz w:val="20"/>
                <w:szCs w:val="20"/>
                <w:color w:val="auto"/>
              </w:rPr>
            </w:pPr>
            <w:r>
              <w:rPr>
                <w:rFonts w:ascii="Arial" w:cs="Arial" w:eastAsia="Arial" w:hAnsi="Arial"/>
                <w:sz w:val="11"/>
                <w:szCs w:val="11"/>
                <w:color w:val="auto"/>
              </w:rPr>
              <w:t>795</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Reconciliation of cash, cash equivalents and restricted cash to the condensed consolidated balance sheets</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1760" w:type="dxa"/>
            <w:vAlign w:val="bottom"/>
          </w:tcPr>
          <w:p>
            <w:pPr>
              <w:jc w:val="right"/>
              <w:ind w:right="1625"/>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106,212</w:t>
            </w:r>
          </w:p>
        </w:tc>
        <w:tc>
          <w:tcPr>
            <w:tcW w:w="80" w:type="dxa"/>
            <w:vAlign w:val="bottom"/>
          </w:tcPr>
          <w:p>
            <w:pPr>
              <w:spacing w:after="0"/>
              <w:rPr>
                <w:sz w:val="13"/>
                <w:szCs w:val="13"/>
                <w:color w:val="auto"/>
              </w:rPr>
            </w:pPr>
          </w:p>
        </w:tc>
        <w:tc>
          <w:tcPr>
            <w:tcW w:w="1140" w:type="dxa"/>
            <w:vAlign w:val="bottom"/>
          </w:tcPr>
          <w:p>
            <w:pPr>
              <w:jc w:val="right"/>
              <w:ind w:right="1005"/>
              <w:spacing w:after="0"/>
              <w:rPr>
                <w:sz w:val="20"/>
                <w:szCs w:val="20"/>
                <w:color w:val="auto"/>
              </w:rPr>
            </w:pPr>
            <w:r>
              <w:rPr>
                <w:rFonts w:ascii="Arial" w:cs="Arial" w:eastAsia="Arial" w:hAnsi="Arial"/>
                <w:sz w:val="11"/>
                <w:szCs w:val="11"/>
                <w:color w:val="auto"/>
                <w:w w:val="97"/>
              </w:rPr>
              <w:t>$</w:t>
            </w:r>
          </w:p>
        </w:tc>
        <w:tc>
          <w:tcPr>
            <w:tcW w:w="1820" w:type="dxa"/>
            <w:vAlign w:val="bottom"/>
          </w:tcPr>
          <w:p>
            <w:pPr>
              <w:jc w:val="right"/>
              <w:ind w:right="5"/>
              <w:spacing w:after="0"/>
              <w:rPr>
                <w:sz w:val="20"/>
                <w:szCs w:val="20"/>
                <w:color w:val="auto"/>
              </w:rPr>
            </w:pPr>
            <w:r>
              <w:rPr>
                <w:rFonts w:ascii="Arial" w:cs="Arial" w:eastAsia="Arial" w:hAnsi="Arial"/>
                <w:sz w:val="11"/>
                <w:szCs w:val="11"/>
                <w:color w:val="auto"/>
              </w:rPr>
              <w:t>68,058</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Restricted cash included in other current assets</w:t>
            </w:r>
          </w:p>
        </w:tc>
        <w:tc>
          <w:tcPr>
            <w:tcW w:w="17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16,255</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5,989</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Restricted cash included in other assets</w:t>
            </w:r>
          </w:p>
        </w:tc>
        <w:tc>
          <w:tcPr>
            <w:tcW w:w="17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Pr>
          <w:p>
            <w:pPr>
              <w:spacing w:after="0"/>
              <w:rPr>
                <w:sz w:val="13"/>
                <w:szCs w:val="13"/>
                <w:color w:val="auto"/>
              </w:rPr>
            </w:pPr>
          </w:p>
        </w:tc>
        <w:tc>
          <w:tcPr>
            <w:tcW w:w="1820" w:type="dxa"/>
            <w:vAlign w:val="bottom"/>
          </w:tcPr>
          <w:p>
            <w:pPr>
              <w:jc w:val="right"/>
              <w:ind w:right="5"/>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89"/>
        </w:trPr>
        <w:tc>
          <w:tcPr>
            <w:tcW w:w="5520" w:type="dxa"/>
            <w:vAlign w:val="bottom"/>
          </w:tcPr>
          <w:p>
            <w:pPr>
              <w:ind w:left="20"/>
              <w:spacing w:after="0"/>
              <w:rPr>
                <w:sz w:val="20"/>
                <w:szCs w:val="20"/>
                <w:color w:val="auto"/>
              </w:rPr>
            </w:pPr>
            <w:r>
              <w:rPr>
                <w:rFonts w:ascii="Arial" w:cs="Arial" w:eastAsia="Arial" w:hAnsi="Arial"/>
                <w:sz w:val="11"/>
                <w:szCs w:val="11"/>
                <w:color w:val="auto"/>
              </w:rPr>
              <w:t>Restricted cash included in settlement assets</w:t>
            </w:r>
          </w:p>
        </w:tc>
        <w:tc>
          <w:tcPr>
            <w:tcW w:w="1760" w:type="dxa"/>
            <w:vAlign w:val="bottom"/>
          </w:tcPr>
          <w:p>
            <w:pPr>
              <w:spacing w:after="0"/>
              <w:rPr>
                <w:sz w:val="16"/>
                <w:szCs w:val="16"/>
                <w:color w:val="auto"/>
              </w:rPr>
            </w:pPr>
          </w:p>
        </w:tc>
        <w:tc>
          <w:tcPr>
            <w:tcW w:w="940" w:type="dxa"/>
            <w:vAlign w:val="bottom"/>
          </w:tcPr>
          <w:p>
            <w:pPr>
              <w:jc w:val="right"/>
              <w:ind w:right="5"/>
              <w:spacing w:after="0"/>
              <w:rPr>
                <w:sz w:val="20"/>
                <w:szCs w:val="20"/>
                <w:color w:val="auto"/>
              </w:rPr>
            </w:pPr>
            <w:r>
              <w:rPr>
                <w:rFonts w:ascii="Arial" w:cs="Arial" w:eastAsia="Arial" w:hAnsi="Arial"/>
                <w:sz w:val="11"/>
                <w:szCs w:val="11"/>
                <w:color w:val="auto"/>
              </w:rPr>
              <w:t>25,602</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20" w:type="dxa"/>
            <w:vAlign w:val="bottom"/>
          </w:tcPr>
          <w:p>
            <w:pPr>
              <w:jc w:val="right"/>
              <w:ind w:right="5"/>
              <w:spacing w:after="0"/>
              <w:rPr>
                <w:sz w:val="20"/>
                <w:szCs w:val="20"/>
                <w:color w:val="auto"/>
              </w:rPr>
            </w:pPr>
            <w:r>
              <w:rPr>
                <w:rFonts w:ascii="Arial" w:cs="Arial" w:eastAsia="Arial" w:hAnsi="Arial"/>
                <w:sz w:val="11"/>
                <w:szCs w:val="11"/>
                <w:color w:val="auto"/>
              </w:rPr>
              <w:t>17,929</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520" w:type="dxa"/>
            <w:vAlign w:val="bottom"/>
          </w:tcPr>
          <w:p>
            <w:pPr>
              <w:ind w:left="20"/>
              <w:spacing w:after="0"/>
              <w:rPr>
                <w:sz w:val="20"/>
                <w:szCs w:val="20"/>
                <w:color w:val="auto"/>
              </w:rPr>
            </w:pPr>
            <w:r>
              <w:rPr>
                <w:rFonts w:ascii="Arial" w:cs="Arial" w:eastAsia="Arial" w:hAnsi="Arial"/>
                <w:sz w:val="11"/>
                <w:szCs w:val="11"/>
                <w:color w:val="auto"/>
              </w:rPr>
              <w:t>Total cash, cash equivalents and restricted cash</w:t>
            </w:r>
          </w:p>
        </w:tc>
        <w:tc>
          <w:tcPr>
            <w:tcW w:w="1760" w:type="dxa"/>
            <w:vAlign w:val="bottom"/>
            <w:tcBorders>
              <w:bottom w:val="single" w:sz="8" w:color="auto"/>
            </w:tcBorders>
          </w:tcPr>
          <w:p>
            <w:pPr>
              <w:jc w:val="right"/>
              <w:ind w:right="1625"/>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148,069</w:t>
            </w: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ind w:right="1005"/>
              <w:spacing w:after="0"/>
              <w:rPr>
                <w:sz w:val="20"/>
                <w:szCs w:val="20"/>
                <w:color w:val="auto"/>
              </w:rPr>
            </w:pPr>
            <w:r>
              <w:rPr>
                <w:rFonts w:ascii="Arial" w:cs="Arial" w:eastAsia="Arial" w:hAnsi="Arial"/>
                <w:sz w:val="11"/>
                <w:szCs w:val="11"/>
                <w:color w:val="auto"/>
                <w:w w:val="97"/>
              </w:rPr>
              <w:t>$</w:t>
            </w:r>
          </w:p>
        </w:tc>
        <w:tc>
          <w:tcPr>
            <w:tcW w:w="18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92,023</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39" w:right="31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20" w:type="dxa"/>
            <w:vAlign w:val="bottom"/>
          </w:tcPr>
          <w:p>
            <w:pPr>
              <w:jc w:val="center"/>
              <w:ind w:left="3134"/>
              <w:spacing w:after="0"/>
              <w:rPr>
                <w:sz w:val="20"/>
                <w:szCs w:val="20"/>
                <w:color w:val="auto"/>
              </w:rPr>
            </w:pPr>
            <w:r>
              <w:rPr>
                <w:rFonts w:ascii="Arial" w:cs="Arial" w:eastAsia="Arial" w:hAnsi="Arial"/>
                <w:sz w:val="19"/>
                <w:szCs w:val="19"/>
                <w:b w:val="1"/>
                <w:bCs w:val="1"/>
                <w:color w:val="auto"/>
                <w:w w:val="90"/>
              </w:rPr>
              <w:t>Expensify, Inc.</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37"/>
        </w:trPr>
        <w:tc>
          <w:tcPr>
            <w:tcW w:w="8020" w:type="dxa"/>
            <w:vAlign w:val="bottom"/>
          </w:tcPr>
          <w:p>
            <w:pPr>
              <w:jc w:val="center"/>
              <w:ind w:left="3134"/>
              <w:spacing w:after="0"/>
              <w:rPr>
                <w:sz w:val="20"/>
                <w:szCs w:val="20"/>
                <w:color w:val="auto"/>
              </w:rPr>
            </w:pPr>
            <w:r>
              <w:rPr>
                <w:rFonts w:ascii="Arial" w:cs="Arial" w:eastAsia="Arial" w:hAnsi="Arial"/>
                <w:sz w:val="19"/>
                <w:szCs w:val="19"/>
                <w:b w:val="1"/>
                <w:bCs w:val="1"/>
                <w:color w:val="auto"/>
                <w:w w:val="91"/>
              </w:rPr>
              <w:t>Reconciliation of GAAP to Non-GAAP Financial Measures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00"/>
        </w:trPr>
        <w:tc>
          <w:tcPr>
            <w:tcW w:w="8020" w:type="dxa"/>
            <w:vAlign w:val="bottom"/>
          </w:tcPr>
          <w:p>
            <w:pPr>
              <w:jc w:val="center"/>
              <w:ind w:left="3134"/>
              <w:spacing w:after="0"/>
              <w:rPr>
                <w:sz w:val="20"/>
                <w:szCs w:val="20"/>
                <w:color w:val="auto"/>
              </w:rPr>
            </w:pPr>
            <w:r>
              <w:rPr>
                <w:rFonts w:ascii="Arial" w:cs="Arial" w:eastAsia="Arial" w:hAnsi="Arial"/>
                <w:sz w:val="16"/>
                <w:szCs w:val="16"/>
                <w:color w:val="auto"/>
                <w:w w:val="87"/>
              </w:rPr>
              <w:t>(unaudited, in thousands, except percentages)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49"/>
        </w:trPr>
        <w:tc>
          <w:tcPr>
            <w:tcW w:w="8020" w:type="dxa"/>
            <w:vAlign w:val="bottom"/>
          </w:tcPr>
          <w:p>
            <w:pPr>
              <w:spacing w:after="0"/>
              <w:rPr>
                <w:sz w:val="20"/>
                <w:szCs w:val="20"/>
                <w:color w:val="auto"/>
              </w:rPr>
            </w:pPr>
            <w:r>
              <w:rPr>
                <w:rFonts w:ascii="Arial" w:cs="Arial" w:eastAsia="Arial" w:hAnsi="Arial"/>
                <w:sz w:val="16"/>
                <w:szCs w:val="16"/>
                <w:i w:val="1"/>
                <w:iCs w:val="1"/>
                <w:color w:val="auto"/>
              </w:rPr>
              <w:t>Adjusted EBITDA and Adjusted EBITDA Margin</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0"/>
        </w:trPr>
        <w:tc>
          <w:tcPr>
            <w:tcW w:w="8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r>
      <w:tr>
        <w:trPr>
          <w:trHeight w:val="180"/>
        </w:trPr>
        <w:tc>
          <w:tcPr>
            <w:tcW w:w="8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tcPr>
          <w:p>
            <w:pPr>
              <w:jc w:val="center"/>
              <w:ind w:right="379"/>
              <w:spacing w:after="0"/>
              <w:rPr>
                <w:sz w:val="20"/>
                <w:szCs w:val="20"/>
                <w:color w:val="auto"/>
              </w:rPr>
            </w:pPr>
            <w:r>
              <w:rPr>
                <w:rFonts w:ascii="Arial" w:cs="Arial" w:eastAsia="Arial" w:hAnsi="Arial"/>
                <w:sz w:val="13"/>
                <w:szCs w:val="13"/>
                <w:b w:val="1"/>
                <w:bCs w:val="1"/>
                <w:color w:val="auto"/>
                <w:w w:val="87"/>
              </w:rPr>
              <w:t>Three months ended September 30,</w:t>
            </w:r>
          </w:p>
        </w:tc>
      </w:tr>
      <w:tr>
        <w:trPr>
          <w:trHeight w:val="21"/>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172"/>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tcPr>
          <w:p>
            <w:pPr>
              <w:jc w:val="center"/>
              <w:ind w:right="379"/>
              <w:spacing w:after="0"/>
              <w:rPr>
                <w:sz w:val="20"/>
                <w:szCs w:val="20"/>
                <w:color w:val="auto"/>
              </w:rPr>
            </w:pPr>
            <w:r>
              <w:rPr>
                <w:rFonts w:ascii="Arial" w:cs="Arial" w:eastAsia="Arial" w:hAnsi="Arial"/>
                <w:sz w:val="13"/>
                <w:szCs w:val="13"/>
                <w:b w:val="1"/>
                <w:bCs w:val="1"/>
                <w:color w:val="auto"/>
                <w:w w:val="82"/>
              </w:rPr>
              <w:t>2022</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25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21"/>
                <w:szCs w:val="21"/>
                <w:color w:val="auto"/>
              </w:rPr>
            </w:pPr>
          </w:p>
        </w:tc>
        <w:tc>
          <w:tcPr>
            <w:tcW w:w="27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(8,242)</w:t>
            </w: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Net (loss) income margin</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780" w:type="dxa"/>
            <w:vAlign w:val="bottom"/>
            <w:shd w:val="clear" w:color="auto" w:fill="CCEEFF"/>
          </w:tcPr>
          <w:p>
            <w:pPr>
              <w:spacing w:after="0"/>
              <w:rPr>
                <w:sz w:val="23"/>
                <w:szCs w:val="23"/>
                <w:color w:val="auto"/>
              </w:rPr>
            </w:pP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tcPr>
          <w:p>
            <w:pPr>
              <w:jc w:val="right"/>
              <w:ind w:right="139"/>
              <w:spacing w:after="0"/>
              <w:rPr>
                <w:sz w:val="20"/>
                <w:szCs w:val="20"/>
                <w:color w:val="auto"/>
              </w:rPr>
            </w:pPr>
            <w:r>
              <w:rPr>
                <w:rFonts w:ascii="Arial" w:cs="Arial" w:eastAsia="Arial" w:hAnsi="Arial"/>
                <w:sz w:val="17"/>
                <w:szCs w:val="17"/>
                <w:color w:val="auto"/>
              </w:rPr>
              <w:t>156</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expenses, net</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7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2,369</w:t>
            </w: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tcPr>
          <w:p>
            <w:pPr>
              <w:jc w:val="right"/>
              <w:ind w:right="139"/>
              <w:spacing w:after="0"/>
              <w:rPr>
                <w:sz w:val="20"/>
                <w:szCs w:val="20"/>
                <w:color w:val="auto"/>
              </w:rPr>
            </w:pPr>
            <w:r>
              <w:rPr>
                <w:rFonts w:ascii="Arial" w:cs="Arial" w:eastAsia="Arial" w:hAnsi="Arial"/>
                <w:sz w:val="17"/>
                <w:szCs w:val="17"/>
                <w:color w:val="auto"/>
              </w:rPr>
              <w:t>1,323</w:t>
            </w:r>
          </w:p>
        </w:tc>
      </w:tr>
      <w:tr>
        <w:trPr>
          <w:trHeight w:val="261"/>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1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13,364</w:t>
            </w:r>
          </w:p>
        </w:tc>
      </w:tr>
      <w:tr>
        <w:trPr>
          <w:trHeight w:val="25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8,970</w:t>
            </w:r>
          </w:p>
        </w:tc>
      </w:tr>
      <w:tr>
        <w:trPr>
          <w:trHeight w:val="2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margin</w:t>
            </w:r>
          </w:p>
        </w:tc>
        <w:tc>
          <w:tcPr>
            <w:tcW w:w="1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446"/>
        </w:trPr>
        <w:tc>
          <w:tcPr>
            <w:tcW w:w="8020" w:type="dxa"/>
            <w:vAlign w:val="bottom"/>
          </w:tcPr>
          <w:p>
            <w:pPr>
              <w:spacing w:after="0"/>
              <w:rPr>
                <w:sz w:val="20"/>
                <w:szCs w:val="20"/>
                <w:color w:val="auto"/>
              </w:rPr>
            </w:pPr>
            <w:r>
              <w:rPr>
                <w:rFonts w:ascii="Arial" w:cs="Arial" w:eastAsia="Arial" w:hAnsi="Arial"/>
                <w:sz w:val="16"/>
                <w:szCs w:val="16"/>
                <w:i w:val="1"/>
                <w:iCs w:val="1"/>
                <w:color w:val="auto"/>
              </w:rPr>
              <w:t>Non-GAAP Net Income and Non-GAAP Net Income Margin</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9"/>
        </w:trPr>
        <w:tc>
          <w:tcPr>
            <w:tcW w:w="8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180"/>
        </w:trPr>
        <w:tc>
          <w:tcPr>
            <w:tcW w:w="8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tcPr>
          <w:p>
            <w:pPr>
              <w:jc w:val="center"/>
              <w:ind w:right="379"/>
              <w:spacing w:after="0"/>
              <w:rPr>
                <w:sz w:val="20"/>
                <w:szCs w:val="20"/>
                <w:color w:val="auto"/>
              </w:rPr>
            </w:pPr>
            <w:r>
              <w:rPr>
                <w:rFonts w:ascii="Arial" w:cs="Arial" w:eastAsia="Arial" w:hAnsi="Arial"/>
                <w:sz w:val="13"/>
                <w:szCs w:val="13"/>
                <w:b w:val="1"/>
                <w:bCs w:val="1"/>
                <w:color w:val="auto"/>
                <w:w w:val="87"/>
              </w:rPr>
              <w:t>Three months ended September 30,</w:t>
            </w:r>
          </w:p>
        </w:tc>
      </w:tr>
      <w:tr>
        <w:trPr>
          <w:trHeight w:val="21"/>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172"/>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tcPr>
          <w:p>
            <w:pPr>
              <w:jc w:val="center"/>
              <w:ind w:right="379"/>
              <w:spacing w:after="0"/>
              <w:rPr>
                <w:sz w:val="20"/>
                <w:szCs w:val="20"/>
                <w:color w:val="auto"/>
              </w:rPr>
            </w:pPr>
            <w:r>
              <w:rPr>
                <w:rFonts w:ascii="Arial" w:cs="Arial" w:eastAsia="Arial" w:hAnsi="Arial"/>
                <w:sz w:val="13"/>
                <w:szCs w:val="13"/>
                <w:b w:val="1"/>
                <w:bCs w:val="1"/>
                <w:color w:val="auto"/>
                <w:w w:val="82"/>
              </w:rPr>
              <w:t>2022</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25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21"/>
                <w:szCs w:val="21"/>
                <w:color w:val="auto"/>
              </w:rPr>
            </w:pPr>
          </w:p>
        </w:tc>
        <w:tc>
          <w:tcPr>
            <w:tcW w:w="27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(8,242)</w:t>
            </w: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Net (loss) income margin</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780" w:type="dxa"/>
            <w:vAlign w:val="bottom"/>
            <w:shd w:val="clear" w:color="auto" w:fill="CCEEFF"/>
          </w:tcPr>
          <w:p>
            <w:pPr>
              <w:spacing w:after="0"/>
              <w:rPr>
                <w:sz w:val="23"/>
                <w:szCs w:val="23"/>
                <w:color w:val="auto"/>
              </w:rPr>
            </w:pP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tcPr>
          <w:p>
            <w:pPr>
              <w:jc w:val="right"/>
              <w:ind w:right="139"/>
              <w:spacing w:after="0"/>
              <w:rPr>
                <w:sz w:val="20"/>
                <w:szCs w:val="20"/>
                <w:color w:val="auto"/>
              </w:rPr>
            </w:pPr>
            <w:r>
              <w:rPr>
                <w:rFonts w:ascii="Arial" w:cs="Arial" w:eastAsia="Arial" w:hAnsi="Arial"/>
                <w:sz w:val="17"/>
                <w:szCs w:val="17"/>
                <w:color w:val="auto"/>
              </w:rPr>
              <w:t>13,364</w:t>
            </w:r>
          </w:p>
        </w:tc>
      </w:tr>
      <w:tr>
        <w:trPr>
          <w:trHeight w:val="261"/>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IPO-related bonus expense</w:t>
            </w:r>
          </w:p>
        </w:tc>
        <w:tc>
          <w:tcPr>
            <w:tcW w:w="1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r>
      <w:tr>
        <w:trPr>
          <w:trHeight w:val="25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Non-GAAP 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5,122</w:t>
            </w:r>
          </w:p>
        </w:tc>
      </w:tr>
      <w:tr>
        <w:trPr>
          <w:trHeight w:val="2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net income margin</w:t>
            </w:r>
          </w:p>
        </w:tc>
        <w:tc>
          <w:tcPr>
            <w:tcW w:w="1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446"/>
        </w:trPr>
        <w:tc>
          <w:tcPr>
            <w:tcW w:w="8020" w:type="dxa"/>
            <w:vAlign w:val="bottom"/>
          </w:tcPr>
          <w:p>
            <w:pPr>
              <w:spacing w:after="0"/>
              <w:rPr>
                <w:sz w:val="20"/>
                <w:szCs w:val="20"/>
                <w:color w:val="auto"/>
              </w:rPr>
            </w:pPr>
            <w:r>
              <w:rPr>
                <w:rFonts w:ascii="Arial" w:cs="Arial" w:eastAsia="Arial" w:hAnsi="Arial"/>
                <w:sz w:val="16"/>
                <w:szCs w:val="16"/>
                <w:i w:val="1"/>
                <w:iCs w:val="1"/>
                <w:color w:val="auto"/>
              </w:rPr>
              <w:t>Adjusted Operating Cash Flow and Free Cash Flow</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0"/>
        </w:trPr>
        <w:tc>
          <w:tcPr>
            <w:tcW w:w="8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r>
      <w:tr>
        <w:trPr>
          <w:trHeight w:val="180"/>
        </w:trPr>
        <w:tc>
          <w:tcPr>
            <w:tcW w:w="8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tcPr>
          <w:p>
            <w:pPr>
              <w:jc w:val="center"/>
              <w:ind w:right="239"/>
              <w:spacing w:after="0"/>
              <w:rPr>
                <w:sz w:val="20"/>
                <w:szCs w:val="20"/>
                <w:color w:val="auto"/>
              </w:rPr>
            </w:pPr>
            <w:r>
              <w:rPr>
                <w:rFonts w:ascii="Arial" w:cs="Arial" w:eastAsia="Arial" w:hAnsi="Arial"/>
                <w:sz w:val="13"/>
                <w:szCs w:val="13"/>
                <w:b w:val="1"/>
                <w:bCs w:val="1"/>
                <w:color w:val="auto"/>
                <w:w w:val="86"/>
              </w:rPr>
              <w:t>Three months ended September 30,</w:t>
            </w:r>
          </w:p>
        </w:tc>
      </w:tr>
      <w:tr>
        <w:trPr>
          <w:trHeight w:val="21"/>
        </w:trPr>
        <w:tc>
          <w:tcPr>
            <w:tcW w:w="8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172"/>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tcPr>
          <w:p>
            <w:pPr>
              <w:jc w:val="center"/>
              <w:ind w:right="239"/>
              <w:spacing w:after="0"/>
              <w:rPr>
                <w:sz w:val="20"/>
                <w:szCs w:val="20"/>
                <w:color w:val="auto"/>
              </w:rPr>
            </w:pPr>
            <w:r>
              <w:rPr>
                <w:rFonts w:ascii="Arial" w:cs="Arial" w:eastAsia="Arial" w:hAnsi="Arial"/>
                <w:sz w:val="13"/>
                <w:szCs w:val="13"/>
                <w:b w:val="1"/>
                <w:bCs w:val="1"/>
                <w:color w:val="auto"/>
                <w:w w:val="89"/>
              </w:rPr>
              <w:t>2022</w:t>
            </w:r>
          </w:p>
        </w:tc>
      </w:tr>
      <w:tr>
        <w:trPr>
          <w:trHeight w:val="21"/>
        </w:trPr>
        <w:tc>
          <w:tcPr>
            <w:tcW w:w="8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172"/>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tcPr>
          <w:p>
            <w:pPr>
              <w:jc w:val="center"/>
              <w:ind w:right="259"/>
              <w:spacing w:after="0"/>
              <w:rPr>
                <w:sz w:val="20"/>
                <w:szCs w:val="20"/>
                <w:color w:val="auto"/>
              </w:rPr>
            </w:pPr>
            <w:r>
              <w:rPr>
                <w:rFonts w:ascii="Arial" w:cs="Arial" w:eastAsia="Arial" w:hAnsi="Arial"/>
                <w:sz w:val="13"/>
                <w:szCs w:val="13"/>
                <w:b w:val="1"/>
                <w:bCs w:val="1"/>
                <w:color w:val="auto"/>
                <w:w w:val="84"/>
              </w:rPr>
              <w:t>(in thousands)</w:t>
            </w:r>
          </w:p>
        </w:tc>
      </w:tr>
      <w:tr>
        <w:trPr>
          <w:trHeight w:val="21"/>
        </w:trPr>
        <w:tc>
          <w:tcPr>
            <w:tcW w:w="8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6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(Increase) decrease in changes in assets and liabilities: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70"/>
        </w:trPr>
        <w:tc>
          <w:tcPr>
            <w:tcW w:w="8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Settlement assets</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w:t>
            </w:r>
          </w:p>
        </w:tc>
      </w:tr>
      <w:tr>
        <w:trPr>
          <w:trHeight w:val="252"/>
        </w:trPr>
        <w:tc>
          <w:tcPr>
            <w:tcW w:w="80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Settlement liabilities</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(5,207)</w:t>
            </w:r>
          </w:p>
        </w:tc>
      </w:tr>
      <w:tr>
        <w:trPr>
          <w:trHeight w:val="26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operating cash flow</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5,375</w:t>
            </w:r>
          </w:p>
        </w:tc>
      </w:tr>
      <w:tr>
        <w:trPr>
          <w:trHeight w:val="231"/>
        </w:trPr>
        <w:tc>
          <w:tcPr>
            <w:tcW w:w="8020" w:type="dxa"/>
            <w:vAlign w:val="bottom"/>
          </w:tcPr>
          <w:p>
            <w:pPr>
              <w:ind w:left="20"/>
              <w:spacing w:after="0"/>
              <w:rPr>
                <w:sz w:val="20"/>
                <w:szCs w:val="20"/>
                <w:color w:val="auto"/>
              </w:rPr>
            </w:pPr>
            <w:r>
              <w:rPr>
                <w:rFonts w:ascii="Arial" w:cs="Arial" w:eastAsia="Arial" w:hAnsi="Arial"/>
                <w:sz w:val="17"/>
                <w:szCs w:val="17"/>
                <w:color w:val="auto"/>
              </w:rPr>
              <w:t>Less:</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r>
      <w:tr>
        <w:trPr>
          <w:trHeight w:val="270"/>
        </w:trPr>
        <w:tc>
          <w:tcPr>
            <w:tcW w:w="8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Purchases of property and equipment</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52"/>
        </w:trPr>
        <w:tc>
          <w:tcPr>
            <w:tcW w:w="80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Software development costs</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w:t>
            </w:r>
          </w:p>
        </w:tc>
      </w:tr>
      <w:tr>
        <w:trPr>
          <w:trHeight w:val="28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339" w:right="319" w:bottom="1440" w:gutter="0" w:footer="0" w:header="0"/>
        </w:sectPr>
      </w:pPr>
    </w:p>
    <w:bookmarkStart w:id="12" w:name="page13"/>
    <w:bookmarkEnd w:id="12"/>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441325</wp:posOffset>
            </wp:positionV>
            <wp:extent cx="7204075" cy="4055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140"/>
          </w:cols>
          <w:pgMar w:left="1440" w:top="126" w:right="319" w:bottom="1440" w:gutter="0" w:footer="0" w:header="0"/>
        </w:sectPr>
      </w:pPr>
    </w:p>
    <w:bookmarkStart w:id="13" w:name="page14"/>
    <w:bookmarkEnd w:id="1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140"/>
          </w:cols>
          <w:pgMar w:left="1440" w:top="126" w:right="319" w:bottom="1440" w:gutter="0" w:footer="0" w:header="0"/>
        </w:sectPr>
      </w:pPr>
    </w:p>
    <w:bookmarkStart w:id="14" w:name="page15"/>
    <w:bookmarkEnd w:id="1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140"/>
          </w:cols>
          <w:pgMar w:left="1440" w:top="126" w:right="319" w:bottom="1440" w:gutter="0" w:footer="0" w:header="0"/>
        </w:sectPr>
      </w:pPr>
    </w:p>
    <w:bookmarkStart w:id="15" w:name="page16"/>
    <w:bookmarkEnd w:id="15"/>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140"/>
          </w:cols>
          <w:pgMar w:left="1440" w:top="126" w:right="319" w:bottom="1440" w:gutter="0" w:footer="0" w:header="0"/>
        </w:sectPr>
      </w:pPr>
    </w:p>
    <w:bookmarkStart w:id="16" w:name="page17"/>
    <w:bookmarkEnd w:id="16"/>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140"/>
          </w:cols>
          <w:pgMar w:left="1440" w:top="126" w:right="319" w:bottom="1440" w:gutter="0" w:footer="0" w:header="0"/>
        </w:sectPr>
      </w:pPr>
    </w:p>
    <w:bookmarkStart w:id="17" w:name="page18"/>
    <w:bookmarkEnd w:id="17"/>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140"/>
          </w:cols>
          <w:pgMar w:left="1440" w:top="126" w:right="319" w:bottom="1440" w:gutter="0" w:footer="0" w:header="0"/>
        </w:sectPr>
      </w:pPr>
    </w:p>
    <w:bookmarkStart w:id="18" w:name="page19"/>
    <w:bookmarkEnd w:id="18"/>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140"/>
          </w:cols>
          <w:pgMar w:left="1440" w:top="126" w:right="319" w:bottom="1440" w:gutter="0" w:footer="0" w:header="0"/>
        </w:sectPr>
      </w:pPr>
    </w:p>
    <w:bookmarkStart w:id="19" w:name="page20"/>
    <w:bookmarkEnd w:id="19"/>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140"/>
          </w:cols>
          <w:pgMar w:left="1440" w:top="126" w:right="319" w:bottom="1440" w:gutter="0" w:footer="0" w:header="0"/>
        </w:sectPr>
      </w:pPr>
    </w:p>
    <w:bookmarkStart w:id="20" w:name="page21"/>
    <w:bookmarkEnd w:id="20"/>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140"/>
          </w:cols>
          <w:pgMar w:left="1440" w:top="126" w:right="319" w:bottom="1440" w:gutter="0" w:footer="0" w:header="0"/>
        </w:sectPr>
      </w:pPr>
    </w:p>
    <w:bookmarkStart w:id="21" w:name="page22"/>
    <w:bookmarkEnd w:id="21"/>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140"/>
          </w:cols>
          <w:pgMar w:left="1440" w:top="126"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140"/>
          </w:cols>
          <w:pgMar w:left="1440" w:top="126" w:right="319" w:bottom="1440" w:gutter="0" w:footer="0" w:header="0"/>
        </w:sectPr>
      </w:pPr>
    </w:p>
    <w:bookmarkStart w:id="23" w:name="page24"/>
    <w:bookmarkEnd w:id="2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140"/>
          </w:cols>
          <w:pgMar w:left="1440" w:top="126" w:right="319" w:bottom="1440" w:gutter="0" w:footer="0" w:header="0"/>
        </w:sectPr>
      </w:pPr>
    </w:p>
    <w:bookmarkStart w:id="24" w:name="page25"/>
    <w:bookmarkEnd w:id="2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0140"/>
          </w:cols>
          <w:pgMar w:left="1440" w:top="126" w:right="319" w:bottom="1440" w:gutter="0" w:footer="0" w:header="0"/>
        </w:sectPr>
      </w:pPr>
    </w:p>
    <w:bookmarkStart w:id="25" w:name="page26"/>
    <w:bookmarkEnd w:id="25"/>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140"/>
          </w:cols>
          <w:pgMar w:left="1440" w:top="126" w:right="319" w:bottom="1440" w:gutter="0" w:footer="0" w:header="0"/>
        </w:sectPr>
      </w:pPr>
    </w:p>
    <w:bookmarkStart w:id="26" w:name="page27"/>
    <w:bookmarkEnd w:id="26"/>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140"/>
          </w:cols>
          <w:pgMar w:left="1440" w:top="126" w:right="319" w:bottom="1440" w:gutter="0" w:footer="0" w:header="0"/>
        </w:sectPr>
      </w:pPr>
    </w:p>
    <w:bookmarkStart w:id="27" w:name="page28"/>
    <w:bookmarkEnd w:id="27"/>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140"/>
          </w:cols>
          <w:pgMar w:left="1440" w:top="126" w:right="319" w:bottom="1440" w:gutter="0" w:footer="0" w:header="0"/>
        </w:sectPr>
      </w:pPr>
    </w:p>
    <w:bookmarkStart w:id="28" w:name="page29"/>
    <w:bookmarkEnd w:id="28"/>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0140"/>
          </w:cols>
          <w:pgMar w:left="1440" w:top="126" w:right="319" w:bottom="1440" w:gutter="0" w:footer="0" w:header="0"/>
        </w:sectPr>
      </w:pPr>
    </w:p>
    <w:bookmarkStart w:id="29" w:name="page30"/>
    <w:bookmarkEnd w:id="29"/>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0140"/>
          </w:cols>
          <w:pgMar w:left="1440" w:top="126" w:right="319" w:bottom="1440" w:gutter="0" w:footer="0" w:header="0"/>
        </w:sectPr>
      </w:pPr>
    </w:p>
    <w:bookmarkStart w:id="30" w:name="page31"/>
    <w:bookmarkEnd w:id="30"/>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0140"/>
          </w:cols>
          <w:pgMar w:left="1440" w:top="126" w:right="319" w:bottom="1440" w:gutter="0" w:footer="0" w:header="0"/>
        </w:sectPr>
      </w:pPr>
    </w:p>
    <w:bookmarkStart w:id="31" w:name="page32"/>
    <w:bookmarkEnd w:id="31"/>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0140"/>
          </w:cols>
          <w:pgMar w:left="1440" w:top="126" w:right="319" w:bottom="1440" w:gutter="0" w:footer="0" w:header="0"/>
        </w:sectPr>
      </w:pPr>
    </w:p>
    <w:bookmarkStart w:id="32" w:name="page33"/>
    <w:bookmarkEnd w:id="32"/>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0140"/>
          </w:cols>
          <w:pgMar w:left="1440" w:top="126" w:right="319" w:bottom="1440" w:gutter="0" w:footer="0" w:header="0"/>
        </w:sectPr>
      </w:pPr>
    </w:p>
    <w:bookmarkStart w:id="33" w:name="page34"/>
    <w:bookmarkEnd w:id="3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0140"/>
          </w:cols>
          <w:pgMar w:left="1440" w:top="126"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0140"/>
          </w:cols>
          <w:pgMar w:left="1440" w:top="126" w:right="319" w:bottom="1440" w:gutter="0" w:footer="0" w:header="0"/>
        </w:sectPr>
      </w:pPr>
    </w:p>
    <w:bookmarkStart w:id="35" w:name="page36"/>
    <w:bookmarkEnd w:id="35"/>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0140"/>
          </w:cols>
          <w:pgMar w:left="1440" w:top="126" w:right="319" w:bottom="1440" w:gutter="0" w:footer="0" w:header="0"/>
        </w:sectPr>
      </w:pPr>
    </w:p>
    <w:bookmarkStart w:id="36" w:name="page37"/>
    <w:bookmarkEnd w:id="36"/>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0140"/>
          </w:cols>
          <w:pgMar w:left="1440" w:top="126"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0140"/>
          </w:cols>
          <w:pgMar w:left="1440" w:top="126" w:right="319" w:bottom="1440" w:gutter="0" w:footer="0" w:header="0"/>
        </w:sectPr>
      </w:pPr>
    </w:p>
    <w:bookmarkStart w:id="38" w:name="page39"/>
    <w:bookmarkEnd w:id="38"/>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0140"/>
          </w:cols>
          <w:pgMar w:left="1440" w:top="126"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0140"/>
          </w:cols>
          <w:pgMar w:left="1440" w:top="126"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0140"/>
          </w:cols>
          <w:pgMar w:left="1440" w:top="126"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0140"/>
          </w:cols>
          <w:pgMar w:left="1440" w:top="126" w:right="319" w:bottom="1440" w:gutter="0" w:footer="0" w:header="0"/>
        </w:sectPr>
      </w:pPr>
    </w:p>
    <w:bookmarkStart w:id="42" w:name="page43"/>
    <w:bookmarkEnd w:id="42"/>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0140"/>
          </w:cols>
          <w:pgMar w:left="1440" w:top="126" w:right="319" w:bottom="1440" w:gutter="0" w:footer="0" w:header="0"/>
        </w:sectPr>
      </w:pPr>
    </w:p>
    <w:bookmarkStart w:id="43" w:name="page44"/>
    <w:bookmarkEnd w:id="4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0140"/>
          </w:cols>
          <w:pgMar w:left="1440" w:top="126" w:right="319" w:bottom="1440" w:gutter="0" w:footer="0" w:header="0"/>
        </w:sectPr>
      </w:pPr>
    </w:p>
    <w:bookmarkStart w:id="44" w:name="page45"/>
    <w:bookmarkEnd w:id="4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33</w:t>
      </w:r>
    </w:p>
    <w:sectPr>
      <w:pgSz w:w="11900" w:h="16838" w:orient="portrait"/>
      <w:cols w:equalWidth="0" w:num="1">
        <w:col w:w="10140"/>
      </w:cols>
      <w:pgMar w:left="1440" w:top="12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2022-11-10T15:18:37Z</dcterms:created>
  <dcterms:modified xsi:type="dcterms:W3CDTF">2022-11-10T15:18:37Z</dcterms:modified>
</cp:coreProperties>
</file>