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0001892682</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9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835"/>
        </w:trPr>
        <w:tc>
          <w:tcPr>
            <w:tcW w:w="7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9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5"/>
              </w:rPr>
              <w:t>Expensify,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001-41043</w:t>
            </w:r>
          </w:p>
        </w:tc>
      </w:tr>
      <w:tr>
        <w:trPr>
          <w:trHeight w:val="258"/>
        </w:trPr>
        <w:tc>
          <w:tcPr>
            <w:tcW w:w="300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88 Kearny St</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w w:val="96"/>
              </w:rPr>
              <w:t>CALIFORNIA</w:t>
            </w:r>
          </w:p>
        </w:tc>
      </w:tr>
      <w:tr>
        <w:trPr>
          <w:trHeight w:val="282"/>
        </w:trPr>
        <w:tc>
          <w:tcPr>
            <w:tcW w:w="3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94108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971-365-3939</w:t>
            </w:r>
          </w:p>
        </w:tc>
      </w:tr>
      <w:tr>
        <w:trPr>
          <w:trHeight w:val="297"/>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David Barrett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 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19123</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24859.9</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84278255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06/15/2026</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06/15/2026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2992</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06/15/2026 Compensation</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06/15/2026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16131</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06/15/2026 Compensation</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03/17/2026 2692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2045.92</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03/24/2026 10114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8495.76</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04/01/2026 30000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25500</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05/01/2026 30000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32400</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06/01/2026 30000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34500</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Note: Barrett Trust LLC is a manager-managed limited liability company. The investment and voting decisions of</w:t>
      </w:r>
    </w:p>
    <w:p>
      <w:pPr>
        <w:spacing w:after="0" w:line="14" w:lineRule="exact"/>
        <w:rPr>
          <w:sz w:val="20"/>
          <w:szCs w:val="20"/>
          <w:color w:val="auto"/>
        </w:rPr>
      </w:pPr>
    </w:p>
    <w:p>
      <w:pPr>
        <w:jc w:val="both"/>
        <w:ind w:left="940" w:right="14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Barrett Trust LLC are made by its manager, David Barrett, and its controlling member is the Barrett Family Trust, for which David Barrett serves as trustee. Note for 3(e): As of May 4, 2026, as stated in Issuer's quarterly report on Form</w:t>
      </w:r>
    </w:p>
    <w:p>
      <w:pPr>
        <w:ind w:left="940"/>
        <w:spacing w:after="0"/>
        <w:rPr>
          <w:sz w:val="20"/>
          <w:szCs w:val="20"/>
          <w:color w:val="auto"/>
        </w:rPr>
      </w:pPr>
      <w:r>
        <w:rPr>
          <w:rFonts w:ascii="Times New Roman" w:cs="Times New Roman" w:eastAsia="Times New Roman" w:hAnsi="Times New Roman"/>
          <w:sz w:val="22"/>
          <w:szCs w:val="22"/>
          <w:color w:val="auto"/>
        </w:rPr>
        <w:t>10-K for the fiscal quarter ending March 31, 2026.</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Cole Eason as attorney-in-fact</w:t>
      </w:r>
    </w:p>
    <w:p>
      <w:pPr>
        <w:sectPr>
          <w:pgSz w:w="11900" w:h="16838" w:orient="portrait"/>
          <w:cols w:equalWidth="0" w:num="1">
            <w:col w:w="11240"/>
          </w:cols>
          <w:pgMar w:left="320" w:top="98"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0840"/>
          </w:cols>
          <w:pgMar w:left="520" w:top="108" w:right="5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31st day of May, 2023.</w:t>
      </w:r>
    </w:p>
    <w:p>
      <w:pPr>
        <w:spacing w:after="0" w:line="200" w:lineRule="exact"/>
        <w:rPr>
          <w:sz w:val="20"/>
          <w:szCs w:val="20"/>
          <w:color w:val="auto"/>
        </w:rPr>
      </w:pPr>
    </w:p>
    <w:p>
      <w:pPr>
        <w:spacing w:after="0" w:line="33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Barrett Trust LLC</w:t>
      </w:r>
    </w:p>
    <w:p>
      <w:pPr>
        <w:spacing w:after="0" w:line="29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David Barrett</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General Manager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2026-06-12T06:48:17Z</dcterms:created>
  <dcterms:modified xsi:type="dcterms:W3CDTF">2026-06-12T06:48:17Z</dcterms:modified>
</cp:coreProperties>
</file>