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885825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56"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4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001-41043</w:t>
      </w:r>
    </w:p>
    <w:p>
      <w:pPr>
        <w:spacing w:after="0" w:line="13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Expensify, Inc.</w:t>
      </w:r>
    </w:p>
    <w:p>
      <w:pPr>
        <w:spacing w:after="0" w:line="4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2" w:lineRule="exact"/>
        <w:rPr>
          <w:sz w:val="24"/>
          <w:szCs w:val="24"/>
          <w:color w:val="auto"/>
        </w:rPr>
      </w:pPr>
    </w:p>
    <w:tbl>
      <w:tblPr>
        <w:tblLayout w:type="fixed"/>
        <w:tblInd w:w="340" w:type="dxa"/>
        <w:tblCellMar>
          <w:top w:w="0" w:type="dxa"/>
          <w:left w:w="0" w:type="dxa"/>
          <w:bottom w:w="0" w:type="dxa"/>
          <w:right w:w="0" w:type="dxa"/>
        </w:tblCellMar>
      </w:tblPr>
      <w:tr>
        <w:trPr>
          <w:trHeight w:val="239"/>
        </w:trPr>
        <w:tc>
          <w:tcPr>
            <w:tcW w:w="5580" w:type="dxa"/>
            <w:vAlign w:val="bottom"/>
          </w:tcPr>
          <w:p>
            <w:pPr>
              <w:jc w:val="center"/>
              <w:ind w:right="874"/>
              <w:spacing w:after="0"/>
              <w:rPr>
                <w:sz w:val="20"/>
                <w:szCs w:val="20"/>
                <w:color w:val="auto"/>
              </w:rPr>
            </w:pPr>
            <w:r>
              <w:rPr>
                <w:rFonts w:ascii="Arial" w:cs="Arial" w:eastAsia="Arial" w:hAnsi="Arial"/>
                <w:sz w:val="18"/>
                <w:szCs w:val="18"/>
                <w:b w:val="1"/>
                <w:bCs w:val="1"/>
                <w:color w:val="auto"/>
                <w:w w:val="98"/>
              </w:rPr>
              <w:t>Delaware</w:t>
            </w:r>
          </w:p>
        </w:tc>
        <w:tc>
          <w:tcPr>
            <w:tcW w:w="3740" w:type="dxa"/>
            <w:vAlign w:val="bottom"/>
          </w:tcPr>
          <w:p>
            <w:pPr>
              <w:jc w:val="right"/>
              <w:ind w:right="812"/>
              <w:spacing w:after="0"/>
              <w:rPr>
                <w:sz w:val="20"/>
                <w:szCs w:val="20"/>
                <w:color w:val="auto"/>
              </w:rPr>
            </w:pPr>
            <w:r>
              <w:rPr>
                <w:rFonts w:ascii="Arial" w:cs="Arial" w:eastAsia="Arial" w:hAnsi="Arial"/>
                <w:sz w:val="18"/>
                <w:szCs w:val="18"/>
                <w:b w:val="1"/>
                <w:bCs w:val="1"/>
                <w:color w:val="auto"/>
              </w:rPr>
              <w:t>27-0239450</w:t>
            </w:r>
          </w:p>
        </w:tc>
        <w:tc>
          <w:tcPr>
            <w:tcW w:w="0" w:type="dxa"/>
            <w:vAlign w:val="bottom"/>
          </w:tcPr>
          <w:p>
            <w:pPr>
              <w:spacing w:after="0"/>
              <w:rPr>
                <w:sz w:val="1"/>
                <w:szCs w:val="1"/>
                <w:color w:val="auto"/>
              </w:rPr>
            </w:pPr>
          </w:p>
        </w:tc>
      </w:tr>
      <w:tr>
        <w:trPr>
          <w:trHeight w:val="270"/>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50"/>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401 SW 5th Ave</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Portland Oregon</w:t>
            </w:r>
          </w:p>
        </w:tc>
        <w:tc>
          <w:tcPr>
            <w:tcW w:w="3740" w:type="dxa"/>
            <w:vAlign w:val="bottom"/>
            <w:vMerge w:val="restart"/>
          </w:tcPr>
          <w:p>
            <w:pPr>
              <w:jc w:val="right"/>
              <w:ind w:right="1072"/>
              <w:spacing w:after="0"/>
              <w:rPr>
                <w:sz w:val="20"/>
                <w:szCs w:val="20"/>
                <w:color w:val="auto"/>
              </w:rPr>
            </w:pPr>
            <w:r>
              <w:rPr>
                <w:rFonts w:ascii="Arial" w:cs="Arial" w:eastAsia="Arial" w:hAnsi="Arial"/>
                <w:sz w:val="16"/>
                <w:szCs w:val="16"/>
                <w:b w:val="1"/>
                <w:bCs w:val="1"/>
                <w:color w:val="auto"/>
              </w:rPr>
              <w:t>97209</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3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(Address of Principal Executive Offices)</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(475) 221-8402</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7"/>
        </w:trPr>
        <w:tc>
          <w:tcPr>
            <w:tcW w:w="434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36"/>
        </w:trPr>
        <w:tc>
          <w:tcPr>
            <w:tcW w:w="4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EXFY</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7"/>
        </w:trPr>
        <w:tc>
          <w:tcPr>
            <w:tcW w:w="434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94" w:lineRule="exact"/>
        <w:rPr>
          <w:sz w:val="24"/>
          <w:szCs w:val="24"/>
          <w:color w:val="auto"/>
        </w:rPr>
      </w:pPr>
    </w:p>
    <w:p>
      <w:pPr>
        <w:ind w:right="30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ind w:right="3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350"/>
        </w:trPr>
        <w:tc>
          <w:tcPr>
            <w:tcW w:w="346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Accelerated filer</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1"/>
        </w:trPr>
        <w:tc>
          <w:tcPr>
            <w:tcW w:w="346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380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34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1660"/>
              <w:spacing w:after="0"/>
              <w:rPr>
                <w:sz w:val="20"/>
                <w:szCs w:val="20"/>
                <w:color w:val="auto"/>
              </w:rPr>
            </w:pPr>
            <w:r>
              <w:rPr>
                <w:rFonts w:ascii="Arial" w:cs="Arial" w:eastAsia="Arial" w:hAnsi="Arial"/>
                <w:sz w:val="18"/>
                <w:szCs w:val="18"/>
                <w:color w:val="auto"/>
              </w:rPr>
              <w:t>x</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Smaller reporting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1"/>
        </w:trPr>
        <w:tc>
          <w:tcPr>
            <w:tcW w:w="34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1660" w:type="dxa"/>
            <w:vAlign w:val="bottom"/>
          </w:tcPr>
          <w:p>
            <w:pPr>
              <w:ind w:left="1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29" w:lineRule="exact"/>
        <w:rPr>
          <w:sz w:val="24"/>
          <w:szCs w:val="24"/>
          <w:color w:val="auto"/>
        </w:rPr>
      </w:pPr>
    </w:p>
    <w:p>
      <w:pPr>
        <w:ind w:right="220"/>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ectPr>
          <w:pgSz w:w="11900" w:h="16838" w:orient="portrait"/>
          <w:cols w:equalWidth="0" w:num="1">
            <w:col w:w="11260"/>
          </w:cols>
          <w:pgMar w:left="320" w:top="225" w:right="319" w:bottom="0" w:gutter="0" w:footer="0" w:header="0"/>
        </w:sectPr>
      </w:pPr>
    </w:p>
    <w:bookmarkStart w:id="1" w:name="page2"/>
    <w:bookmarkEnd w:id="1"/>
    <w:p>
      <w:pPr>
        <w:spacing w:after="0" w:line="255" w:lineRule="auto"/>
        <w:rPr>
          <w:sz w:val="20"/>
          <w:szCs w:val="20"/>
          <w:color w:val="auto"/>
        </w:rPr>
      </w:pPr>
      <w:r>
        <w:rPr>
          <w:rFonts w:ascii="Arial" w:cs="Arial" w:eastAsia="Arial" w:hAnsi="Arial"/>
          <w:sz w:val="18"/>
          <w:szCs w:val="18"/>
          <w:color w:val="auto"/>
        </w:rPr>
        <w:t>The registrant had outstanding 67,519,744 shares of Class A common stock, par value of $0.0001 per share, 7,332,640 shares of LT10 common stock, par value $0.0001 per share, and 6,224,160 shares of LT50 common stock, par value $0.0001 per share as of December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1094105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20" w:type="dxa"/>
            <w:vAlign w:val="bottom"/>
            <w:gridSpan w:val="5"/>
          </w:tcPr>
          <w:p>
            <w:pPr>
              <w:ind w:left="80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Part I - Financial Information</w:t>
              </w:r>
            </w:hyperlink>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Borders>
              <w:bottom w:val="single" w:sz="8" w:color="0000FF"/>
            </w:tcBorders>
            <w:gridSpan w:val="7"/>
          </w:tcPr>
          <w:p>
            <w:pPr>
              <w:ind w:left="2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Item 1. Financial Statements</w:t>
              </w:r>
            </w:hyperlink>
          </w:p>
        </w:tc>
        <w:tc>
          <w:tcPr>
            <w:tcW w:w="6840" w:type="dxa"/>
            <w:vAlign w:val="bottom"/>
            <w:gridSpan w:val="11"/>
          </w:tcPr>
          <w:p>
            <w:pPr>
              <w:spacing w:after="0"/>
              <w:rPr>
                <w:sz w:val="18"/>
                <w:szCs w:val="18"/>
                <w:color w:val="auto"/>
              </w:rPr>
            </w:pPr>
          </w:p>
        </w:tc>
        <w:tc>
          <w:tcPr>
            <w:tcW w:w="17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tcBorders>
              <w:bottom w:val="single" w:sz="8" w:color="0000FF"/>
            </w:tcBorders>
            <w:gridSpan w:val="8"/>
          </w:tcPr>
          <w:p>
            <w:pPr>
              <w:ind w:left="2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Consolidated Balance Sheets</w:t>
              </w:r>
            </w:hyperlink>
          </w:p>
        </w:tc>
        <w:tc>
          <w:tcPr>
            <w:tcW w:w="6760" w:type="dxa"/>
            <w:vAlign w:val="bottom"/>
            <w:gridSpan w:val="10"/>
          </w:tcPr>
          <w:p>
            <w:pPr>
              <w:spacing w:after="0"/>
              <w:rPr>
                <w:sz w:val="19"/>
                <w:szCs w:val="19"/>
                <w:color w:val="auto"/>
              </w:rPr>
            </w:pPr>
          </w:p>
        </w:tc>
        <w:tc>
          <w:tcPr>
            <w:tcW w:w="1760" w:type="dxa"/>
            <w:vAlign w:val="bottom"/>
          </w:tcPr>
          <w:p>
            <w:pPr>
              <w:jc w:val="right"/>
              <w:spacing w:after="0" w:line="223" w:lineRule="exact"/>
              <w:rPr>
                <w:rFonts w:ascii="Arial" w:cs="Arial" w:eastAsia="Arial" w:hAnsi="Arial"/>
                <w:sz w:val="20"/>
                <w:szCs w:val="20"/>
                <w:color w:val="auto"/>
              </w:rPr>
            </w:pPr>
            <w:hyperlink w:anchor="page6">
              <w:r>
                <w:rPr>
                  <w:rFonts w:ascii="Arial" w:cs="Arial" w:eastAsia="Arial" w:hAnsi="Arial"/>
                  <w:sz w:val="20"/>
                  <w:szCs w:val="20"/>
                  <w:color w:val="auto"/>
                </w:rPr>
                <w:t>2</w:t>
              </w:r>
            </w:hyperlink>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40" w:type="dxa"/>
            <w:vAlign w:val="bottom"/>
            <w:gridSpan w:val="18"/>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Income</w:t>
              </w:r>
            </w:hyperlink>
          </w:p>
        </w:tc>
        <w:tc>
          <w:tcPr>
            <w:tcW w:w="17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40" w:type="dxa"/>
            <w:vAlign w:val="bottom"/>
            <w:gridSpan w:val="18"/>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Consolidated Statements of Convertible Preferred Stock and Stockholders' Deficit</w:t>
              </w:r>
            </w:hyperlink>
          </w:p>
        </w:tc>
        <w:tc>
          <w:tcPr>
            <w:tcW w:w="17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4</w:t>
              </w:r>
            </w:hyperlink>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tcBorders>
              <w:top w:val="single" w:sz="8" w:color="0000FF"/>
              <w:bottom w:val="single" w:sz="8" w:color="0000FF"/>
            </w:tcBorders>
            <w:gridSpan w:val="12"/>
          </w:tcPr>
          <w:p>
            <w:pPr>
              <w:ind w:left="20"/>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Consolidated Statements of Cash Flows</w:t>
              </w:r>
            </w:hyperlink>
          </w:p>
        </w:tc>
        <w:tc>
          <w:tcPr>
            <w:tcW w:w="3280" w:type="dxa"/>
            <w:vAlign w:val="bottom"/>
            <w:tcBorders>
              <w:top w:val="single" w:sz="8" w:color="0000FF"/>
            </w:tcBorders>
            <w:gridSpan w:val="4"/>
          </w:tcPr>
          <w:p>
            <w:pPr>
              <w:spacing w:after="0"/>
              <w:rPr>
                <w:sz w:val="18"/>
                <w:szCs w:val="18"/>
                <w:color w:val="auto"/>
              </w:rPr>
            </w:pPr>
          </w:p>
        </w:tc>
        <w:tc>
          <w:tcPr>
            <w:tcW w:w="2640" w:type="dxa"/>
            <w:vAlign w:val="bottom"/>
            <w:gridSpan w:val="2"/>
          </w:tcPr>
          <w:p>
            <w:pPr>
              <w:spacing w:after="0"/>
              <w:rPr>
                <w:sz w:val="18"/>
                <w:szCs w:val="18"/>
                <w:color w:val="auto"/>
              </w:rPr>
            </w:pPr>
          </w:p>
        </w:tc>
        <w:tc>
          <w:tcPr>
            <w:tcW w:w="176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6</w:t>
              </w:r>
            </w:hyperlink>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Borders>
              <w:bottom w:val="single" w:sz="8" w:color="0000FF"/>
            </w:tcBorders>
            <w:gridSpan w:val="13"/>
          </w:tcPr>
          <w:p>
            <w:pPr>
              <w:ind w:left="20"/>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Notes to Consolidated Financial Statements</w:t>
              </w:r>
            </w:hyperlink>
          </w:p>
        </w:tc>
        <w:tc>
          <w:tcPr>
            <w:tcW w:w="5620" w:type="dxa"/>
            <w:vAlign w:val="bottom"/>
            <w:gridSpan w:val="5"/>
          </w:tcPr>
          <w:p>
            <w:pPr>
              <w:spacing w:after="0"/>
              <w:rPr>
                <w:sz w:val="18"/>
                <w:szCs w:val="18"/>
                <w:color w:val="auto"/>
              </w:rPr>
            </w:pPr>
          </w:p>
        </w:tc>
        <w:tc>
          <w:tcPr>
            <w:tcW w:w="176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7</w:t>
              </w:r>
            </w:hyperlink>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40" w:type="dxa"/>
            <w:vAlign w:val="bottom"/>
            <w:gridSpan w:val="18"/>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Item 2. Management's Discussion and Analysis of Financial Condition and Results of Operations</w:t>
              </w:r>
            </w:hyperlink>
          </w:p>
        </w:tc>
        <w:tc>
          <w:tcPr>
            <w:tcW w:w="17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41</w:t>
              </w:r>
            </w:hyperlink>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Borders>
              <w:top w:val="single" w:sz="8" w:color="0000FF"/>
            </w:tcBorders>
            <w:gridSpan w:val="17"/>
          </w:tcPr>
          <w:p>
            <w:pPr>
              <w:ind w:left="20"/>
              <w:spacing w:after="0"/>
              <w:rPr>
                <w:rFonts w:ascii="Arial" w:cs="Arial" w:eastAsia="Arial" w:hAnsi="Arial"/>
                <w:sz w:val="18"/>
                <w:szCs w:val="18"/>
                <w:color w:val="0000FF"/>
              </w:rPr>
            </w:pPr>
            <w:hyperlink w:anchor="page68">
              <w:r>
                <w:rPr>
                  <w:rFonts w:ascii="Arial" w:cs="Arial" w:eastAsia="Arial" w:hAnsi="Arial"/>
                  <w:sz w:val="18"/>
                  <w:szCs w:val="18"/>
                  <w:color w:val="0000FF"/>
                </w:rPr>
                <w:t>Item 3. Quantitative and Qualitative Disclosures About Market Risk</w:t>
              </w:r>
            </w:hyperlink>
          </w:p>
        </w:tc>
        <w:tc>
          <w:tcPr>
            <w:tcW w:w="1460" w:type="dxa"/>
            <w:vAlign w:val="bottom"/>
          </w:tcPr>
          <w:p>
            <w:pPr>
              <w:spacing w:after="0"/>
              <w:rPr>
                <w:sz w:val="18"/>
                <w:szCs w:val="18"/>
                <w:color w:val="auto"/>
              </w:rPr>
            </w:pPr>
          </w:p>
        </w:tc>
        <w:tc>
          <w:tcPr>
            <w:tcW w:w="17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63</w:t>
              </w:r>
            </w:hyperlink>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20" w:type="dxa"/>
            <w:vAlign w:val="bottom"/>
            <w:tcBorders>
              <w:top w:val="single" w:sz="8" w:color="0000FF"/>
            </w:tcBorders>
            <w:gridSpan w:val="14"/>
          </w:tcPr>
          <w:p>
            <w:pPr>
              <w:ind w:left="20"/>
              <w:spacing w:after="0"/>
              <w:rPr>
                <w:rFonts w:ascii="Arial" w:cs="Arial" w:eastAsia="Arial" w:hAnsi="Arial"/>
                <w:sz w:val="18"/>
                <w:szCs w:val="18"/>
                <w:color w:val="0000FF"/>
              </w:rPr>
            </w:pPr>
            <w:hyperlink w:anchor="page69">
              <w:r>
                <w:rPr>
                  <w:rFonts w:ascii="Arial" w:cs="Arial" w:eastAsia="Arial" w:hAnsi="Arial"/>
                  <w:sz w:val="18"/>
                  <w:szCs w:val="18"/>
                  <w:color w:val="0000FF"/>
                </w:rPr>
                <w:t>Item 4. Controls and Procedures</w:t>
              </w:r>
            </w:hyperlink>
          </w:p>
        </w:tc>
        <w:tc>
          <w:tcPr>
            <w:tcW w:w="3820" w:type="dxa"/>
            <w:vAlign w:val="bottom"/>
            <w:gridSpan w:val="4"/>
          </w:tcPr>
          <w:p>
            <w:pPr>
              <w:spacing w:after="0"/>
              <w:rPr>
                <w:sz w:val="18"/>
                <w:szCs w:val="18"/>
                <w:color w:val="auto"/>
              </w:rPr>
            </w:pPr>
          </w:p>
        </w:tc>
        <w:tc>
          <w:tcPr>
            <w:tcW w:w="176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64</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Part II - Other Information</w:t>
              </w:r>
            </w:hyperlink>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40" w:type="dxa"/>
            <w:vAlign w:val="bottom"/>
            <w:gridSpan w:val="18"/>
          </w:tcPr>
          <w:p>
            <w:pPr>
              <w:ind w:left="20"/>
              <w:spacing w:after="0"/>
              <w:rPr>
                <w:rFonts w:ascii="Arial" w:cs="Arial" w:eastAsia="Arial" w:hAnsi="Arial"/>
                <w:sz w:val="18"/>
                <w:szCs w:val="18"/>
                <w:color w:val="0000FF"/>
              </w:rPr>
            </w:pPr>
            <w:hyperlink w:anchor="page71">
              <w:r>
                <w:rPr>
                  <w:rFonts w:ascii="Arial" w:cs="Arial" w:eastAsia="Arial" w:hAnsi="Arial"/>
                  <w:sz w:val="18"/>
                  <w:szCs w:val="18"/>
                  <w:color w:val="0000FF"/>
                </w:rPr>
                <w:t>Item 1. Legal Proceedings</w:t>
              </w:r>
            </w:hyperlink>
          </w:p>
        </w:tc>
        <w:tc>
          <w:tcPr>
            <w:tcW w:w="176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66</w:t>
              </w:r>
            </w:hyperlink>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tcBorders>
            <w:gridSpan w:val="6"/>
          </w:tcPr>
          <w:p>
            <w:pPr>
              <w:ind w:left="20"/>
              <w:spacing w:after="0"/>
              <w:rPr>
                <w:rFonts w:ascii="Arial" w:cs="Arial" w:eastAsia="Arial" w:hAnsi="Arial"/>
                <w:sz w:val="18"/>
                <w:szCs w:val="18"/>
                <w:color w:val="0000FF"/>
              </w:rPr>
            </w:pPr>
            <w:hyperlink w:anchor="page71">
              <w:r>
                <w:rPr>
                  <w:rFonts w:ascii="Arial" w:cs="Arial" w:eastAsia="Arial" w:hAnsi="Arial"/>
                  <w:sz w:val="18"/>
                  <w:szCs w:val="18"/>
                  <w:color w:val="0000FF"/>
                </w:rPr>
                <w:t>Item 1A. Risk Factors</w:t>
              </w:r>
            </w:hyperlink>
          </w:p>
        </w:tc>
        <w:tc>
          <w:tcPr>
            <w:tcW w:w="7040" w:type="dxa"/>
            <w:vAlign w:val="bottom"/>
            <w:gridSpan w:val="12"/>
          </w:tcPr>
          <w:p>
            <w:pPr>
              <w:spacing w:after="0"/>
              <w:rPr>
                <w:sz w:val="18"/>
                <w:szCs w:val="18"/>
                <w:color w:val="auto"/>
              </w:rPr>
            </w:pPr>
          </w:p>
        </w:tc>
        <w:tc>
          <w:tcPr>
            <w:tcW w:w="176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66</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40" w:type="dxa"/>
            <w:vAlign w:val="bottom"/>
            <w:gridSpan w:val="18"/>
          </w:tcPr>
          <w:p>
            <w:pPr>
              <w:ind w:left="20"/>
              <w:spacing w:after="0"/>
              <w:rPr>
                <w:rFonts w:ascii="Arial" w:cs="Arial" w:eastAsia="Arial" w:hAnsi="Arial"/>
                <w:sz w:val="18"/>
                <w:szCs w:val="18"/>
                <w:color w:val="0000FF"/>
              </w:rPr>
            </w:pPr>
            <w:hyperlink w:anchor="page117">
              <w:r>
                <w:rPr>
                  <w:rFonts w:ascii="Arial" w:cs="Arial" w:eastAsia="Arial" w:hAnsi="Arial"/>
                  <w:sz w:val="18"/>
                  <w:szCs w:val="18"/>
                  <w:color w:val="0000FF"/>
                </w:rPr>
                <w:t>Item 2. Unregistered Sales of Equity Securities and Use of Proceeds</w:t>
              </w:r>
            </w:hyperlink>
          </w:p>
        </w:tc>
        <w:tc>
          <w:tcPr>
            <w:tcW w:w="17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112</w:t>
              </w:r>
            </w:hyperlink>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60" w:type="dxa"/>
            <w:vAlign w:val="bottom"/>
            <w:tcBorders>
              <w:top w:val="single" w:sz="8" w:color="0000FF"/>
            </w:tcBorders>
            <w:gridSpan w:val="15"/>
          </w:tcPr>
          <w:p>
            <w:pPr>
              <w:ind w:left="20"/>
              <w:spacing w:after="0"/>
              <w:rPr>
                <w:rFonts w:ascii="Arial" w:cs="Arial" w:eastAsia="Arial" w:hAnsi="Arial"/>
                <w:sz w:val="18"/>
                <w:szCs w:val="18"/>
                <w:color w:val="0000FF"/>
              </w:rPr>
            </w:pPr>
            <w:hyperlink w:anchor="page118">
              <w:r>
                <w:rPr>
                  <w:rFonts w:ascii="Arial" w:cs="Arial" w:eastAsia="Arial" w:hAnsi="Arial"/>
                  <w:sz w:val="18"/>
                  <w:szCs w:val="18"/>
                  <w:color w:val="0000FF"/>
                </w:rPr>
                <w:t>Item 3. Defaults Upon Senior Securities</w:t>
              </w:r>
            </w:hyperlink>
          </w:p>
        </w:tc>
        <w:tc>
          <w:tcPr>
            <w:tcW w:w="3680" w:type="dxa"/>
            <w:vAlign w:val="bottom"/>
            <w:gridSpan w:val="3"/>
          </w:tcPr>
          <w:p>
            <w:pPr>
              <w:spacing w:after="0"/>
              <w:rPr>
                <w:sz w:val="18"/>
                <w:szCs w:val="18"/>
                <w:color w:val="auto"/>
              </w:rPr>
            </w:pPr>
          </w:p>
        </w:tc>
        <w:tc>
          <w:tcPr>
            <w:tcW w:w="176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113</w:t>
              </w:r>
            </w:hyperlink>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tcBorders>
              <w:top w:val="single" w:sz="8" w:color="0000FF"/>
              <w:bottom w:val="single" w:sz="8" w:color="0000FF"/>
            </w:tcBorders>
            <w:gridSpan w:val="9"/>
          </w:tcPr>
          <w:p>
            <w:pPr>
              <w:ind w:left="20"/>
              <w:spacing w:after="0"/>
              <w:rPr>
                <w:rFonts w:ascii="Arial" w:cs="Arial" w:eastAsia="Arial" w:hAnsi="Arial"/>
                <w:sz w:val="18"/>
                <w:szCs w:val="18"/>
                <w:color w:val="0000FF"/>
              </w:rPr>
            </w:pPr>
            <w:hyperlink w:anchor="page118">
              <w:r>
                <w:rPr>
                  <w:rFonts w:ascii="Arial" w:cs="Arial" w:eastAsia="Arial" w:hAnsi="Arial"/>
                  <w:sz w:val="18"/>
                  <w:szCs w:val="18"/>
                  <w:color w:val="0000FF"/>
                </w:rPr>
                <w:t>Item 4. Mine Safety Disclosures</w:t>
              </w:r>
            </w:hyperlink>
          </w:p>
        </w:tc>
        <w:tc>
          <w:tcPr>
            <w:tcW w:w="560" w:type="dxa"/>
            <w:vAlign w:val="bottom"/>
            <w:tcBorders>
              <w:top w:val="single" w:sz="8" w:color="0000FF"/>
            </w:tcBorders>
            <w:gridSpan w:val="2"/>
          </w:tcPr>
          <w:p>
            <w:pPr>
              <w:spacing w:after="0"/>
              <w:rPr>
                <w:sz w:val="18"/>
                <w:szCs w:val="18"/>
                <w:color w:val="auto"/>
              </w:rPr>
            </w:pPr>
          </w:p>
        </w:tc>
        <w:tc>
          <w:tcPr>
            <w:tcW w:w="5980" w:type="dxa"/>
            <w:vAlign w:val="bottom"/>
            <w:gridSpan w:val="7"/>
          </w:tcPr>
          <w:p>
            <w:pPr>
              <w:spacing w:after="0"/>
              <w:rPr>
                <w:sz w:val="18"/>
                <w:szCs w:val="18"/>
                <w:color w:val="auto"/>
              </w:rPr>
            </w:pPr>
          </w:p>
        </w:tc>
        <w:tc>
          <w:tcPr>
            <w:tcW w:w="176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113</w:t>
              </w:r>
            </w:hyperlink>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40" w:type="dxa"/>
            <w:vAlign w:val="bottom"/>
            <w:gridSpan w:val="18"/>
          </w:tcPr>
          <w:p>
            <w:pPr>
              <w:ind w:left="20"/>
              <w:spacing w:after="0"/>
              <w:rPr>
                <w:rFonts w:ascii="Arial" w:cs="Arial" w:eastAsia="Arial" w:hAnsi="Arial"/>
                <w:sz w:val="18"/>
                <w:szCs w:val="18"/>
                <w:color w:val="0000FF"/>
              </w:rPr>
            </w:pPr>
            <w:hyperlink w:anchor="page118">
              <w:r>
                <w:rPr>
                  <w:rFonts w:ascii="Arial" w:cs="Arial" w:eastAsia="Arial" w:hAnsi="Arial"/>
                  <w:sz w:val="18"/>
                  <w:szCs w:val="18"/>
                  <w:color w:val="0000FF"/>
                </w:rPr>
                <w:t>Item 5. Other Information</w:t>
              </w:r>
            </w:hyperlink>
          </w:p>
        </w:tc>
        <w:tc>
          <w:tcPr>
            <w:tcW w:w="176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113</w:t>
              </w:r>
            </w:hyperlink>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97"/>
              </w:rPr>
            </w:pPr>
            <w:hyperlink w:anchor="page118">
              <w:r>
                <w:rPr>
                  <w:rFonts w:ascii="Arial" w:cs="Arial" w:eastAsia="Arial" w:hAnsi="Arial"/>
                  <w:sz w:val="18"/>
                  <w:szCs w:val="18"/>
                  <w:color w:val="0000FF"/>
                  <w:w w:val="97"/>
                </w:rPr>
                <w:t>Item 6. Exhibits</w:t>
              </w:r>
            </w:hyperlink>
          </w:p>
        </w:tc>
        <w:tc>
          <w:tcPr>
            <w:tcW w:w="760" w:type="dxa"/>
            <w:vAlign w:val="bottom"/>
            <w:tcBorders>
              <w:top w:val="single" w:sz="8" w:color="0000FF"/>
            </w:tcBorders>
            <w:gridSpan w:val="3"/>
          </w:tcPr>
          <w:p>
            <w:pPr>
              <w:spacing w:after="0"/>
              <w:rPr>
                <w:sz w:val="18"/>
                <w:szCs w:val="18"/>
                <w:color w:val="auto"/>
              </w:rPr>
            </w:pPr>
          </w:p>
        </w:tc>
        <w:tc>
          <w:tcPr>
            <w:tcW w:w="7140" w:type="dxa"/>
            <w:vAlign w:val="bottom"/>
            <w:gridSpan w:val="13"/>
          </w:tcPr>
          <w:p>
            <w:pPr>
              <w:spacing w:after="0"/>
              <w:rPr>
                <w:sz w:val="18"/>
                <w:szCs w:val="18"/>
                <w:color w:val="auto"/>
              </w:rPr>
            </w:pPr>
          </w:p>
        </w:tc>
        <w:tc>
          <w:tcPr>
            <w:tcW w:w="176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114</w:t>
              </w:r>
            </w:hyperlink>
          </w:p>
        </w:tc>
      </w:tr>
      <w:tr>
        <w:trPr>
          <w:trHeight w:val="209"/>
        </w:trPr>
        <w:tc>
          <w:tcPr>
            <w:tcW w:w="20" w:type="dxa"/>
            <w:vAlign w:val="bottom"/>
          </w:tcPr>
          <w:p>
            <w:pPr>
              <w:spacing w:after="0"/>
              <w:rPr>
                <w:sz w:val="18"/>
                <w:szCs w:val="18"/>
                <w:color w:val="auto"/>
              </w:rPr>
            </w:pPr>
          </w:p>
        </w:tc>
        <w:tc>
          <w:tcPr>
            <w:tcW w:w="9460" w:type="dxa"/>
            <w:vAlign w:val="bottom"/>
            <w:gridSpan w:val="19"/>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Signatures</w:t>
              </w:r>
            </w:hyperlink>
          </w:p>
        </w:tc>
        <w:tc>
          <w:tcPr>
            <w:tcW w:w="176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115</w:t>
              </w:r>
            </w:hyperlink>
          </w:p>
        </w:tc>
      </w:tr>
      <w:tr>
        <w:trPr>
          <w:trHeight w:val="1675"/>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About Forward-Looking Statements</w:t>
      </w:r>
    </w:p>
    <w:p>
      <w:pPr>
        <w:spacing w:after="0" w:line="3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38" w:lineRule="exact"/>
        <w:rPr>
          <w:sz w:val="20"/>
          <w:szCs w:val="20"/>
          <w:color w:val="auto"/>
        </w:rPr>
      </w:pPr>
    </w:p>
    <w:p>
      <w:pPr>
        <w:ind w:left="340" w:right="56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and the end of the COVID-19 pandemic on our business, results of operations and financial condition, and the global economy generally;</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57" w:lineRule="exact"/>
        <w:rPr>
          <w:rFonts w:ascii="Arial" w:cs="Arial" w:eastAsia="Arial" w:hAnsi="Arial"/>
          <w:sz w:val="18"/>
          <w:szCs w:val="18"/>
          <w:color w:val="auto"/>
        </w:rPr>
      </w:pPr>
    </w:p>
    <w:p>
      <w:pPr>
        <w:ind w:left="340" w:right="40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130" w:lineRule="exact"/>
        <w:rPr>
          <w:rFonts w:ascii="Arial" w:cs="Arial" w:eastAsia="Arial" w:hAnsi="Arial"/>
          <w:sz w:val="18"/>
          <w:szCs w:val="18"/>
          <w:color w:val="auto"/>
        </w:rPr>
      </w:pPr>
    </w:p>
    <w:p>
      <w:pPr>
        <w:ind w:left="340" w:right="30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116" w:lineRule="exact"/>
        <w:rPr>
          <w:rFonts w:ascii="Arial" w:cs="Arial" w:eastAsia="Arial" w:hAnsi="Arial"/>
          <w:sz w:val="18"/>
          <w:szCs w:val="18"/>
          <w:color w:val="auto"/>
        </w:rPr>
      </w:pPr>
    </w:p>
    <w:p>
      <w:pPr>
        <w:ind w:left="340" w:right="52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340" w:right="38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130" w:lineRule="exact"/>
        <w:rPr>
          <w:rFonts w:ascii="Arial" w:cs="Arial" w:eastAsia="Arial" w:hAnsi="Arial"/>
          <w:sz w:val="18"/>
          <w:szCs w:val="18"/>
          <w:color w:val="auto"/>
        </w:rPr>
      </w:pPr>
    </w:p>
    <w:p>
      <w:pPr>
        <w:ind w:left="340" w:right="34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societal and economic impact of the COVID-19 pandemic, and geopolitical uncertainty and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Quarterly Report on Form 10-Q.</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Capitalized terms used and not defined above are defined elsewhere within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 Financial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 September 30,</w:t>
            </w:r>
          </w:p>
        </w:tc>
        <w:tc>
          <w:tcPr>
            <w:tcW w:w="100" w:type="dxa"/>
            <w:vAlign w:val="bottom"/>
          </w:tcPr>
          <w:p>
            <w:pPr>
              <w:spacing w:after="0"/>
              <w:rPr>
                <w:sz w:val="16"/>
                <w:szCs w:val="16"/>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020" w:type="dxa"/>
            <w:vAlign w:val="bottom"/>
            <w:shd w:val="clear" w:color="auto" w:fill="CCEEFF"/>
          </w:tcPr>
          <w:p>
            <w:pPr>
              <w:ind w:left="378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68,058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34,401</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10,024</w:t>
            </w: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Settlement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25,107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Related party loan receivable, current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3,404</w:t>
            </w:r>
          </w:p>
        </w:tc>
        <w:tc>
          <w:tcPr>
            <w:tcW w:w="0" w:type="dxa"/>
            <w:vAlign w:val="bottom"/>
          </w:tcPr>
          <w:p>
            <w:pPr>
              <w:spacing w:after="0"/>
              <w:rPr>
                <w:sz w:val="1"/>
                <w:szCs w:val="1"/>
                <w:color w:val="auto"/>
              </w:rPr>
            </w:pPr>
          </w:p>
        </w:tc>
      </w:tr>
      <w:tr>
        <w:trPr>
          <w:trHeight w:val="183"/>
        </w:trPr>
        <w:tc>
          <w:tcPr>
            <w:tcW w:w="8020" w:type="dxa"/>
            <w:vAlign w:val="bottom"/>
          </w:tcPr>
          <w:p>
            <w:pPr>
              <w:ind w:left="780"/>
              <w:spacing w:after="0"/>
              <w:rPr>
                <w:sz w:val="20"/>
                <w:szCs w:val="20"/>
                <w:color w:val="auto"/>
              </w:rPr>
            </w:pPr>
            <w:r>
              <w:rPr>
                <w:rFonts w:ascii="Arial" w:cs="Arial" w:eastAsia="Arial" w:hAnsi="Arial"/>
                <w:sz w:val="14"/>
                <w:szCs w:val="14"/>
                <w:color w:val="auto"/>
              </w:rPr>
              <w:t>Total current assets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123,227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63,664</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software, net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3,722</w:t>
            </w: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15,363</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right-of-use assets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83"/>
        </w:trPr>
        <w:tc>
          <w:tcPr>
            <w:tcW w:w="8020" w:type="dxa"/>
            <w:vAlign w:val="bottom"/>
          </w:tcPr>
          <w:p>
            <w:pPr>
              <w:ind w:left="78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149,887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87,733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20" w:type="dxa"/>
            <w:vAlign w:val="bottom"/>
            <w:shd w:val="clear" w:color="auto" w:fill="CCEEFF"/>
          </w:tcPr>
          <w:p>
            <w:pPr>
              <w:ind w:left="3460"/>
              <w:spacing w:after="0" w:line="156" w:lineRule="exact"/>
              <w:rPr>
                <w:sz w:val="20"/>
                <w:szCs w:val="20"/>
                <w:color w:val="auto"/>
              </w:rPr>
            </w:pPr>
            <w:r>
              <w:rPr>
                <w:rFonts w:ascii="Arial" w:cs="Arial" w:eastAsia="Arial" w:hAnsi="Arial"/>
                <w:sz w:val="14"/>
                <w:szCs w:val="14"/>
                <w:b w:val="1"/>
                <w:bCs w:val="1"/>
                <w:color w:val="auto"/>
              </w:rPr>
              <w:t>Liabilities, convertible preferred stock and stockholders' deficit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2,328</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w:t>
            </w: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Borrowings under line of credit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of long-term debt, net of issuance costs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Lease liabilities, current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liabilities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183"/>
        </w:trPr>
        <w:tc>
          <w:tcPr>
            <w:tcW w:w="8020" w:type="dxa"/>
            <w:vAlign w:val="bottom"/>
          </w:tcPr>
          <w:p>
            <w:pPr>
              <w:ind w:left="780"/>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67,292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39,200</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non-current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Deferred tax liabilities,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debt, net of issuance costs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52,093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30,321</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121,898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73,664</w:t>
            </w:r>
          </w:p>
        </w:tc>
        <w:tc>
          <w:tcPr>
            <w:tcW w:w="0" w:type="dxa"/>
            <w:vAlign w:val="bottom"/>
          </w:tcPr>
          <w:p>
            <w:pPr>
              <w:spacing w:after="0"/>
              <w:rPr>
                <w:sz w:val="1"/>
                <w:szCs w:val="1"/>
                <w:color w:val="auto"/>
              </w:rPr>
            </w:pP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color w:val="auto"/>
              </w:rPr>
              <w:t>Commitments and contingencies (Note 12)</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Convertible preferred stock, par value $0.0001; 4,203,139 shares authorized, issued and outstanding at September 30, 2021</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45,105</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December 31, 2020 (aggregate liquidation preference of $24,929,457 at September 30, 2021 and December 31, 2020</w:t>
            </w:r>
          </w:p>
        </w:tc>
        <w:tc>
          <w:tcPr>
            <w:tcW w:w="36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Stockholders' deficit:</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par value $0.0001; 95,000,000 shares authorized: 36,240,800 and 29,366,940 shares issued and</w:t>
            </w:r>
          </w:p>
        </w:tc>
        <w:tc>
          <w:tcPr>
            <w:tcW w:w="3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outstanding at September 30, 2021 and December 31, 2020 respectively</w:t>
            </w:r>
          </w:p>
        </w:tc>
        <w:tc>
          <w:tcPr>
            <w:tcW w:w="3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27,416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21,312</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Subscriptions receivable (including accrued interest of $0)</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(44,019)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(52,348)</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760"/>
              <w:spacing w:after="0"/>
              <w:rPr>
                <w:sz w:val="20"/>
                <w:szCs w:val="20"/>
                <w:color w:val="auto"/>
              </w:rPr>
            </w:pPr>
            <w:r>
              <w:rPr>
                <w:rFonts w:ascii="Arial" w:cs="Arial" w:eastAsia="Arial" w:hAnsi="Arial"/>
                <w:sz w:val="14"/>
                <w:szCs w:val="14"/>
                <w:color w:val="auto"/>
              </w:rPr>
              <w:t>Total stockholders' deficit</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(31,036)</w:t>
            </w:r>
          </w:p>
        </w:tc>
        <w:tc>
          <w:tcPr>
            <w:tcW w:w="0" w:type="dxa"/>
            <w:vAlign w:val="bottom"/>
          </w:tcPr>
          <w:p>
            <w:pPr>
              <w:spacing w:after="0"/>
              <w:rPr>
                <w:sz w:val="1"/>
                <w:szCs w:val="1"/>
                <w:color w:val="auto"/>
              </w:rPr>
            </w:pPr>
          </w:p>
        </w:tc>
      </w:tr>
      <w:tr>
        <w:trPr>
          <w:trHeight w:val="183"/>
        </w:trPr>
        <w:tc>
          <w:tcPr>
            <w:tcW w:w="8020" w:type="dxa"/>
            <w:vAlign w:val="bottom"/>
          </w:tcPr>
          <w:p>
            <w:pPr>
              <w:ind w:left="760"/>
              <w:spacing w:after="0"/>
              <w:rPr>
                <w:sz w:val="20"/>
                <w:szCs w:val="20"/>
                <w:color w:val="auto"/>
              </w:rPr>
            </w:pPr>
            <w:r>
              <w:rPr>
                <w:rFonts w:ascii="Arial" w:cs="Arial" w:eastAsia="Arial" w:hAnsi="Arial"/>
                <w:sz w:val="14"/>
                <w:szCs w:val="14"/>
                <w:color w:val="auto"/>
              </w:rPr>
              <w:t>Total liabilities, convertible preferred stock and stockholders' deficit</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149,887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87,733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98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62,335</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23,881</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38,454</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24,717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37,176</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income per share attributable to common</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of common stock used to</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60" w:type="dxa"/>
            <w:vAlign w:val="bottom"/>
          </w:tcPr>
          <w:p>
            <w:pPr>
              <w:ind w:left="180"/>
              <w:spacing w:after="0" w:line="176" w:lineRule="exact"/>
              <w:rPr>
                <w:sz w:val="20"/>
                <w:szCs w:val="20"/>
                <w:color w:val="auto"/>
              </w:rPr>
            </w:pPr>
            <w:r>
              <w:rPr>
                <w:rFonts w:ascii="Arial" w:cs="Arial" w:eastAsia="Arial" w:hAnsi="Arial"/>
                <w:sz w:val="18"/>
                <w:szCs w:val="18"/>
                <w:color w:val="auto"/>
              </w:rPr>
              <w:t>compute net (loss) income per share attributable to</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34,490,860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27,951,536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31,301,387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27,095,925</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34,490,860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27,951,536</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41,452,880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27,095,925</w:t>
            </w:r>
          </w:p>
        </w:tc>
        <w:tc>
          <w:tcPr>
            <w:tcW w:w="0" w:type="dxa"/>
            <w:vAlign w:val="bottom"/>
          </w:tcPr>
          <w:p>
            <w:pPr>
              <w:spacing w:after="0"/>
              <w:rPr>
                <w:sz w:val="1"/>
                <w:szCs w:val="1"/>
                <w:color w:val="auto"/>
              </w:rPr>
            </w:pPr>
          </w:p>
        </w:tc>
      </w:tr>
      <w:tr>
        <w:trPr>
          <w:trHeight w:val="20"/>
        </w:trPr>
        <w:tc>
          <w:tcPr>
            <w:tcW w:w="4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Convertible Preferred Stock and Stockholders’ Deficit</w:t>
      </w:r>
    </w:p>
    <w:p>
      <w:pPr>
        <w:jc w:val="center"/>
        <w:spacing w:after="0"/>
        <w:rPr>
          <w:sz w:val="20"/>
          <w:szCs w:val="20"/>
          <w:color w:val="auto"/>
        </w:rPr>
      </w:pPr>
      <w:r>
        <w:rPr>
          <w:rFonts w:ascii="Arial" w:cs="Arial" w:eastAsia="Arial" w:hAnsi="Arial"/>
          <w:sz w:val="22"/>
          <w:szCs w:val="22"/>
          <w:b w:val="1"/>
          <w:bCs w:val="1"/>
          <w:color w:val="auto"/>
        </w:rPr>
        <w:t>Three Months Ended September 30</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2120" w:type="dxa"/>
            <w:vAlign w:val="bottom"/>
            <w:gridSpan w:val="4"/>
            <w:vMerge w:val="restart"/>
          </w:tcPr>
          <w:p>
            <w:pPr>
              <w:jc w:val="right"/>
              <w:ind w:right="39"/>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gridSpan w:val="4"/>
            <w:vMerge w:val="restart"/>
          </w:tcPr>
          <w:p>
            <w:pPr>
              <w:jc w:val="right"/>
              <w:ind w:right="459"/>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0"/>
        </w:trPr>
        <w:tc>
          <w:tcPr>
            <w:tcW w:w="2000" w:type="dxa"/>
            <w:vAlign w:val="bottom"/>
          </w:tcPr>
          <w:p>
            <w:pPr>
              <w:spacing w:after="0"/>
              <w:rPr>
                <w:sz w:val="8"/>
                <w:szCs w:val="8"/>
                <w:color w:val="auto"/>
              </w:rPr>
            </w:pPr>
          </w:p>
        </w:tc>
        <w:tc>
          <w:tcPr>
            <w:tcW w:w="2120" w:type="dxa"/>
            <w:vAlign w:val="bottom"/>
            <w:tcBorders>
              <w:bottom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Additional</w:t>
            </w:r>
          </w:p>
        </w:tc>
        <w:tc>
          <w:tcPr>
            <w:tcW w:w="12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rPr>
              <w:t>Subscriptions</w:t>
            </w:r>
          </w:p>
        </w:tc>
        <w:tc>
          <w:tcPr>
            <w:tcW w:w="100" w:type="dxa"/>
            <w:vAlign w:val="bottom"/>
          </w:tcPr>
          <w:p>
            <w:pPr>
              <w:spacing w:after="0"/>
              <w:rPr>
                <w:sz w:val="8"/>
                <w:szCs w:val="8"/>
                <w:color w:val="auto"/>
              </w:rPr>
            </w:pPr>
          </w:p>
        </w:tc>
        <w:tc>
          <w:tcPr>
            <w:tcW w:w="11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9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line="20" w:lineRule="exact"/>
              <w:rPr>
                <w:sz w:val="1"/>
                <w:szCs w:val="1"/>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Three months ended</w:t>
            </w: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Balance at June 30, 2021</w:t>
            </w:r>
          </w:p>
        </w:tc>
        <w:tc>
          <w:tcPr>
            <w:tcW w:w="1040" w:type="dxa"/>
            <w:vAlign w:val="bottom"/>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34,780,520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25,641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(37,674)</w:t>
            </w:r>
          </w:p>
        </w:tc>
        <w:tc>
          <w:tcPr>
            <w:tcW w:w="80" w:type="dxa"/>
            <w:vAlign w:val="bottom"/>
          </w:tcPr>
          <w:p>
            <w:pPr>
              <w:spacing w:after="0"/>
              <w:rPr>
                <w:sz w:val="18"/>
                <w:szCs w:val="18"/>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upon exercise of stock</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1,460,280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line="178" w:lineRule="exact"/>
              <w:rPr>
                <w:sz w:val="20"/>
                <w:szCs w:val="20"/>
                <w:color w:val="auto"/>
              </w:rPr>
            </w:pPr>
            <w:r>
              <w:rPr>
                <w:rFonts w:ascii="Arial" w:cs="Arial" w:eastAsia="Arial" w:hAnsi="Arial"/>
                <w:sz w:val="16"/>
                <w:szCs w:val="16"/>
                <w:color w:val="auto"/>
              </w:rPr>
              <w:t>Vesting of early exercised</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0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(6,345)</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Balance at September 30,</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36,240,800</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27,416</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(44,019)</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(17,116)</w:t>
            </w: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2021</w:t>
            </w: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Three months ended</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2020</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Balance at June 30, 2020</w:t>
            </w:r>
          </w:p>
        </w:tc>
        <w:tc>
          <w:tcPr>
            <w:tcW w:w="1040" w:type="dxa"/>
            <w:vAlign w:val="bottom"/>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27,872,130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3,670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(47,152)</w:t>
            </w:r>
          </w:p>
        </w:tc>
        <w:tc>
          <w:tcPr>
            <w:tcW w:w="80" w:type="dxa"/>
            <w:vAlign w:val="bottom"/>
          </w:tcPr>
          <w:p>
            <w:pPr>
              <w:spacing w:after="0"/>
              <w:rPr>
                <w:sz w:val="18"/>
                <w:szCs w:val="18"/>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(43,482)</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upon exercise of stock</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11,765</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(6,938)</w:t>
            </w:r>
          </w:p>
        </w:tc>
        <w:tc>
          <w:tcPr>
            <w:tcW w:w="0" w:type="dxa"/>
            <w:vAlign w:val="bottom"/>
          </w:tcPr>
          <w:p>
            <w:pPr>
              <w:spacing w:after="0"/>
              <w:rPr>
                <w:sz w:val="1"/>
                <w:szCs w:val="1"/>
                <w:color w:val="auto"/>
              </w:rPr>
            </w:pPr>
          </w:p>
        </w:tc>
      </w:tr>
      <w:tr>
        <w:trPr>
          <w:trHeight w:val="157"/>
        </w:trPr>
        <w:tc>
          <w:tcPr>
            <w:tcW w:w="2000" w:type="dxa"/>
            <w:vAlign w:val="bottom"/>
          </w:tcPr>
          <w:p>
            <w:pPr>
              <w:ind w:left="20"/>
              <w:spacing w:after="0" w:line="158" w:lineRule="exact"/>
              <w:rPr>
                <w:sz w:val="20"/>
                <w:szCs w:val="20"/>
                <w:color w:val="auto"/>
              </w:rPr>
            </w:pPr>
            <w:r>
              <w:rPr>
                <w:rFonts w:ascii="Arial" w:cs="Arial" w:eastAsia="Arial" w:hAnsi="Arial"/>
                <w:sz w:val="16"/>
                <w:szCs w:val="16"/>
                <w:color w:val="auto"/>
              </w:rPr>
              <w:t>Balance at September 30,</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27,965,320</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15,684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(54,090)</w:t>
            </w:r>
          </w:p>
        </w:tc>
        <w:tc>
          <w:tcPr>
            <w:tcW w:w="80" w:type="dxa"/>
            <w:vAlign w:val="bottom"/>
          </w:tcPr>
          <w:p>
            <w:pPr>
              <w:spacing w:after="0"/>
              <w:rPr>
                <w:sz w:val="13"/>
                <w:szCs w:val="13"/>
                <w:color w:val="auto"/>
              </w:rPr>
            </w:pPr>
          </w:p>
        </w:tc>
        <w:tc>
          <w:tcPr>
            <w:tcW w:w="26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(38,406)</w:t>
            </w:r>
          </w:p>
        </w:tc>
        <w:tc>
          <w:tcPr>
            <w:tcW w:w="0" w:type="dxa"/>
            <w:vAlign w:val="bottom"/>
          </w:tcPr>
          <w:p>
            <w:pPr>
              <w:spacing w:after="0"/>
              <w:rPr>
                <w:sz w:val="1"/>
                <w:szCs w:val="1"/>
                <w:color w:val="auto"/>
              </w:rPr>
            </w:pPr>
          </w:p>
        </w:tc>
      </w:tr>
      <w:tr>
        <w:trPr>
          <w:trHeight w:val="255"/>
        </w:trPr>
        <w:tc>
          <w:tcPr>
            <w:tcW w:w="2000" w:type="dxa"/>
            <w:vAlign w:val="bottom"/>
            <w:tcBorders>
              <w:bottom w:val="single" w:sz="8" w:color="auto"/>
            </w:tcBorders>
          </w:tcPr>
          <w:p>
            <w:pPr>
              <w:ind w:left="20"/>
              <w:spacing w:after="0" w:line="174" w:lineRule="exact"/>
              <w:rPr>
                <w:sz w:val="20"/>
                <w:szCs w:val="20"/>
                <w:color w:val="auto"/>
              </w:rPr>
            </w:pPr>
            <w:r>
              <w:rPr>
                <w:rFonts w:ascii="Arial" w:cs="Arial" w:eastAsia="Arial" w:hAnsi="Arial"/>
                <w:sz w:val="16"/>
                <w:szCs w:val="16"/>
                <w:color w:val="auto"/>
              </w:rPr>
              <w:t>2020</w:t>
            </w: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gridSpan w:val="2"/>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Convertible Preferred Stock and Stockholders’ Deficit</w:t>
      </w:r>
    </w:p>
    <w:p>
      <w:pPr>
        <w:jc w:val="center"/>
        <w:spacing w:after="0"/>
        <w:rPr>
          <w:sz w:val="20"/>
          <w:szCs w:val="20"/>
          <w:color w:val="auto"/>
        </w:rPr>
      </w:pPr>
      <w:r>
        <w:rPr>
          <w:rFonts w:ascii="Arial" w:cs="Arial" w:eastAsia="Arial" w:hAnsi="Arial"/>
          <w:sz w:val="22"/>
          <w:szCs w:val="22"/>
          <w:b w:val="1"/>
          <w:bCs w:val="1"/>
          <w:color w:val="auto"/>
        </w:rPr>
        <w:t>Nine Months Ended September 30</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2120" w:type="dxa"/>
            <w:vAlign w:val="bottom"/>
            <w:gridSpan w:val="4"/>
            <w:vMerge w:val="restart"/>
          </w:tcPr>
          <w:p>
            <w:pPr>
              <w:jc w:val="right"/>
              <w:ind w:right="39"/>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gridSpan w:val="4"/>
            <w:vMerge w:val="restart"/>
          </w:tcPr>
          <w:p>
            <w:pPr>
              <w:jc w:val="right"/>
              <w:ind w:right="459"/>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0"/>
        </w:trPr>
        <w:tc>
          <w:tcPr>
            <w:tcW w:w="2000" w:type="dxa"/>
            <w:vAlign w:val="bottom"/>
          </w:tcPr>
          <w:p>
            <w:pPr>
              <w:spacing w:after="0"/>
              <w:rPr>
                <w:sz w:val="8"/>
                <w:szCs w:val="8"/>
                <w:color w:val="auto"/>
              </w:rPr>
            </w:pPr>
          </w:p>
        </w:tc>
        <w:tc>
          <w:tcPr>
            <w:tcW w:w="2120" w:type="dxa"/>
            <w:vAlign w:val="bottom"/>
            <w:tcBorders>
              <w:bottom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Additional</w:t>
            </w:r>
          </w:p>
        </w:tc>
        <w:tc>
          <w:tcPr>
            <w:tcW w:w="12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rPr>
              <w:t>Subscriptions</w:t>
            </w:r>
          </w:p>
        </w:tc>
        <w:tc>
          <w:tcPr>
            <w:tcW w:w="100" w:type="dxa"/>
            <w:vAlign w:val="bottom"/>
          </w:tcPr>
          <w:p>
            <w:pPr>
              <w:spacing w:after="0"/>
              <w:rPr>
                <w:sz w:val="8"/>
                <w:szCs w:val="8"/>
                <w:color w:val="auto"/>
              </w:rPr>
            </w:pPr>
          </w:p>
        </w:tc>
        <w:tc>
          <w:tcPr>
            <w:tcW w:w="11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9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line="20" w:lineRule="exact"/>
              <w:rPr>
                <w:sz w:val="1"/>
                <w:szCs w:val="1"/>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Nine months ended</w:t>
            </w: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line="178" w:lineRule="exact"/>
              <w:rPr>
                <w:sz w:val="20"/>
                <w:szCs w:val="20"/>
                <w:color w:val="auto"/>
              </w:rPr>
            </w:pPr>
            <w:r>
              <w:rPr>
                <w:rFonts w:ascii="Arial" w:cs="Arial" w:eastAsia="Arial" w:hAnsi="Arial"/>
                <w:sz w:val="16"/>
                <w:szCs w:val="16"/>
                <w:color w:val="auto"/>
              </w:rPr>
              <w:t>Balance at December 31,</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2020</w:t>
            </w:r>
          </w:p>
        </w:tc>
        <w:tc>
          <w:tcPr>
            <w:tcW w:w="1040" w:type="dxa"/>
            <w:vAlign w:val="bottom"/>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29,366,940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21,312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(52,348)</w:t>
            </w:r>
          </w:p>
        </w:tc>
        <w:tc>
          <w:tcPr>
            <w:tcW w:w="80" w:type="dxa"/>
            <w:vAlign w:val="bottom"/>
          </w:tcPr>
          <w:p>
            <w:pPr>
              <w:spacing w:after="0"/>
              <w:rPr>
                <w:sz w:val="17"/>
                <w:szCs w:val="17"/>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upon exercise of stock</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6,873,860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line="178" w:lineRule="exact"/>
              <w:rPr>
                <w:sz w:val="20"/>
                <w:szCs w:val="20"/>
                <w:color w:val="auto"/>
              </w:rPr>
            </w:pPr>
            <w:r>
              <w:rPr>
                <w:rFonts w:ascii="Arial" w:cs="Arial" w:eastAsia="Arial" w:hAnsi="Arial"/>
                <w:sz w:val="16"/>
                <w:szCs w:val="16"/>
                <w:color w:val="auto"/>
              </w:rPr>
              <w:t>Vesting of early exercised</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0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8,329</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Balance at September 30,</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36,240,800</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27,416</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(44,019)</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(17,116)</w:t>
            </w: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2021</w:t>
            </w: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Nine months ended</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2020</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line="178" w:lineRule="exact"/>
              <w:rPr>
                <w:sz w:val="20"/>
                <w:szCs w:val="20"/>
                <w:color w:val="auto"/>
              </w:rPr>
            </w:pPr>
            <w:r>
              <w:rPr>
                <w:rFonts w:ascii="Arial" w:cs="Arial" w:eastAsia="Arial" w:hAnsi="Arial"/>
                <w:sz w:val="16"/>
                <w:szCs w:val="16"/>
                <w:color w:val="auto"/>
              </w:rPr>
              <w:t>Balance at December 31,</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2019</w:t>
            </w:r>
          </w:p>
        </w:tc>
        <w:tc>
          <w:tcPr>
            <w:tcW w:w="1040" w:type="dxa"/>
            <w:vAlign w:val="bottom"/>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26,589,930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(50,638)</w:t>
            </w:r>
          </w:p>
        </w:tc>
        <w:tc>
          <w:tcPr>
            <w:tcW w:w="80" w:type="dxa"/>
            <w:vAlign w:val="bottom"/>
          </w:tcPr>
          <w:p>
            <w:pPr>
              <w:spacing w:after="0"/>
              <w:rPr>
                <w:sz w:val="17"/>
                <w:szCs w:val="17"/>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(48,464)</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upon exercise of stock</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1,375,390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12,951</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157"/>
        </w:trPr>
        <w:tc>
          <w:tcPr>
            <w:tcW w:w="2000" w:type="dxa"/>
            <w:vAlign w:val="bottom"/>
          </w:tcPr>
          <w:p>
            <w:pPr>
              <w:ind w:left="20"/>
              <w:spacing w:after="0" w:line="158" w:lineRule="exact"/>
              <w:rPr>
                <w:sz w:val="20"/>
                <w:szCs w:val="20"/>
                <w:color w:val="auto"/>
              </w:rPr>
            </w:pPr>
            <w:r>
              <w:rPr>
                <w:rFonts w:ascii="Arial" w:cs="Arial" w:eastAsia="Arial" w:hAnsi="Arial"/>
                <w:sz w:val="16"/>
                <w:szCs w:val="16"/>
                <w:color w:val="auto"/>
              </w:rPr>
              <w:t>Balance at September 30,</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27,965,320</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15,684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(54,090)</w:t>
            </w:r>
          </w:p>
        </w:tc>
        <w:tc>
          <w:tcPr>
            <w:tcW w:w="80" w:type="dxa"/>
            <w:vAlign w:val="bottom"/>
          </w:tcPr>
          <w:p>
            <w:pPr>
              <w:spacing w:after="0"/>
              <w:rPr>
                <w:sz w:val="13"/>
                <w:szCs w:val="13"/>
                <w:color w:val="auto"/>
              </w:rPr>
            </w:pPr>
          </w:p>
        </w:tc>
        <w:tc>
          <w:tcPr>
            <w:tcW w:w="26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(38,406)</w:t>
            </w:r>
          </w:p>
        </w:tc>
        <w:tc>
          <w:tcPr>
            <w:tcW w:w="0" w:type="dxa"/>
            <w:vAlign w:val="bottom"/>
          </w:tcPr>
          <w:p>
            <w:pPr>
              <w:spacing w:after="0"/>
              <w:rPr>
                <w:sz w:val="1"/>
                <w:szCs w:val="1"/>
                <w:color w:val="auto"/>
              </w:rPr>
            </w:pPr>
          </w:p>
        </w:tc>
      </w:tr>
      <w:tr>
        <w:trPr>
          <w:trHeight w:val="255"/>
        </w:trPr>
        <w:tc>
          <w:tcPr>
            <w:tcW w:w="2000" w:type="dxa"/>
            <w:vAlign w:val="bottom"/>
            <w:tcBorders>
              <w:bottom w:val="single" w:sz="8" w:color="auto"/>
            </w:tcBorders>
          </w:tcPr>
          <w:p>
            <w:pPr>
              <w:ind w:left="20"/>
              <w:spacing w:after="0" w:line="174" w:lineRule="exact"/>
              <w:rPr>
                <w:sz w:val="20"/>
                <w:szCs w:val="20"/>
                <w:color w:val="auto"/>
              </w:rPr>
            </w:pPr>
            <w:r>
              <w:rPr>
                <w:rFonts w:ascii="Arial" w:cs="Arial" w:eastAsia="Arial" w:hAnsi="Arial"/>
                <w:sz w:val="16"/>
                <w:szCs w:val="16"/>
                <w:color w:val="auto"/>
              </w:rPr>
              <w:t>2020</w:t>
            </w: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gridSpan w:val="2"/>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5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Nine months ended September 30,</w:t>
            </w:r>
          </w:p>
        </w:tc>
        <w:tc>
          <w:tcPr>
            <w:tcW w:w="1720" w:type="dxa"/>
            <w:vAlign w:val="bottom"/>
            <w:tcBorders>
              <w:bottom w:val="single" w:sz="8" w:color="auto"/>
            </w:tcBorders>
          </w:tcPr>
          <w:p>
            <w:pPr>
              <w:spacing w:after="0"/>
              <w:rPr>
                <w:sz w:val="15"/>
                <w:szCs w:val="15"/>
                <w:color w:val="auto"/>
              </w:rPr>
            </w:pPr>
          </w:p>
        </w:tc>
      </w:tr>
      <w:tr>
        <w:trPr>
          <w:trHeight w:val="169"/>
        </w:trPr>
        <w:tc>
          <w:tcPr>
            <w:tcW w:w="5520" w:type="dxa"/>
            <w:vAlign w:val="bottom"/>
          </w:tcPr>
          <w:p>
            <w:pPr>
              <w:spacing w:after="0"/>
              <w:rPr>
                <w:sz w:val="14"/>
                <w:szCs w:val="14"/>
                <w:color w:val="auto"/>
              </w:rPr>
            </w:pPr>
          </w:p>
        </w:tc>
        <w:tc>
          <w:tcPr>
            <w:tcW w:w="1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2021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277"/>
              <w:spacing w:after="0"/>
              <w:rPr>
                <w:sz w:val="20"/>
                <w:szCs w:val="20"/>
                <w:color w:val="auto"/>
              </w:rPr>
            </w:pPr>
            <w:r>
              <w:rPr>
                <w:rFonts w:ascii="Arial" w:cs="Arial" w:eastAsia="Arial" w:hAnsi="Arial"/>
                <w:sz w:val="13"/>
                <w:szCs w:val="13"/>
                <w:b w:val="1"/>
                <w:bCs w:val="1"/>
                <w:color w:val="auto"/>
              </w:rPr>
              <w:t>2020</w:t>
            </w:r>
          </w:p>
        </w:tc>
      </w:tr>
      <w:tr>
        <w:trPr>
          <w:trHeight w:val="154"/>
        </w:trPr>
        <w:tc>
          <w:tcPr>
            <w:tcW w:w="552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1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660" w:type="dxa"/>
            <w:vAlign w:val="bottom"/>
            <w:shd w:val="clear" w:color="auto" w:fill="CCEEFF"/>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8,329</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(3,452)</w:t>
            </w: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Adjustments to reconcile net income (loss) to net cash provided (used) by operating activities:</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3,732</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2,353</w:t>
            </w:r>
          </w:p>
        </w:tc>
      </w:tr>
      <w:tr>
        <w:trPr>
          <w:trHeight w:val="167"/>
        </w:trPr>
        <w:tc>
          <w:tcPr>
            <w:tcW w:w="5520" w:type="dxa"/>
            <w:vAlign w:val="bottom"/>
          </w:tcPr>
          <w:p>
            <w:pPr>
              <w:ind w:left="20"/>
              <w:spacing w:after="0"/>
              <w:rPr>
                <w:sz w:val="20"/>
                <w:szCs w:val="20"/>
                <w:color w:val="auto"/>
              </w:rPr>
            </w:pPr>
            <w:r>
              <w:rPr>
                <w:rFonts w:ascii="Arial" w:cs="Arial" w:eastAsia="Arial" w:hAnsi="Arial"/>
                <w:sz w:val="13"/>
                <w:szCs w:val="13"/>
                <w:color w:val="auto"/>
              </w:rPr>
              <w:t>Reduction of operating lease right-of-use assets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1,120</w:t>
            </w: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impairment, receivables and sale or disposal of equipment</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2,495</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12,951</w:t>
            </w: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issuance costs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16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2,304</w:t>
            </w: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68"/>
        </w:trPr>
        <w:tc>
          <w:tcPr>
            <w:tcW w:w="5520" w:type="dxa"/>
            <w:vAlign w:val="bottom"/>
          </w:tcPr>
          <w:p>
            <w:pPr>
              <w:ind w:left="140"/>
              <w:spacing w:after="0"/>
              <w:rPr>
                <w:sz w:val="20"/>
                <w:szCs w:val="20"/>
                <w:color w:val="auto"/>
              </w:rPr>
            </w:pPr>
            <w:r>
              <w:rPr>
                <w:rFonts w:ascii="Arial" w:cs="Arial" w:eastAsia="Arial" w:hAnsi="Arial"/>
                <w:sz w:val="13"/>
                <w:szCs w:val="13"/>
                <w:color w:val="auto"/>
              </w:rPr>
              <w:t>Accounts receivable</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(3,865)</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(229)</w:t>
            </w:r>
          </w:p>
        </w:tc>
      </w:tr>
      <w:tr>
        <w:trPr>
          <w:trHeight w:val="183"/>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Related party loan receivables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520" w:type="dxa"/>
            <w:vAlign w:val="bottom"/>
          </w:tcPr>
          <w:p>
            <w:pPr>
              <w:ind w:left="140"/>
              <w:spacing w:after="0"/>
              <w:rPr>
                <w:sz w:val="20"/>
                <w:szCs w:val="20"/>
                <w:color w:val="auto"/>
              </w:rPr>
            </w:pPr>
            <w:r>
              <w:rPr>
                <w:rFonts w:ascii="Arial" w:cs="Arial" w:eastAsia="Arial" w:hAnsi="Arial"/>
                <w:sz w:val="13"/>
                <w:szCs w:val="13"/>
                <w:color w:val="auto"/>
              </w:rPr>
              <w:t>Settlement assets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(3,344)</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312</w:t>
            </w:r>
          </w:p>
        </w:tc>
      </w:tr>
      <w:tr>
        <w:trPr>
          <w:trHeight w:val="183"/>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(2,886)</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r>
      <w:tr>
        <w:trPr>
          <w:trHeight w:val="168"/>
        </w:trPr>
        <w:tc>
          <w:tcPr>
            <w:tcW w:w="552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1,212</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(934)</w:t>
            </w:r>
          </w:p>
        </w:tc>
      </w:tr>
      <w:tr>
        <w:trPr>
          <w:trHeight w:val="184"/>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r>
      <w:tr>
        <w:trPr>
          <w:trHeight w:val="168"/>
        </w:trPr>
        <w:tc>
          <w:tcPr>
            <w:tcW w:w="552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(1,563)</w:t>
            </w:r>
          </w:p>
        </w:tc>
      </w:tr>
      <w:tr>
        <w:trPr>
          <w:trHeight w:val="183"/>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18,870</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r>
      <w:tr>
        <w:trPr>
          <w:trHeight w:val="167"/>
        </w:trPr>
        <w:tc>
          <w:tcPr>
            <w:tcW w:w="5520" w:type="dxa"/>
            <w:vAlign w:val="bottom"/>
          </w:tcPr>
          <w:p>
            <w:pPr>
              <w:ind w:left="140"/>
              <w:spacing w:after="0"/>
              <w:rPr>
                <w:sz w:val="20"/>
                <w:szCs w:val="20"/>
                <w:color w:val="auto"/>
              </w:rPr>
            </w:pPr>
            <w:r>
              <w:rPr>
                <w:rFonts w:ascii="Arial" w:cs="Arial" w:eastAsia="Arial" w:hAnsi="Arial"/>
                <w:sz w:val="13"/>
                <w:szCs w:val="13"/>
                <w:color w:val="auto"/>
              </w:rPr>
              <w:t>Operating lease liabilities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(614)</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(1,179)</w:t>
            </w:r>
          </w:p>
        </w:tc>
      </w:tr>
      <w:tr>
        <w:trPr>
          <w:trHeight w:val="184"/>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liabilities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10,699</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(16,084)</w:t>
            </w:r>
          </w:p>
        </w:tc>
      </w:tr>
      <w:tr>
        <w:trPr>
          <w:trHeight w:val="169"/>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liabilities</w:t>
            </w:r>
          </w:p>
        </w:tc>
        <w:tc>
          <w:tcPr>
            <w:tcW w:w="1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w:t>
            </w:r>
          </w:p>
        </w:tc>
      </w:tr>
      <w:tr>
        <w:trPr>
          <w:trHeight w:val="175"/>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(used) by operating activities</w:t>
            </w: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34,580</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(4,392)</w:t>
            </w:r>
          </w:p>
        </w:tc>
      </w:tr>
      <w:tr>
        <w:trPr>
          <w:trHeight w:val="148"/>
        </w:trPr>
        <w:tc>
          <w:tcPr>
            <w:tcW w:w="5520" w:type="dxa"/>
            <w:vAlign w:val="bottom"/>
          </w:tcPr>
          <w:p>
            <w:pPr>
              <w:ind w:left="20"/>
              <w:spacing w:after="0" w:line="139" w:lineRule="exact"/>
              <w:rPr>
                <w:sz w:val="20"/>
                <w:szCs w:val="20"/>
                <w:color w:val="auto"/>
              </w:rPr>
            </w:pPr>
            <w:r>
              <w:rPr>
                <w:rFonts w:ascii="Arial" w:cs="Arial" w:eastAsia="Arial" w:hAnsi="Arial"/>
                <w:sz w:val="13"/>
                <w:szCs w:val="13"/>
                <w:color w:val="auto"/>
              </w:rPr>
              <w:t>Cash flows from investing activities:</w:t>
            </w:r>
          </w:p>
        </w:tc>
        <w:tc>
          <w:tcPr>
            <w:tcW w:w="1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(2,602)</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(1,857)</w:t>
            </w:r>
          </w:p>
        </w:tc>
      </w:tr>
      <w:tr>
        <w:trPr>
          <w:trHeight w:val="16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Software development costs</w:t>
            </w:r>
          </w:p>
        </w:tc>
        <w:tc>
          <w:tcPr>
            <w:tcW w:w="1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(4,397)</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(1,051)</w:t>
            </w:r>
          </w:p>
        </w:tc>
      </w:tr>
      <w:tr>
        <w:trPr>
          <w:trHeight w:val="176"/>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by investing activities</w:t>
            </w: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(6,999)</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(2,908)</w:t>
            </w:r>
          </w:p>
        </w:tc>
      </w:tr>
      <w:tr>
        <w:trPr>
          <w:trHeight w:val="148"/>
        </w:trPr>
        <w:tc>
          <w:tcPr>
            <w:tcW w:w="5520" w:type="dxa"/>
            <w:vAlign w:val="bottom"/>
          </w:tcPr>
          <w:p>
            <w:pPr>
              <w:ind w:left="20"/>
              <w:spacing w:after="0" w:line="139" w:lineRule="exact"/>
              <w:rPr>
                <w:sz w:val="20"/>
                <w:szCs w:val="20"/>
                <w:color w:val="auto"/>
              </w:rPr>
            </w:pPr>
            <w:r>
              <w:rPr>
                <w:rFonts w:ascii="Arial" w:cs="Arial" w:eastAsia="Arial" w:hAnsi="Arial"/>
                <w:sz w:val="13"/>
                <w:szCs w:val="13"/>
                <w:color w:val="auto"/>
              </w:rPr>
              <w:t>Cash flows from financing activities:</w:t>
            </w:r>
          </w:p>
        </w:tc>
        <w:tc>
          <w:tcPr>
            <w:tcW w:w="1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of finance leases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w:t>
            </w: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Principal payments of term loan</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(25,157)</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of line of credit</w:t>
            </w:r>
          </w:p>
        </w:tc>
        <w:tc>
          <w:tcPr>
            <w:tcW w:w="16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Proceeds from line of credit</w:t>
            </w:r>
          </w:p>
        </w:tc>
        <w:tc>
          <w:tcPr>
            <w:tcW w:w="16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9,613</w:t>
            </w: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term loan</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45,000</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5520" w:type="dxa"/>
            <w:vAlign w:val="bottom"/>
          </w:tcPr>
          <w:p>
            <w:pPr>
              <w:ind w:left="20"/>
              <w:spacing w:after="0"/>
              <w:rPr>
                <w:sz w:val="20"/>
                <w:szCs w:val="20"/>
                <w:color w:val="auto"/>
              </w:rPr>
            </w:pPr>
            <w:r>
              <w:rPr>
                <w:rFonts w:ascii="Arial" w:cs="Arial" w:eastAsia="Arial" w:hAnsi="Arial"/>
                <w:sz w:val="13"/>
                <w:szCs w:val="13"/>
                <w:color w:val="auto"/>
              </w:rPr>
              <w:t>Payments of deferred offering costs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(4,796)</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common stock</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Proceeds from issuance of common stock on exercise of stock options</w:t>
            </w:r>
          </w:p>
        </w:tc>
        <w:tc>
          <w:tcPr>
            <w:tcW w:w="1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2,862</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w:t>
            </w:r>
          </w:p>
        </w:tc>
      </w:tr>
      <w:tr>
        <w:trPr>
          <w:trHeight w:val="176"/>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17,564</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8,463</w:t>
            </w:r>
          </w:p>
        </w:tc>
      </w:tr>
      <w:tr>
        <w:trPr>
          <w:trHeight w:val="161"/>
        </w:trPr>
        <w:tc>
          <w:tcPr>
            <w:tcW w:w="5520" w:type="dxa"/>
            <w:vAlign w:val="bottom"/>
          </w:tcPr>
          <w:p>
            <w:pPr>
              <w:ind w:left="20"/>
              <w:spacing w:after="0"/>
              <w:rPr>
                <w:sz w:val="20"/>
                <w:szCs w:val="20"/>
                <w:color w:val="auto"/>
              </w:rPr>
            </w:pPr>
            <w:r>
              <w:rPr>
                <w:rFonts w:ascii="Arial" w:cs="Arial" w:eastAsia="Arial" w:hAnsi="Arial"/>
                <w:sz w:val="13"/>
                <w:szCs w:val="13"/>
                <w:color w:val="auto"/>
              </w:rPr>
              <w:t>Net increase in cash and cash equivalents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45,145</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1,163</w:t>
            </w:r>
          </w:p>
        </w:tc>
      </w:tr>
      <w:tr>
        <w:trPr>
          <w:trHeight w:val="177"/>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beginning of period</w:t>
            </w: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46,878</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34,801</w:t>
            </w:r>
          </w:p>
        </w:tc>
      </w:tr>
      <w:tr>
        <w:trPr>
          <w:trHeight w:val="175"/>
        </w:trPr>
        <w:tc>
          <w:tcPr>
            <w:tcW w:w="5520" w:type="dxa"/>
            <w:vAlign w:val="bottom"/>
          </w:tcPr>
          <w:p>
            <w:pPr>
              <w:ind w:left="20"/>
              <w:spacing w:after="0"/>
              <w:rPr>
                <w:sz w:val="20"/>
                <w:szCs w:val="20"/>
                <w:color w:val="auto"/>
              </w:rPr>
            </w:pPr>
            <w:r>
              <w:rPr>
                <w:rFonts w:ascii="Arial" w:cs="Arial" w:eastAsia="Arial" w:hAnsi="Arial"/>
                <w:sz w:val="13"/>
                <w:szCs w:val="13"/>
                <w:color w:val="auto"/>
              </w:rPr>
              <w:t>Cash and cash equivalents and restricted cash, end of period</w:t>
            </w:r>
          </w:p>
        </w:tc>
        <w:tc>
          <w:tcPr>
            <w:tcW w:w="1660" w:type="dxa"/>
            <w:vAlign w:val="bottom"/>
            <w:tcBorders>
              <w:bottom w:val="single" w:sz="8" w:color="auto"/>
            </w:tcBorders>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92,023</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35,964</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43"/>
        </w:trPr>
        <w:tc>
          <w:tcPr>
            <w:tcW w:w="552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Supplemental disclosure of cash flow information:</w:t>
            </w:r>
          </w:p>
        </w:tc>
        <w:tc>
          <w:tcPr>
            <w:tcW w:w="1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1660" w:type="dxa"/>
            <w:vAlign w:val="bottom"/>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2,182</w:t>
            </w:r>
          </w:p>
        </w:tc>
        <w:tc>
          <w:tcPr>
            <w:tcW w:w="100" w:type="dxa"/>
            <w:vAlign w:val="bottom"/>
          </w:tcPr>
          <w:p>
            <w:pPr>
              <w:spacing w:after="0"/>
              <w:rPr>
                <w:sz w:val="14"/>
                <w:szCs w:val="14"/>
                <w:color w:val="auto"/>
              </w:rPr>
            </w:pPr>
          </w:p>
        </w:tc>
        <w:tc>
          <w:tcPr>
            <w:tcW w:w="1220" w:type="dxa"/>
            <w:vAlign w:val="bottom"/>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2,186</w:t>
            </w: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income taxes</w:t>
            </w:r>
          </w:p>
        </w:tc>
        <w:tc>
          <w:tcPr>
            <w:tcW w:w="1660" w:type="dxa"/>
            <w:vAlign w:val="bottom"/>
            <w:shd w:val="clear" w:color="auto" w:fill="CCEEFF"/>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6,910</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Noncash investing and financing items:</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 acquired with lease liabilities</w:t>
            </w:r>
          </w:p>
        </w:tc>
        <w:tc>
          <w:tcPr>
            <w:tcW w:w="1660" w:type="dxa"/>
            <w:vAlign w:val="bottom"/>
            <w:shd w:val="clear" w:color="auto" w:fill="CCEEFF"/>
          </w:tcPr>
          <w:p>
            <w:pPr>
              <w:jc w:val="right"/>
              <w:ind w:right="1517"/>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w:t>
            </w:r>
          </w:p>
        </w:tc>
      </w:tr>
      <w:tr>
        <w:trPr>
          <w:trHeight w:val="167"/>
        </w:trPr>
        <w:tc>
          <w:tcPr>
            <w:tcW w:w="5520" w:type="dxa"/>
            <w:vAlign w:val="bottom"/>
          </w:tcPr>
          <w:p>
            <w:pPr>
              <w:ind w:left="20"/>
              <w:spacing w:after="0"/>
              <w:rPr>
                <w:sz w:val="20"/>
                <w:szCs w:val="20"/>
                <w:color w:val="auto"/>
              </w:rPr>
            </w:pPr>
            <w:r>
              <w:rPr>
                <w:rFonts w:ascii="Arial" w:cs="Arial" w:eastAsia="Arial" w:hAnsi="Arial"/>
                <w:sz w:val="13"/>
                <w:szCs w:val="13"/>
                <w:color w:val="auto"/>
              </w:rPr>
              <w:t>Accrued deferred offering costs</w:t>
            </w:r>
          </w:p>
        </w:tc>
        <w:tc>
          <w:tcPr>
            <w:tcW w:w="1660" w:type="dxa"/>
            <w:vAlign w:val="bottom"/>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795</w:t>
            </w:r>
          </w:p>
        </w:tc>
        <w:tc>
          <w:tcPr>
            <w:tcW w:w="100" w:type="dxa"/>
            <w:vAlign w:val="bottom"/>
          </w:tcPr>
          <w:p>
            <w:pPr>
              <w:spacing w:after="0"/>
              <w:rPr>
                <w:sz w:val="14"/>
                <w:szCs w:val="14"/>
                <w:color w:val="auto"/>
              </w:rPr>
            </w:pPr>
          </w:p>
        </w:tc>
        <w:tc>
          <w:tcPr>
            <w:tcW w:w="1220" w:type="dxa"/>
            <w:vAlign w:val="bottom"/>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Reconciliation of cash, cash equivalents and restricted cash to the consolidated balance sheets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67"/>
        </w:trPr>
        <w:tc>
          <w:tcPr>
            <w:tcW w:w="55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1660" w:type="dxa"/>
            <w:vAlign w:val="bottom"/>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68,058</w:t>
            </w:r>
          </w:p>
        </w:tc>
        <w:tc>
          <w:tcPr>
            <w:tcW w:w="100" w:type="dxa"/>
            <w:vAlign w:val="bottom"/>
          </w:tcPr>
          <w:p>
            <w:pPr>
              <w:spacing w:after="0"/>
              <w:rPr>
                <w:sz w:val="14"/>
                <w:szCs w:val="14"/>
                <w:color w:val="auto"/>
              </w:rPr>
            </w:pPr>
          </w:p>
        </w:tc>
        <w:tc>
          <w:tcPr>
            <w:tcW w:w="1220" w:type="dxa"/>
            <w:vAlign w:val="bottom"/>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25,881</w:t>
            </w: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other current assets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5,989</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w:t>
            </w: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Restricted cash included in other assets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7"/>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settlement assets</w:t>
            </w: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17,929</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8,372</w:t>
            </w:r>
          </w:p>
        </w:tc>
      </w:tr>
      <w:tr>
        <w:trPr>
          <w:trHeight w:val="175"/>
        </w:trPr>
        <w:tc>
          <w:tcPr>
            <w:tcW w:w="5520" w:type="dxa"/>
            <w:vAlign w:val="bottom"/>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1660" w:type="dxa"/>
            <w:vAlign w:val="bottom"/>
            <w:tcBorders>
              <w:bottom w:val="single" w:sz="8" w:color="auto"/>
            </w:tcBorders>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92,023</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35,964</w:t>
            </w:r>
          </w:p>
        </w:tc>
      </w:tr>
      <w:tr>
        <w:trPr>
          <w:trHeight w:val="20"/>
        </w:trPr>
        <w:tc>
          <w:tcPr>
            <w:tcW w:w="55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BUSINESS AND BASIS OF PRESENTATION</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Expensify, Inc. (Expensify or the Company), was incorporated in Delaware on April 29, 2009. Expensify offers a</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spacing w:after="0" w:line="137"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In early 2020, Expensify launched the Expensify credit card (the Expensify Card). Expensify primarily distributes the Expensify Card to corporate customers in the U.S. that subsequently distribute the card to their employees for business use. The Expensify Card allows customers to have real-time control over their employees spending limits and compliance in addition to eReceipt reporting on purchases made.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subsidiaries of Expensify are as follows:</w:t>
      </w:r>
    </w:p>
    <w:p>
      <w:pPr>
        <w:spacing w:after="0" w:line="144" w:lineRule="exact"/>
        <w:rPr>
          <w:sz w:val="20"/>
          <w:szCs w:val="20"/>
          <w:color w:val="auto"/>
        </w:rPr>
      </w:pPr>
    </w:p>
    <w:p>
      <w:pPr>
        <w:ind w:left="340" w:right="200" w:hanging="332"/>
        <w:spacing w:after="0" w:line="26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Expensify established a wholly-owned subsidiary in the United Kingdom (UK), Expensify LTD., in 2015 that primarily serves to promote and market Expensify's services to customers and potential customers of Expensify in the UK.</w:t>
      </w:r>
    </w:p>
    <w:p>
      <w:pPr>
        <w:spacing w:after="0" w:line="130" w:lineRule="exact"/>
        <w:rPr>
          <w:rFonts w:ascii="Arial" w:cs="Arial" w:eastAsia="Arial" w:hAnsi="Arial"/>
          <w:sz w:val="18"/>
          <w:szCs w:val="18"/>
          <w:color w:val="auto"/>
        </w:rPr>
      </w:pPr>
    </w:p>
    <w:p>
      <w:pPr>
        <w:ind w:left="340" w:right="140" w:hanging="332"/>
        <w:spacing w:after="0" w:line="26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Expensify established a wholly-owned subsidiary in Australia, Expensify PTY LTD., in 2017 that primarily serves to promote and market Expensify's services to customers and potential customers of Expensify in Australia.</w:t>
      </w:r>
    </w:p>
    <w:p>
      <w:pPr>
        <w:spacing w:after="0" w:line="130" w:lineRule="exact"/>
        <w:rPr>
          <w:rFonts w:ascii="Arial" w:cs="Arial" w:eastAsia="Arial" w:hAnsi="Arial"/>
          <w:sz w:val="18"/>
          <w:szCs w:val="18"/>
          <w:color w:val="auto"/>
        </w:rPr>
      </w:pPr>
    </w:p>
    <w:p>
      <w:pPr>
        <w:ind w:left="340" w:right="120" w:hanging="332"/>
        <w:spacing w:after="0" w:line="26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Expensify established a wholly-owned subsidiary, 401 SW 5th Ave LLC, in 2019 with the subsidiary’s primary purpose to hold title to the commercial building purchased in Portland, Oregon.</w:t>
      </w:r>
    </w:p>
    <w:p>
      <w:pPr>
        <w:spacing w:after="0" w:line="116" w:lineRule="exact"/>
        <w:rPr>
          <w:rFonts w:ascii="Arial" w:cs="Arial" w:eastAsia="Arial" w:hAnsi="Arial"/>
          <w:sz w:val="18"/>
          <w:szCs w:val="18"/>
          <w:color w:val="auto"/>
        </w:rPr>
      </w:pPr>
    </w:p>
    <w:p>
      <w:pPr>
        <w:ind w:left="340" w:hanging="332"/>
        <w:spacing w:after="0" w:line="25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Expensify.org, in 2019 which is a nonprofit benefit organization. Expensify.org is included within the consolidated financial statements of Expensify as Expensify has both a majority voting interest in the board of Expensify.org and an economic interest in the organization. In early 2020 with the introduction of the Expensify Card, Expensify committed to donate 10% of its consideration received from a vendor for monetizing Expensify Card activities to Expensify.org in addition to lump sum discretionary contributions. Beginning in January 2021, an additional commitment was made to donate 25 cents for every dollar Expensify paid to white, male Expensify employees to Expensify.org to fund social justice and equity efforts. For the three months and nine months ended September 30, 2021, Expensify, Inc. contributed $1.5 million and $1.6 million to Expensify.org, respectively, and incurred additional commitments of $0.9 million to Expensify.org for which the intercompany contribution payment has not yet been made as of September 30, 2021. Payments are expected to be made to Expensify.org during the three months ended December 31, 2021. As of December 31, 2020, no commitments from Expensify, Inc. remained open for contribution. Expensify, Inc. did not contribute to Expensify.org during the three months and nine months ended September 30, 2020. All intercompany transactions and balances have been eliminated in consolidation. Any contributions from Expensify.org to a charitable organization is recorded as an expense within General and administrative expenses on the consolidated financial statements upon payment. Contributions from Expensify.org to a charitable organization have been immaterial to date.</w:t>
      </w:r>
    </w:p>
    <w:p>
      <w:pPr>
        <w:spacing w:after="0" w:line="141" w:lineRule="exact"/>
        <w:rPr>
          <w:rFonts w:ascii="Arial" w:cs="Arial" w:eastAsia="Arial" w:hAnsi="Arial"/>
          <w:sz w:val="18"/>
          <w:szCs w:val="18"/>
          <w:color w:val="auto"/>
        </w:rPr>
      </w:pPr>
    </w:p>
    <w:p>
      <w:pPr>
        <w:ind w:left="340" w:right="80" w:hanging="332"/>
        <w:spacing w:after="0" w:line="256"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right="38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 Payments LLC, in 2020 that primarily serves as the licensed provider of money transmission services for Expensify with its expense management program.</w:t>
      </w:r>
    </w:p>
    <w:p>
      <w:pPr>
        <w:spacing w:after="0" w:line="116" w:lineRule="exact"/>
        <w:rPr>
          <w:rFonts w:ascii="Arial" w:cs="Arial" w:eastAsia="Arial" w:hAnsi="Arial"/>
          <w:sz w:val="18"/>
          <w:szCs w:val="18"/>
          <w:color w:val="auto"/>
        </w:rPr>
      </w:pPr>
    </w:p>
    <w:p>
      <w:pPr>
        <w:ind w:left="340" w:right="12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 Lounge LLC, in 2021 that primarily serves to manage, promote and market Expensify's lounge operations in the United States.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 The Company’s registration statement on Form S-1 (the IPO Registration Statement) related to its initial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(IPO) was declared effective on November 9, 2021 and the Company’s Class A common stock began trading on the Nasdaq Global Select Market on November 10, 2021. On November 15, 2021, the Company closed its IPO of 11,190,392 shares of the Company's Class A common stock at $0.0001 par value per share (the Class A common stock), in which the Company sold 2,608,696 shares of Class A common stock, and the selling stockholders sold 8,581,696 shares of Class A common stock at an IPO price of $27.00 per share. This total sale of 11,190,392 shares of Class A common stock in the IPO includes the full exercise of the underwriters’ option to purchase an additional 1,459,616 shares of Class A common stock from certain selling stockholders at an IPO price of $27.00 per share. The Company did not receive any proceeds from the sale of shares of Class A Common Stock in the offering by the selling stockholders. The Company received aggregate net proceeds of approximately $57.5 million after deducting underwriting discounts and commissions of approximately $4.9 million and offering costs of approximately $8.0 million.</w:t>
      </w:r>
    </w:p>
    <w:p>
      <w:pPr>
        <w:spacing w:after="0" w:line="14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Immediately prior to the effectiveness of the IPO Registration Statement, the Company filed an Amendment to the Amended and Restated Certificate of Incorporation to create three classes of authorized common stock: Class A, LT10, and LT50 common stock. All shares of common stock then outstanding were reclassified as Class A common stock except for shares under the Company's exchange offer, which provided employees and other service providers the opportunity to exchange, on a one-for-one basis, their Class A common stock into LT10 or LT50 shares. Under this exchange offer, 13,556,800 shares of Class A common stock were exchanged for 7,332,640 shares of LT10 common stock and 6,224,160 shares of LT50 common stock. Upon closing of the IPO, all convertible preferred stock then outstanding, was converted into 42,031,390 shares of common stock on a ten-for-one basis and reclassified into Class A common stock. In addition, 430,080 shares of common stock warrants were converted to an equivalent number of shares of Class A common stock warrants.</w:t>
      </w:r>
    </w:p>
    <w:p>
      <w:pPr>
        <w:spacing w:after="0" w:line="12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Immediately prior to the closing of the IPO, the Company filed its Amended and Restated Certificate of Incorporation authorizing a total of 1,000,000,000 shares of Class A common stock which entitles holders to one vote per share; 25,000,000 shares of LT10 common stock, which entitles holders to 10 votes per share; and 25,000,000 shares of LT50 common stock, which entitles holders to 50 votes per share. In addition, the Amended and Restated Certificate of Incorporation authorized a total of 10,000,000 shares of undesignated preferred stock.</w:t>
      </w:r>
    </w:p>
    <w:p>
      <w:pPr>
        <w:spacing w:after="0" w:line="12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As the unaudited interim consolidated financial statements are as of September 30, 2021 and for the three months and nine months ended September 30, 2021 and 2020, the IPO and its related impacts to the financial statements are not reflected within this Quarterly Report on Form 10-Q, which the unaudited interim consolidated financial statements are part of.</w:t>
      </w:r>
    </w:p>
    <w:p>
      <w:pPr>
        <w:spacing w:after="0" w:line="1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 The accompanying unaudited consolidated financial statements,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of Expensify and its wholly-owned subsidiaries (the Company), and have been prepared in accordance with generally accepted accounting principles in the United States of America (U.S. GAAP), and the applicable rules and regulations of the Securities and Exchange Commission (the SEC) for interim reporting. The consolidated balance sheet as of December 31, 2020 has been derived from our audited consolidated financial statements, which are included in the prospectus dated November 9, 2021, as filed with the SEC pursuant to Rule 424(b) under the Securities Act of 1933, or the Prospectus. The accompanying consolidated financial statements should be read in conjunction with our consolidated financial statements and notes thereto included in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13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Stock split - </w:t>
      </w:r>
      <w:r>
        <w:rPr>
          <w:rFonts w:ascii="Arial" w:cs="Arial" w:eastAsia="Arial" w:hAnsi="Arial"/>
          <w:sz w:val="18"/>
          <w:szCs w:val="18"/>
          <w:color w:val="auto"/>
        </w:rPr>
        <w:t>On October 27, 2021, the Company effected a ten-for-one forward stock split of its common stock. All share and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has been retroactively adjusted to reflect the stock split for all periods presented.</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Unaudited interim financial information </w:t>
      </w:r>
      <w:r>
        <w:rPr>
          <w:rFonts w:ascii="Arial" w:cs="Arial" w:eastAsia="Arial" w:hAnsi="Arial"/>
          <w:sz w:val="18"/>
          <w:szCs w:val="18"/>
          <w:color w:val="auto"/>
        </w:rPr>
        <w:t>– The accompanying interim consolidated balance sheet as of September 30, 2021,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statements of income, convertible preferred stock and stockholders' deficit for the three months and nine months ended September 30, 2021 and 2020, the consolidated statements of cash flows for the nine months ended September 30, 2021 and 2020, and the related notes to the financial statements for the interim financial information are unaudited. These unaudited interim financial statements have been prepared on the same basis as the annual consolidated financial statements and reflect all normal and recurring adjustments that are, in the opinion of management, necessary to present fairly our financial position, results of operations, comprehensive loss, changes in convertible preferred stock and stockholders’ deficit, and cash flows for the periods presented.</w:t>
      </w:r>
    </w:p>
    <w:p>
      <w:pPr>
        <w:spacing w:after="0" w:line="13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consolidated statements of income for the three months and nine months ended September 30, 2021 are not necessarily indicative of the results to be expected for the year ending December 31, 2021 or for any other future annual or interim period.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The Company evaluates its operations periodically to determine if any risks and uncertainties exist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impact its operations in the near term. During 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restrictions on public gatherings, stay at home orders and advisories and quarantining of people who may have been exposed to the virus. The Company has been actively monitoring COVID-19 and its impact globally. Management believes the remote working arrangements and travel restrictions imposed by various governmental jurisdictions as a result of COVID-19 had limited impact on the Company's ability to maintain internal operations during the three months and nine months ended September 30, 2021 and 2020, respectively.</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full extent to which the COVID-19 pandemic will directly or indirectly impact the Company's business, results of operations and financial condition will depend on future developments that are highly uncertain, including the result of new information that may emerge concerning COVID-19 and the actions taken to contain it or treat it. The Company's estimates may be subject to change as new events occur and additional information emerges, and such changes will be recognized or disclosed in the consolidated financial statements as they become known. While the full lasting impact of the COVID-19 pandemic on the global economy and our customers remains uncertain, the Company believes that use of the platform will continue to rebound and increase as economies fully reopen and business travel resumes to pre-pandemic levels.</w:t>
      </w:r>
    </w:p>
    <w:p>
      <w:pPr>
        <w:spacing w:after="0" w:line="139"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Company does not believe that there are any significant risks that have not already been disclosed in the consolidated financial statements.</w:t>
      </w:r>
    </w:p>
    <w:p>
      <w:pPr>
        <w:spacing w:after="0" w:line="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U.S. GAAP requires management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and 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Significant estimates and assumptions by management affect the Company’s revenues, fair value of common stock, classification of employee and employee-related expenses, the useful lives and recoverability of long-lived assets, income taxes, stock-based compensation and cash bonuses to employees.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 The Company uses the U.S. dollar as its functional currency. Foreign currency assets and liabilities are remeasured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Cash consists of funds deposited with banks. The Company considers all highly liquid investments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maturity of three months or less at the date of purchase to be cash equivalents. The recorded carrying amount of cash equivalents, which is cost plus accrued interest, if any, approximates fair value. As of September 30, 2021 and December 31, 2020, the Company had no cash equivalents.</w:t>
      </w:r>
    </w:p>
    <w:p>
      <w:pPr>
        <w:spacing w:after="0" w:line="1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amounts included within Other assets on the consolidated balance sheets as of September 30, 2021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relates to cash deposited with a commercial bank required as collateral for corporate credit cards issued by the respective commercial bank in the U.S. and UK as well as bank-to-bank transfers in the UK. These restricted cash amounts are considered immaterial. The Company also has an immaterial amount of cash required to be held within a trust account for monthly management and maintenance operating fees for the 401 SW 5th Ave commercial building owned by the Company and an immaterial amount of restricted cash to be held as a general short term reserve with a commercial bank for Expensify Payments LLC. These restricted cash amounts are included within Other current assets on the consolidated balance sheets.</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cash in transit for funds held for the customers to the Company's payment processor and Expensify Card collateral for funds held for customers represent restricted cash maintained in segregated Company bank accounts that are held for the exclusive benefit of customers. The Company restricts the use of the assets underlying the funds held for customers to meet regulatory requirements and classifies the assets as current based on their purpose and availability to fulfill the Company’s direct obligation under funds due to customers. These restricted cash amounts are included within Other current assets on the consolidated balance sheets. Refer to Note 6 for the breakout of these amounts within Other current assets as of September 30, 2021 and December 31, 2020.</w:t>
      </w:r>
    </w:p>
    <w:p>
      <w:pPr>
        <w:spacing w:after="0" w:line="140"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Company also includes restricted cash amounts within Other current assets on the consolidated balance sheets for cash held by Expensify.org. This cash is restricted for use towards social justice and equity efforts of Expensify.org and classifies the assets as current based on their purpose and immediate availability towards fulfilling these efforts. Refer to Note 6 for the breakout of these amounts within Other current assets as of September 30, 2021 and December 31, 2020.</w:t>
      </w:r>
    </w:p>
    <w:p>
      <w:pPr>
        <w:spacing w:after="0" w:line="13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Restricted cash also includes amounts included within Settlement assets for funds held for customers that are deposited into a commercial bank account held by the Company for the benefit of the customers until remitted to the customer's members. Refer to the Settlement assets and liabilities policy note below for further detail.</w:t>
      </w:r>
    </w:p>
    <w:p>
      <w:pPr>
        <w:spacing w:after="0" w:line="9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color w:val="auto"/>
        </w:rPr>
        <w:t xml:space="preserve">Accounts receivable and allowance for doubtful accounts </w:t>
      </w:r>
      <w:r>
        <w:rPr>
          <w:rFonts w:ascii="Arial" w:cs="Arial" w:eastAsia="Arial" w:hAnsi="Arial"/>
          <w:sz w:val="18"/>
          <w:szCs w:val="18"/>
          <w:color w:val="auto"/>
        </w:rPr>
        <w:t>– Accounts receivable are recorded at the invoiced amount, net of an</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for doubtful accounts. The allowance for doubtful accounts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Past due balances over 60 days and other higher risk amounts are reviewed individually for collectability. Based on management’s assessment, the Company provides for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estimated uncollectible amounts through a charge to earnings and a credit to an established allowance for doubtful accounts. Balances that remain outstanding after the Company has used reasonable collection efforts are written off no later than 90 days past due. The Company recorded allowance for doubtful accounts of approximately $0.2 million as of September 30, 2021. The Company recorded an immaterial amount of allowance for doubtful accounts as of December 31, 2020.</w:t>
      </w:r>
    </w:p>
    <w:p>
      <w:pPr>
        <w:spacing w:after="0" w:line="1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Financial instruments that potentially subject the Company to credit risk consist primarily of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respective Restricted cash policy note above. There were no customers representing 10% or more of revenue during the three months and nine months ended September 30, 2021 and 2020. In addition, there were no customers representing 10% or more of accounts receivable as of September 30, 2021 and December 31, 2020.</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Settlement assets and liabilities </w:t>
      </w:r>
      <w:r>
        <w:rPr>
          <w:rFonts w:ascii="Arial" w:cs="Arial" w:eastAsia="Arial" w:hAnsi="Arial"/>
          <w:sz w:val="18"/>
          <w:szCs w:val="18"/>
          <w:color w:val="auto"/>
        </w:rPr>
        <w:t>– Settlement assets and liabilities arise due to the time required between the approval of an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and settlement of funds in the member's account facilitated by a third-party vendor used by the Company for settlement. Funds are collected from customers by the Company and are deposited into a commercial bank account held by the Company for the benefit of the customers until remitted to the customer's members. Upon an approved request for expense reimbursement from customers, the Company initiates the transaction from its commercial bank accounts where funds are held and remits the funds directly to the customer's users after a clearing period of three business days, including the day of the transaction. For reimbursement of transactions through the Expensify Card, the clearing period is typically two business days, including the day of transaction, for the funds to be settled. The Company records settlement receivable and corresponding liability upon approval of the expense reimbursement. Settlement receivables are reported on the consolidated balance sheets when the approval of the expense reimbursement occurs until the funds are cleared in the Company's commercial bank account. The commercial bank account and settlement receivables roll up into the Settlement assets financial statement line item on the consolidated balance sheets. Any Settlement asset balance that remains outstanding after five business days is written off by the Company. Write offs related to the Settlement asset balances of the Company for the three months and nine months ended September 30, 2021 and 2020 were immaterial. The Company did not record an allowance for doubtful accounts against the Settlement assets as write offs to date have been immaterial. Settlement liability is reported on the consolidated balance sheets from when the expense reimbursement is approved until the funds are cleared in the member's account.</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The Company determines if an arrangement is a lease at inception. Operating and finance leases are included in lease right-of-use</w:t>
      </w:r>
      <w:r>
        <w:rPr>
          <w:rFonts w:ascii="Arial" w:cs="Arial" w:eastAsia="Arial" w:hAnsi="Arial"/>
          <w:sz w:val="18"/>
          <w:szCs w:val="18"/>
          <w:b w:val="1"/>
          <w:bCs w:val="1"/>
          <w:color w:val="auto"/>
        </w:rPr>
        <w:t xml:space="preserve"> </w:t>
      </w:r>
      <w:r>
        <w:rPr>
          <w:rFonts w:ascii="Arial" w:cs="Arial" w:eastAsia="Arial" w:hAnsi="Arial"/>
          <w:sz w:val="18"/>
          <w:szCs w:val="18"/>
          <w:color w:val="auto"/>
        </w:rPr>
        <w:t>(ROU) assets and lease liabilities in the 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 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13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Company’s lease terms may include options to extend or terminate the lease, and the Company includes those options in the lease terms when it is reasonably certain it will exercise them. Lease expense for lease payments is recognized on a straight-line basis over the lease term. The Company made the policy election to account for short-term leases by recognizing the lease payments in the income statement on a straight-line basis over the lease term and not recognizing these leases on the Company’s consolidated balance sheets. Variable lease payments are recognized in the income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statement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are stated at cost, less accumulated depreciation and amortization.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are computed using the straight-line method over the estimated useful lives of the respective assets, typically three years for computer equipment, five years for furniture and fixtures and thirty years for buildings. Land has an unlimited useful life and is not depreciated. Leasehold improvements and finance right-of-use assets are amortized over the lesser of the lease term or the estimated useful life of the asset. Expenditures for repairs and maintenance are charged to expense as incurred. Upon disposition, the cost and related accumulated depreciation and amortization are removed from the accounts and the resulting gain or loss is reflected in the consolidated statements of income. To date, gains or losses from disposition of property and equipment have been immaterial.</w:t>
      </w:r>
    </w:p>
    <w:p>
      <w:pPr>
        <w:spacing w:after="0" w:line="13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Construction in progress is stated at cost, which includes the cost of construction and other direct costs attributable to the construction. No depreciation is recorded for construction in progress until such time as the relevant assets are completed and put into use. Construction in progress as of September 30, 2021 and December 31, 2020 represents leasehold improvements under installation.</w:t>
      </w:r>
    </w:p>
    <w:p>
      <w:pPr>
        <w:spacing w:after="0" w:line="112"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b w:val="1"/>
          <w:bCs w:val="1"/>
          <w:color w:val="auto"/>
        </w:rPr>
        <w:t xml:space="preserve">Capitalized software development costs </w:t>
      </w:r>
      <w:r>
        <w:rPr>
          <w:rFonts w:ascii="Arial" w:cs="Arial" w:eastAsia="Arial" w:hAnsi="Arial"/>
          <w:sz w:val="17"/>
          <w:szCs w:val="17"/>
          <w:color w:val="auto"/>
        </w:rPr>
        <w:t>– The Company capitalizes internal and external costs directly related to obtaining or developing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internal-use software during the application development stage of the projects. The Company's internal-use software is reported at cost less accumulated depreciation. Depreciation begins once the project is ready for its intended use, which is usually when the software code goes into production. The Company depreciates the asset on a straight-line basis over a period of three years, which is the estimated useful life.</w:t>
      </w:r>
    </w:p>
    <w:p>
      <w:pPr>
        <w:spacing w:after="0" w:line="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Company evaluates whether a project should be capitalized if it adds significant functionality to its software. Maintenance activities or minor upgrades are expensed in the period performed.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Company’s capitalized software development costs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5"/>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7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0"/>
        </w:trPr>
        <w:tc>
          <w:tcPr>
            <w:tcW w:w="47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18"/>
          <w:szCs w:val="18"/>
          <w:color w:val="auto"/>
        </w:rPr>
        <w:t>– Long-lived assets, primarily capitalized software development costs, property and equipment and lease right-of-use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are evaluated for impairment when events or changes in circumstances indicate that the carrying amount of the assets may not be recoverable. When indications of impairment are present and the estimated undiscounted future cash flows from the use of the assets is less than the assets’ carrying values, the related assets will be written down to fair value. Any impairment losses are included in general and administrative operating expenses on the consolidated statements of income. Impairment losses on long-lived assets were immaterial for the three months and nine months ended September 30, 2021 and 2020.</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Deferred offering costs </w:t>
      </w:r>
      <w:r>
        <w:rPr>
          <w:rFonts w:ascii="Arial" w:cs="Arial" w:eastAsia="Arial" w:hAnsi="Arial"/>
          <w:sz w:val="18"/>
          <w:szCs w:val="18"/>
          <w:color w:val="auto"/>
        </w:rPr>
        <w:t>– Deferred offering costs consist primarily of accounting, legal, and other fees related to the IPO. The deferred</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costs will be offset against IPO proceeds within stockholders' equity upon completion of the IPO, which occurred on November 15, 2021. As of September 30, 2021, the Company capitalized $ 5.6 million of deferred offering costs, which are included within Other current assets on the consolidated balance sheets. As of December 31, 2020, the Company had no deferred offering costs that were capitalized.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 xml:space="preserve">Subscriptions receivable </w:t>
      </w:r>
      <w:r>
        <w:rPr>
          <w:rFonts w:ascii="Arial" w:cs="Arial" w:eastAsia="Arial" w:hAnsi="Arial"/>
          <w:sz w:val="18"/>
          <w:szCs w:val="18"/>
          <w:color w:val="auto"/>
        </w:rPr>
        <w:t>– The Company records stock issuances at the effective date of the transfer, sale or exercise. If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enters into an agreement to sell its stock and issue the stock before proceeds are received in one or more scheduled payments, the Company records the uncollected amounts as Subscriptions receivable. As of September 30, 2021, the Company had $0.5 million of Subscriptions receivable remaining. The Company had no Subscriptions receivable as of December 31, 2020. All amounts recorded relate to promissory notes the Company entered into with certain employees to exercise stock options. Each promissory note provided the Company with substantive recourse rights. See Note 8 for further detail over the promissory notes issued to exercise stock options.</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accordance with the requirements of Rule 5-02.29 of SEC Regulation S-X and Financial Accounting Standards Board (FASB) Accounting Standards Codification (ASC) 505-10-45-2, the Company records Subscriptions receivable as contra equity within Stockholders' deficit on the consolidated balance sheets and statements of convertible preferred stock and stockholders’ deficit.</w:t>
      </w:r>
    </w:p>
    <w:p>
      <w:pPr>
        <w:spacing w:after="0" w:line="99"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generates revenue from subscription fees paid by its customers to access and use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hosted software services, as well as standard customer support. The Company adopted Accounting Standard Update (ASU) No. 2014-09, </w:t>
      </w:r>
      <w:r>
        <w:rPr>
          <w:rFonts w:ascii="Arial" w:cs="Arial" w:eastAsia="Arial" w:hAnsi="Arial"/>
          <w:sz w:val="18"/>
          <w:szCs w:val="18"/>
          <w:i w:val="1"/>
          <w:iCs w:val="1"/>
          <w:color w:val="auto"/>
        </w:rPr>
        <w:t xml:space="preserve">Revenue from Contracts with Customers (Topic 606) </w:t>
      </w:r>
      <w:r>
        <w:rPr>
          <w:rFonts w:ascii="Arial" w:cs="Arial" w:eastAsia="Arial" w:hAnsi="Arial"/>
          <w:sz w:val="18"/>
          <w:szCs w:val="18"/>
          <w:color w:val="auto"/>
        </w:rPr>
        <w:t>as of January 1, 2019, utilizing the full retrospective method of transition.</w:t>
      </w:r>
    </w:p>
    <w:p>
      <w:pPr>
        <w:spacing w:after="0" w:line="125"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Under Topic 606, the Company determines the amount of revenue to be recognized through the following five-step framework:</w:t>
      </w:r>
    </w:p>
    <w:p>
      <w:pPr>
        <w:spacing w:after="0" w:line="14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5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spacing w:after="0" w:line="1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 when exercised by the customer.</w:t>
      </w:r>
    </w:p>
    <w:p>
      <w:pPr>
        <w:spacing w:after="0" w:line="12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the Company recorded revenue for such contracts on a straight line basis over the twelve month period affected by the price increase. This resulted in contract assets that consist of unbilled receivables for revenue recognized in excess of billings. The Company recorded contract assets for unbilled receivables of $0.1 million and $1.2 million within Other current assets on the Company’s consolidated balance sheet as of September 30, 2021 and December 31, 2020, respectively. The contract asset will decrease as the price increase is applied to the amounts billed to customers, over the twelve month period. Since the Company's performance obligation is satisfied monthly, at any reporting period, the Company has no unsatisfied, or partially unsatisfied, performance obligations.</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Cashback rewards </w:t>
      </w:r>
      <w:r>
        <w:rPr>
          <w:rFonts w:ascii="Arial" w:cs="Arial" w:eastAsia="Arial" w:hAnsi="Arial"/>
          <w:sz w:val="18"/>
          <w:szCs w:val="18"/>
          <w:color w:val="auto"/>
        </w:rPr>
        <w:t>– Beginning in August 2021, the Company offers a cashback rewards program to all customers based on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Expensify card transactions and SaaS subscription tier. Cashback rewards are earned on a monthly basis and paid out the following month. The Company considers their cashback payments to customers as consideration payable to a customer under the scope of ASC 606 and it is therefore recorded as contra revenue within Revenue on the consolidated statements of income. The Company records a cashback rewards liability that represents the consideration payable to customers for earned cashback rewards. Cashback reward liabilities are impacted over time by customers meeting eligibility requirements in conjunction with the SaaS subscription tier of the customer and timing of payments to customers. The accrued cashback rewards liability was $0.2 million as of September 30, 2021 and is recorded within Accrued expenses and other liabilities on the consolidated balance sheets. The cashback rewards cost, which is recorded as contra revenue within Revenue on the consolidated statements of income, was $0.3 million during the three and nine months ended September 30, 2021, respectively.</w:t>
      </w:r>
    </w:p>
    <w:p>
      <w:pPr>
        <w:spacing w:after="0" w:line="11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The Company accounts for stock-based compensation under the fair value recognition and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U.S. GAAP. Those provisions require all stock-based awards granted to employees, including stock options and restricted stock units,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utilizes the Black-Scholes option pricing model to determine the estimated fair value of stock options. The Company recognizes these stock-based compensation costs on a straight-line basis over the requisite service period of the award, which is generally the option vesting term of four years. Forfeitures are recorded as they occur.</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and the amount of time that lapsed between the two reports to determine whether to use the latest common stock valuation or an interpolation between two valuation dates for purposes of valuing stock-based awards. Subsequent to the completion of the IPO, the fair value of the Company’s underlying common stock will be determined by the closing price, on the date of grant, of its Class A common stock, which is traded on the Nasdaq Global Select Market.</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 The expected life represents the period that the Company's stock-based award is expected to be outstanding. The expected life for option grants is determined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 at the time of grant. The expected dividend yield is assumed to be zero as the Company has not paid and does not expect to pay dividends.</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September 24, 2021, the Company granted to employees restricted stock units (RSUs) that settle in shares of Class A and LT50 common stock, effective as of immediately before the effectiveness of the IPO Registration Statement on November 9, 2021. As such, these are considered to be RSUs with a performance condition for accounting purposes. The Company measures these RSUs based on the fair value of the underlying common stock on the grant date, which was consistent with the factors described within the Black-Scholes option pricing model.</w:t>
      </w:r>
    </w:p>
    <w:p>
      <w:pPr>
        <w:spacing w:after="0" w:line="13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Once the performance condition is satisfied for these RSUs, the Company will recognize stock-based compensation costs on a straight-line basis over the requisite service period of the award, which is generally the RSU vesting term of eight years. For these RSUs, the Company will recognize a cumulative one-time stock-based compensation expense on the date the performance condition is satisfied for the service period satisfied prior to this date and recognize all remaining stock-based compensation expense for RSUs over the remaining requisite service period. Forfeitures are recorded as they occur.</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color w:val="auto"/>
        </w:rPr>
        <w:t xml:space="preserve">Employee stock option exercise cash bonus </w:t>
      </w:r>
      <w:r>
        <w:rPr>
          <w:rFonts w:ascii="Arial" w:cs="Arial" w:eastAsia="Arial" w:hAnsi="Arial"/>
          <w:sz w:val="18"/>
          <w:szCs w:val="18"/>
          <w:color w:val="auto"/>
        </w:rPr>
        <w:t>– In June 2021 for the Company's named executive officers and in July 2021 for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the Company determined that it would pay a cash bonus to each of its employees in a value that approximates the cost of each employee exercising 45% of their total stock options issued, limited by the total stock options outstanding as of June 15, 2021, including the tax withholding applicable to each employee. The Company included both vested and unvested stock options outstanding and held by each existing employee as of June 15, 2021 to each employee in determining the cash bonus paid.</w:t>
      </w:r>
    </w:p>
    <w:p>
      <w:pPr>
        <w:spacing w:after="0" w:line="12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to using the exercise cost of the stock options through June 15, 2021, the Company relied on an estimate to determine the tax withholding that could be applicable to each employee based on if they were to exercise the stock options. In order to determine this estimate, the Company relied on third-party tax consultants that reviewed a number of assumptions provided by management, including the applicable taxable income to the employee as a result of the cash bonus in 2021 and the spread of the fair value of the options based on the latest independent third-party common stock valuation as of June 15, 2021 and the exercise price of the same options applicable to each employee. No employee was obligated to use the cash bonus to exercise their outstanding stock options.</w:t>
      </w:r>
    </w:p>
    <w:p>
      <w:pPr>
        <w:spacing w:after="0" w:line="14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three months and nine months ended September 30, 2021, the Company recorded bonus expenses related to the employee stock option exercise cash bonus of $26.3 million and $ 34.2 million, respectively, of which $9.5 million and $17.4 million of these cash bonuses were paid out to employees during the respective periods. Of the total bonus expenses related to the employee stock option exercise cash bonus during the nine months ended September 30, 2021, the bonus expense for the Company's named executive officers was $7.9 million. There was no such bonus expense related to the Company's named executive officers during the three months ended September 30, 2021. As of September 30, 2021,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recorded an accrual for the remaining $16.8 million of bonus expense for the three months and nine months ended September 30, 2021 within Accrued expenses and other liabilities on the consolidated balance sheets. As of September 30, 2021, the total cash bonuses yet to be paid to employees are estimated at approximately $31.3 million. All payments related to the remaining cash bonuses will take place during the fiscal quarter ended December 31, 2021.</w:t>
      </w:r>
    </w:p>
    <w:p>
      <w:pPr>
        <w:spacing w:after="0" w:line="1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Bonus expense related to the employee stock option exercise cash bonus capitalized as internally developed software costs was $1.3 million for the three months and nine months ended September 30, 2021, respectively.</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Cost of revenue, net </w:t>
      </w:r>
      <w:r>
        <w:rPr>
          <w:rFonts w:ascii="Arial" w:cs="Arial" w:eastAsia="Arial" w:hAnsi="Arial"/>
          <w:sz w:val="18"/>
          <w:szCs w:val="18"/>
          <w:color w:val="auto"/>
        </w:rPr>
        <w:t>– Cost of revenue, net primarily consists of expenses related to hosting the Company’s service, including the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data center capacity, credit card processing fees, third-party software license fees, outsourcing costs to support customer service and outsourcing costs to support and process the SmartScan technology, net of consideration from a vendor for monetizing Expensify Card activities. This consideration, net of credit card processing fees paid to the vendor, is included as a reduction to cost of revenue of $0.8 million and $1.9 million for the three months and nine months ended September 30, 2021, respectively. This consideration, net of credit card processing fees paid to the vendor, is included as a reduction to cost of revenue of $0.3 million and $0.6 million for the three months and nine months ended September 30, 2020, respectively. Additional costs include amortization expense on capitalized software development costs and personnel-related expenses, including stock-based compensation, cash bonuses and employee costs attributable to supporting our customers and maintenance of our platform.</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 Research and development expenses consist primarily of personnel-related expenses, including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cash bonuses, incurred in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 xml:space="preserve">General and administrative - </w:t>
      </w:r>
      <w:r>
        <w:rPr>
          <w:rFonts w:ascii="Arial" w:cs="Arial" w:eastAsia="Arial" w:hAnsi="Arial"/>
          <w:sz w:val="18"/>
          <w:szCs w:val="18"/>
          <w:color w:val="auto"/>
        </w:rPr>
        <w:t>General and administrative expenses primarily consist of personnel-related expenses, including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cash bonuses 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General and administrative expenses are expensed as incurred.</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Sales and marketing </w:t>
      </w:r>
      <w:r>
        <w:rPr>
          <w:rFonts w:ascii="Arial" w:cs="Arial" w:eastAsia="Arial" w:hAnsi="Arial"/>
          <w:sz w:val="18"/>
          <w:szCs w:val="18"/>
          <w:color w:val="auto"/>
        </w:rPr>
        <w:t>– Sales and marketing primarily consist of personnel-related expenses, including stock-based compensation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bonuses, in addition to third-party advertising expenses, branding and public relations expenses, referral fees for strategic partnerships and other benefits that the Company provides to its referral and affiliate partners. The Company expenses the costs of sales and marketing, including promotional expenses, as incurred.</w:t>
      </w:r>
    </w:p>
    <w:p>
      <w:pPr>
        <w:spacing w:after="0" w:line="10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Deferred tax liabilities and assets are recognized for the expected future tax consequences of temporary differences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financial statement carrying amounts and the tax basis of assets and liabilities and net operating loss (NOL) and tax credit carryforwards. Valuation allowances are established when necessary to reduce deferred tax assets to the amount more likely than not expected to be realized.</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3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Cuts and Jobs Act. The GILTI provisions impose a tax on foreign income in excess of a deemed return on tangible assets of foreign corporations. The guidance indicates that either accounting for deferred taxes related to GILTI inclusions or treating any taxes on GILTI inclusions as period cost are both acceptable methods subject to an accounting policy election. The Company has elected to treat any potential GILTI inclusions as a period cost.</w:t>
      </w:r>
    </w:p>
    <w:p>
      <w:pPr>
        <w:spacing w:after="0" w:line="12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130"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On December 27, 2020, the U.S. president signed into law the Consolidated Appropriations Act, 2021, which includes further COVID-19 economic relief and extension of certain expiring tax provisions. The relief package had no material impact to the Company’s tax positions.</w:t>
      </w:r>
    </w:p>
    <w:p>
      <w:pPr>
        <w:spacing w:after="0" w:line="10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California Assembly Bill 85 (AB 85) was signed into law by the governor on June 29, 2020. The legislation suspends the California net operating loss deductions for 2020, 2021 and 2022 for certain taxpayers and imposes a limitation of California tax credits utilization for 2020, 2021 and 2022. The legislation disallows the use of California net operating loss deductions if the taxpayer recognizes business income and its income subject to tax is greater than $1 million. Additionally, business credits will only offset a maximum of $5 million of California tax liability. The Company has estimated its 2020 California state taxable income to be above $ 1 million. As such, the Company will not be eligible to use any California net operating loss deductions in 2020 but will be able to offset the California tax liability with California tax credits.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Net (loss) income per share - </w:t>
      </w:r>
      <w:r>
        <w:rPr>
          <w:rFonts w:ascii="Arial" w:cs="Arial" w:eastAsia="Arial" w:hAnsi="Arial"/>
          <w:sz w:val="18"/>
          <w:szCs w:val="18"/>
          <w:color w:val="auto"/>
        </w:rPr>
        <w:t>The Company computes net (loss) income per share using the two-class method required by ASC 260,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for participating securities. All series of the Company's convertible preferred stock are participating securities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such stock are entitled to receive stated noncumulative dividends when and if declared and then they participate on a pari passu basis in the event that a dividend is paid on common stock. The holders of convertible preferred stock do not have a contractual obligation to share in the Company’s losses. The undistributed earnings are allocated between common stock and participating securities as if all earnings had been distributed during the period presented.</w:t>
      </w:r>
    </w:p>
    <w:p>
      <w:pPr>
        <w:spacing w:after="0" w:line="13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Since the Company has not declared dividends, the undistributed earnings are first allocated to the convertible preferred stock up to the amount of the undeclared stated dividends. For the three months ended September 30, 2021 and the three months and nine months ended September 30, 2020, the Company generated a net loss and, therefore, no loss is allocated to the holders of the convertible preferred stock. For the nine months ended September 30, 2021, undistributed earnings exceed the amount of undeclared stated dividends and were available for allocation to the common stockholders.</w:t>
      </w:r>
    </w:p>
    <w:p>
      <w:pPr>
        <w:spacing w:after="0" w:line="13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Basic net (loss) income per share is computed by dividing net (loss) income for the period by the weighted-average number of outstanding shares of common stock during the period, less weighted-average shares subject to repurchase. Diluted net (loss) income per share is computed by dividing net (loss) income for the period by the weighted-average number of outstanding shares of common stock and, when dilutive, potential shares of common stock outstanding during the period using the more dilutive of the treasury stock method or if-converted method, as applicable. The dilutive effect of participating securities is calculated using the more dilutive of the treasury method or the two-class method.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Segment reporting - </w:t>
      </w:r>
      <w:r>
        <w:rPr>
          <w:rFonts w:ascii="Arial" w:cs="Arial" w:eastAsia="Arial" w:hAnsi="Arial"/>
          <w:sz w:val="18"/>
          <w:szCs w:val="18"/>
          <w:color w:val="auto"/>
        </w:rPr>
        <w:t>The Company operates as one reportable segment because its chief operating decision maker, who is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that consists of the chief executive officer, the chief financial officer and the chief operating officer, reviews the Company’s financial information on a consolidated basis for purposes of making decisions regarding allocating resources and assessing performance. All long-lived assets are located in the United States.</w:t>
      </w:r>
    </w:p>
    <w:p>
      <w:pPr>
        <w:spacing w:after="0" w:line="11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table below provides the Company’s total revenue by geographic area (in thousands). No other individual country outside of the United States accounted for more than 10% of total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 by customers' geographic locations</w:t>
            </w:r>
          </w:p>
        </w:tc>
        <w:tc>
          <w:tcPr>
            <w:tcW w:w="2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56,111</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No individual customer represents more than 10% of the Company’s total revenue for the three months and nine months September 30, 2021 and 2020.</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Emerging growth company status - </w:t>
      </w:r>
      <w:r>
        <w:rPr>
          <w:rFonts w:ascii="Arial" w:cs="Arial" w:eastAsia="Arial" w:hAnsi="Arial"/>
          <w:sz w:val="18"/>
          <w:szCs w:val="18"/>
          <w:color w:val="auto"/>
        </w:rPr>
        <w:t>The Company is an emerging growth company, as defined in the Jumpstart Our Business Startups Act</w:t>
      </w:r>
      <w:r>
        <w:rPr>
          <w:rFonts w:ascii="Arial" w:cs="Arial" w:eastAsia="Arial" w:hAnsi="Arial"/>
          <w:sz w:val="18"/>
          <w:szCs w:val="18"/>
          <w:b w:val="1"/>
          <w:bCs w:val="1"/>
          <w:color w:val="auto"/>
        </w:rPr>
        <w:t xml:space="preserve"> </w:t>
      </w:r>
      <w:r>
        <w:rPr>
          <w:rFonts w:ascii="Arial" w:cs="Arial" w:eastAsia="Arial" w:hAnsi="Arial"/>
          <w:sz w:val="18"/>
          <w:szCs w:val="18"/>
          <w:color w:val="auto"/>
        </w:rPr>
        <w:t>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3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 xml:space="preserve">The JOBS Act does not preclude an emerging growth company from early adopting new or revised accounting standards. The Company early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of January 1, 2019 using the modified retrospective transition approach. See Recently adopted accounting pronouncements for further detail.</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Recently adopted accounting pronouncements </w:t>
      </w:r>
      <w:r>
        <w:rPr>
          <w:rFonts w:ascii="Arial" w:cs="Arial" w:eastAsia="Arial" w:hAnsi="Arial"/>
          <w:sz w:val="18"/>
          <w:szCs w:val="18"/>
          <w:color w:val="auto"/>
        </w:rPr>
        <w:t>– As part of its initiative to reduce complexity in the accounting standards,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eliminates certain exceptions related to the approach for intra-period tax allocation, the methodology for calculating income taxes in an interim period and the recognition of deferred tax liabilities for outside basis differences. ASU No. 2019-12 also clarifies and simplifies other aspects of the accounting for income taxes. The standard is effective for fiscal years, and interim periods within those fiscal years, beginning after December 15, 2020, with early adoption permitted. The Company early adopted ASU No. 2019-12 on January 1, 2020. The adoption of ASU No. 2019-12 had no material impact to the Company's consolidated financial statements and related disclosures.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Recent accounting pronouncements not yet adopted </w:t>
      </w:r>
      <w:r>
        <w:rPr>
          <w:rFonts w:ascii="Arial" w:cs="Arial" w:eastAsia="Arial" w:hAnsi="Arial"/>
          <w:sz w:val="18"/>
          <w:szCs w:val="18"/>
          <w:color w:val="auto"/>
        </w:rPr>
        <w:t>– In June 2016, the FASB issued ASU No. 2016-13,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Measurement of Credit Losses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on Financial Instruments (Topic 326)</w:t>
      </w:r>
      <w:r>
        <w:rPr>
          <w:rFonts w:ascii="Arial" w:cs="Arial" w:eastAsia="Arial" w:hAnsi="Arial"/>
          <w:sz w:val="18"/>
          <w:szCs w:val="18"/>
          <w:color w:val="auto"/>
        </w:rPr>
        <w:t>, which requires an impairment model (known as the current expected credit loss (CECL) model)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expected rather 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 On October 13, 2021, the Company granted stock options to employees to purchase 223,400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at an exercise price of $12.97 per share. The options granted vest over four years and are exercisable at any time after the grant date. The Company determined that the underlying fair value of the common stock to use in the Black-Scholes option pricing model was $21.76 per share. The Company considered additional factors that became known on the October grant date such as the expected preliminary price range upon IPO determined by bankers for the Company's Class A common stock determined by bankers and the expected timing and probability of the IPO on the grant date.</w:t>
      </w:r>
    </w:p>
    <w:p>
      <w:pPr>
        <w:spacing w:after="0" w:line="1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November 10, 2021, the Company granted 5,699,120 RSUs to employees, which comprised of 2,849,560 shares of Class A common stock and LT50 common stock, respectively. These RSUs vest upon the satisfaction of a service condition. The service condition for these awards is satisfied over eight years with a cliff vest for 1/8 of the grant on September 15, 2022 and quarterly vesting equal to 1/32 of the grant every December 15, March 15, June 15 and September 15 thereafter until fully vested. The Company measures the RSUs based on the fair value of the underlying common stock on the grant date, which was determined by the closing price, on the date of grant, of the Company's Class A common stock traded on the Nasdaq Global Select Market. The Company's closing price on the date of grant was $41.06 per share. See Note 9 for further detail.</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November 12, 2021, the Company granted 27,780 RSUs in total of shares of Class A common stock to members of the Company's audit committee. See Note 9 for further detail.</w:t>
      </w:r>
    </w:p>
    <w:p>
      <w:pPr>
        <w:spacing w:after="0" w:line="13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From October 1, 2021 through the financial statement issuance date, the Company has paid approximately $3.5 million in cash bonuses to employees as part of the employee stock option exercise cash bonus. The total cash bonuses yet to be paid to employees are estimated at approximately $ 27.8 million as a result of the complexities of each individual employee’s tax situation, including varying tax locations of our employees. We expect payment of the bonuses to take place during the fiscal quarter ended December 31, 2021.</w:t>
      </w:r>
    </w:p>
    <w:p>
      <w:pPr>
        <w:spacing w:after="0" w:line="123"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Upon completion of the IPO in November 2021, the Company became obligated to pay a $2.5 million success fee as part of the Company's amended and restated loan and security agreement entered into with CIBC during September 2021. This amount was paid to CIBC during the fiscal quarter ended December 31, 2021. For further detail over the amended and restatement loan and security agreement with CIBC, see Note 7.</w:t>
      </w:r>
    </w:p>
    <w:p>
      <w:pPr>
        <w:spacing w:after="0" w:line="13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Company has concluded that no other subsequent event has occurred that requires disclosure except as noted elsewhere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CAPITALIZED SOFTWARE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net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79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00" w:type="dxa"/>
            <w:vAlign w:val="bottom"/>
            <w:shd w:val="clear" w:color="auto" w:fill="CCEEFF"/>
          </w:tcPr>
          <w:p>
            <w:pPr>
              <w:spacing w:after="0"/>
              <w:rPr>
                <w:sz w:val="19"/>
                <w:szCs w:val="19"/>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tcPr>
          <w:p>
            <w:pPr>
              <w:spacing w:after="0"/>
              <w:rPr>
                <w:sz w:val="19"/>
                <w:szCs w:val="19"/>
                <w:color w:val="auto"/>
              </w:rPr>
            </w:pP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consolidated statements of income. The table below provides the amortization expense related to capitalized software development costs for the three months and nine months ended September 30, 2021 and 2020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7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 for capitalized software</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0"/>
        </w:trPr>
        <w:tc>
          <w:tcPr>
            <w:tcW w:w="47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79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23"/>
        </w:trPr>
        <w:tc>
          <w:tcPr>
            <w:tcW w:w="7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20,024</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Depreciation and amortization expense related to Property and equipment is recorded in General and administrative on the consolidated statements of income. The table below provides the depreciation and amortization expense related to Property and equipment for the three months and nine months ended September 30, 2021 and 2020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7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0"/>
        </w:trPr>
        <w:tc>
          <w:tcPr>
            <w:tcW w:w="47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LEASES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operating leases for corporate offices and finance leases primarily for data center equipment. As of September 30, 2021, the operating and finance leases have remaining lease terms from less than a year to two years. The operating and finance leases contain options to extend or terminate the lease. However, these were not included in the lease terms of the operating leases as the Company is not reasonably certain to exercise those options. The Company included options to extend the lease terms of the finance leases as the Company is reasonably certain to exercise those options.</w:t>
      </w:r>
    </w:p>
    <w:p>
      <w:pPr>
        <w:spacing w:after="0" w:line="12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During three months and nine months ended September 30, 2021, the Company did not enter into any additional finance lease agreements to finance the acquisition of new property and equipment. During the three months and nine months ended September 30, 2020, the Company entered into a new finance lease agreement that combined several of the remaining data center equipment leases into one consolidated agreement with the same lessor. The new agreement updated the expiration date of the lease payments to July 31, 2023. All other terms and conditions of the finance lease agreements remained the same. There were no additional operating lease agreements entered into during the three months and nine months ended September 30, 2021 and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7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215</w:t>
            </w:r>
          </w:p>
        </w:tc>
        <w:tc>
          <w:tcPr>
            <w:tcW w:w="100" w:type="dxa"/>
            <w:vAlign w:val="bottom"/>
          </w:tcPr>
          <w:p>
            <w:pPr>
              <w:spacing w:after="0"/>
              <w:rPr>
                <w:sz w:val="19"/>
                <w:szCs w:val="19"/>
                <w:color w:val="auto"/>
              </w:rPr>
            </w:pP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222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13"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10801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2"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17780</wp:posOffset>
            </wp:positionV>
            <wp:extent cx="11487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9180" w:space="480"/>
            <w:col w:w="15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2,041</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r>
      <w:tr>
        <w:trPr>
          <w:trHeight w:val="54"/>
        </w:trPr>
        <w:tc>
          <w:tcPr>
            <w:tcW w:w="76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Cash paid for amounts included in the measurement of</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ROU assets obtained in exchange for operating lease</w:t>
            </w:r>
          </w:p>
        </w:tc>
        <w:tc>
          <w:tcPr>
            <w:tcW w:w="24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122"/>
        </w:trPr>
        <w:tc>
          <w:tcPr>
            <w:tcW w:w="47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7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September 30, 2021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Finance leases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10"/>
        </w:trPr>
        <w:tc>
          <w:tcPr>
            <w:tcW w:w="7980" w:type="dxa"/>
            <w:vAlign w:val="bottom"/>
            <w:tcBorders>
              <w:top w:val="single" w:sz="8" w:color="auto"/>
            </w:tcBorders>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liabilities, current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2020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Finance leases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09"/>
        </w:trPr>
        <w:tc>
          <w:tcPr>
            <w:tcW w:w="7980" w:type="dxa"/>
            <w:vAlign w:val="bottom"/>
            <w:tcBorders>
              <w:top w:val="single" w:sz="8" w:color="auto"/>
            </w:tcBorders>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liabilities, current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SIGNIFICANT BALANCE SHEET COMPONENTS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current assets </w:t>
      </w:r>
      <w:r>
        <w:rPr>
          <w:rFonts w:ascii="Arial" w:cs="Arial" w:eastAsia="Arial" w:hAnsi="Arial"/>
          <w:sz w:val="18"/>
          <w:szCs w:val="18"/>
          <w:color w:val="auto"/>
        </w:rPr>
        <w:t>– Other current assets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79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collateral for funds held for customers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Expensify.org 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Payments LLC 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initial public offering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expenses and other liabilities </w:t>
      </w:r>
      <w:r>
        <w:rPr>
          <w:rFonts w:ascii="Arial" w:cs="Arial" w:eastAsia="Arial" w:hAnsi="Arial"/>
          <w:sz w:val="18"/>
          <w:szCs w:val="18"/>
          <w:color w:val="auto"/>
        </w:rPr>
        <w:t>– Accrued expenses and other liabilities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79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 reports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Partner payouts and advertising fees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Hosting and license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Credit card processing fees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and other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Sales, payroll and other taxes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Cashback rewards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bonuses to employees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798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FINANCING ARRANGEMENTS</w:t>
      </w:r>
    </w:p>
    <w:p>
      <w:pPr>
        <w:spacing w:after="0" w:line="1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Amortizing term mortgage </w:t>
      </w:r>
      <w:r>
        <w:rPr>
          <w:rFonts w:ascii="Arial" w:cs="Arial" w:eastAsia="Arial" w:hAnsi="Arial"/>
          <w:sz w:val="18"/>
          <w:szCs w:val="18"/>
          <w:color w:val="auto"/>
        </w:rPr>
        <w:t>– Under the amortizing term mortgage agreement with CIBC for the Company's commercial building in Portland,</w:t>
      </w:r>
      <w:r>
        <w:rPr>
          <w:rFonts w:ascii="Arial" w:cs="Arial" w:eastAsia="Arial" w:hAnsi="Arial"/>
          <w:sz w:val="18"/>
          <w:szCs w:val="18"/>
          <w:b w:val="1"/>
          <w:bCs w:val="1"/>
          <w:color w:val="auto"/>
        </w:rPr>
        <w:t xml:space="preserve"> </w:t>
      </w:r>
      <w:r>
        <w:rPr>
          <w:rFonts w:ascii="Arial" w:cs="Arial" w:eastAsia="Arial" w:hAnsi="Arial"/>
          <w:sz w:val="18"/>
          <w:szCs w:val="18"/>
          <w:color w:val="auto"/>
        </w:rPr>
        <w:t>Oregon, the Company borrowed $8.3 million in August 2019, which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September 30, 2021 and December 31, 2020, the outstanding balance of the amortizing term mortgage was $8.0 million and $8.1 million, respectively.</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2021 amended term loan - </w:t>
      </w:r>
      <w:r>
        <w:rPr>
          <w:rFonts w:ascii="Arial" w:cs="Arial" w:eastAsia="Arial" w:hAnsi="Arial"/>
          <w:sz w:val="18"/>
          <w:szCs w:val="18"/>
          <w:color w:val="auto"/>
        </w:rPr>
        <w:t>In September 2021, the Company amended and restated its loan and security agreement with CIBC (the 2021</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term loan) to refinance the existing non-amortizing and amortizing term loans, establish a single term loan of up to $75.0 million, consisting of a $45.0 million initial term loan effective immediately with an option at a later date to enter into an additional $30.0 million delayed term loan, and increase the monthly revolving line of credit to $25.0 million. Approximately $24.0 million of the loan proceeds were used to immediately repay the remaining balances under the amortizing and non-amortizing term loans at the time of the amendment and restatement in September 2021 as well as the commitment fees and any other debt issuance costs associated with the amended agreement. The remaining proceeds from the initial term loan went towards the Company's normal business operations.</w:t>
      </w:r>
    </w:p>
    <w:p>
      <w:pPr>
        <w:spacing w:after="0" w:line="1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2021 amended term loan with CIBC, the initial term loan of $45.0 million entered into by the Company in September 2021 is payable over a 60 month period with principal and accrued interest payments due each quarter thereafter, which commences with the first payment due on September 30, 2021. Quarterly principal payments are fixed and will begin with quarterly payments of $0.1 million commencing on September 30, 2021 with increases to $0.2 million beginning October 1, 2024 and $0.6 million beginning October 1, 2025 with any remaining principal balance becoming due and payable at the end of the term loan in September 2026. The amounts borrowed are payable with interest at the bank’s reference rate plus 2.25% (5.5% as of September 30, 2021) beginning on September 30, 2021 and continuing on a quarterly basis through the end of the term loan. The borrowings are secured by substantially all the Company’s assets. As of September 30, 2021, the outstanding balance of the 2021 amended term loan was $44.9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Monthly revolving line of credit </w:t>
      </w:r>
      <w:r>
        <w:rPr>
          <w:rFonts w:ascii="Arial" w:cs="Arial" w:eastAsia="Arial" w:hAnsi="Arial"/>
          <w:sz w:val="18"/>
          <w:szCs w:val="18"/>
          <w:color w:val="auto"/>
        </w:rPr>
        <w:t>– The line of credit agreement with CIBC, as amended with the 2021 amended term loan entered into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September 2021, provides borrowings up to $ 25.0 million. As of December 31, 2020, the line of credit agreement with CIBC provided borrowings up to $15,000,000. Borrowings under the line bear interest at the bank’s reference rate plus 1.00% (4.25% as of September 30, 2021 and December 31, 2020, respectively) and are secured by substantially all of the Company’s assets. As of September 30, 2021 and December 31, 2020, the Company had drawn $15.0 million, respectively, under the line of credit. As of September 30, 2021, the Company had $10.0 million of capacity available for borrowings under the line of credit. As of December 31, 2020, the Company had no capacity available for borrowings under the line of credit agreement.</w:t>
      </w:r>
    </w:p>
    <w:p>
      <w:pPr>
        <w:spacing w:after="0" w:line="11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 xml:space="preserve">Non-amortizing term loan </w:t>
      </w:r>
      <w:r>
        <w:rPr>
          <w:rFonts w:ascii="Arial" w:cs="Arial" w:eastAsia="Arial" w:hAnsi="Arial"/>
          <w:sz w:val="18"/>
          <w:szCs w:val="18"/>
          <w:color w:val="auto"/>
        </w:rPr>
        <w:t>– Under the non-amortizing term loan agreement with CIBC, the Company borrowed $11.0 million in May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agreement was amended in November 2018. The term loan is an interest-only loan (fixed at 9.5% per year) for 60 months that becomes due and payable at the end of the note term in November 2023. The borrowings are secured by substantially all the Company’s assets. As of September 30, 2021, the non-amortizing term loan agreement with CIBC was fully paid off with the 2021 amended term loan entered into by the Company in September 2021. As of December 31, 2020, the outstanding balance of the non-amortizing term loan was $11.0 million.</w:t>
      </w:r>
    </w:p>
    <w:p>
      <w:pPr>
        <w:spacing w:after="0" w:line="1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Amortizing term loan </w:t>
      </w:r>
      <w:r>
        <w:rPr>
          <w:rFonts w:ascii="Arial" w:cs="Arial" w:eastAsia="Arial" w:hAnsi="Arial"/>
          <w:sz w:val="18"/>
          <w:szCs w:val="18"/>
          <w:color w:val="auto"/>
        </w:rPr>
        <w:t>– Under the amortizing term loan agreement with CIBC, the Company borrowed $14.0 million in November 2018,</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requires 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 and 5.5% at December 31, 2019 and 2020, respectively) beginning in November 2020 through 2023. The borrowings are secured by substantially all the Company’s assets. As of September 30, 2021, the amortizing term loan agreement with CIBC was fully paid off with the 2021 amended term loan entered into by the Company in September 2021. As of December 31, 2020, the outstanding balance of the amortizing term loan was $13.8 million.</w:t>
      </w:r>
    </w:p>
    <w:p>
      <w:pPr>
        <w:spacing w:after="0" w:line="13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three months and nine months ended September 30, 2021 and 2020, respectively, the Company incurred an immaterial amount of costs related to the amortizing term mortgage and term loan agreements, respectively. These debt issuance costs are reflected as a reduction of the carrying amount of the long-term debt and are being amortized to interest expense over the term of the agreements. As of September 30, 2021 and December 31, 2020, the unamortized debt issuance costs remaining are $0.2 million and $0.1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all long-term debt are as follows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660" w:type="dxa"/>
            <w:vAlign w:val="bottom"/>
            <w:tcBorders>
              <w:bottom w:val="single" w:sz="8" w:color="auto"/>
            </w:tcBorders>
          </w:tcPr>
          <w:p>
            <w:pPr>
              <w:ind w:left="3920"/>
              <w:spacing w:after="0"/>
              <w:rPr>
                <w:sz w:val="20"/>
                <w:szCs w:val="20"/>
                <w:color w:val="auto"/>
              </w:rPr>
            </w:pPr>
            <w:r>
              <w:rPr>
                <w:rFonts w:ascii="Arial" w:cs="Arial" w:eastAsia="Arial" w:hAnsi="Arial"/>
                <w:sz w:val="14"/>
                <w:szCs w:val="14"/>
                <w:b w:val="1"/>
                <w:bCs w:val="1"/>
                <w:color w:val="auto"/>
              </w:rPr>
              <w:t>As of September 30, 2021</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15,588</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50,943</w:t>
            </w:r>
          </w:p>
        </w:tc>
      </w:tr>
      <w:tr>
        <w:trPr>
          <w:trHeight w:val="223"/>
        </w:trPr>
        <w:tc>
          <w:tcPr>
            <w:tcW w:w="9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67,874</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discount for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9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67,640</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line of credit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net of issuance costs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issuance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is subject to customary covenants under its revolving line of credit agreement, non-amortizing term loan agreement, amortizing term loan agreement and 2021 amended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the Company was in compliance with all debt covenants.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CONVERTIBLE PREFERRED STOCK AND STOCKHOLDERS’ DEFICIT</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Pre-IPO Amended and Restated Certificate of Incorporation authorized the Company to issue 95,000,000 shares of common stock and 4,203,139 shares of convertible preferred stock with a par value of $0.0001 per share. As of September 30, 2021 and December 31, 2020, there were 36,240,800 and 29,366,940 shares of common stock issued and outstanding, respectively. The holders of each share of common stock are entitled to the number of votes that is equal to the number of shares of common stock issued and outstanding for the holders.</w:t>
      </w:r>
    </w:p>
    <w:p>
      <w:pPr>
        <w:spacing w:after="0" w:line="1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Subscriptions receivable </w:t>
      </w:r>
      <w:r>
        <w:rPr>
          <w:rFonts w:ascii="Arial" w:cs="Arial" w:eastAsia="Arial" w:hAnsi="Arial"/>
          <w:sz w:val="18"/>
          <w:szCs w:val="18"/>
          <w:color w:val="auto"/>
        </w:rPr>
        <w:t>– During the three months ended September 30, 2021, certain employees exercised stock options for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1,566,230 shares of common stock for $ 1.7 million by entering into promissory notes with the Company. During the nine months ended September 30, 2021, certain employees exercised stock options for a total of 4,096,060 shares of common stock for $3.4 million by entering into promissory notes with the Company. No promissory notes were entered into between employees and the Company to exercise stock options prior to June 2021. Although each promissory note varied in loan amount, all notes had the same standard terms with annual interest of 0.13% and unpaid principal balances due and payable in twelve equal monthly payments beginning October 1, 2021. No promissory notes were entered into with listed directors or executive officers of the Company. As each promissory note is considered a recourse loan in form and substance, the Company records all outstanding loan balances for employees to exercise stock options to Subscriptions receivable as contra equity within Stockholders' deficit. During the three months and nine months ended September 30, 2021, principal payments of $2.9 million were received by the Company against the promissory notes. As of September 30, 2021, the Company had $0.5 million of Subscriptions receivable remaining and no payments of interest have been received to date. As of September 30, 2021, no interest income has been accrued to date on the promissory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Convertible preferred stock </w:t>
      </w:r>
      <w:r>
        <w:rPr>
          <w:rFonts w:ascii="Arial" w:cs="Arial" w:eastAsia="Arial" w:hAnsi="Arial"/>
          <w:sz w:val="18"/>
          <w:szCs w:val="18"/>
          <w:color w:val="auto"/>
        </w:rPr>
        <w:t>– As of September 30, 2021 and December 31, 2020, convertible preferred stock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tcBorders>
              <w:top w:val="single" w:sz="8" w:color="auto"/>
            </w:tcBorders>
            <w:vMerge w:val="restart"/>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Shares issued and</w:t>
            </w: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Original issuance</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Liquidation</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5"/>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 share data)</w:t>
            </w: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price per share</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Series B</w:t>
            </w:r>
          </w:p>
        </w:tc>
        <w:tc>
          <w:tcPr>
            <w:tcW w:w="1320" w:type="dxa"/>
            <w:vAlign w:val="bottom"/>
          </w:tcPr>
          <w:p>
            <w:pPr>
              <w:jc w:val="right"/>
              <w:spacing w:after="0"/>
              <w:rPr>
                <w:sz w:val="20"/>
                <w:szCs w:val="20"/>
                <w:color w:val="auto"/>
              </w:rPr>
            </w:pPr>
            <w:r>
              <w:rPr>
                <w:rFonts w:ascii="Arial" w:cs="Arial" w:eastAsia="Arial" w:hAnsi="Arial"/>
                <w:sz w:val="18"/>
                <w:szCs w:val="18"/>
                <w:color w:val="auto"/>
              </w:rPr>
              <w:t>1,401,399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1,401,399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2.67903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22,827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Series C</w:t>
            </w:r>
          </w:p>
        </w:tc>
        <w:tc>
          <w:tcPr>
            <w:tcW w:w="1320" w:type="dxa"/>
            <w:vAlign w:val="bottom"/>
          </w:tcPr>
          <w:p>
            <w:pPr>
              <w:jc w:val="right"/>
              <w:spacing w:after="0"/>
              <w:rPr>
                <w:sz w:val="20"/>
                <w:szCs w:val="20"/>
                <w:color w:val="auto"/>
              </w:rPr>
            </w:pPr>
            <w:r>
              <w:rPr>
                <w:rFonts w:ascii="Arial" w:cs="Arial" w:eastAsia="Arial" w:hAnsi="Arial"/>
                <w:sz w:val="18"/>
                <w:szCs w:val="18"/>
                <w:color w:val="auto"/>
              </w:rPr>
              <w:t>1,066,331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1,066,331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15.5677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features of the Company’s convertible preferred stock are as follows:</w:t>
      </w:r>
    </w:p>
    <w:p>
      <w:pPr>
        <w:spacing w:after="0" w:line="13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 xml:space="preserve">Dividend provisions </w:t>
      </w:r>
      <w:r>
        <w:rPr>
          <w:rFonts w:ascii="Arial" w:cs="Arial" w:eastAsia="Arial" w:hAnsi="Arial"/>
          <w:sz w:val="18"/>
          <w:szCs w:val="18"/>
          <w:color w:val="auto"/>
        </w:rPr>
        <w:t>– The holders of Series A convertible preferred stock (Series A), Series B convertible preferred stock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B-1 convertible preferred stock (Series B-1) and Series C convertible preferred stock (Series C) are entitled to receive, when and if declared by the Board of Directors, noncumulative dividends at a rate of $0.07334, $0.21432, $0.4437 and $1.2454 per share per annum, respectively, adjusted for certain events, such as stock splits and combinations. After payment of such dividends, any additional dividends or distributions shall be distributed among the holders of the convertible preferred stock and common stock pro rata based on the number of shares held by each holder. The Company has declared no dividends to date.</w:t>
      </w:r>
    </w:p>
    <w:p>
      <w:pPr>
        <w:spacing w:after="0" w:line="10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Liquidation preference </w:t>
      </w:r>
      <w:r>
        <w:rPr>
          <w:rFonts w:ascii="Arial" w:cs="Arial" w:eastAsia="Arial" w:hAnsi="Arial"/>
          <w:sz w:val="18"/>
          <w:szCs w:val="18"/>
          <w:color w:val="auto"/>
        </w:rPr>
        <w:t>– In the event of any liquidation, dissolution or winding up of the Company, the holders of convertible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for Series A, Series B, Series B-1, or Series C then outstanding shall be entitled to be paid, prior and in preference to any distribution of any of the assets, funds, or proceeds available for distribution, the original issuance price per share equal to $0.9167, $2.67903, $5.54619, or $15.56770, respectively, plus declared but unpaid dividends. If assets are not sufficient to permit such payment, payment will be made on a pro rata, equal priority, pari passu basis.</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the shares of convertible preferred stock contain liquidation features that are not solely within the Company’s control, these liquidation features result in the Series A, Series B, Series B-1 and Series C convertible preferred stock being classified as mezzanine equity rather than as a component of stockholders’ deficit.</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 xml:space="preserve">Conversion rights </w:t>
      </w:r>
      <w:r>
        <w:rPr>
          <w:rFonts w:ascii="Arial" w:cs="Arial" w:eastAsia="Arial" w:hAnsi="Arial"/>
          <w:sz w:val="18"/>
          <w:szCs w:val="18"/>
          <w:color w:val="auto"/>
        </w:rPr>
        <w:t>– Each outstanding share of Series A, Series B, Series B-1 and Series C is convertible into ten fully paid and</w:t>
      </w:r>
      <w:r>
        <w:rPr>
          <w:rFonts w:ascii="Arial" w:cs="Arial" w:eastAsia="Arial" w:hAnsi="Arial"/>
          <w:sz w:val="18"/>
          <w:szCs w:val="18"/>
          <w:b w:val="1"/>
          <w:bCs w:val="1"/>
          <w:color w:val="auto"/>
        </w:rPr>
        <w:t xml:space="preserve"> </w:t>
      </w:r>
      <w:r>
        <w:rPr>
          <w:rFonts w:ascii="Arial" w:cs="Arial" w:eastAsia="Arial" w:hAnsi="Arial"/>
          <w:sz w:val="18"/>
          <w:szCs w:val="18"/>
          <w:color w:val="auto"/>
        </w:rPr>
        <w:t>nonassessable shares of common stock. Each share of convertible preferred stock shall automatically be converted into fully paid and nonassessable shares of common stock immediately prior to the closing of a firm commitment underwritten public offering in which the aggregate offering price equals or exceeds $50,000,000 or exceeds $46.70310 per share. Conversion also may occur upon written consent of at least two-thirds of the then outstanding shares of convertible preferred stock.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rights </w:t>
      </w:r>
      <w:r>
        <w:rPr>
          <w:rFonts w:ascii="Arial" w:cs="Arial" w:eastAsia="Arial" w:hAnsi="Arial"/>
          <w:sz w:val="18"/>
          <w:szCs w:val="18"/>
          <w:color w:val="auto"/>
        </w:rPr>
        <w:t>– Except in the case of liquidation, the convertible preferred stock is not redeemable at the option of the holder.</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 The holders of each share of convertible preferred stock are entitled to the number of votes equal to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which such shares are convertible.</w:t>
      </w:r>
    </w:p>
    <w:p>
      <w:pPr>
        <w:spacing w:after="0" w:line="8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 The Company issued warrants during various dates in 2013 and in December 2016 to purchase 430,080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relation to the previous credit agreement entered into with Silicon Valley Bank.</w:t>
      </w:r>
    </w:p>
    <w:p>
      <w:pPr>
        <w:spacing w:after="0" w:line="9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Although the credit agreement was terminated in 2018, the common stock warrants remain outstanding until exercised or expired. The warrants issued in 2013 and 2016 are exercisable immediately at $0.07 and $0.53 per share, respectively, with expiration dates ten years after issuance. There have been no warrants exercised to date. The Company recorded the common stock warrants in Additional paid-in capital at their grant date fair value which approximates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important information regarding common stock warrants issued and outstanding at September 30,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Number of warrant</w:t>
            </w: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 on issuance</w:t>
            </w:r>
          </w:p>
        </w:tc>
        <w:tc>
          <w:tcPr>
            <w:tcW w:w="1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issued</w:t>
            </w:r>
          </w:p>
        </w:tc>
        <w:tc>
          <w:tcPr>
            <w:tcW w:w="8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556"/>
              <w:spacing w:after="0" w:line="135" w:lineRule="exact"/>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1"/>
                <w:szCs w:val="11"/>
                <w:color w:val="auto"/>
              </w:rPr>
            </w:pPr>
          </w:p>
        </w:tc>
        <w:tc>
          <w:tcPr>
            <w:tcW w:w="21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Exercisable through</w:t>
            </w:r>
          </w:p>
        </w:tc>
        <w:tc>
          <w:tcPr>
            <w:tcW w:w="0" w:type="dxa"/>
            <w:vAlign w:val="bottom"/>
          </w:tcPr>
          <w:p>
            <w:pPr>
              <w:spacing w:after="0"/>
              <w:rPr>
                <w:sz w:val="1"/>
                <w:szCs w:val="1"/>
                <w:color w:val="auto"/>
              </w:rPr>
            </w:pPr>
          </w:p>
        </w:tc>
      </w:tr>
      <w:tr>
        <w:trPr>
          <w:trHeight w:val="175"/>
        </w:trPr>
        <w:tc>
          <w:tcPr>
            <w:tcW w:w="5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2023</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October 2013</w:t>
            </w:r>
          </w:p>
        </w:tc>
        <w:tc>
          <w:tcPr>
            <w:tcW w:w="1580" w:type="dxa"/>
            <w:vAlign w:val="bottom"/>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October 2023</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2016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2026</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430,080</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Following the completion of the IPO in November 2021, Silicon Valley Bank net exercised all common stock warrants for 428,067 shares of Class A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STOCK INCENTIVE PLANS</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2009 and 2019 stock option plans </w:t>
      </w:r>
      <w:r>
        <w:rPr>
          <w:rFonts w:ascii="Arial" w:cs="Arial" w:eastAsia="Arial" w:hAnsi="Arial"/>
          <w:sz w:val="18"/>
          <w:szCs w:val="18"/>
          <w:color w:val="auto"/>
        </w:rPr>
        <w:t>– In 2009, the Company’s Board of Directors approved the adoption of a stock plan (the 2009 Stock</w:t>
      </w:r>
      <w:r>
        <w:rPr>
          <w:rFonts w:ascii="Arial" w:cs="Arial" w:eastAsia="Arial" w:hAnsi="Arial"/>
          <w:sz w:val="18"/>
          <w:szCs w:val="18"/>
          <w:b w:val="1"/>
          <w:bCs w:val="1"/>
          <w:color w:val="auto"/>
        </w:rPr>
        <w:t xml:space="preserve"> </w:t>
      </w:r>
      <w:r>
        <w:rPr>
          <w:rFonts w:ascii="Arial" w:cs="Arial" w:eastAsia="Arial" w:hAnsi="Arial"/>
          <w:sz w:val="18"/>
          <w:szCs w:val="18"/>
          <w:color w:val="auto"/>
        </w:rPr>
        <w:t>Plan). As amended in 2015, the 2009 Stock Plan permitted the Company to grant awards covering up to 16,495,150 shares of the Company’s common stock. In January 2018, the Company increased the number of shares of common stock reserved under the 2009 Stock Plan by 535,130 shares, from 16,495,150 shares to 17,030,280. In April 2019, the Company approved the adoption of a new stock plan (the 2019 Stock Plan). The 2019 Stock Plan permits the Company to grant up to 8,173,970 additional shares, increasing the overall common stock reserved for grant to 25,204,250 shares. In September 2021, under the 2019 Stock Plan, the Company's Board of Directors approved and authorized 8,679,380 restricted stock units to be granted, which consisted of an aggregate of 4,339,690 shares of each of Class A and LT50 common stock effective as of immediately prior to the effectiveness of the Company's IPO Registration Statement on November 9, 2021. On November 9, 2021, the Company increased the common stock reserved for issuance under the 2019 Stock Plan, as amended and restated,to an aggregate of 16,856,770 shares of the Company's LT50 and Class A common stock. As of September 30, 2021, the amendment and and restatement of the 2019 Stock Plan was not yet effective and had no impact to the unaudited interim consolidated financial statements presented herein.</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Following the completion of the IPO, the Company will not make any further grants under the 2009 Stock Plan or 2019 Stock Plan. However, these stock plans will continue to govern the terms and conditions of the outstanding awards granted under the 2009 Stock Plan and 2019 Stock Plan.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2021 Employee Stock Purchase and Matching Plan (ESPP and together with the 2021 Plan, the 2021 Incentive Plans) that was established immediately before the effectiveness of the IPO Registration Statement.</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2021 Incentive Plans </w:t>
      </w:r>
      <w:r>
        <w:rPr>
          <w:rFonts w:ascii="Arial" w:cs="Arial" w:eastAsia="Arial" w:hAnsi="Arial"/>
          <w:sz w:val="18"/>
          <w:szCs w:val="18"/>
          <w:color w:val="auto"/>
        </w:rPr>
        <w:t>– In November 2021, the Company’s Board of Directors adopted, and its stockholders approved, the 2021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Plans, which both became effective immediately before the effectiveness of the IPO Registration Statement and use a combined share reserve. Under the 2021 Incentive Plans, 11,676,932 shares of the Company's Class A common stock is reserved for issuance pursuant to a variety of stock-based awards, including incentive stock options, nonqualified stock options, stock appreciation rights (SARs), restricted stock awards, RSUs, and other forms of equity and cash compensation under the 2021 Plan and purchase rights and matching awards under the ESPP. The number of shares initially reserved for issuance or transfer pursuant to awards under the 2021 Incentive Plans will be increased by the number of shares represented by awards outstanding under the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Stock Plan and 2019 Stock Plan that become available for issuance following the effective date for certain reasons that include but not limited to expiration, cancellation or repurchase by the Company and will automatically increase each January 1, beginning on January 1, 2022 and continuing through January 1, 2031, by the lesser of (A) 6% of the aggregate number of shares of all classes of the Company's common stock outstanding on the immediately preceding calendar year, or (B) such lesser number of shares as determined by the Company’s board of directors or compensation committee; provided, however, that no more than 87,576,990 shares of stock may be issued upon the exercise of incentive stock options.</w:t>
      </w:r>
    </w:p>
    <w:p>
      <w:pPr>
        <w:spacing w:after="0" w:line="11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ESPP </w:t>
      </w:r>
      <w:r>
        <w:rPr>
          <w:rFonts w:ascii="Arial" w:cs="Arial" w:eastAsia="Arial" w:hAnsi="Arial"/>
          <w:sz w:val="18"/>
          <w:szCs w:val="18"/>
          <w:color w:val="auto"/>
        </w:rPr>
        <w:t>– The offering periods of the ESPP are three months long beginning on each February 15, May 15, August 15 and November 15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fiscal quarter, except for the initial offering period. The enrollment date for each offering period shall be the first day of the offering period, and the exercise date of each offering period shall be the last day of the offering period. The initial offering period will begin on February 15, 2022 with the first offering period thereunder ending on May 14, 2022.</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price at which Class A common stock is purchased under the ESPP will be equal to the average of the high and low fair market value of a share of the Company’s Class A common stock as of the last day of the offering period. At the end of each offering period, the Company will match 1/10 of a share of the Company's Class A common stock for each share of Class A common stock purchased by or issued to an employee under the ESPP that is retained through the end of the applicable offering period. The match rate applicable to each offering period shall be limited to 1.5% of the shares of any class of Company capital stock that are outstanding for each employee as of the exercise date applicable to such offering period.</w:t>
      </w:r>
    </w:p>
    <w:p>
      <w:pPr>
        <w:spacing w:after="0" w:line="14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Company will estimate the fair value of matched shares provided by the Company under the ESPP using the Black-Scholes option-pricing model on the date of grant. The Company will recognize stock-based expense related to the matched shares provided by the Company pursuant to its ESPP on a straight-line basis over the offering period, which is typically three months. As of September 30, 2021 (unaudited), no Class A common stock has been issued or purchased by employees under the ESPP.</w:t>
      </w:r>
    </w:p>
    <w:p>
      <w:pPr>
        <w:spacing w:after="0" w:line="13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of September 30, 2021 (unaudited), the 2021 Incentive Plans were not yet effective as of September 30, 2021 and had no impact to the unaudited interim consolidated financial statements presented herein.</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The 2019 Stock Plan and the 2021 Plan authorize the grant of RSUs. No RSUs were granted as of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2020 for either plan. In September 2021, under the 2019 Stock Plan, the Company's Board of Directors approved and authorized 8,679,380 restricted stock units to be granted, which consisted of an aggregate of 4,339,690 shares of each of Class A and LT50 common stock effective as of immediately prior to the effectiveness of the Company's IPO Registration Statement on November 9, 2021. Of this total, 2,980,260 RSUs, comprised of 1,490,130 shares of each of Class A and LT50 common stock were considered granted for accounting purposes in September 2021 to the Company's named executive officers and certain members of management as the Company and these certain employees had a mutual understanding of the key terms and conditions of the award on the board approval date, which occurred on September 24, 2021. As of September 30, 2021, the remaining 5,699,120 RSUs, comprised of 2,849,560 shares of each of Class A common stock and LT50 common stock were not yet considered granted for accounting purposes. These remaining RSUs were deemed granted for accounting purposes on November 10, 2021, which was the date these certain employees had a mutual understanding of the key terms and conditions of the award. See Subsequent events within Note 2 for further detail.</w:t>
      </w:r>
    </w:p>
    <w:p>
      <w:pPr>
        <w:spacing w:after="0" w:line="13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RSUs granted to employees in September 2021 vest upon the satisfaction of both a performance and service condition. The performance condition is satisfied immediately prior to the effectiveness of the IPO Registration Statement, which occurred on November 9, 2021. The service condition for these awards is satisfied over eight years with a cliff vest for 1/8 of the grant on September 15, 2022 and quarterly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of 1/32 of the grant every December 15, March 15, June 15 and September 15 thereafter until fully vested.</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Pursuant to the Company’s Non-Employee Director Compensation Program adopted under the 2021 Incentive Plans upon closing of the IPO, the Company granted 27,780 RSUs in total of shares of Class A common stock to members of the Company's audit committee on November 12, 2021 in connection with each member's initial appointment to the Board of directors and consummation of the IPO. For accounting purposes, the grant date was considered to be November 12, 2021 as this was the date the Company filed its IPO price pursuant to Rule 424(b)(4). The IPO price was a key determination of the number of RSUs awarded to members of the audit committee and therefore on this date the Company and each audit committee member had a mutual understanding of the key terms and conditions of the awards granted. The RSUs granted vest upon the earlier of the satisfaction of a service condition or a performance condition, which is considered a change in control event. The service condition for these awards is satisfied over three years with quarterly vesting of the grant until fully vested. Subsequent to the initial RSUs granted, the Company will grant RSUs to members of the Company's audit committee on an annual basis at each annual stockholders' meeting that will vest upon the earlier of the satisfaction of a service condition or a performance condition, which is considered a change in control event. The service condition for these awards is satisfied over one year with quarterly vesting of the grant with the first vest date occurring three months from the day of grant. The Company measures the RSUs based on the fair value of the underlying common stock on the grant date. For RSUs granted on November 12, 2021, the grant date fair value was $47.62 per share, which was determined by the closing price, on the date of grant, of the Company's Class A common stock traded on the Nasdaq Global Select Market. As of September 30, 2021, no RSUs had been granted to members of the Company's audit committee.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nine months ended September 30, 2021,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Class A</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LT50 Common</w:t>
            </w:r>
          </w:p>
        </w:tc>
        <w:tc>
          <w:tcPr>
            <w:tcW w:w="120" w:type="dxa"/>
            <w:vAlign w:val="bottom"/>
          </w:tcPr>
          <w:p>
            <w:pPr>
              <w:spacing w:after="0"/>
              <w:rPr>
                <w:sz w:val="11"/>
                <w:szCs w:val="11"/>
                <w:color w:val="auto"/>
              </w:rPr>
            </w:pPr>
          </w:p>
        </w:tc>
        <w:tc>
          <w:tcPr>
            <w:tcW w:w="110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75"/>
        </w:trPr>
        <w:tc>
          <w:tcPr>
            <w:tcW w:w="74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4"/>
                <w:szCs w:val="14"/>
                <w:b w:val="1"/>
                <w:bCs w:val="1"/>
                <w:color w:val="auto"/>
                <w:w w:val="98"/>
              </w:rPr>
              <w:t>Common Stock</w:t>
            </w:r>
            <w:r>
              <w:rPr>
                <w:rFonts w:ascii="Arial" w:cs="Arial" w:eastAsia="Arial" w:hAnsi="Arial"/>
                <w:sz w:val="18"/>
                <w:szCs w:val="18"/>
                <w:b w:val="1"/>
                <w:bCs w:val="1"/>
                <w:color w:val="auto"/>
                <w:w w:val="98"/>
                <w:vertAlign w:val="superscript"/>
              </w:rPr>
              <w:t>(1)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256"/>
              <w:spacing w:after="0" w:line="176"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1,490,130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1,490,130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RSUs cancelled/forfeited/expired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4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September 30,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Class A common stock and LT50 common stock both became effective on November 9, 2021, which is the date of effectiveness of the Company's IPO Registration Statement.</w:t>
      </w:r>
    </w:p>
    <w:p>
      <w:pPr>
        <w:spacing w:after="0" w:line="161"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As of September 30, 2021, there was $60.9 million of unamortized stock-based compensation cost related to unvested RSUs, which is expected to be recognized over the eight year service period applicable to these awards, commencing on the effectiveness of the IPO Registration Statement.</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Both stock plans provide for the grant of incentive and nonstatutory stock options to employees, nonemployee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of the Company. Under the stock plans, the exercise price of incentive stock options must be at least equal to 110% of the fair value of the common stock on the grant date for a “ten-percent holder” or 100% of the fair value of the common stock on the grant date for any other employee. The exercise price of nonstatutory options granted must be at least equal to 100% of the fair value of the Company’s common stock on the date of grant.</w:t>
      </w:r>
    </w:p>
    <w:p>
      <w:pPr>
        <w:spacing w:after="0" w:line="1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Under both stock plans, most options typically vest over four years and are exercisable at any time after the grant date. Each employee has the right to exercise unvested stock options for restricted common stock. However, if the employee is terminated either voluntarily or involuntarily prior to all of the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options vesting, the Company has the right to repurchase the unvested early exercised shares at the original purchase price. Early exercises of options are not deemed to be substantive exercises for accounting purposes and accordingly, amounts received for early exercises are recorded as a liability. These repurchase terms are considered to be a forfeiture provision and do not result in variable accounting. There were no repurchases of common stock during the three months and nine months ended September 30, 2021 and 2020. There were no early exercised shares subject to repurchase as of December 31, 2020.</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September 30, 2021, there were 1,420,790 shares subject to repurchase related to stock options early exercised and not yet vested, but that are expected to vest. As of September 30, 2021, the Company recorded a liability related to these shares subject to repurchase in the amount of $ 2.2 million, which is included within Accrued expenses and other liabilities in the accompanying consolidated balance sheets. These amounts are reclassified to common stock and additional paid in capital as the underlying shares vest.</w:t>
      </w:r>
    </w:p>
    <w:p>
      <w:pPr>
        <w:spacing w:after="0" w:line="1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nine months ended September 30, 2020, by mutual agreement, the Company modified the terms and conditions of certain stock option awards originally granted in 2019 by cancelling the original awards granted and reissuing new stock option awards on new grant dates during the nine months ended September 30, 2020 with an increased fair value per share on the awards on the new grant date. As a result of the modification, only the grant date changed. All vesting conditions, number of shares granted in the stock option awards and contractual terms of the stock options remained the same. The Company treated these changes to the stock option awards as modifications of the terms and conditions of an equity award. The modification impacted certain stock option awards of 42 employees of the Company. During the nine months ended September 30, 2020, the modification had an immaterial impact to stock-based compensation expense and the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3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spacing w:after="0"/>
              <w:rPr>
                <w:sz w:val="11"/>
                <w:szCs w:val="11"/>
                <w:color w:val="auto"/>
              </w:rPr>
            </w:pPr>
          </w:p>
        </w:tc>
        <w:tc>
          <w:tcPr>
            <w:tcW w:w="14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exercise price per</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76"/>
        </w:trPr>
        <w:tc>
          <w:tcPr>
            <w:tcW w:w="59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ind w:left="374"/>
              <w:spacing w:after="0"/>
              <w:rPr>
                <w:sz w:val="20"/>
                <w:szCs w:val="20"/>
                <w:color w:val="auto"/>
              </w:rPr>
            </w:pPr>
            <w:r>
              <w:rPr>
                <w:rFonts w:ascii="Arial" w:cs="Arial" w:eastAsia="Arial" w:hAnsi="Arial"/>
                <w:sz w:val="14"/>
                <w:szCs w:val="14"/>
                <w:b w:val="1"/>
                <w:bCs w:val="1"/>
                <w:color w:val="auto"/>
              </w:rPr>
              <w:t>share</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15,545,850</w:t>
            </w: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1,638,020</w:t>
            </w:r>
          </w:p>
        </w:tc>
        <w:tc>
          <w:tcPr>
            <w:tcW w:w="1100" w:type="dxa"/>
            <w:vAlign w:val="bottom"/>
          </w:tcPr>
          <w:p>
            <w:pPr>
              <w:spacing w:after="0"/>
              <w:rPr>
                <w:sz w:val="19"/>
                <w:szCs w:val="19"/>
                <w:color w:val="auto"/>
              </w:rPr>
            </w:pP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(2,777,010)</w:t>
            </w: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cancelled/forfeited/expired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(894,040)</w:t>
            </w:r>
          </w:p>
        </w:tc>
        <w:tc>
          <w:tcPr>
            <w:tcW w:w="1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13,512,820</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ind w:left="60"/>
              <w:spacing w:after="0" w:line="203" w:lineRule="exact"/>
              <w:rPr>
                <w:sz w:val="20"/>
                <w:szCs w:val="20"/>
                <w:color w:val="auto"/>
              </w:rPr>
            </w:pPr>
            <w:r>
              <w:rPr>
                <w:rFonts w:ascii="Arial" w:cs="Arial" w:eastAsia="Arial" w:hAnsi="Arial"/>
                <w:sz w:val="18"/>
                <w:szCs w:val="18"/>
                <w:color w:val="auto"/>
              </w:rPr>
              <w:t>Exercisable at December 31, 2020</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13,222,800</w:t>
            </w:r>
          </w:p>
        </w:tc>
        <w:tc>
          <w:tcPr>
            <w:tcW w:w="1100" w:type="dxa"/>
            <w:vAlign w:val="bottom"/>
          </w:tcPr>
          <w:p>
            <w:pPr>
              <w:spacing w:after="0"/>
              <w:rPr>
                <w:sz w:val="17"/>
                <w:szCs w:val="17"/>
                <w:color w:val="auto"/>
              </w:rPr>
            </w:pPr>
          </w:p>
        </w:tc>
        <w:tc>
          <w:tcPr>
            <w:tcW w:w="880" w:type="dxa"/>
            <w:vAlign w:val="bottom"/>
          </w:tcPr>
          <w:p>
            <w:pPr>
              <w:jc w:val="right"/>
              <w:ind w:right="674"/>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0.78</w:t>
            </w:r>
          </w:p>
        </w:tc>
        <w:tc>
          <w:tcPr>
            <w:tcW w:w="8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granted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738,590</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5,661,046</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2480" w:type="dxa"/>
            <w:vAlign w:val="bottom"/>
            <w:gridSpan w:val="2"/>
          </w:tcPr>
          <w:p>
            <w:pPr>
              <w:jc w:val="right"/>
              <w:ind w:right="70"/>
              <w:spacing w:after="0"/>
              <w:rPr>
                <w:sz w:val="20"/>
                <w:szCs w:val="20"/>
                <w:color w:val="auto"/>
              </w:rPr>
            </w:pPr>
            <w:r>
              <w:rPr>
                <w:rFonts w:ascii="Arial" w:cs="Arial" w:eastAsia="Arial" w:hAnsi="Arial"/>
                <w:sz w:val="18"/>
                <w:szCs w:val="18"/>
                <w:color w:val="auto"/>
              </w:rPr>
              <w:t>(6,873,860) (6,357,110)</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cancelled/forfeited/expired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(283,530)</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(277,249)</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60"/>
              <w:spacing w:after="0" w:line="223" w:lineRule="exact"/>
              <w:rPr>
                <w:sz w:val="20"/>
                <w:szCs w:val="20"/>
                <w:color w:val="auto"/>
              </w:rPr>
            </w:pPr>
            <w:r>
              <w:rPr>
                <w:rFonts w:ascii="Arial" w:cs="Arial" w:eastAsia="Arial" w:hAnsi="Arial"/>
                <w:sz w:val="18"/>
                <w:szCs w:val="18"/>
                <w:color w:val="auto"/>
              </w:rPr>
              <w:t>Outstanding at September 30, 2021</w:t>
            </w:r>
            <w:r>
              <w:rPr>
                <w:rFonts w:ascii="Arial" w:cs="Arial" w:eastAsia="Arial" w:hAnsi="Arial"/>
                <w:sz w:val="23"/>
                <w:szCs w:val="23"/>
                <w:color w:val="auto"/>
                <w:vertAlign w:val="superscript"/>
              </w:rPr>
              <w:t>(1)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7,094,020</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9,585,299</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Exercisable at September 30,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6,826,650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9,090,029.35</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54"/>
        </w:trPr>
        <w:tc>
          <w:tcPr>
            <w:tcW w:w="59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20" w:hanging="332"/>
        <w:spacing w:after="0" w:line="270" w:lineRule="auto"/>
        <w:tabs>
          <w:tab w:leader="none" w:pos="329"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Included within the options outstanding are 4,283,140 shares for which the Company provided promissory notes to employees with a repayment term of 12 months. As of September 30, 2021, 187,080 shares with a corresponding loan amount of $0.5 million were unvested and therefore were not recorded as they were determined to be non-substantive for accounting purposes.</w:t>
      </w:r>
    </w:p>
    <w:p>
      <w:pPr>
        <w:spacing w:after="0" w:line="130"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total pretax intrinsic value of options exercised during the three months and nine months ended September 30, 2021 was $18.0 million and $80.2 million, respectively. The total pretax intrinsic value of options exercised during the three months and nine months ended September 30, 2020 was $0.3 million and $3.1 million, respectively. The total pretax intrinsic value of options outstanding at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2021 and December 31, 2020, was $ 138.5 million and $86.8 million, respectively. The intrinsic value is the difference between the estimated fair value of the Company’s common stock at the date of exercise and the exercise price for in-the-money options. The weighted average grant date fair value of options granted during the nine months ended September 30, 2021 and 2020 was $4.85 and $1.69, respectively. During the three months ended September 30, 2021 and 2020, no options were granted.</w:t>
      </w:r>
    </w:p>
    <w:p>
      <w:pPr>
        <w:spacing w:after="0" w:line="12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As of September 30, 2021, there was $11.6 million of unamortized stock-based compensation cost related to unvested stock options, which is expected to be recognized over a weighted average period of 1.7 years. As of December 31, 2020, there was $10.8 million of unamortized stock-based compensation cost related to unvested stock options, which is expected to be recognized over a weighted average period of 3.7 years.</w:t>
      </w:r>
    </w:p>
    <w:p>
      <w:pPr>
        <w:spacing w:after="0" w:line="13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received from option exercises and purchases of shares under the stock plans for the three months and nine months ended September 30, 2021, was $1.9 million and $2.9 million, respectively. Cash received from option exercises and purchases of shares under the stock plans for the three months and nine months ended September 30, 2020, was $0.2 million and $0.6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 grants was estimated using the Black-Scholes option pricing model with the following weighted average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Borders>
              <w:top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5"/>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3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2.66</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Exercise price per share</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2.11</w:t>
            </w:r>
          </w:p>
        </w:tc>
      </w:tr>
      <w:tr>
        <w:trPr>
          <w:trHeight w:val="229"/>
        </w:trPr>
        <w:tc>
          <w:tcPr>
            <w:tcW w:w="4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dividend yield </w:t>
            </w:r>
            <w:r>
              <w:rPr>
                <w:rFonts w:ascii="Arial" w:cs="Arial" w:eastAsia="Arial" w:hAnsi="Arial"/>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3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1100" w:type="dxa"/>
            <w:vAlign w:val="bottom"/>
          </w:tcPr>
          <w:p>
            <w:pPr>
              <w:spacing w:after="0"/>
              <w:rPr>
                <w:sz w:val="19"/>
                <w:szCs w:val="19"/>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12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4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1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r>
      <w:tr>
        <w:trPr>
          <w:trHeight w:val="314"/>
        </w:trPr>
        <w:tc>
          <w:tcPr>
            <w:tcW w:w="4380" w:type="dxa"/>
            <w:vAlign w:val="bottom"/>
          </w:tcPr>
          <w:p>
            <w:pPr>
              <w:ind w:left="20"/>
              <w:spacing w:after="0"/>
              <w:rPr>
                <w:sz w:val="20"/>
                <w:szCs w:val="20"/>
                <w:color w:val="auto"/>
              </w:rPr>
            </w:pPr>
            <w:r>
              <w:rPr>
                <w:rFonts w:ascii="Arial" w:cs="Arial" w:eastAsia="Arial" w:hAnsi="Arial"/>
                <w:sz w:val="18"/>
                <w:szCs w:val="18"/>
                <w:color w:val="auto"/>
              </w:rPr>
              <w:t xml:space="preserve">Expected life (in years) </w:t>
            </w:r>
            <w:r>
              <w:rPr>
                <w:rFonts w:ascii="Arial" w:cs="Arial" w:eastAsia="Arial" w:hAnsi="Arial"/>
                <w:sz w:val="23"/>
                <w:szCs w:val="23"/>
                <w:color w:val="auto"/>
                <w:vertAlign w:val="superscript"/>
              </w:rPr>
              <w:t>(4)</w:t>
            </w:r>
          </w:p>
        </w:tc>
        <w:tc>
          <w:tcPr>
            <w:tcW w:w="1100" w:type="dxa"/>
            <w:vAlign w:val="bottom"/>
          </w:tcPr>
          <w:p>
            <w:pPr>
              <w:spacing w:after="0"/>
              <w:rPr>
                <w:sz w:val="24"/>
                <w:szCs w:val="24"/>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Company has no history or expectation of paying cash dividends on its common stock.</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yield for a term consistent with the expected life of the awards in effect at the time of grant.</w:t>
      </w:r>
    </w:p>
    <w:p>
      <w:pPr>
        <w:spacing w:after="0" w:line="12" w:lineRule="exact"/>
        <w:rPr>
          <w:rFonts w:ascii="Arial" w:cs="Arial" w:eastAsia="Arial" w:hAnsi="Arial"/>
          <w:sz w:val="13"/>
          <w:szCs w:val="13"/>
          <w:color w:val="auto"/>
        </w:rPr>
      </w:pPr>
    </w:p>
    <w:p>
      <w:pPr>
        <w:ind w:left="340" w:right="160" w:hanging="332"/>
        <w:spacing w:after="0" w:line="260" w:lineRule="auto"/>
        <w:tabs>
          <w:tab w:leader="none" w:pos="329"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w:t>
      </w:r>
    </w:p>
    <w:p>
      <w:pPr>
        <w:ind w:left="340" w:right="260" w:hanging="332"/>
        <w:spacing w:after="0" w:line="280" w:lineRule="auto"/>
        <w:tabs>
          <w:tab w:leader="none" w:pos="329"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summarizes the stock-based compensation expense recognized for the different stock incentive plans discussed above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85" w:lineRule="exact"/>
        <w:rPr>
          <w:sz w:val="20"/>
          <w:szCs w:val="20"/>
          <w:color w:val="auto"/>
        </w:rPr>
      </w:pPr>
    </w:p>
    <w:p>
      <w:pPr>
        <w:jc w:val="center"/>
        <w:ind w:left="488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20485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00"/>
        <w:spacing w:after="0"/>
        <w:tabs>
          <w:tab w:leader="none" w:pos="69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17780</wp:posOffset>
            </wp:positionV>
            <wp:extent cx="20574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2" w:lineRule="exact"/>
        <w:rPr>
          <w:sz w:val="20"/>
          <w:szCs w:val="20"/>
          <w:color w:val="auto"/>
        </w:rPr>
      </w:pPr>
    </w:p>
    <w:p>
      <w:pPr>
        <w:ind w:left="180"/>
        <w:spacing w:after="0"/>
        <w:tabs>
          <w:tab w:leader="none" w:pos="18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7720" w:space="720"/>
            <w:col w:w="28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Secondary sales of common stock</w:t>
            </w:r>
          </w:p>
        </w:tc>
        <w:tc>
          <w:tcPr>
            <w:tcW w:w="6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11,066</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Employee share purchase plan</w:t>
            </w:r>
          </w:p>
        </w:tc>
        <w:tc>
          <w:tcPr>
            <w:tcW w:w="6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is included in the following components of expenses on the accompanying consolidated statements of income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89" w:lineRule="exact"/>
        <w:rPr>
          <w:sz w:val="20"/>
          <w:szCs w:val="20"/>
          <w:color w:val="auto"/>
        </w:rPr>
      </w:pPr>
    </w:p>
    <w:p>
      <w:pPr>
        <w:jc w:val="center"/>
        <w:ind w:left="488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20485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200"/>
        <w:spacing w:after="0"/>
        <w:tabs>
          <w:tab w:leader="none" w:pos="18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7720" w:space="720"/>
            <w:col w:w="28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three months and nine months ended September 30, 2020, the Company's Chief Executive Officer, David Barrett, sold a portion of his common stock to new investors. Due to the Company’s involvement in the transaction, the sale of common stock was determined to be compensatory, and the Company recorded $11.1 million to stock-based compensation expense for the sale price in excess of fair value.</w:t>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Stock-based compensation expense capitalized as internally developed software costs was $ 0.3 million and $0.4 million for the three months and nine months ended September 30, 2021, respectively. These amounts were not material for the three months and nine months ended September 30, 2020.</w:t>
      </w:r>
    </w:p>
    <w:p>
      <w:pPr>
        <w:spacing w:after="0" w:line="1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Stock-based compensation expense for all share-based payment awards is based on the grant date fair value. The fair value of common stock is determined by the Board of Directors based on a number of factors including independent third-party valuations of the Company's common stock, which considers estimates of the Company's future performance and valuations of comparable companies. The Company also considers prices at which others have purchased the Company's stock as well as the likelihood and timing of achieving a liquidity event. Subsequent to the completion of the IPO, the fair value of the Company’s underlying common stock will be determined by the closing price, on the date of grant, of the Company's Class A common stock traded on the Nasdaq Global Select Market.</w:t>
      </w:r>
    </w:p>
    <w:p>
      <w:pPr>
        <w:spacing w:after="0" w:line="14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stock options, the Company recognizes stock-based compensation costs on a straight-line basis over the requisite service period of the award, which is generally the option vesting term of four years.</w:t>
      </w:r>
    </w:p>
    <w:p>
      <w:pPr>
        <w:spacing w:after="0" w:line="13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RSUs granted to employees during the quarter, the Company will record a cumulative one-time stock-based compensation expense on the date the performance condition is satisfied for the requisite service period satisfied by the employees prior to that date. The requisite service period of the RSUs is considered eight years. Upon the date of the performance condition being satisfied on November 9, 2021, the Company recorded cumulative stock-based compensation expense of approximately $1.0 million related to these RSUs granted in September 2021.The Company will recognize all remaining stock-based compensation expense on a straight-line basis over the remaining requisite service period. For the three months and nine months ended September 30, 2021, no stock-based compensation expense was recognized for RSU's granted because the performance condition was not probable of being satisfied during the respective periods.</w:t>
      </w:r>
    </w:p>
    <w:p>
      <w:pPr>
        <w:spacing w:after="0" w:line="12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RSUs granted to members of the audit committee, the Company will record all stock-based compensation expense on a straight line basis over the requisite service period from the day of grant, which is considered one year for annual grants and three years for initial RSUs granted to members of the audit committee. For the three months and nine months ended September 30, 2021, no RSUs had been granted to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INCOME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benefit (provision) for income taxes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7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benefit (expense):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47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Deferred income tax benefit (expense):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(2,304)</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benefit (provision) for income taxes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During the three months and nine months ended September 30, 2021, the Company recorded a benefit for income taxes primarily due to cash bonuses for employees that were approved by management in July 2021, which resulted in a net loss for the three months ended September 30, 2021 and a change to our estimated taxable income for the annual period ended December 31, 2021. For further detail over these cash bonuses, refer to Employee stock option exercise cash bonus within Note 2. For 2021, the Company prepared its interim tax provision by applying a year-to-date effective tax rate starting in the three months ended September 30, 2021. For the annual period ended December 31, 2020 and the first two fiscal quarters of 2021, the Company prepared its interim tax provision by applying an annual effective tax rate. The Company believes that using the actual year-to-date effective tax rate going forward results in the best estimate of the annual effective tax rate.</w:t>
      </w:r>
    </w:p>
    <w:p>
      <w:pPr>
        <w:spacing w:after="0" w:line="13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three months and nine months ended September 30, 2021, the effective income tax rate differs from the statutory rate primarily due to state taxes as well as the rate differential for Expensify.org and stock-based compensation from the grant of incentive stock options during the nine months ended September 30, 2021. For the three months and nine months ended September 30, 2020, the effective income tax rate differs from the statutory rate primarily due to the impact of stock-based compensation related to secondary market transactions, which resulted in a $11.1 million permanent item, and research and development credits. For the three months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below, the effective income tax rate reflects an annual effective income tax rate included within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24" w:lineRule="exact"/>
        <w:rPr>
          <w:sz w:val="20"/>
          <w:szCs w:val="20"/>
          <w:color w:val="auto"/>
        </w:rPr>
      </w:pPr>
    </w:p>
    <w:p>
      <w:pPr>
        <w:jc w:val="center"/>
        <w:ind w:left="45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17780</wp:posOffset>
            </wp:positionV>
            <wp:extent cx="21342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2" w:lineRule="exact"/>
        <w:rPr>
          <w:sz w:val="20"/>
          <w:szCs w:val="20"/>
          <w:color w:val="auto"/>
        </w:rPr>
      </w:pPr>
    </w:p>
    <w:p>
      <w:pPr>
        <w:ind w:left="5060"/>
        <w:spacing w:after="0"/>
        <w:tabs>
          <w:tab w:leader="none" w:pos="67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17780</wp:posOffset>
            </wp:positionV>
            <wp:extent cx="21513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2" w:lineRule="exact"/>
        <w:rPr>
          <w:sz w:val="20"/>
          <w:szCs w:val="20"/>
          <w:color w:val="auto"/>
        </w:rPr>
      </w:pPr>
    </w:p>
    <w:p>
      <w:pPr>
        <w:ind w:left="160"/>
        <w:spacing w:after="0"/>
        <w:tabs>
          <w:tab w:leader="none" w:pos="18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7640" w:space="720"/>
            <w:col w:w="28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State tax*</w:t>
            </w:r>
          </w:p>
        </w:tc>
        <w:tc>
          <w:tcPr>
            <w:tcW w:w="1620" w:type="dxa"/>
            <w:vAlign w:val="bottom"/>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(R&amp;D) credit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Decrease in valuation allowance - federal</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188"/>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Rate differentials for controlled foreign corporations</w:t>
            </w: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76"/>
        </w:trPr>
        <w:tc>
          <w:tcPr>
            <w:tcW w:w="4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(CFCs) and charitable organizations that affect</w:t>
            </w: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17"/>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Permanent items and others</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 federal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35.8 %</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r>
      <w:tr>
        <w:trPr>
          <w:trHeight w:val="21"/>
        </w:trPr>
        <w:tc>
          <w:tcPr>
            <w:tcW w:w="4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State taxes include the stock-based compensation expense related to secondary market transactions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assets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9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50"/>
        </w:trPr>
        <w:tc>
          <w:tcPr>
            <w:tcW w:w="9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(liabilities):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NOL carryforwards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Interest expense limitation</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ROU assets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(liabilities),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assessed its ability to realize the benefits of its domestic deferred tax assets (DTA) by evaluating all available positive and negative evidence, objective and subjective in nature, including (1) cumulative results of operations in recent years, (2) sources of recent pre-tax income, (3) estimates of future taxable income and (4) the length of net operating loss (NOL) carryforward periods. The Company determined it is in a three-year cumulative taxable income position as of December 31, 2020 and expects to continue to be in a taxable income position in the long-term foreseeable future.</w:t>
      </w:r>
    </w:p>
    <w:p>
      <w:pPr>
        <w:spacing w:after="0" w:line="13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After an evaluation of all available qualitative and quantitative evidence, both positive and negative in nature, the Company concluded it is more likely than not that sufficient future taxable income will be generated to realize the benefits of its DTAs prior to expiration. As a result, the Company determined that no valuation allowance was needed as of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31, 2020, the Company had NOL carryforwards for federal and state tax purposes of $0.1 million, and $3.7 million, respectively. The NOL carryforwards will expire at various dates beginning in the years 2037 (federal) and 2031 (state), unless previously utilized. As of December 31, 2020, the Company also has federal and state research and development tax credit carryforwards of $0.2 million and $0.6 million, respectively. The federal tax credits will expire at various dates beginning in the year 2029, unless previously utilized. The state tax credits do not expire and will carry forward indefinitely until utilized.</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Utilization of the NOL and tax credit carryforwards may be subject to a substantial annual limitation due to ownership change limitations that may have occurred or that could occur in the future, as required by the Internal Revenue Code, as well as similar state provisions. In general, an “ownership change” as defined by Code Sections 382 and 383,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have resulted in such an ownership change, and could result in an ownership change in the future upon subsequent disposition.</w:t>
      </w:r>
    </w:p>
    <w:p>
      <w:pPr>
        <w:spacing w:after="0" w:line="139"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The Company conducted an analysis of the Company’s stock ownership under Internal Revenue Code Section 382 and 383. The net operating loss carryforwards and tax credits are subject to annual limitations as a result of the ownership changes in 2010 and 2015. However, the net operating loss carryforwards and the tax credits are not expected to expire before the utilization.</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follows the provisions of ASC Subtopic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September 30, 2021, the Company recorded an uncertain tax position liability, exclusive of interest and penalties, of $0.2 million within Other liabilities on the consolidated balance sheets. As of December 31, 2020, the Company recorded an uncertain tax position liability, exclusive of interest and penalties, of $0.7 million within Other liabilities on the consolidated balance sheets. As of September 30, 2021 and December 31, 2020, the Company has not accrued penalties and interest for uncertain tax positions.</w:t>
      </w:r>
    </w:p>
    <w:p>
      <w:pPr>
        <w:spacing w:after="0" w:line="12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December 31, 2020, the Company has $ 1.3 million of unrecognized tax benefits. Approximately all of the unrecognized tax benefits, if recognized, would affect the effective tax rate. Unrecognized tax benefits may change during the next twelve months for items that arise in the ordinary course of business. The Company does not anticipate a material change to its unrecognized tax benefits over the next twelve months.</w:t>
      </w:r>
    </w:p>
    <w:p>
      <w:pPr>
        <w:spacing w:after="0" w:line="13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recognizes penalties and interest expense related to income taxes as a component of tax expense. There are no interest and penalties recorded in the consolidated statement of income for the three months and nine months ended September 30, 2021 and 2020 or the consolidated balance sheets as of September 30, 2021 and December 31, 2020. There are no positions for which it is reasonably possible that the total amounts of unrecognized tax benefits will significantly increase or decrease within 12 months of the reporting date.</w:t>
      </w:r>
    </w:p>
    <w:p>
      <w:pPr>
        <w:spacing w:after="0" w:line="136" w:lineRule="exact"/>
        <w:rPr>
          <w:sz w:val="20"/>
          <w:szCs w:val="20"/>
          <w:color w:val="auto"/>
        </w:rPr>
      </w:pPr>
    </w:p>
    <w:p>
      <w:pPr>
        <w:jc w:val="both"/>
        <w:ind w:right="800"/>
        <w:spacing w:after="0" w:line="261" w:lineRule="auto"/>
        <w:rPr>
          <w:sz w:val="20"/>
          <w:szCs w:val="20"/>
          <w:color w:val="auto"/>
        </w:rPr>
      </w:pPr>
      <w:r>
        <w:rPr>
          <w:rFonts w:ascii="Arial" w:cs="Arial" w:eastAsia="Arial" w:hAnsi="Arial"/>
          <w:sz w:val="18"/>
          <w:szCs w:val="18"/>
          <w:color w:val="auto"/>
        </w:rPr>
        <w:t>The Company is subject to income taxes in U.S. federal and various state, local and foreign jurisdictions. The tax years ended from December 2009 to December 2019 remain open to examination due to the carryover of unused net operating losses or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NET (LOSS) INCOME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(loss) income per share is as follows (in thousands,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income per share: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Less: income allocated to participating securities</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680" w:type="dxa"/>
            <w:vAlign w:val="bottom"/>
            <w:tcBorders>
              <w:top w:val="single" w:sz="8" w:color="CCEEFF"/>
            </w:tcBorders>
            <w:shd w:val="clear" w:color="auto" w:fill="CCEEFF"/>
          </w:tcPr>
          <w:p>
            <w:pPr>
              <w:ind w:left="520"/>
              <w:spacing w:after="0" w:line="168" w:lineRule="exact"/>
              <w:rPr>
                <w:sz w:val="20"/>
                <w:szCs w:val="20"/>
                <w:color w:val="auto"/>
              </w:rPr>
            </w:pPr>
            <w:r>
              <w:rPr>
                <w:rFonts w:ascii="Arial" w:cs="Arial" w:eastAsia="Arial" w:hAnsi="Arial"/>
                <w:sz w:val="18"/>
                <w:szCs w:val="18"/>
                <w:color w:val="auto"/>
              </w:rPr>
              <w:t>Net (loss) income attributable to common</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ind w:left="680"/>
              <w:spacing w:after="0" w:line="190" w:lineRule="exact"/>
              <w:rPr>
                <w:sz w:val="20"/>
                <w:szCs w:val="20"/>
                <w:color w:val="auto"/>
              </w:rPr>
            </w:pPr>
            <w:r>
              <w:rPr>
                <w:rFonts w:ascii="Arial" w:cs="Arial" w:eastAsia="Arial" w:hAnsi="Arial"/>
                <w:sz w:val="18"/>
                <w:szCs w:val="18"/>
                <w:color w:val="auto"/>
              </w:rPr>
              <w:t>stockholders, basic</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Weighted-average shares of common stock used to</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compute net (loss) income per share attributable to</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34,490,860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27,951,536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31,301,387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27,095,925</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line="168" w:lineRule="exact"/>
              <w:rPr>
                <w:sz w:val="20"/>
                <w:szCs w:val="20"/>
                <w:color w:val="auto"/>
              </w:rPr>
            </w:pPr>
            <w:r>
              <w:rPr>
                <w:rFonts w:ascii="Arial" w:cs="Arial" w:eastAsia="Arial" w:hAnsi="Arial"/>
                <w:sz w:val="18"/>
                <w:szCs w:val="18"/>
                <w:color w:val="auto"/>
              </w:rPr>
              <w:t>Net (loss) income per share attributable to common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95"/>
        </w:trPr>
        <w:tc>
          <w:tcPr>
            <w:tcW w:w="4680" w:type="dxa"/>
            <w:vAlign w:val="bottom"/>
          </w:tcPr>
          <w:p>
            <w:pPr>
              <w:ind w:left="180"/>
              <w:spacing w:after="0" w:line="190" w:lineRule="exact"/>
              <w:rPr>
                <w:sz w:val="20"/>
                <w:szCs w:val="20"/>
                <w:color w:val="auto"/>
              </w:rPr>
            </w:pPr>
            <w:r>
              <w:rPr>
                <w:rFonts w:ascii="Arial" w:cs="Arial" w:eastAsia="Arial" w:hAnsi="Arial"/>
                <w:sz w:val="18"/>
                <w:szCs w:val="18"/>
                <w:color w:val="auto"/>
              </w:rPr>
              <w:t>stockholders, basic</w:t>
            </w:r>
          </w:p>
        </w:tc>
        <w:tc>
          <w:tcPr>
            <w:tcW w:w="2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Diluted net (loss) income per share:</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income allocated to participating securities</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680" w:type="dxa"/>
            <w:vAlign w:val="bottom"/>
          </w:tcPr>
          <w:p>
            <w:pPr>
              <w:ind w:left="520"/>
              <w:spacing w:after="0" w:line="168" w:lineRule="exact"/>
              <w:rPr>
                <w:sz w:val="20"/>
                <w:szCs w:val="20"/>
                <w:color w:val="auto"/>
              </w:rPr>
            </w:pPr>
            <w:r>
              <w:rPr>
                <w:rFonts w:ascii="Arial" w:cs="Arial" w:eastAsia="Arial" w:hAnsi="Arial"/>
                <w:sz w:val="18"/>
                <w:szCs w:val="18"/>
                <w:color w:val="auto"/>
              </w:rPr>
              <w:t>Net (loss) income attributable to common</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195"/>
        </w:trPr>
        <w:tc>
          <w:tcPr>
            <w:tcW w:w="4680" w:type="dxa"/>
            <w:vAlign w:val="bottom"/>
          </w:tcPr>
          <w:p>
            <w:pPr>
              <w:ind w:left="680"/>
              <w:spacing w:after="0" w:line="190" w:lineRule="exact"/>
              <w:rPr>
                <w:sz w:val="20"/>
                <w:szCs w:val="20"/>
                <w:color w:val="auto"/>
              </w:rPr>
            </w:pPr>
            <w:r>
              <w:rPr>
                <w:rFonts w:ascii="Arial" w:cs="Arial" w:eastAsia="Arial" w:hAnsi="Arial"/>
                <w:sz w:val="18"/>
                <w:szCs w:val="18"/>
                <w:color w:val="auto"/>
              </w:rPr>
              <w:t>stockholders - diluted</w:t>
            </w:r>
          </w:p>
        </w:tc>
        <w:tc>
          <w:tcPr>
            <w:tcW w:w="2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Weighted-average stock options</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9,727,808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6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Weighted-average shares of common stock used to</w:t>
            </w:r>
          </w:p>
        </w:tc>
        <w:tc>
          <w:tcPr>
            <w:tcW w:w="2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compute net (loss) income per share attributable to</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diluted</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34,490,860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27,951,536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41,452,880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27,095,925</w:t>
            </w:r>
          </w:p>
        </w:tc>
        <w:tc>
          <w:tcPr>
            <w:tcW w:w="0" w:type="dxa"/>
            <w:vAlign w:val="bottom"/>
          </w:tcPr>
          <w:p>
            <w:pPr>
              <w:spacing w:after="0"/>
              <w:rPr>
                <w:sz w:val="1"/>
                <w:szCs w:val="1"/>
                <w:color w:val="auto"/>
              </w:rPr>
            </w:pPr>
          </w:p>
        </w:tc>
      </w:tr>
      <w:tr>
        <w:trPr>
          <w:trHeight w:val="168"/>
        </w:trPr>
        <w:tc>
          <w:tcPr>
            <w:tcW w:w="4680" w:type="dxa"/>
            <w:vAlign w:val="bottom"/>
          </w:tcPr>
          <w:p>
            <w:pPr>
              <w:ind w:left="440"/>
              <w:spacing w:after="0" w:line="168" w:lineRule="exact"/>
              <w:rPr>
                <w:sz w:val="20"/>
                <w:szCs w:val="20"/>
                <w:color w:val="auto"/>
              </w:rPr>
            </w:pPr>
            <w:r>
              <w:rPr>
                <w:rFonts w:ascii="Arial" w:cs="Arial" w:eastAsia="Arial" w:hAnsi="Arial"/>
                <w:sz w:val="18"/>
                <w:szCs w:val="18"/>
                <w:color w:val="auto"/>
              </w:rPr>
              <w:t>Net (loss) income per share attributable to common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95"/>
        </w:trPr>
        <w:tc>
          <w:tcPr>
            <w:tcW w:w="4680" w:type="dxa"/>
            <w:vAlign w:val="bottom"/>
          </w:tcPr>
          <w:p>
            <w:pPr>
              <w:ind w:left="600"/>
              <w:spacing w:after="0" w:line="190" w:lineRule="exact"/>
              <w:rPr>
                <w:sz w:val="20"/>
                <w:szCs w:val="20"/>
                <w:color w:val="auto"/>
              </w:rPr>
            </w:pPr>
            <w:r>
              <w:rPr>
                <w:rFonts w:ascii="Arial" w:cs="Arial" w:eastAsia="Arial" w:hAnsi="Arial"/>
                <w:sz w:val="18"/>
                <w:szCs w:val="18"/>
                <w:color w:val="auto"/>
              </w:rPr>
              <w:t>stockholders, diluted</w:t>
            </w:r>
          </w:p>
        </w:tc>
        <w:tc>
          <w:tcPr>
            <w:tcW w:w="2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3220" w:type="dxa"/>
            <w:vAlign w:val="bottom"/>
            <w:tcBorders>
              <w:top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70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408,203</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408,488</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Weighted-average stock options</w:t>
            </w:r>
          </w:p>
        </w:tc>
        <w:tc>
          <w:tcPr>
            <w:tcW w:w="1560" w:type="dxa"/>
            <w:vAlign w:val="bottom"/>
          </w:tcPr>
          <w:p>
            <w:pPr>
              <w:jc w:val="right"/>
              <w:spacing w:after="0"/>
              <w:rPr>
                <w:sz w:val="20"/>
                <w:szCs w:val="20"/>
                <w:color w:val="auto"/>
              </w:rPr>
            </w:pPr>
            <w:r>
              <w:rPr>
                <w:rFonts w:ascii="Arial" w:cs="Arial" w:eastAsia="Arial" w:hAnsi="Arial"/>
                <w:sz w:val="18"/>
                <w:szCs w:val="18"/>
                <w:color w:val="auto"/>
              </w:rPr>
              <w:t>5,868,372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9,271,054</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9,905,928</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42,031,390</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48,324,570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51,710,647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42,031,390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52,345,806</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involved from time to time in claims, proceedings and litigation, including the following:</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May 29, 2020, Sapphire Crossing LLC sued the Company on an expired patent. Following the Company's attempts to dismiss the case informally, Sapphire Crossing amended its complaint, dropping certain allegations and adding allegations of direct divided infringement. As of December 31, 2020, the extent of a potential liability was unknown and could not be reasonably estimated. On June 8, 2021, the case was settled and no payment was required of the Company upon settlement.</w:t>
      </w:r>
    </w:p>
    <w:p>
      <w:pPr>
        <w:spacing w:after="0" w:line="136"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In the case of any litigation, the Company records a provision for a liability when management believes that it is both probable that a liability has been incurred, and the amount of the loss can be reasonably estimated. The Company reviews these provisions at least quarterly and adjusts these provisions to reflect the impact of negotiations, settlements, rulings, advice of legal counsel and other information and events pertaining to a particular case.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EMPLOYEE BENEFIT PLANS</w:t>
      </w:r>
    </w:p>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401(k) plan </w:t>
      </w:r>
      <w:r>
        <w:rPr>
          <w:rFonts w:ascii="Arial" w:cs="Arial" w:eastAsia="Arial" w:hAnsi="Arial"/>
          <w:sz w:val="18"/>
          <w:szCs w:val="18"/>
          <w:color w:val="auto"/>
        </w:rPr>
        <w:t>– In fiscal 2009, the Company sponsored a U.S. 401(k) defined contribution plan covering eligible employees who elect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The Company is allowed to make discretionary profit sharing and 401(k) matching contributions as defined in the plan and as approved by the Board of Directors. Effective January 1, 2018, the Company matches up to 4.5% of each eligible participant’s 401(k) contribution. The Company’s actual contribution may be reduced by certain available forfeitures, if any, during the plan year. No discretionary profit-sharing contributions were made during the three months and nine months ended September 30, 2021 and 2020. The Company’s 401(k) matching contributions for the three months and nine months ended September 30, 2021 were $0.2 million and $ 0.6 million, respectively. The Company’s 401(k) matching contributions for the three months and nine months ended September 30, 2020 were $0.2 million and $0.5 million, respectively. The Company has no intention to terminate the plan.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UK pension plan </w:t>
      </w:r>
      <w:r>
        <w:rPr>
          <w:rFonts w:ascii="Arial" w:cs="Arial" w:eastAsia="Arial" w:hAnsi="Arial"/>
          <w:sz w:val="18"/>
          <w:szCs w:val="18"/>
          <w:color w:val="auto"/>
        </w:rPr>
        <w:t>– Since inception, in accordance with local laws and customs of the UK, the Company sponsored a UK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eligible 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during the three months and nine months ended September 30, 2021 and 2020. The Company’s 401(k) matching contributions for the nine months ended September 30, 2021 and 2020 was $0.1 million, respectively. The Company's 401(k) matching contributions for the three months ended September 30, 2021 and 2020 are immaterial. The Company has no intention to terminate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RELATED PARTY TRANSACTIONS</w:t>
      </w:r>
    </w:p>
    <w:p>
      <w:pPr>
        <w:spacing w:after="0" w:line="17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September 2018, the Company loaned $0.6 million to the Company's Chief Executive Officer, David Barrett. The loan bears 6% simple interest per annum for 60 months of interest payments due monthly until the loan principal amount becomes due in full upon maturity in September 2023. During the three months and nine months ended September 30, 2021 and 2020, the Company recognized an immaterial amount of interest income, respectively.</w:t>
      </w:r>
    </w:p>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part of the loan agreement with Mr. Barrett, repayment of the loan may be accelerated upon certain events. One of these triggering events is the loan amount becoming payable immediately upon the receipt by Mr. Barrett of at least an aggregate of $ 2.0 million pursuant to one or more sales or redemptions of the Company's common stock. During the three months and nine months ended September 30, 2020, as part of sale of common stock from Mr. Barrett, to new investors, Mr. Barrett received more than $2.0 million from the transaction. As a result, the loan amount became due immediately during the three months and nine months ended September 30, 2020. As the amount had yet to be paid as of December 31, 2020, the Company recorded the related party loan within Related party loan receivable, current on the consolidated balance sheet as of December 31, 2020. On April 22, 2021, the Company's Board of Directors unanimously consented to provide a waiver of the accelerated term clause in relation to the 2020 sale of stock. On June 24, 2021, the related party loan was repaid in full by Mr. Barrett.</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September 30, 2021, there were 1,420,790 shares subject to repurchase related to stock options early exercised and not yet vested, but that are expected to vest. As of September 30, 2021, the Company recorded a liability related to these shares subject to repurchase in the amount of $2.2 million, of which $0.2 million was related to shares subject to repurchase for executive officers of the Company. See Note 9 for further detail.</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three months ended September 30, 2021, certain employees exercised stock options for a total of 1,566,230 shares of common stock for $1.7 million by entering into promissory notes with the Company. During the nine months ended September 30, 2021, certain employees exercised stock options for a total of 4,096,060 shares of common stock for $3.4 million by entering into promissory notes with the Company. No promissory notes were entered into with listed directors or executive officers of the Company. The Company records all outstanding employee promissory note balances used in exercising stock options to Subscriptions receivable as contra equity within Stockholders' deficit. During the three months and nine months ended September 30, 2021, principal payments of $2.9 million were received by the Company against the promissory notes. As of September 30, 2021, the Company had $0.5 million of Subscriptions receivable remaining and no payments of interest have been received to date. Refer to Note 8 for further detail over the transaction.</w:t>
      </w:r>
    </w:p>
    <w:p>
      <w:pPr>
        <w:spacing w:after="0" w:line="1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September 30, 2021, the Company recorded $0.8 million of related party loan receivables for tax withholding amounts owed by certain employees in exercising their stock options. The Company expects to receive full payment from these certain employees during the fiscal quarter ended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and nine months ended September 30, 2021, the Company has incurred sales and marketing expenses of</w:t>
      </w:r>
    </w:p>
    <w:p>
      <w:pPr>
        <w:spacing w:after="0" w:line="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$0.1 million and $0.3 million respectively, related to partner payouts and advertising fees paid to CPA.com. CPA.com is considered a related party to the Company as Timothy L. Christen, the Chairman of the Company's audit committee in addition to being a Director on the Company's Board of Directors, also serves as a Director on CPA.com's Board of Directors.</w:t>
      </w:r>
    </w:p>
    <w:p>
      <w:pPr>
        <w:spacing w:after="0" w:line="13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the three months and nine months ended September 30, 2021, the Company incurred employee compensation costs of $0.1 million and $0.2 million, respectively, related to William Barrett, the brother of David Barrett, in connection with employment at the Company as a Success Coach. William Barrett’s compensation is commensurate with other employees with his title and tenure. Mr. Barrett plays no personal role in determining his brother’s compensation or reviewing his brother’s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 are no other significant related party transactions for the Company as of September 30, 2021 and December 31, 2020 except as noted elsewhere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80"/>
        <w:spacing w:after="0" w:line="278" w:lineRule="auto"/>
        <w:rPr>
          <w:sz w:val="20"/>
          <w:szCs w:val="20"/>
          <w:color w:val="auto"/>
        </w:rPr>
      </w:pPr>
      <w:r>
        <w:rPr>
          <w:rFonts w:ascii="Arial" w:cs="Arial" w:eastAsia="Arial" w:hAnsi="Arial"/>
          <w:sz w:val="29"/>
          <w:szCs w:val="29"/>
          <w:b w:val="1"/>
          <w:bCs w:val="1"/>
          <w:color w:val="auto"/>
        </w:rPr>
        <w:t>Item 2. Management's Discussion and Analysis of Financial Condition and Results of Operations</w:t>
      </w:r>
    </w:p>
    <w:p>
      <w:pPr>
        <w:spacing w:after="0" w:line="2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included elsewhere in this Quarterly Report on Form 10-Q , as well as our audited financial statements and related notes disclosed in our prospectus, or the Prospectus, dated November 9, 2021, filed with the SEC pursuant to Rule 424(b) under the Securities Act of 1933, as amended, or the Securities Act, in connection with our initial public offering. This discussion contains forward-looking statements based upon current expectations that involve risks and uncertainties. As discussed in the section titled “Note About Forward-Looking Statements”, our actual results may differ materially from those anticipated in these forward-looking statements as a result of various factors, including those set forth under "Risk factors" and in other parts of this Quarterly Report on Form 10-Q.</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1.2 billion expense transactions on our platform as of September 30, 2021, freeing people to spend less time managing expenses and more time doing the things they love. For the quarter ended September 30, 2021, an average of 667,000 paid members across 200 countries and territories used Expensify to make money easy.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Initial Public Offering</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2021, we closed our initial public offering (IPO) of 11,190,392 shares of our Class A common stock at $0.0001 par value per share (the Class A common stock), in which we sold 2,608,696 shares of Class A common stock, and the selling stockholders sold 8,581,696 shares of Class A common stock at an IPO price of $27.00 per share. This total sale of 11,190,392 shares of Class A common stock in our IPO includes the full exercise of the underwriters’ option to purchase an additional 1,459,616 shares of Class A common stock from certain selling stockholders at an IPO price of $27.00 per share. We did not receive any proceeds from the sale of shares of Class A Common Stock in the offering by the selling stockholders. We received aggregate net proceeds of approximately $ 57.5 million after deducting underwriting discounts and commissions of approximately $4.9 million and offering costs of approximately $8.0 million.</w:t>
      </w:r>
    </w:p>
    <w:p>
      <w:pPr>
        <w:spacing w:after="0" w:line="12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Immediately prior to the effectiveness of our IPO Registration Statement, we filed an Amendment to the Amended and Restated Certificate of Incorporation to create three classes of authorized common stock: Class A, LT10, and LT50 common stock. All shares of common stock then outstanding were reclassified as Class A common stock except for shares under our exchange offer, which provided employees and other service providers the opportunity to exchange, on a one-for-one basis, their Class A common stock into LT10 or LT50 shares. Under our exchange offer, 13,556,800 shares of Class A common stock were exchanged for 7,332,640 shares of LT10 common stock and 6,224,160 shares of LT50 common stock. Upon closing of the IPO, all convertible preferred stock then outstanding, was converted into 42,031,390 shares of common stock on a ten-for-one basis and reclassified into Class A common stock. In addition, 430,080 shares of common stock warrants were converted to an equivalent number of shares of Class A common stock warrants.</w:t>
      </w:r>
    </w:p>
    <w:p>
      <w:pPr>
        <w:spacing w:after="0" w:line="138" w:lineRule="exact"/>
        <w:rPr>
          <w:sz w:val="20"/>
          <w:szCs w:val="20"/>
          <w:color w:val="auto"/>
        </w:rPr>
      </w:pPr>
    </w:p>
    <w:p>
      <w:pPr>
        <w:ind w:right="1080"/>
        <w:spacing w:after="0" w:line="261" w:lineRule="auto"/>
        <w:rPr>
          <w:sz w:val="20"/>
          <w:szCs w:val="20"/>
          <w:color w:val="auto"/>
        </w:rPr>
      </w:pPr>
      <w:r>
        <w:rPr>
          <w:rFonts w:ascii="Arial" w:cs="Arial" w:eastAsia="Arial" w:hAnsi="Arial"/>
          <w:sz w:val="18"/>
          <w:szCs w:val="18"/>
          <w:color w:val="auto"/>
        </w:rPr>
        <w:t>Immediately prior to the closing of our IPO, we filed our Amended and Restated Certificate of Incorporation authorizing a total of 1,000,000,000 shares of Class A common stock which entitles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to one vote per share, 25,000,000 shares of LT10 common stock, which entitles holders to 10 votes per share, and 25,000,000 shares of LT50 common stock, which entitles holders to 50 votes per share. In addition, the Amended and Restated Certificate of Incorporation authorized a total of 10,000,000 shares of undesignated preferred stock.</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Model</w:t>
      </w:r>
    </w:p>
    <w:p>
      <w:pPr>
        <w:spacing w:after="0" w:line="170"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believe our approach is effective because we enable a self-service, low-friction model that makes it simple for anyone to try and use our platform and then easily share it with others. Anyone can easily download our application or go to our website and sign up for free on their own, and later upgrade to a paid subscription for advanced features. The adoption of Expensify within an organization typically starts with the individual employee, who downloads our mobile application for free and uses it to easily submit expenses to their manager with a few taps. After the employee realizes the benefits of our platform, they become a champion of Expensify and spread it internally to other employees – as well as to their friends in other companies. With multiple employees using Expensify, and valuable features simplifying the manager’s job, the decision maker often purchases a subscription to Expensify and becomes a paying customer with a few members. Our usage within an organization expands further as the company adds members and adopts new features such as the Expensify Card or Bill Pay. For the nine months ended September 30, 2021, approximately 58% of our revenue can be attributed to an instance where an employee used our application before the purchaser, and recommended it to their manager. Most of the remaining 42% of our revenue is attributed to instances where the decision maker institutes Expensify within the organization after learning about it through word-of-mouth, brand recognition, or referral from their accountant – through our </w:t>
      </w:r>
      <w:r>
        <w:rPr>
          <w:rFonts w:ascii="Arial" w:cs="Arial" w:eastAsia="Arial" w:hAnsi="Arial"/>
          <w:sz w:val="18"/>
          <w:szCs w:val="18"/>
          <w:i w:val="1"/>
          <w:iCs w:val="1"/>
          <w:color w:val="auto"/>
        </w:rPr>
        <w:t>ExpensifyApproved!</w:t>
      </w:r>
      <w:r>
        <w:rPr>
          <w:rFonts w:ascii="Arial" w:cs="Arial" w:eastAsia="Arial" w:hAnsi="Arial"/>
          <w:sz w:val="18"/>
          <w:szCs w:val="18"/>
          <w:color w:val="auto"/>
        </w:rPr>
        <w:t xml:space="preserve"> Partner Program, we train and support accountants who then encourage their customers to use Expensify.</w:t>
      </w: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Though we offer onboarding and ongoing support to everyone, our members and customers generally prefer to take advantage of our self-service options. We have developed Concierge, our customer support engine, to make handling customer support inquiries much more efficient. Concierge is powered by AI-assisted customer support agents, with different levels of skill and training, spread out across the world. Our product managers use the information we gather from Concierge to remain closely in tune with customer needs and guide our future platform roadmap.</w:t>
      </w:r>
    </w:p>
    <w:p>
      <w:pPr>
        <w:spacing w:after="0" w:line="13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individual subscriptions include our </w:t>
      </w:r>
      <w:r>
        <w:rPr>
          <w:rFonts w:ascii="Arial" w:cs="Arial" w:eastAsia="Arial" w:hAnsi="Arial"/>
          <w:sz w:val="18"/>
          <w:szCs w:val="18"/>
          <w:i w:val="1"/>
          <w:iCs w:val="1"/>
          <w:color w:val="auto"/>
        </w:rPr>
        <w:t>Track</w:t>
      </w:r>
      <w:r>
        <w:rPr>
          <w:rFonts w:ascii="Arial" w:cs="Arial" w:eastAsia="Arial" w:hAnsi="Arial"/>
          <w:sz w:val="18"/>
          <w:szCs w:val="18"/>
          <w:color w:val="auto"/>
        </w:rPr>
        <w:t xml:space="preserve"> and </w:t>
      </w:r>
      <w:r>
        <w:rPr>
          <w:rFonts w:ascii="Arial" w:cs="Arial" w:eastAsia="Arial" w:hAnsi="Arial"/>
          <w:sz w:val="18"/>
          <w:szCs w:val="18"/>
          <w:i w:val="1"/>
          <w:iCs w:val="1"/>
          <w:color w:val="auto"/>
        </w:rPr>
        <w:t>Submit</w:t>
      </w:r>
      <w:r>
        <w:rPr>
          <w:rFonts w:ascii="Arial" w:cs="Arial" w:eastAsia="Arial" w:hAnsi="Arial"/>
          <w:sz w:val="18"/>
          <w:szCs w:val="18"/>
          <w:color w:val="auto"/>
        </w:rPr>
        <w:t xml:space="preserve"> plans, which include an optional paid monthly upgrade for anyone wishing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SmartScan more than 25 receipts in a given month. These subscriptions are billed monthly, irrespective of activity:</w:t>
      </w:r>
    </w:p>
    <w:p>
      <w:pPr>
        <w:spacing w:after="0" w:line="12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Free Plans </w:t>
      </w:r>
      <w:r>
        <w:rPr>
          <w:rFonts w:ascii="Arial" w:cs="Arial" w:eastAsia="Arial" w:hAnsi="Arial"/>
          <w:sz w:val="18"/>
          <w:szCs w:val="18"/>
          <w:color w:val="auto"/>
        </w:rPr>
        <w:t>(Optional upgrade for unlimited SmartScan)</w:t>
      </w:r>
    </w:p>
    <w:p>
      <w:pPr>
        <w:spacing w:after="0" w:line="157" w:lineRule="exact"/>
        <w:rPr>
          <w:rFonts w:ascii="Arial" w:cs="Arial" w:eastAsia="Arial" w:hAnsi="Arial"/>
          <w:sz w:val="18"/>
          <w:szCs w:val="18"/>
          <w:b w:val="1"/>
          <w:bCs w:val="1"/>
          <w:color w:val="auto"/>
        </w:rPr>
      </w:pPr>
    </w:p>
    <w:p>
      <w:pPr>
        <w:ind w:left="660" w:right="260" w:hanging="328"/>
        <w:spacing w:after="0" w:line="287" w:lineRule="auto"/>
        <w:tabs>
          <w:tab w:leader="none" w:pos="656"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Track. </w:t>
      </w:r>
      <w:r>
        <w:rPr>
          <w:rFonts w:ascii="Arial" w:cs="Arial" w:eastAsia="Arial" w:hAnsi="Arial"/>
          <w:sz w:val="18"/>
          <w:szCs w:val="18"/>
          <w:color w:val="auto"/>
        </w:rPr>
        <w:t>Our free Track plan comes with our SmartScan receipt scanning functionality and is used primarily by individuals and sole-proprietors to streamline their receipt and mileage tracking.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right="400" w:hanging="328"/>
        <w:spacing w:after="0" w:line="287"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Submit. </w:t>
      </w:r>
      <w:r>
        <w:rPr>
          <w:rFonts w:ascii="Arial" w:cs="Arial" w:eastAsia="Arial" w:hAnsi="Arial"/>
          <w:sz w:val="18"/>
          <w:szCs w:val="18"/>
          <w:color w:val="auto"/>
        </w:rPr>
        <w:t>Our free Submit plan includes the same functionality in Track, and also adds the ability to automatically submit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reports to anyone for reimbursement.</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Our business subscriptions can be used by teams, organizations and companies for free or upgraded to one of our paid plans, which include our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following a free trial. We bill customers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at the start of each month based on the number of policy members who were active in the previous month. Each customer has either a "pay per use" plan in which they are billed a flat rate for each active member, or an "annual" plan where they commit to a minimum number of monthly seats in exchange for a lower subscription rate.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customers can access lower rates if they spend on the Expensify Card:</w:t>
      </w:r>
    </w:p>
    <w:p>
      <w:pPr>
        <w:spacing w:after="0" w:line="11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Free Plans</w:t>
      </w:r>
    </w:p>
    <w:p>
      <w:pPr>
        <w:spacing w:after="0" w:line="157" w:lineRule="exact"/>
        <w:rPr>
          <w:rFonts w:ascii="Arial" w:cs="Arial" w:eastAsia="Arial" w:hAnsi="Arial"/>
          <w:sz w:val="18"/>
          <w:szCs w:val="18"/>
          <w:b w:val="1"/>
          <w:bCs w:val="1"/>
          <w:color w:val="auto"/>
        </w:rPr>
      </w:pPr>
    </w:p>
    <w:p>
      <w:pPr>
        <w:ind w:left="660" w:right="280" w:hanging="328"/>
        <w:spacing w:after="0" w:line="287" w:lineRule="auto"/>
        <w:tabs>
          <w:tab w:leader="none" w:pos="656"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Free. </w:t>
      </w:r>
      <w:r>
        <w:rPr>
          <w:rFonts w:ascii="Arial" w:cs="Arial" w:eastAsia="Arial" w:hAnsi="Arial"/>
          <w:sz w:val="18"/>
          <w:szCs w:val="18"/>
          <w:color w:val="auto"/>
        </w:rPr>
        <w:t>Our Free plan, introduced in September 2021, enables our members to roll out a corporate card program with the Expensify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 reimburse cash expenses for employees, send invoices to clients and set up bill payment for their team.</w:t>
      </w:r>
    </w:p>
    <w:p>
      <w:pPr>
        <w:spacing w:after="0" w:line="71" w:lineRule="exact"/>
        <w:rPr>
          <w:rFonts w:ascii="Arial" w:cs="Arial" w:eastAsia="Arial" w:hAnsi="Arial"/>
          <w:sz w:val="18"/>
          <w:szCs w:val="18"/>
          <w:b w:val="1"/>
          <w:bCs w:val="1"/>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Paid Plans</w:t>
      </w:r>
    </w:p>
    <w:p>
      <w:pPr>
        <w:spacing w:after="0" w:line="157" w:lineRule="exact"/>
        <w:rPr>
          <w:rFonts w:ascii="Arial" w:cs="Arial" w:eastAsia="Arial" w:hAnsi="Arial"/>
          <w:sz w:val="18"/>
          <w:szCs w:val="18"/>
          <w:color w:val="auto"/>
        </w:rPr>
      </w:pPr>
    </w:p>
    <w:p>
      <w:pPr>
        <w:ind w:left="660" w:right="560" w:hanging="328"/>
        <w:spacing w:after="0" w:line="318" w:lineRule="auto"/>
        <w:tabs>
          <w:tab w:leader="none" w:pos="656" w:val="left"/>
        </w:tabs>
        <w:numPr>
          <w:ilvl w:val="1"/>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Collect. </w:t>
      </w:r>
      <w:r>
        <w:rPr>
          <w:rFonts w:ascii="Arial" w:cs="Arial" w:eastAsia="Arial" w:hAnsi="Arial"/>
          <w:sz w:val="17"/>
          <w:szCs w:val="17"/>
          <w:color w:val="auto"/>
        </w:rPr>
        <w:t>Our Collect plan enables our members to integrate with popular small business accounting systems, configure simple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report approval workflows, as well as reimburse employees, contractors and volunteers via Direct Deposit ACH.</w:t>
      </w:r>
    </w:p>
    <w:p>
      <w:pPr>
        <w:spacing w:after="0" w:line="62" w:lineRule="exact"/>
        <w:rPr>
          <w:rFonts w:ascii="Arial" w:cs="Arial" w:eastAsia="Arial" w:hAnsi="Arial"/>
          <w:sz w:val="17"/>
          <w:szCs w:val="17"/>
          <w:color w:val="auto"/>
        </w:rPr>
      </w:pPr>
    </w:p>
    <w:p>
      <w:pPr>
        <w:ind w:left="660" w:right="280" w:hanging="328"/>
        <w:spacing w:after="0" w:line="268" w:lineRule="auto"/>
        <w:tabs>
          <w:tab w:leader="none" w:pos="656"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Our Control plan, which is by far our most popular plan, includes everything in Collect and adds the ability to configure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rules-based approval workflows, and integrate with financial, travel, HR and other internal systems commonly used by mid-market and enterprise companies.</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fully launched the Expensify Card in 2020 and, despite pullback in corporate expenses with the COVID-19 pandemic, customers have begun to adopt the card. 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Through our pricing, we aim to encourage viral adoption of Expensify, make it easy for SMBs to become customers, and encourage customers to commit to annual subscriptions as well as adopt the Expensify Card. To encourage viral adoption, we offer viral features that are free and accessible without a paid subscription because using the feature has the secondary effect of promoting Expensify. For example, individual employees download the Expensify app, for free, and use it to submit their expenses to their bosses – turning every expense report into a highly targeted marketing message, straight to a decision maker. To lower the barrier for companies to adopt Expensify, we offer customers free trials, and lower subscription rates to customers who commit to an annual subscription and/or adopt the Expensify Card.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5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For a discussion of the key factors affecting our performance, please see “Key factors affecting our performance” in the Management’s Discussion and Analysis section and the “Risk factors” section of our Prospectus.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COVID-19</w:t>
      </w:r>
    </w:p>
    <w:p>
      <w:pPr>
        <w:spacing w:after="0" w:line="17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As a result of the COVID-19 pandemic, we temporarily closed our offices, asked our employees to work remotely and implemented travel restrictions, all of which represent a disruption in how we operate our business. The operations of our customers, the majority of which are SMBs, have likewise been disrupted. The outsized impact of the pandemic on SMBs was evident in 2020 as an abnormal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percentage of our customers stopped adding new members to our platform, ceased (or paused) operations and/or scaled back or terminated subscriptions to the Expensify platform.</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 After a steady increase in paid members over multiple years, the average number of paid members on our platform declined 15% from 742,000 in the quarter ended March 31, 2020 to 633,000 in the quarter ended September 30, 2020 and we have rebounded to 667,000 paid members in the quarter ended September 30, 2021. Our activity is still recovering from May 2020 as the United States and certain other parts of the world continue to rebound from COVID-19. The amount of expenses incurred by the paid members remaining on our platform has also declined as a result of the factors stated above. While activity decreased and remains at lower levels than pre-pandemic, our revenue only declined until the quarter ended June 30, 2020. This initial adverse impact on revenue was mitigated by the prevalence of our annual contracts and minimum user requirements in those contracts as well as a price change that became effective in May 2020.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spacing w:after="0" w:line="1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While the full lasting impact of the COVID-19 pandemic on the global economy and SMBs in particular remains uncertain, we believe that use of our platform will increase as economies reopen and business travel resumes.</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Business Metrics and Non-GAAP Financial Measures</w:t>
      </w:r>
    </w:p>
    <w:p>
      <w:pPr>
        <w:spacing w:after="0" w:line="170"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Business Metrics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SMBs or sole proprietors with only one employee, the business owner may also be the only paid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While the full lasting impact of the COVID-19 pandemic on the global economy and SMBs in particular remains uncertain, there have been signs of recovery as the economy has slowly reopened. See the section titled “Impact of COVID-19” above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the three months ended September 30, 2021 and 2020,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548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Paid members (in</w:t>
            </w:r>
          </w:p>
        </w:tc>
        <w:tc>
          <w:tcPr>
            <w:tcW w:w="0" w:type="dxa"/>
            <w:vAlign w:val="bottom"/>
          </w:tcPr>
          <w:p>
            <w:pPr>
              <w:spacing w:after="0"/>
              <w:rPr>
                <w:sz w:val="1"/>
                <w:szCs w:val="1"/>
                <w:color w:val="auto"/>
              </w:rPr>
            </w:pPr>
          </w:p>
        </w:tc>
      </w:tr>
      <w:tr>
        <w:trPr>
          <w:trHeight w:val="175"/>
        </w:trPr>
        <w:tc>
          <w:tcPr>
            <w:tcW w:w="5760" w:type="dxa"/>
            <w:vAlign w:val="bottom"/>
            <w:tcBorders>
              <w:bottom w:val="single" w:sz="8" w:color="auto"/>
            </w:tcBorders>
            <w:vMerge w:val="continue"/>
          </w:tcPr>
          <w:p>
            <w:pPr>
              <w:spacing w:after="0"/>
              <w:rPr>
                <w:sz w:val="15"/>
                <w:szCs w:val="15"/>
                <w:color w:val="auto"/>
              </w:rPr>
            </w:pPr>
          </w:p>
        </w:tc>
        <w:tc>
          <w:tcPr>
            <w:tcW w:w="54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5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September 30, 2020</w:t>
            </w:r>
          </w:p>
        </w:tc>
        <w:tc>
          <w:tcPr>
            <w:tcW w:w="548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54"/>
        </w:trPr>
        <w:tc>
          <w:tcPr>
            <w:tcW w:w="576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 number of monthly members. Annual subscription customers who wish to terminate their contracts before the end of the term are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2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minus the amount retained by the vendor (our remainder portion, the "Expensify Interchange Amount"). The vendor also charges us fees (the "Vendor Fees") for the services it provides to us. Due to the nature of the vendor agreement,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record the Expensify Interchange Amount as revenue. Instead, the net of the Expensify Interchange Amount and Vendor Fees are paid to us, and we record it as "consideration from a vendor", a contra-expense in Cost of revenue, net. The following summarizes these various amounts for the periods presented: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700" w:type="dxa"/>
            <w:vAlign w:val="bottom"/>
          </w:tcPr>
          <w:p>
            <w:pPr>
              <w:spacing w:after="0"/>
              <w:rPr>
                <w:sz w:val="15"/>
                <w:szCs w:val="15"/>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3"/>
        </w:trPr>
        <w:tc>
          <w:tcPr>
            <w:tcW w:w="4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6"/>
          </w:tcPr>
          <w:p>
            <w:pPr>
              <w:ind w:left="11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anticipate an increase in Cost of revenue, net expenses during the three months and year ended December 31, 2021 in which we completed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our notes to the consolidated financial statements included elsewhere in this Quarterly Report on Form 10-Q.</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1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anticipate an increase in Research and development expenses during the three months and year ended December 31, 2021 in which we completed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our notes to the consolidated financial statements included elsewhere in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3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anticipate an increase in Sales and marketing expenses during the three months and year ended December 31, 2021 in which we completed our initial public offering as a result of the discretionary cash bonuses anticipated to be paid to our employees during the fourth quarter of fiscal year 2021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described in the subsection titled “Critical accounting policies and estimates — Cash bonuses”, as well as additional stock-based compensation expense going forward, as described within our notes to the consolidated financial statements included elsewhere in this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costs associated with being a publicly traded company, including legal, audit, business insurance and consulting fees.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anticipate an increase in General and administrative expenses during the three months and year ended December 31, 2021 in which we completed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our notes to the consolidated financial statements included elsewhere in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Expenses, Net</w:t>
      </w:r>
    </w:p>
    <w:p>
      <w:pPr>
        <w:spacing w:after="0" w:line="18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(Provision) for Income Taxes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5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13" w:lineRule="exact"/>
        <w:rPr>
          <w:sz w:val="20"/>
          <w:szCs w:val="20"/>
          <w:color w:val="auto"/>
        </w:rPr>
      </w:pPr>
    </w:p>
    <w:p>
      <w:pPr>
        <w:jc w:val="center"/>
        <w:ind w:left="488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20485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00"/>
        <w:spacing w:after="0"/>
        <w:tabs>
          <w:tab w:leader="none" w:pos="69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17780</wp:posOffset>
            </wp:positionV>
            <wp:extent cx="20574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2" w:lineRule="exact"/>
        <w:rPr>
          <w:sz w:val="20"/>
          <w:szCs w:val="20"/>
          <w:color w:val="auto"/>
        </w:rPr>
      </w:pPr>
    </w:p>
    <w:p>
      <w:pPr>
        <w:ind w:left="180"/>
        <w:spacing w:after="0"/>
        <w:tabs>
          <w:tab w:leader="none" w:pos="18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7720" w:space="720"/>
            <w:col w:w="28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62,335</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23,881</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38,454</w:t>
            </w: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24,717</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37,176</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(6,345)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income per share attributable to common</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of common stock used to</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180"/>
              <w:spacing w:after="0" w:line="176" w:lineRule="exact"/>
              <w:rPr>
                <w:sz w:val="20"/>
                <w:szCs w:val="20"/>
                <w:color w:val="auto"/>
              </w:rPr>
            </w:pPr>
            <w:r>
              <w:rPr>
                <w:rFonts w:ascii="Arial" w:cs="Arial" w:eastAsia="Arial" w:hAnsi="Arial"/>
                <w:sz w:val="18"/>
                <w:szCs w:val="18"/>
                <w:color w:val="auto"/>
              </w:rPr>
              <w:t>compute net (loss) income per share attributable to</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34,490,860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27,951,536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31,301,387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27,095,925</w:t>
            </w: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34,490,860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27,951,536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41,452,880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27,095,925</w:t>
            </w:r>
          </w:p>
        </w:tc>
        <w:tc>
          <w:tcPr>
            <w:tcW w:w="0" w:type="dxa"/>
            <w:vAlign w:val="bottom"/>
          </w:tcPr>
          <w:p>
            <w:pPr>
              <w:spacing w:after="0"/>
              <w:rPr>
                <w:sz w:val="1"/>
                <w:szCs w:val="1"/>
                <w:color w:val="auto"/>
              </w:rPr>
            </w:pPr>
          </w:p>
        </w:tc>
      </w:tr>
      <w:tr>
        <w:trPr>
          <w:trHeight w:val="20"/>
        </w:trPr>
        <w:tc>
          <w:tcPr>
            <w:tcW w:w="4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6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56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165"/>
        </w:trPr>
        <w:tc>
          <w:tcPr>
            <w:tcW w:w="3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3"/>
        </w:trPr>
        <w:tc>
          <w:tcPr>
            <w:tcW w:w="35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Cost of revenue, net</w:t>
            </w:r>
          </w:p>
        </w:tc>
        <w:tc>
          <w:tcPr>
            <w:tcW w:w="1200" w:type="dxa"/>
            <w:vAlign w:val="bottom"/>
            <w:shd w:val="clear" w:color="auto" w:fill="CCEEFF"/>
          </w:tcPr>
          <w:p>
            <w:pPr>
              <w:jc w:val="right"/>
              <w:ind w:right="73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670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w:t>
            </w:r>
          </w:p>
        </w:tc>
      </w:tr>
      <w:tr>
        <w:trPr>
          <w:trHeight w:val="182"/>
        </w:trPr>
        <w:tc>
          <w:tcPr>
            <w:tcW w:w="3560" w:type="dxa"/>
            <w:vAlign w:val="bottom"/>
          </w:tcPr>
          <w:p>
            <w:pPr>
              <w:ind w:left="340"/>
              <w:spacing w:after="0"/>
              <w:rPr>
                <w:sz w:val="20"/>
                <w:szCs w:val="20"/>
                <w:color w:val="auto"/>
              </w:rPr>
            </w:pPr>
            <w:r>
              <w:rPr>
                <w:rFonts w:ascii="Arial" w:cs="Arial" w:eastAsia="Arial" w:hAnsi="Arial"/>
                <w:sz w:val="13"/>
                <w:szCs w:val="13"/>
                <w:color w:val="auto"/>
              </w:rPr>
              <w:t>Research and development</w:t>
            </w:r>
          </w:p>
        </w:tc>
        <w:tc>
          <w:tcPr>
            <w:tcW w:w="1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ind w:right="14"/>
              <w:spacing w:after="0"/>
              <w:rPr>
                <w:sz w:val="20"/>
                <w:szCs w:val="20"/>
                <w:color w:val="auto"/>
              </w:rPr>
            </w:pPr>
            <w:r>
              <w:rPr>
                <w:rFonts w:ascii="Arial" w:cs="Arial" w:eastAsia="Arial" w:hAnsi="Arial"/>
                <w:sz w:val="13"/>
                <w:szCs w:val="13"/>
                <w:color w:val="auto"/>
              </w:rPr>
              <w:t>482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1,302</w:t>
            </w:r>
          </w:p>
        </w:tc>
      </w:tr>
      <w:tr>
        <w:trPr>
          <w:trHeight w:val="196"/>
        </w:trPr>
        <w:tc>
          <w:tcPr>
            <w:tcW w:w="35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General and administrative</w:t>
            </w: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1,118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10,205</w:t>
            </w:r>
          </w:p>
        </w:tc>
      </w:tr>
      <w:tr>
        <w:trPr>
          <w:trHeight w:val="183"/>
        </w:trPr>
        <w:tc>
          <w:tcPr>
            <w:tcW w:w="35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Sales and marketing</w:t>
            </w:r>
          </w:p>
        </w:tc>
        <w:tc>
          <w:tcPr>
            <w:tcW w:w="1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225</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w:t>
            </w:r>
          </w:p>
        </w:tc>
      </w:tr>
      <w:tr>
        <w:trPr>
          <w:trHeight w:val="201"/>
        </w:trPr>
        <w:tc>
          <w:tcPr>
            <w:tcW w:w="3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stock-based compensation expense</w:t>
            </w:r>
          </w:p>
        </w:tc>
        <w:tc>
          <w:tcPr>
            <w:tcW w:w="12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11,765</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2,495</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12,951</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the three months ended September 30, 2021 and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37,447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21,694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15,753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Revenue increased by $15.8 million, or 73%, for the three months ended September 30, 2021 compared to the same period in 2020, primarily due to a pricing change implemented in May 2020, which led to a gradual increase in per member price for our paid members over time from existing customers not using the Expensify Card in connection with our expense management platform for 50% or more of their approved expenses and increased demand for business travel, which is a significant use for our platform and driver for an increase in the number of paid members, that can be attributed to the lifting of travel restrictions within the United States and certain other countries and higher rates of returning to the office as a result of the widespread availability and distribution of COVID-19 vaccines. Our revenue for the three months ended September 30, 2020 was adversely affected by the COVID-19 pandemic, particularly due to the decrease in business travel.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8"/>
                <w:szCs w:val="18"/>
                <w:color w:val="auto"/>
              </w:rPr>
            </w:pPr>
          </w:p>
        </w:tc>
      </w:tr>
      <w:tr>
        <w:trPr>
          <w:trHeight w:val="183"/>
        </w:trPr>
        <w:tc>
          <w:tcPr>
            <w:tcW w:w="44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83"/>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4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18,197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8,443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9,754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9"/>
                <w:szCs w:val="19"/>
                <w:color w:val="auto"/>
              </w:rPr>
            </w:pPr>
          </w:p>
        </w:tc>
        <w:tc>
          <w:tcPr>
            <w:tcW w:w="1440" w:type="dxa"/>
            <w:vAlign w:val="bottom"/>
          </w:tcPr>
          <w:p>
            <w:pPr>
              <w:jc w:val="right"/>
              <w:ind w:right="217"/>
              <w:spacing w:after="0"/>
              <w:rPr>
                <w:sz w:val="20"/>
                <w:szCs w:val="20"/>
                <w:color w:val="auto"/>
              </w:rPr>
            </w:pPr>
            <w:r>
              <w:rPr>
                <w:rFonts w:ascii="Arial" w:cs="Arial" w:eastAsia="Arial" w:hAnsi="Arial"/>
                <w:sz w:val="18"/>
                <w:szCs w:val="18"/>
                <w:color w:val="auto"/>
              </w:rPr>
              <w:t>19,250</w:t>
            </w:r>
          </w:p>
        </w:tc>
        <w:tc>
          <w:tcPr>
            <w:tcW w:w="300" w:type="dxa"/>
            <w:vAlign w:val="bottom"/>
          </w:tcPr>
          <w:p>
            <w:pPr>
              <w:spacing w:after="0"/>
              <w:rPr>
                <w:sz w:val="19"/>
                <w:szCs w:val="19"/>
                <w:color w:val="auto"/>
              </w:rPr>
            </w:pP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13,251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619"/>
              <w:spacing w:after="0"/>
              <w:rPr>
                <w:sz w:val="20"/>
                <w:szCs w:val="20"/>
                <w:color w:val="auto"/>
              </w:rPr>
            </w:pPr>
            <w:r>
              <w:rPr>
                <w:rFonts w:ascii="Arial" w:cs="Arial" w:eastAsia="Arial" w:hAnsi="Arial"/>
                <w:sz w:val="18"/>
                <w:szCs w:val="18"/>
                <w:color w:val="auto"/>
              </w:rPr>
              <w:t>5,999</w:t>
            </w:r>
          </w:p>
        </w:tc>
        <w:tc>
          <w:tcPr>
            <w:tcW w:w="112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Cost of revenue, net increased by $9.8 million, or 116%, for the three months ended September 30, 2021 compared to the same period in 2020. Cost of revenue, net increased primarily due to discretionary cash bonuses of $3.6 million paid out to employees directly engaged in supporting our customers and providing maintenance of our platform as well as a related bonus accrual of $5.4 million during the three months ended September 30, 2021 for discretionary cash bonuses to be paid to our employees during the fourth quarter of fiscal year 2021. For further detail over the cash bonuses, refer to the subsection titled "Critical accounting policies and estimates—Cash bonuses". Another contributing factor to the increase is a higher volume of payment processing fees directly related to the increase in reimbursement activity. In addition, consideration from a vendor, which represents monetizing Expensify Card activities, reduced cost of revenue, net by $0.8 million and $0.3 million for the three months ended September 30, 2021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September 30, 2020, respectively. This increase in reduction to cost of revenue, net was driven primarily by increased adoption and spend captured from members on the Expensify Card.</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Gross margin decreased to 51% for the three months ended September 30, 2021 compared to 61% in the same period in 2020. The decrease was primarily driven by the 116% increase in cost of revenue, net for the three months ended September 30, 2021 compared to the same period in 2020. Although revenue increased by 73% for the same period, cost of revenue, net increased at a higher rate due to the factors described in the preceding paragraph.</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0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2,167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2,268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(101)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Research and development expenses decreased by $ 0.1 million, or 4%, for the three months ended September 30, 2021 compared to the same period in 2020. The decrease is primarily driven by increased capitalization of internally developed software costs directly related to employee time spent in the application development stage of projects for new products and features that are crucial for the success of our Company partially offset by discretionary cash bonuses of $2.0 million paid out to employees directly engaged in the planning and preliminary project stage and post-implementation stage of new products and features as well as a related bonus accrual of $1.9 million during the three months ended September 30, 2021 for discretionary cash bonuses to be paid to our employees during the fourth quarter of fiscal year 2021. For further detail over the cash bonuses, refer to the subsection titled "Critical accounting policies and estimates—Cash bonuses". We continue to believe that focused investments in research and development are critical to our future growth and competitive position in the marketplace, and to the development of new and updated features, products and services that are central to our core business strategy.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188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r>
      <w:tr>
        <w:trPr>
          <w:trHeight w:val="210"/>
        </w:trPr>
        <w:tc>
          <w:tcPr>
            <w:tcW w:w="46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4"/>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7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7,608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6,117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410 %</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Sales and marketing expenses increased by $6.1 million, or 410%, for the three months ended September 30, 2021 compared to the same period in 2020. The increase was driven primarily by out of home advertising campaigns, the purchase of ads on podcasts and various other platforms to promote our products and services and discretionary cash bonuses of $1.3 million paid out to employees directly engaged in sales and marketing activities as well as a related bonus accrual of $1.8 million during the three months ended September 30, 2021 for discretionary cash bonuses to be paid to our employees during the fourth quarter of fiscal year 2021. For further detail over the cash bonuses, refer to the subsection titled "Critical accounting policies and estimates—Cash bonuses". For the three months ended September 30, 2020, we aggressively reduced our advertising and other sales and marketing expenses due to the impact of the COVID-19 pandemic.</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18,333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14,579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3,754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General and administrative expenses increased by $3.8 million, or 26%, for the three months ended September 30, 2021 compared to the same period in 2020, primarily due to increased employee compensation of our executive employees, hiring of additional accounting and finance employees, increased professional service costs for accounting, auditing and legal services related to our annual financial statement audits and quarterly reviews and discretionary cash bonuses of $2.6 million paid out to employees directly engaged in general and administrative activities as well as a related bonus accrual of $7.7 million during the three months ended September 30, 2021 for discretionary cash bonuses to be paid to our employees during the fourth quarter of fiscal year 2021. For further detail over the cash bonuses, refer to the subsection titled "Critical accounting policies and estimates—Cash bonuses".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0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(1,054)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(408)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bl>
    <w:p>
      <w:pPr>
        <w:spacing w:after="0" w:line="26" w:lineRule="exact"/>
        <w:rPr>
          <w:sz w:val="20"/>
          <w:szCs w:val="20"/>
          <w:color w:val="auto"/>
        </w:rPr>
      </w:pPr>
    </w:p>
    <w:p>
      <w:pPr>
        <w:ind w:left="4620"/>
        <w:spacing w:after="0"/>
        <w:tabs>
          <w:tab w:leader="none" w:pos="6240" w:val="left"/>
        </w:tabs>
        <w:rPr>
          <w:sz w:val="20"/>
          <w:szCs w:val="20"/>
          <w:color w:val="auto"/>
        </w:rPr>
      </w:pPr>
      <w:r>
        <w:rPr>
          <w:rFonts w:ascii="Arial" w:cs="Arial" w:eastAsia="Arial" w:hAnsi="Arial"/>
          <w:sz w:val="18"/>
          <w:szCs w:val="18"/>
          <w:color w:val="FFFFFF"/>
        </w:rPr>
        <w:t>(1,054)</w:t>
      </w:r>
      <w:r>
        <w:rPr>
          <w:sz w:val="20"/>
          <w:szCs w:val="20"/>
          <w:color w:val="auto"/>
        </w:rPr>
        <w:tab/>
      </w:r>
      <w:r>
        <w:rPr>
          <w:rFonts w:ascii="Arial" w:cs="Arial" w:eastAsia="Arial" w:hAnsi="Arial"/>
          <w:sz w:val="18"/>
          <w:szCs w:val="18"/>
          <w:color w:val="FFFFFF"/>
        </w:rPr>
        <w:t>(646)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Interest and other expenses, net increased by $0.4 million, or 63%, for the three months ended September 30, 2021 compared to the same period in 2020. The increase was driven by the U.S. dollar getting stronger in 2021 resulting in higher foreign transaction exchange losses.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3,567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4,772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recorded a $ 3.6 million benefit for income taxes for the three months ended September 30, 2021 compared to a $1.2 million provision for the same period in 2020.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three months ended September 30, 2021, we recorded a benefit for income taxes primarily due to cash bonuses for employees that were approved by management in July 2021, which resulted in a net loss for the three months ended September 30, 2021 and a change to our estimated taxable income for the annual period ended December 31, 2021. For further detail over these cash bonuses, refer to the Employee stock option exercise cash bonus discussion within Note 2. During the three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September 30, 2020, we had a loss before income taxes, however a significant secondary market transaction occurred that was not tax deductible, which resulted in taxes owed on the transaction.</w:t>
      </w:r>
    </w:p>
    <w:p>
      <w:pPr>
        <w:spacing w:after="0" w:line="117"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 addition, we prepared our interim tax provision by applying a year-to-date effective tax rate starting in the three months ended September 30, 2021. For the three months ended September 30, 2020, we prepared our interim tax provision by applying an annual effective tax rate. We believe that using the actual year-to-date effective tax rate going forward results in the best estimate of the annual effective tax rate.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the nine months ended September 30, 2021 and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102,471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62,335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40,136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Revenue increased by $40.1 million, or 64%, for the nine months ended September 30, 2021 compared to the same period in 2020. In May 2020, the Company updated its terms of service, which resulted in annual contracts becoming noncancellable and implemented a pricing change, which led to a significant increase in the average paid member price during the nine months ended September 30, 2021 compared to the same period in 2020.</w:t>
      </w:r>
    </w:p>
    <w:p>
      <w:pPr>
        <w:spacing w:after="0" w:line="123"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Revenue growth was partially offset by a slight decrease in average paid members for the nine months ended September 30, 2021 compared to the same period in 2020. Although the number of paid members decreased from approximately 674,000 paid members on average during the nine months ended September 30, 2020 to approximately 656,000 paid members on average during the nine months ended September 30, 2021, the monthly average paid member numbers continue to incrementally recover back to pre-COVID levels that were evident during the first quarter of 2020. We continue to see further evidence of recovery with increased reimbursement activity each quarter during the nine months ended September 30, 2021 as global restrictions are eased.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8"/>
                <w:szCs w:val="18"/>
                <w:color w:val="auto"/>
              </w:rPr>
            </w:pPr>
          </w:p>
        </w:tc>
      </w:tr>
      <w:tr>
        <w:trPr>
          <w:trHeight w:val="183"/>
        </w:trPr>
        <w:tc>
          <w:tcPr>
            <w:tcW w:w="44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83"/>
        </w:trPr>
        <w:tc>
          <w:tcPr>
            <w:tcW w:w="4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6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33,768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23,881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9,887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9"/>
                <w:szCs w:val="19"/>
                <w:color w:val="auto"/>
              </w:rPr>
            </w:pP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68,703</w:t>
            </w:r>
          </w:p>
        </w:tc>
        <w:tc>
          <w:tcPr>
            <w:tcW w:w="320" w:type="dxa"/>
            <w:vAlign w:val="bottom"/>
          </w:tcPr>
          <w:p>
            <w:pPr>
              <w:spacing w:after="0"/>
              <w:rPr>
                <w:sz w:val="19"/>
                <w:szCs w:val="19"/>
                <w:color w:val="auto"/>
              </w:rPr>
            </w:pP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38,454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619"/>
              <w:spacing w:after="0"/>
              <w:rPr>
                <w:sz w:val="20"/>
                <w:szCs w:val="20"/>
                <w:color w:val="auto"/>
              </w:rPr>
            </w:pPr>
            <w:r>
              <w:rPr>
                <w:rFonts w:ascii="Arial" w:cs="Arial" w:eastAsia="Arial" w:hAnsi="Arial"/>
                <w:sz w:val="18"/>
                <w:szCs w:val="18"/>
                <w:color w:val="auto"/>
              </w:rPr>
              <w:t>30,249</w:t>
            </w:r>
          </w:p>
        </w:tc>
        <w:tc>
          <w:tcPr>
            <w:tcW w:w="112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Cost of revenue, net increased by $9.9 million, or 41%, for the nine months ended September 30, 2021 compared to the same period in 2020. Cost of revenue, net increased primarily due to the increase in employee compensation related to the discretionary cash bonuses of $3.6 million paid to employees directly engaged in supporting our customers and providing maintenance of our platform as well as a related bonus accrual of $5.4 million during the nine months ended September 30, 2021 for discretionary cash bonuses to be paid to our employees during the fourth quarter of fiscal year 2021. For further detail over the cash bonuses, refer to the subsection titled "Critical accounting policies and estimates—Cash bonuses". In addition to the cash bonuses, Cost of revenue, net primarily increased due to a higher volume of payment processing fees directly related to the increase in reimbursement activity,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efforts in support and implementation services, amortization related to capitalized software as our research and development efforts continue to grow to develop new products and services, and increased outsourcing activities related to maintaining the platform. In addition, consideration from a vendor, which represents monetizing Expensify Card activities, reduced cost of revenue, net by $1.9 million and $0.6 million for the nine months ended September 30, 2021 and September 30, 2020, respectively. This increase in reduction to cost of revenue, net was driven primarily by increased adoption and spend captured from members on the Expensify Card.</w:t>
      </w:r>
    </w:p>
    <w:p>
      <w:pPr>
        <w:spacing w:after="0" w:line="124"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Gross margin increased to 67% for the nine months ended September 30, 2021 compared to 62% in the same period in 2020. The increase was primarily driven by the 64% increase in revenue for the nine months ended September 30, 2021 compared to the same period in 2020. Although revenue increased by 64% for the same period, cost of revenue, net did not increase at the same rate due to the factors described in the preceding paragraph.</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8,138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4,645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3,493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Research and development expenses increased by $ 3.5 million, or 75%, for the nine months ended September 30, 2021 compared to the same period in 2020. The increase is primarily driven by discretionary cash bonuses of $5.6 million paid out to employees directly engaged in the planning and preliminary project stage and post-implementation stage of new products and features that are crucial for the success of our Company as well as a related bonus accrual of $1.9 million during the nine months ended September 30, 2021 for discretionary cash bonuses to be paid to our employees during the fourth quarter of fiscal year 2021. For further detail over the cash bonuses, refer to the subsection titled "Critical accounting policies and estimates—Cash bonuses". These increases were partially offset by increased capitalization of internally developed software costs directly related to employee time spent in the application development stage of projects for our new products and features.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7"/>
                <w:szCs w:val="17"/>
                <w:color w:val="auto"/>
              </w:rPr>
            </w:pPr>
          </w:p>
        </w:tc>
        <w:tc>
          <w:tcPr>
            <w:tcW w:w="1860" w:type="dxa"/>
            <w:vAlign w:val="bottom"/>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r>
      <w:tr>
        <w:trPr>
          <w:trHeight w:val="210"/>
        </w:trPr>
        <w:tc>
          <w:tcPr>
            <w:tcW w:w="4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7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14,555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7,814</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6,741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Sales and marketing expenses increased by $6.7 million, or 86%, for the nine months ended September 30, 2021 compared to the same period in 2020. The increase was driven primarily by discretionary cash bonuses of $1.3 million paid out to employees directly engaged in sales and marketing activities as well as a related bonus accrual during the nine months ended September 30, 2021 for discretionary cash bonuses of $1.8 million to be paid to our employees during the fourth quarter of fiscal year 2021. For further detail over the cash bonuses, refer to the subsection titled "Critical accounting policies and estimates—Cash bonuses". The Company also increased advertising spend to gain further brand awareness. Following an Expensify Card launch advertising campaign during the first three months of 2020, we aggressively reduced our advertising and other sales and marketing expenses for the nine months ended September 30, 2020 due to the impact of the COVID-19 pandemic.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35,827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24,717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11,110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 and administrative expenses increased by $11.1 million, or 45%, for the nine months ended September 30, 2021 compared to the same period in 2020, primarily due to increased compensation of our executive employees and discretionary cash bonuses of $6.9 million paid out to employees directly engaged in general and administrative activities as well as a related bonus accrual of $7.7 million during the nine months ended September 30, 2021 for discretionary cash bonuses to be paid to our employees during the fourth quarter of fiscal year 2021. For further detail over the cash bonuses, refer to the subsection titled "Critical accounting policies and estimates—Cash bonuses". The increase was also due to higher professional service costs for accounting, auditing, and legal services related to our annual financial statement audits and quarterly reviews.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(400)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Interest and other expenses, net increased by $0.4 million, or 19% for the nine months ended September 30, 2021 compared to the same period in 2020. The increase was driven by the U.S. dollar getting stronger in 2021 resulting in higher foreign transaction exchange losses.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706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3,276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recorded a $ 0.7 million benefit for income taxes for the nine months ended September 30, 2021 compared to a $2.6 million provision for income taxes for the same period in 2020.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4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tax benefit for the nine months ended September 30, 2021 was affected primarily by our change to the estimated taxable income for the annual period ended December 31, 2021 as a result of the one time bonus expenses we incurred during the nine months ended September 30, 2021 as well as expected bonus expenses to be incurred during the fiscal quarter ended December 31, 2021. During the nine months ended September 30, 2020, we had a loss before income taxes, however a significant secondary market transaction occurred that was not tax deductible, which resulted in taxes owed on the transaction.</w:t>
      </w:r>
    </w:p>
    <w:p>
      <w:pPr>
        <w:spacing w:after="0" w:line="1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addition, we prepared our interim tax provision by applying a year-to-date effective tax rate starting in the three months ended September 30, 2021. For the nine months ended September 30, 2020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first two fiscal quarters of 2021, we prepared our interim tax provision by applying an annual effective tax rate. We believe that using the actual year-to-date effective tax rate going forward results in the best estimate of the annual effective tax rate.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183"/>
        </w:trPr>
        <w:tc>
          <w:tcPr>
            <w:tcW w:w="44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(6,523)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7,422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16,410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16,582</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1"/>
        </w:trPr>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39" w:lineRule="exact"/>
        <w:rPr>
          <w:sz w:val="20"/>
          <w:szCs w:val="20"/>
          <w:color w:val="auto"/>
        </w:rPr>
      </w:pPr>
    </w:p>
    <w:p>
      <w:pPr>
        <w:ind w:right="680"/>
        <w:spacing w:after="0" w:line="352" w:lineRule="auto"/>
        <w:rPr>
          <w:sz w:val="20"/>
          <w:szCs w:val="20"/>
          <w:color w:val="auto"/>
        </w:rPr>
      </w:pPr>
      <w:r>
        <w:rPr>
          <w:rFonts w:ascii="Arial" w:cs="Arial" w:eastAsia="Arial" w:hAnsi="Arial"/>
          <w:sz w:val="18"/>
          <w:szCs w:val="18"/>
          <w:color w:val="auto"/>
        </w:rPr>
        <w:t xml:space="preserve">The following table reconciles the most directly comparable GAAP financial measure to each of these non-GAAP financial measures. </w:t>
      </w:r>
      <w:r>
        <w:rPr>
          <w:rFonts w:ascii="Arial" w:cs="Arial" w:eastAsia="Arial" w:hAnsi="Arial"/>
          <w:sz w:val="18"/>
          <w:szCs w:val="18"/>
          <w:i w:val="1"/>
          <w:iCs w:val="1"/>
          <w:color w:val="auto"/>
        </w:rPr>
        <w:t>Adjusted EBITDA and adjusted EBITDA margin</w:t>
      </w:r>
    </w:p>
    <w:tbl>
      <w:tblPr>
        <w:tblLayout w:type="fixed"/>
        <w:tblInd w:w="0" w:type="dxa"/>
        <w:tblCellMar>
          <w:top w:w="0" w:type="dxa"/>
          <w:left w:w="0" w:type="dxa"/>
          <w:bottom w:w="0" w:type="dxa"/>
          <w:right w:w="0" w:type="dxa"/>
        </w:tblCellMar>
      </w:tblPr>
      <w:tr>
        <w:trPr>
          <w:trHeight w:val="197"/>
        </w:trPr>
        <w:tc>
          <w:tcPr>
            <w:tcW w:w="43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3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183"/>
        </w:trPr>
        <w:tc>
          <w:tcPr>
            <w:tcW w:w="4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8,329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(3,452)</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Pr>
          <w:p>
            <w:pPr>
              <w:spacing w:after="0"/>
              <w:rPr>
                <w:sz w:val="19"/>
                <w:szCs w:val="19"/>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2,570</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2,160</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2,353</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11,765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12,951</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(6,523)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7,422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16,410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16,582</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5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 of September 30, 2021, we had $68.1 million in cash and cash equivalents. Since our inception, we have financed our operations primarily through our cash flow from operations, sales of our equity securities and borrowings under our credit facilities. In November 2021, we completed our IPO in which we received aggregate net proceeds of approximately $ 57.5 million after deducting underwriting discounts and commissions of approximately $4.9 million and offering costs of approximately $8.0 million. As of September 30, 2021, we had $67.6 million in outstanding indebtedness.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growth strategy and the additional expenses we expect to incur as a public company for at least the next 12 months.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Bonuses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described in the subsection titled "Critical accounting policies and estimates—Cash bonuses,” we determined that we would pay a cash bonus to each of our employees in a value that approximates the cost of each employee exercising 45% of their total stock options, limited by the total stock options outstanding and held by each existing employee as of June 15, 2021, including the tax withholding applicable to each employee. We included both vested and unvested stock options outstanding and held by each existing employee as of June 15, 2021 by each employee in determining the cash bonus paid. No employee is obligated to use the cash bonus to exercise their outstanding stock options.</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fourth quarter of the year ended December 31, 2021, we intend to use a portion of the net proceeds we received from completion of our IPO to pay the remaining discretionary cash bonuses to our employees, the total of which we currently estimate at approximately $27.8 million as of the date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9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r>
      <w:tr>
        <w:trPr>
          <w:trHeight w:val="183"/>
        </w:trPr>
        <w:tc>
          <w:tcPr>
            <w:tcW w:w="7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operating activities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34,580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rPr>
              <w:t>(4,392)</w:t>
            </w:r>
          </w:p>
        </w:tc>
        <w:tc>
          <w:tcPr>
            <w:tcW w:w="100" w:type="dxa"/>
            <w:vAlign w:val="bottom"/>
            <w:shd w:val="clear" w:color="auto" w:fill="CCEEFF"/>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(6,999)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center"/>
              <w:ind w:left="314"/>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17,564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97"/>
              </w:rPr>
              <w:t>8,463</w:t>
            </w:r>
          </w:p>
        </w:tc>
        <w:tc>
          <w:tcPr>
            <w:tcW w:w="10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45,145</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color w:val="auto"/>
                <w:w w:val="97"/>
              </w:rPr>
              <w:t>1,163</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(Used) by Operating Activities</w:t>
      </w:r>
    </w:p>
    <w:p>
      <w:pPr>
        <w:spacing w:after="0" w:line="18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During the nine months ended September 30, 2021, cash provided by operating activities was $34.6 million, which was primarily driven by net income, non-cash charges including depreciation and amortization and stock-based compensation, increases in settlement liabilities which represent increased expense reimbursement activity, and increases in accrued expenses and other liabilities primarily resulting from employee compensation related to discretionary cash bonuses to be paid to employees. The timing of the settlement of certain operating liabilities and receipt of certain operating assets can affect the amounts reported as net cash provided by operating activities on the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of cash flows. The main offsets to net cash provided by operating activities were due to the timing of receipt of certain operating assets such as accounts receivable.</w:t>
      </w:r>
    </w:p>
    <w:p>
      <w:pPr>
        <w:spacing w:after="0" w:line="11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Net cash provided (used) by operating activities increased for the nine months ended September 30, 2021 compared to the same period in 2020 primarily due to an increase in net income and net changes in operating assets and liabilities, particularly for settlement liabilities and accrued expenses and other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nine months ended September 30, 2021, cash used in investing activities was $7.0 million, primarily consisting of the purchase of property and equipment related to the build-out of our offices in Portland and San Francisco and software development costs.</w:t>
      </w:r>
    </w:p>
    <w:p>
      <w:pPr>
        <w:spacing w:after="0" w:line="117"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Net cash used in investing activities increased for the nine months ended September 30, 2021 compared to the same period in 2020 primarily due to the increased activity during 2021 related to the build-out of our offices in Portland and San Francisco and software development costs as we continue to invest in our platform.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nine months ended September 30, 2021, cash provided by financing activities was $17.6 million, primarily consisting of proceeds from our amended and restated loan and security agreement with CIBC and exercises of stock options partially offset by principal payments to fully payoff our remaining principal balances on our amortizing and non-amortizing term loans with CIBC and payments of deferred offering costs related to our IPO.</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cash provided by financing activities increased for the nine months ended September 30, 2021 compared to the same period in 2020 primarily due to the proceeds received from our amended and restated loan and security agreement with CIBC net of principal payments made to fully payoff our amortizing and non-amortizing term loans with CIBC as well as increased proceeds from exercises of stock options. These increases were partially offset by the borrowings under our line of credit that occurred during the nine months ended September 30, 2020.</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Financing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2019, we purchased a commercial building in Portland, Oregon. In connection with the purchase, we entered into a credit agreement with CIBC that provides for a $8.3 million amortizing term mortgage. The agreement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September 30, 2021 and December 31, 2020, the outstanding balance of the amortizing term mortgage was $8.0 million and $8.1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loan and security agreement with CIBC, as amended and restated in September 2021 (2021 amended term loan), includes a $75.0 million term loan, consisting of a $45.0 million initial term loan with an option at a later date to enter into an additional $30.0 million delayed term loan, and a $25.0 million revolving line of credit. Approximately $24.0 million of the loan proceeds were used to immediately repay the remaining balances under the amortizing and non-amortizing term loans at the time of the amendment and restatement in September 2021 as well as the commitment fees and any other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associated with the amended agreement. The remaining proceeds from the initial term loan went towards the Company's normal business operations and towards debt issuance costs.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loan and security agreement was originally entered into in May 2018. The initial term loan of $45.0 million entered into by the Company in September 2021 is payable over a 60 month period with principal and accrued interest payments due each quarter thereafter, which commences with the first payment due on September 30, 2021. Quarterly principal payments are fixed and escalate throughout the term. The amounts borrowed are payable with interest at the bank’s reference rate plus 2.25% (5.5% as of September 30, 2021) and continuing on a quarterly basis through the end of the term loan. The borrowings are secured by substantially all the Company’s assets. As of September 30, 2021, the outstanding balance of the 2021 amended term loan and revolving line of credit was $44.9 million and $15.0 million, respectively.The term loan and revolving line of credit mature in September 2026 and September 2024, respectively.</w:t>
      </w:r>
    </w:p>
    <w:p>
      <w:pPr>
        <w:spacing w:after="0" w:line="139" w:lineRule="exact"/>
        <w:rPr>
          <w:sz w:val="20"/>
          <w:szCs w:val="20"/>
          <w:color w:val="auto"/>
        </w:rPr>
      </w:pPr>
    </w:p>
    <w:p>
      <w:pPr>
        <w:ind w:right="640"/>
        <w:spacing w:after="0" w:line="414" w:lineRule="auto"/>
        <w:rPr>
          <w:sz w:val="20"/>
          <w:szCs w:val="20"/>
          <w:color w:val="auto"/>
        </w:rPr>
      </w:pPr>
      <w:r>
        <w:rPr>
          <w:rFonts w:ascii="Arial" w:cs="Arial" w:eastAsia="Arial" w:hAnsi="Arial"/>
          <w:sz w:val="18"/>
          <w:szCs w:val="18"/>
          <w:color w:val="auto"/>
        </w:rPr>
        <w:t xml:space="preserve">See Note 7 to our consolidated financial statements included elsewhere in this Quarterly Report on Form 10-Q for further information. </w:t>
      </w:r>
      <w:r>
        <w:rPr>
          <w:rFonts w:ascii="Arial" w:cs="Arial" w:eastAsia="Arial" w:hAnsi="Arial"/>
          <w:sz w:val="18"/>
          <w:szCs w:val="18"/>
          <w:b w:val="1"/>
          <w:bCs w:val="1"/>
          <w:i w:val="1"/>
          <w:iCs w:val="1"/>
          <w:color w:val="auto"/>
        </w:rPr>
        <w:t>Certain Covenants</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subject to customary covenants under our loan and security agreement,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for the first year, a total annual recurring revenue leverage ratio not to exceed 0.8 to 1.0, tested on the last day of each fiscal quarter, and maintaining liquidity at times not less than $10.0 million, in each case as defined in the loan and security agreement; and thereafter, a total EBITDA net leverage ratio,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1.00, tested on the last day of each calendar quarter.</w:t>
      </w:r>
    </w:p>
    <w:p>
      <w:pPr>
        <w:spacing w:after="0" w:line="144"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were in compliance with all debt covenants.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contractual obligations and commitments primarily consist of obligations under financing arrangements, operating leases for corporate offices, and finance leases for data center equipment. For additional information on financing arrangements, operating leases, and finance leases, see Note 5 and Note 7 to our consolidated financial statements included elsewhere in this Quarterly Report on Form 10-Q for further information. Except for our financing arrangements, there have been no material changes in our contractual obligations and commitments, as disclosed in the Prospectus.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income, consolidated statements of convertible preferred stock and stockholder's deficit, or consolidated statements of cash flows.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consolidated financial statements included elsewhere herein have been prepared in accordance with U.S. generally accepted accounting principles.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While our significant accounting policies are more fully described in the notes to our consolidated financial statements included elsewhere herein, we believe that the following accounting policies and estimates are critical to our business operations and understanding of our financial results. See Note 2 to our consolidated financial statements contained elsewhere herein for a description of our other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Employee-related Expenses</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Allocating our employee and employee-related expenses, which consist of contractor costs, employee salary and wages, stock-based compensation and travel and other employee-related costs, to their appropriate financial statement line items on the consolidated statements of income, requires us to make estimates and judgments as a result of our generalist model and organizational structure. We base our estimates for allocating employee and employee related expenses on our internal time tracking tools. Management reviews the estimates each reporting period to evaluate the estimate of the allocated amounts to each expense financial statement line item in the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We generate revenue from subscription fees paid by our customers to access and use our hosted software services, as well as standard customer support. We adopted Accounting Standard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 of January 1, 2019, utilizing the full retrospective method of transition.</w:t>
      </w:r>
    </w:p>
    <w:p>
      <w:pPr>
        <w:spacing w:after="0" w:line="134"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We recognize revenue when control of the promised goods or services is transferred to customers, in an amount that reflects the consideration we expect to be entitled to in exchange for those goods or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Topic 606, we determine the amount of revenue to be recognized through the following five-step framework:</w:t>
      </w:r>
    </w:p>
    <w:p>
      <w:pPr>
        <w:spacing w:after="0" w:line="158"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 In May 2020, we updated our terms of service, which resulted in annual contracts becoming noncancelable and a pricing change, which led to an increase in the per member price for paid members.</w:t>
      </w:r>
    </w:p>
    <w:p>
      <w:pPr>
        <w:spacing w:after="0" w:line="1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charge our customers subscription fees for access to our platform based on the number of monthly members and level of service. The contractual price per member is based on either negotiated fees or rates published on our website. Our contracts with our customers include two performance obligations: access to the hosted software service (SaaS), inclusive of all features available within the platform, and related customer support. We account for the SaaS and the support as a combined performance obligation because they have the same pattern of transfer over the same period and are therefore delivered concurrently. We satisfy our performance obligation over time each month as we provide the SaaS and support services to customers and as such generally recognize revenue monthly based on the number of monthly members and contractual rate per member.</w:t>
      </w:r>
    </w:p>
    <w:p>
      <w:pPr>
        <w:spacing w:after="0" w:line="13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We account for these options when the customer exercises the option as they do not represent a material right, and we account for them as a contract modification when exercised by the customer.</w:t>
      </w:r>
    </w:p>
    <w:p>
      <w:pPr>
        <w:spacing w:after="0" w:line="13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recognize revenue net of applicable taxes imposed on the related transaction. We charge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us over a twelve month period, we recorded revenue for such contracts on a straight line basis over the twelve month period affected by the price increase. This resulted in contract assets that consist of unbilled receivables for revenue recognized in excess of billings. We recorded contract assets for unbilled receivables of $0.1 million and $1.2 million within Other current assets on our consolidated balance sheets as of September 30, 2021 and December 31, 2020, respectively. The contract asset will decrease as the price increase is applied to the amounts billed to customers, over the twelve month period. Since our performance obligation is satisfied monthly, at any reporting period, we have no unsatisfied, or partially unsatisfied, performance obligations.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80"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Prior to the IPO,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36"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third-party valuations of our common stock;</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price range of our common stock upon IPO determined by bankers;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57" w:lineRule="exact"/>
        <w:rPr>
          <w:rFonts w:ascii="Arial" w:cs="Arial" w:eastAsia="Arial" w:hAnsi="Arial"/>
          <w:sz w:val="18"/>
          <w:szCs w:val="18"/>
          <w:color w:val="auto"/>
        </w:rPr>
      </w:pPr>
    </w:p>
    <w:p>
      <w:pPr>
        <w:ind w:left="340" w:right="200" w:hanging="332"/>
        <w:spacing w:after="0" w:line="261"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estimates of future financial performance;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valuations of comparable companies;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status of our development, product introduction and sales efforts;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industry information, such as market growth and volume and macro-economic events;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our business.</w:t>
      </w:r>
    </w:p>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2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As an additional indicator of fair value, we provided weighting to arm’s-length transactions involving issuances of our securities near the respective valuation dates.</w:t>
      </w:r>
    </w:p>
    <w:p>
      <w:pPr>
        <w:spacing w:after="0" w:line="13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Following our initial public offering, it will not be necessary to determine the fair value of our common stock, as our shares will be traded in the public market.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account for stock-based compensation under the fair value recognition and measurement provisions of U.S. generally accepted accounting principles. Those provisions require all stock-based awards granted to employees, including stock options and restricted stock units,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utilize the Black-Scholes option pricing model to determine the estimated fair value of stock options. We recognize these stock-based compensation costs on a straight-line basis over the requisite service period of the award, which is generally the option vesting term of four years. We record forfeitures as they occur.</w:t>
      </w:r>
    </w:p>
    <w:p>
      <w:pPr>
        <w:spacing w:after="0" w:line="12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Black-Scholes option pricing model requires management to make a number of assumptions, including the fair value and expected volatility of our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We also consider prices at which others have purchased our stock, and the likelihood and timing of achieving a liquidity event. When awards are granted or revalued between the dates of valuation reports, we consider the change in common stock fair value and the amount of time that lapsed between the two reports to determine whether to use the latest common stock valuation or an interpolation between two valuation dates for purposes of valuing stock-based awards. We estimate the volatility of our common stock at the date of grant based on the expected weighted-average volatility for a group of publicly traded companies in a similar industry or with similar service offerings, with a term of one year or greater. The expected life represents the period that the our stock-based award is expected to be outstanding. The expected life for option grants is determined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 at the time of grant. The expected dividend yield is assumed to be zero as we have not paid and do not expect to pay dividends.</w:t>
      </w:r>
    </w:p>
    <w:p>
      <w:pPr>
        <w:spacing w:after="0" w:line="14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Subsequent to the completion of the IPO, the fair value of our underlying common stock will be determined by the closing price, on the date of grant, of our Class A common stock, which is traded on the Nasdaq Global Select Market.</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24, 2021, we granted to employees restricted stock units (RSUs) that settle in shares of Class A and LT50 common stock, effective as of immediately before the effectiveness of the IPO Registration Statement on November 9, 2021. As such, these are considered to be RSUs with a performance condition for accounting purposes. We measure these RSUs based on the fair value of the underlying common stock on the grant date, which was consistent with the factors described within the Black-Scholes option pricing model. Subsequent to the completion of the IPO, the fair value of our underlying common stock will be determined by the closing price, on the date of grant, of its Class A common stock, which is traded on the Nasdaq Global Select Market.</w:t>
      </w:r>
    </w:p>
    <w:p>
      <w:pPr>
        <w:spacing w:after="0" w:line="1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Once the performance condition is satisfied for these RSUs, we will recognize stock-based compensation costs on a straight-line basis over the requisite service period of the award, which is generally the RSU vesting term of eight years. For these RSUs, we will recognize a cumulative one-time stock-based compensation expense on the date the performance condition is satisfied for the service period satisfied prior to this date and recognize all remaining stock-based compensation expense for RSUs over the remaining requisite service period. Forfeitures are recorded as they occur.</w:t>
      </w:r>
    </w:p>
    <w:p>
      <w:pPr>
        <w:spacing w:after="0" w:line="13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 during the three months and nine months ended September 30, 2021 and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Bonuses</w:t>
      </w:r>
    </w:p>
    <w:p>
      <w:pPr>
        <w:spacing w:after="0" w:line="16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July 2021, we determined that we would pay a cash bonus to each of our employees in a value that approximates the cost of each employee exercising 45% of their total stock options issued, limited by the total stock options outstanding as of June 15, 2021, including the tax withholding applicable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employee. We included both vested and unvested stock options outstanding and held by each existing employee as of June 15, 2021 to each employee in determining the cash bonus paid.</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to using the exercise cost of the stock options through June 15, 2021, management relied on an estimate to determine the tax withholding that could be applicable to each employee based on if they were to exercise the stock options. In order to determine this estimate, we relied on third-party tax consultants that reviewed a number of assumptions provided by management, including the applicable taxable income to the employee as a result of the cash bonus in 2021 and the spread of the fair value of the options based on the latest independent third-party common stock valuation and the exercise price of the same options applicable to each employee. No employee was obligated to use the cash bonus to exercise their outstanding stock options.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fourth quarter of the year ended December 31, 2021, we intend to use a portion of the net proceeds we received from completion of our IPO to pay the remaining discretionary cash bonuses to our employees, the total of which we currently estimate at approximately $27.8 million as of the date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See Note 2 to our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 Status</w:t>
      </w:r>
    </w:p>
    <w:p>
      <w:pPr>
        <w:spacing w:after="0" w:line="17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 a hypothetical 10% change in interest rates would not have a material impact on our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such evaluation, and as discussed below, our chief executive officer and chief financial officer have concluded that as of September 30, 2021, our disclosure controls and procedures were not effective at a reasonable assurance level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previously identified, in connection with our management’s assessment of controls over financial reporting during the years ended December 31, 2020 and 2019, we identified a material weakness in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we identified related to having insufficient technical skills to address complex issues combined with insufficient accounting staff to implement the processes and reviews necessary to ensure material misstatements did not occur.</w:t>
      </w:r>
    </w:p>
    <w:p>
      <w:pPr>
        <w:spacing w:after="0" w:line="14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address this material weakness,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strengthen our accounting systems. We will not be able to sufficiently remediate these control deficiencies until these steps have been completed and the controls have been operating effectively for a sufficient period of time. If any of these new or improved controls and systems do not perform as expected, we may continue to experience material weaknesses in our controls.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Except for the remediation efforts described above, 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 Other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the other information in this Quarterly Report on Form 10-Q,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13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1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quarterly and annual results of operations, including the levels of our revenue, deferred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3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demand across our platform and for individual features within our platform;</w:t>
      </w:r>
    </w:p>
    <w:p>
      <w:pPr>
        <w:spacing w:after="0" w:line="144" w:lineRule="exact"/>
        <w:rPr>
          <w:rFonts w:ascii="Arial" w:cs="Arial" w:eastAsia="Arial" w:hAnsi="Arial"/>
          <w:sz w:val="18"/>
          <w:szCs w:val="18"/>
          <w:color w:val="auto"/>
        </w:rPr>
      </w:pPr>
    </w:p>
    <w:p>
      <w:pPr>
        <w:ind w:left="340" w:right="160" w:hanging="332"/>
        <w:spacing w:after="0" w:line="254"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grow or maintain our gross logo retention rate and net seat retention rate (each as described under the section titled "Management's discussion and analysis of financial condition and results of operations—Key factors affecting our performance— Retaining existing customers" in our prospectus on Form S-1), expand usage within organizations, retain and increase sales to existing customers and attract new members and customers;</w:t>
      </w:r>
    </w:p>
    <w:p>
      <w:pPr>
        <w:spacing w:after="0" w:line="136"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predictably generate revenue through marketing and sales efforts;</w:t>
      </w:r>
    </w:p>
    <w:p>
      <w:pPr>
        <w:spacing w:after="0" w:line="144"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right="560" w:hanging="332"/>
        <w:spacing w:after="0" w:line="261"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grow and maintain our relationships and/or integrations with our network of third-party partners, including integration partners, channel partners and professional service partners;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regulate members and member interactions on an increasingly collaborative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grow revenue share and customer referrals from our partner ecosystem;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our customers’ businesses;</w:t>
      </w:r>
    </w:p>
    <w:p>
      <w:pPr>
        <w:spacing w:after="0" w:line="157" w:lineRule="exact"/>
        <w:rPr>
          <w:rFonts w:ascii="Arial" w:cs="Arial" w:eastAsia="Arial" w:hAnsi="Arial"/>
          <w:sz w:val="18"/>
          <w:szCs w:val="18"/>
          <w:color w:val="auto"/>
        </w:rPr>
      </w:pPr>
    </w:p>
    <w:p>
      <w:pPr>
        <w:ind w:left="340" w:right="120" w:hanging="332"/>
        <w:spacing w:after="0" w:line="261"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 and features, including the Expensify Card and any new features we may introduce;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customers on annual subscriptions;</w:t>
      </w:r>
    </w:p>
    <w:p>
      <w:pPr>
        <w:spacing w:after="0" w:line="144"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improve employee efficiency, and our ability to manage third party, outsourced or open source workers to provide value-added services like receipt processing, customer support and engineering;</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and features, which would lead to lower revenue, increased costs, or both;</w:t>
      </w:r>
    </w:p>
    <w:p>
      <w:pPr>
        <w:spacing w:after="0" w:line="157" w:lineRule="exact"/>
        <w:rPr>
          <w:rFonts w:ascii="Arial" w:cs="Arial" w:eastAsia="Arial" w:hAnsi="Arial"/>
          <w:sz w:val="18"/>
          <w:szCs w:val="18"/>
          <w:color w:val="auto"/>
        </w:rPr>
      </w:pPr>
    </w:p>
    <w:p>
      <w:pPr>
        <w:ind w:left="340" w:right="440" w:hanging="332"/>
        <w:spacing w:after="0" w:line="261"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to our platform and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ineffective pricing strategies that could limit customer base expansion, revenue growth and subscription renewals;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57" w:lineRule="exact"/>
        <w:rPr>
          <w:rFonts w:ascii="Arial" w:cs="Arial" w:eastAsia="Arial" w:hAnsi="Arial"/>
          <w:sz w:val="18"/>
          <w:szCs w:val="18"/>
          <w:color w:val="auto"/>
        </w:rPr>
      </w:pPr>
    </w:p>
    <w:p>
      <w:pPr>
        <w:ind w:left="340" w:right="340" w:hanging="332"/>
        <w:spacing w:after="0" w:line="261"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epidemics, such as the COVID-19 pandemic, or other conditions that impact travel and business spending; and</w:t>
      </w:r>
    </w:p>
    <w:p>
      <w:pPr>
        <w:spacing w:after="0" w:line="157"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market conditions in either domestic or international markets, including geopolitical uncertainty and instability and their effects on software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11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experienced rapid growth in recent periods prior to the COVID-19 pandemic, and those growth rates may not be indicative of our future growth, and we may not be able to maintain profitability.</w:t>
      </w:r>
    </w:p>
    <w:p>
      <w:pPr>
        <w:spacing w:after="0" w:line="1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experienced rapid growth in recent periods prior to the COVID-19 pandemic. Our business has been impacted by the COVID-19 pandemic, with declines in revenue and paid members due to government-imposed lock-downs, a decrease in business travel and other expense-generating activity, and SMBs downsizing or going out of business, among other things. While we have seen an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spacing w:after="0" w:line="124"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new individuals and organizations to use our features, particularly our expense management feature;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 or maintain our gross logo retention rate and net seat retention rate, and expand usage within organizations;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our subscription plans effectively and competitively;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 our existing individual and organizational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features, including in markets outside of the United States;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successfully advance our bottom-up sales strategy as well as strategic relationships with our channel partners;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maintain and build a platform and brand that drives word of mouth exposure to new potential members;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 or maintain our brand through marketing, advertising campaigns, partnerships and other methods;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gain member traction for and generate revenue from our new features and services;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 or maintain current levels of consideration from a vendor and/or fees generated through transaction-based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 and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 and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the trust of our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respond to other competitive challenges in the United States and globally;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hire and retain highly skilled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 the impact of the COVID-19 pandemic and the end of the COVID-19 pandemic on our business;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grow our member and customer base in new countries and/or markets, and increase awareness of our brand on a global basis; and</w:t>
      </w:r>
    </w:p>
    <w:p>
      <w:pPr>
        <w:spacing w:after="0" w:line="144"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compliance and licenses material to our current and future businesses, and comply with existing and new applicable laws and regulations including in markets outside of the United States.</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The COVID-19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financial condition and growth prospects.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COVID-19 pandemic and the measures attempting to contain and control its spread have significantly curtailed the movement of people, goods and services worldwide. The effects of the COVID-19 pandemic, including stay at home, business closure and other restrictive orders, and the resulting changes in business and consumer expenditures and other behaviors, have disrupted our business and impacted our employees, partners, third-party service providers and customers.</w:t>
      </w:r>
    </w:p>
    <w:p>
      <w:pPr>
        <w:spacing w:after="0" w:line="13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particular, conditions caused by the COVID-19 pandemic such as economic instability, remote work and travel restrictions have negatively affected demand for our platform as employees incurred fewer work- and travel-related expenses and submitted fewer expense reimbursement requests to their employers, and as SMBs downsized or went out of business. As a result of the COVID-19 pandemic, we have experienced a decline in paid members and subscription revenue, with our revenue declining from approximately $21.9 million in the quarter ended March 31, 2020 to approximately $18.8 million in the quarter ended June 30, 2020, as well as reduced customer spend as customers have streamlined travel and other expenses, delayed expanding subscriptions and laid off or furloughed workers. After a steady increase in paid members over multiple years prior to the COVID-19 pandemic, the average number of paid members on our platform declined 15% from 742,000 in the quarter ended March 31, 2020 to 630,000 in the quarter ended June 30, 2020 and we have rebounded to 667,000 paid members in the quarter ended September 30, 2021. Our activity is still recovering from May 2020 as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and certain other parts of the world continue to rebound from the COVID-19 pandemic. The amount of expenses incurred by the paid members remaining on our platform has also declined. In 2019 and 2020, our annual gross logo retention was 88% and 86%, respectively. In 2019 and 2020, our net seat retention was 119% and 98%, respectively. The COVID-19 pandemic impacted both our annual gross logo retention and our net seat retention as many of our customers ceased (or paused) operations, and scaled back usage of our platform as their business travel and other expenses declined as a result of the factors stated above. In addition, we launched the Expensify Card shortly prior to the outbreak of the COVID-19 pandemic, and this product launch has been negatively impacted by the effects of this pandemic with the decline in volume of expenses and potential customers' reluctance to adopt a new card in this unusual environment. If conditions caused by the COVID-19 pandemic continue, our business, results of operations, financial condition and growth prospects will be materially adversely affected. In addition, to the extent the ongoing COVID-19 pandemic continues to adversely affect our business and our ability to grow, it may also heighten many of the other risks and uncertainties described in this “Risk factors” section.</w:t>
      </w:r>
    </w:p>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COVID-19 pandemic has caused an economic downturn in many markets and heightened uncertainty in the global economy. Our business depends on the economic health of our current and prospective customers and the overall state of the economy. Declining levels of economic activity may lead to declines in business spending, declines in the number of paid monthly members of our platform and fewer transactions for which our platform may be used, which may result in decreased revenue for us. Further, our customers may change their company policies to limit expense reimbursement in response to a deterioration or continued uncertainty in the economy. Uncertainty or continued economic impacts from the pandemic may also cause prospective or existing customers to defer investment or expansion in their businesses. As of September 30, 2021, businesses with fewer than 1,000 employees accounted for approximately 95% of our customers by revenue, and we focus our product, marketing and sales efforts on these businesses, including SMBs. Many very small businesses (“VSBs”) and SMBs experienced substantial revenue and cash liquidity declines in the early months of the pandemic, and there were high observed rates of small business failures. Uncertain and adverse economic conditions also have led to increased requests for, and may lead to, increased refunds and chargebacks. We expect the COVID-19 pandemic and related impacts on the global economy to continue to affect our results of operations in future periods, and our member base may not return to pre-pandemic levels.</w:t>
      </w:r>
    </w:p>
    <w:p>
      <w:pPr>
        <w:spacing w:after="0" w:line="1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degree to which the COVID-19 pandemic will continue to affect our business will depend on future developments that are highly uncertain and cannot currently be predicted. These developments include, but are not limited to, the duration, extent and severity of the pandemic; actions taken to contain the COVID-19 pandemic, including the development, approval, production, distribution and administration of vaccines, and the public’s perception of the safety of vaccines and their willingness to receive them; rising infection rates and the emergence of new variants, including the Delta variant; the ultimate societal impact of the pandemic and any lasting changes in business and consumer behavior, including with respect to remote work, business travel and business expense spending and reimbursement; the duration and nature of pandemic-related restrictions on economic activity and domestic and international trade; and the extent of the impact of these and other factors on our employees, partners, third-party service providers and customers. We cannot predict whether, when and to what extent pre-pandemic business SaaS spending, employee business expense spending and submission, and pre-pandemic ways of working will return, including whether demand for expense management products will return to pre-pandemic levels.</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response to the COVID-19 pandemic, we have taken a number of actions that have impacted and continue to impact our business and which could negatively impact our culture, our marketing initiatives, our expansion efforts and our ability to retain and recruit employees across the organization. For example, we reduced our 2020 marketing spend in response to the COVID-19 pandemic. Travel is an important part of our business and our culture, and prior to the COVID-19 pandemic, we hosted global conferences and an annual “Offshore” trip for our employees. We have a distributed workforce, and 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of our employees were accustomed to traveling frequently prior to the pandemic to establish and maintain relationships with each other and with our customers, members, business partners, vendors and others. Prior to the pandemic, we began to transition our offices to co-working spaces, which we call lounges, with the goal of creating flexible workspaces that can be shared by Expensify employees and certain Expensify members. This initiative has been disrupted by the pandemic, and it is unclear when, and if, members will have access to these co-working spaces and whether they will be successful in the post-pandemic business climate. While we expect to return to offering our employees, and possibly others, the option to work from our lounges, we expect there to be an increase in sustained remote work as a result of the COVID-19 pandemic. If we must continue to limit or suspend travel, use of our lounges, and in-person business on a long-term basis, our culture, marketing initiatives, expansion efforts and ability to recruit and retain employees could be negatively affected.</w:t>
      </w:r>
    </w:p>
    <w:p>
      <w:pPr>
        <w:spacing w:after="0" w:line="1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the extent there is a sustained general economic downturn, whether or not related to the COVID-19 pandemic, our customers may become more price-sensitive, our platform may be perceived by customers and potential customers as too costly, and our revenue may be disproportionately affected by delays or reductions in general business spending. Our VSB and SMB customers may be more susceptible to general economic conditions than larger businesses, which may have greater liquidity and access to capital.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whether or not related to the COVID-19 pandemic. As a result, our larger competitors may be better positioned than we are to increase their market share with businesses of all sizes. In addition, the increased pace of consolidation in certain industries may result in reduced overall 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2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recently increased our subscription prices, and we do not know if these price increases will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12"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 expanding usage within organizations. Our business is subscription-based, with monthly and annual subscriptions, and customers are not obligated to and may not renew their subscriptions after their existing subscriptions expire.</w:t>
      </w:r>
    </w:p>
    <w:p>
      <w:pPr>
        <w:spacing w:after="0" w:line="13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4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While we experienced significant growth in the number of our customers prior to the COVID-19 pandemic, we do not know whether we will continue to achieve similar customer growth rates in the future. The COVID-19 pandemic significantly impacted the number of our paid members, and our member base has not recovered and may never recover. Numerous factors may impede our 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convert individuals and organizations using our free basic features and trial subscriptions into paying customers, expand usage within organizations, increase use of our other features such as the Expensify Card and gain new subscriptions, including but not limited to, the continuing impacts of the COVID-19 pandemic;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such as the pricing change implemented in May 2020;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may fail to accurately predict the optimal pricing strategies necessary to attract new customers, retain existing customers and respond to changing market conditions.</w:t>
      </w:r>
    </w:p>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spacing w:after="0" w:line="10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face significant competitive challenges from do-it-yourself approaches as well as companies that provide traditional horizontal platform solutions with expense management features, corporate card 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result in decreased revenue, and our business, results of operations and financial condition would be adversely affected.</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there are a number of competing companies that provide traditional horizontal platform solutions with expense management features, some of which have substantially greater revenue, personnel and other resources than we do, such as Intuit, Oracle Corporation (NetSuite), SAP AG (Concur) and Workday.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including Bento, Brex, Divvy, Emburse (Certify, Abacus and Nexonia), Expensya, Fyle, Happay, Pleo, Ramp, Spendesk, TravelBank, Webexpenses and Zoho Expense.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 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 successfully and effectively compete with current or future competitors could cause us to lose business and harm our revenue growth, business, results of operations and financial condition.</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spacing w:after="0" w:line="11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spacing w:after="0" w:line="13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Expensify Payments LLC (“Expensify Payments”) is a licensed money transmitter (or its equivalent) in various U.S. states and territories and is in the process of obtaining money transmission licenses in a number of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 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regulatory requirements, and we have been subject to fines and other penalties by state regulatory 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spacing w:after="0" w:line="117" w:lineRule="exact"/>
        <w:rPr>
          <w:sz w:val="20"/>
          <w:szCs w:val="20"/>
          <w:color w:val="auto"/>
        </w:rPr>
      </w:pPr>
    </w:p>
    <w:p>
      <w:pPr>
        <w:ind w:left="340" w:right="82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or entities;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additional customer identification and customer due diligence requirements;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157" w:lineRule="exact"/>
        <w:rPr>
          <w:rFonts w:ascii="Arial" w:cs="Arial" w:eastAsia="Arial" w:hAnsi="Arial"/>
          <w:sz w:val="18"/>
          <w:szCs w:val="18"/>
          <w:color w:val="auto"/>
        </w:rPr>
      </w:pPr>
    </w:p>
    <w:p>
      <w:pPr>
        <w:ind w:left="340" w:right="12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interest earned on customer funds, transaction fees, and revenue derived from foreign exchange;</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originated in a country to be invested in that country or held in trust until paid;</w:t>
      </w:r>
    </w:p>
    <w:p>
      <w:pPr>
        <w:spacing w:after="0" w:line="157" w:lineRule="exact"/>
        <w:rPr>
          <w:rFonts w:ascii="Arial" w:cs="Arial" w:eastAsia="Arial" w:hAnsi="Arial"/>
          <w:sz w:val="18"/>
          <w:szCs w:val="18"/>
          <w:color w:val="auto"/>
        </w:rPr>
      </w:pPr>
    </w:p>
    <w:p>
      <w:pPr>
        <w:ind w:left="340" w:right="68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w:t>
      </w:r>
    </w:p>
    <w:p>
      <w:pPr>
        <w:spacing w:after="0" w:line="116" w:lineRule="exact"/>
        <w:rPr>
          <w:rFonts w:ascii="Arial" w:cs="Arial" w:eastAsia="Arial" w:hAnsi="Arial"/>
          <w:sz w:val="18"/>
          <w:szCs w:val="18"/>
          <w:color w:val="auto"/>
        </w:rPr>
      </w:pPr>
    </w:p>
    <w:p>
      <w:pPr>
        <w:ind w:left="340" w:right="20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 or</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other requirements in furtherance of their missions.</w:t>
      </w:r>
    </w:p>
    <w:p>
      <w:pPr>
        <w:spacing w:after="0" w:line="13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addition, we depend on a single professional services firm for a significant portion of our finance function. If we lose the services of this outsourced finance team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9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Expensify Card is an important element of our growth strategy, and we believe that, over time, the Expensify Card will be a prominent corporate card solution for SMBs in our core markets. We rely on a single third-party vendor, Marqeta, Inc. ("Marqeta"), for the Expensify Card, who also manages the relationship with the card's issuing bank, Sutton Bank, and the card network, Visa. In the nine months ended September 30, 2021 and September 30, 2020, consideration from this vendor representing monetized Expensify Card activities reduced our cost of revenue by $1.9 million and $0.6 million, respectively. Our agreement with Marqeta has a three year term, expiring in June 2022 and automatically renews annually thereafter unless either party provides 90 days' notice prior to renewal. 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12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many of our employees and our service providers work remotely and during the COVID-19 pandemic, most of our employees and service providers have worked and are continuing to work remotely. As a result, we may be more vulnerable to cybersecurity-related events such as phishing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attacks and other security challenges. Many companies that provide cloud based services have reported a significant increase in cyberattack activity since the beginning of the COVID-19 pandemic.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w:t>
      </w:r>
    </w:p>
    <w:p>
      <w:pPr>
        <w:spacing w:after="0" w:line="1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 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diverts resources from the growth and expansion of our business.</w:t>
      </w:r>
    </w:p>
    <w:p>
      <w:pPr>
        <w:spacing w:after="0" w:line="12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10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to make substantial investments and expenditures related to the growth of our business.</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w:t>
      </w:r>
    </w:p>
    <w:p>
      <w:pPr>
        <w:spacing w:after="0" w:line="136"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new and retain existing employees;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update and improve our infrastructure;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sales and marketing activities, including to obtain channel partners and to expand our SMB and consumer advertising;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operations across multiple geographies;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for increasing costs associated with our general and administrative organization.</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There can be no assurance that this direction will achieve customer acceptance or that we will realize the anticipated return on our investment.</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11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Our business is substantially dependent upon the continued development of the market for, and acceptance of, cloud based software features.</w:t>
      </w:r>
    </w:p>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a high-quality customer experience, our business and reputation will suffer.</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 up” business model is highly dependent on our business reputation and on word-of-mouth positive recommendations from existing individuals and organizations using our platform and features. Any failure to maintain high -quality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4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 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10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time chat support and free phone onboarding for every Expensify.com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13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3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9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and results of operations could be harmed.</w:t>
      </w:r>
    </w:p>
    <w:p>
      <w:pPr>
        <w:spacing w:after="0" w:line="166"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experienced rapid growth and increased demand for our platform prior to the COVID-19 pandemic. Our revenue has grown from $53.9 million in 2018 to $80.5 million in 2019 to $88.1 million in 2020, but our headcount has remained consistent, with 131 employees as of December 31, 2018, 127 employees as of December 31, 2019 and 133 employees as of December 31, 2020. For the nine months ended September 30, 2020 and September 30, 2021, our revenue has grown from $62.3 million to $102.5 million, respectively, but our headcount has remained relatively consistent, with 132 employees as of September 30, 2020 and 142 employees as of September 30, 2021.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spacing w:after="0" w:line="9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2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Sales to customers outside the United States and our international operations expose us to risks inherent in international sales and operations.</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revenue generated from customers outside the United States was 6.2 million (10% of our revenue), and 11.0 million (11% of our revenue) for the nine months ended September 30, 2020 and 2021, respectively.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27" w:lineRule="exact"/>
        <w:rPr>
          <w:sz w:val="20"/>
          <w:szCs w:val="20"/>
          <w:color w:val="auto"/>
        </w:rPr>
      </w:pPr>
    </w:p>
    <w:p>
      <w:pPr>
        <w:ind w:left="340" w:right="540" w:hanging="332"/>
        <w:spacing w:after="0" w:line="261"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localize and adapt our platform and features for specific countries, including translation into foreign languages, tax and regulatory updates and associated expenses;</w:t>
      </w:r>
    </w:p>
    <w:p>
      <w:pPr>
        <w:spacing w:after="0" w:line="130" w:lineRule="exact"/>
        <w:rPr>
          <w:rFonts w:ascii="Arial" w:cs="Arial" w:eastAsia="Arial" w:hAnsi="Arial"/>
          <w:sz w:val="18"/>
          <w:szCs w:val="18"/>
          <w:color w:val="auto"/>
        </w:rPr>
      </w:pPr>
    </w:p>
    <w:p>
      <w:pPr>
        <w:ind w:left="340" w:right="260" w:hanging="332"/>
        <w:spacing w:after="0" w:line="261"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fragmented partner market which proves to be harder for our platform to integrate with;</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pricing environments, longer accounts receivable payment cycles and collections issues;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57" w:lineRule="exact"/>
        <w:rPr>
          <w:rFonts w:ascii="Arial" w:cs="Arial" w:eastAsia="Arial" w:hAnsi="Arial"/>
          <w:sz w:val="18"/>
          <w:szCs w:val="18"/>
          <w:color w:val="auto"/>
        </w:rPr>
      </w:pPr>
    </w:p>
    <w:p>
      <w:pPr>
        <w:ind w:left="340" w:right="60" w:hanging="332"/>
        <w:spacing w:after="0" w:line="261"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right="340" w:hanging="332"/>
        <w:spacing w:after="0" w:line="261"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U.S. bribery laws, the UK Bribery Act and similar laws and regulations in other jurisdictions;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or tax regulations;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10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 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for issuing or renewing permits, licenses or approvals or for enforcing other governmental regulations. In addition, some of the international locations in which we operate lack a developed legal system and have elevated levels of corruption.</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(the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1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receive, process, store and use business and personal information belonging to our members and customers. There are numerous federal, state, local and foreign laws, regulations and standards 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spacing w:after="0" w:line="14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spacing w:after="0" w:line="13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spacing w:after="0" w:line="12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 legislation in the United States, which means that despite our efforts, an expansive reading of the CCPA could increase our potential liability and adversely affect our business.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 For example, on March 2, 2021, the Virginia Consumer Data Protection Act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1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generally, or result in reductions in the demand for Internet-based applications such as ours.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 use of the Internet as a means of conducting business could be adversely affected due to delays in the development or adoption of new standards and protocols to handle increased demands of 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16"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2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telecommunications failures or outages from third-party providers;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computer viruses, malware, vulnerability exploits, or cyber-attacks;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software errors, failures, vulnerabilities or bugs in our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acts of terrorism, sabotage or other intentional acts of vandalism;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interruption or damages;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pandemics and epidemics;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tornados, fires, earthquakes, floods and other natural disasters;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power loss.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 recovery plan may not be sufficient to address all aspects or any unanticipated consequence or incidents, and our insurance may not be sufficient to compensate us for the losses that could occur.</w:t>
      </w:r>
    </w:p>
    <w:p>
      <w:pPr>
        <w:spacing w:after="0" w:line="1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w:t>
      </w:r>
    </w:p>
    <w:p>
      <w:pPr>
        <w:spacing w:after="0" w:line="13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10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disaster may not be successful in preventing the loss of customer data, service interruptions and disruptions to our operations, or damage to our important facilities.</w:t>
      </w:r>
    </w:p>
    <w:p>
      <w:pPr>
        <w:spacing w:after="0" w:line="11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13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11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1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3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8"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10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1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11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violating their intellectual property rights, even if we are unaware of the intellectual property rights that such parties may claim cover our platform or some or all of the other technologies we use in our business.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 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spacing w:after="0" w:line="1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4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terms, our customers may be forced to stop using our platform, and our reseller partners may be forced to stop selling our platform.</w:t>
      </w:r>
    </w:p>
    <w:p>
      <w:pPr>
        <w:spacing w:after="0" w:line="12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spacing w:after="0" w:line="14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0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platform without compensating us and negatively affect our business.</w:t>
      </w:r>
    </w:p>
    <w:p>
      <w:pPr>
        <w:spacing w:after="0" w:line="10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3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4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107"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6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and have not received a decision from the FEC on the matter. We cannot assure you that this matter will not result in further complaints, regulatory inquiries or future proceedings.</w:t>
      </w:r>
    </w:p>
    <w:p>
      <w:pPr>
        <w:spacing w:after="0" w:line="14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 Becoming a public company will raise our public profile, which may result in increased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106" w:lineRule="exact"/>
        <w:rPr>
          <w:sz w:val="20"/>
          <w:szCs w:val="20"/>
          <w:color w:val="auto"/>
        </w:rPr>
      </w:pPr>
    </w:p>
    <w:p>
      <w:pPr>
        <w:ind w:right="1280"/>
        <w:spacing w:after="0" w:line="287" w:lineRule="auto"/>
        <w:rPr>
          <w:sz w:val="20"/>
          <w:szCs w:val="20"/>
          <w:color w:val="auto"/>
        </w:rPr>
      </w:pPr>
      <w:r>
        <w:rPr>
          <w:rFonts w:ascii="Arial" w:cs="Arial" w:eastAsia="Arial" w:hAnsi="Arial"/>
          <w:sz w:val="18"/>
          <w:szCs w:val="18"/>
          <w:b w:val="1"/>
          <w:bCs w:val="1"/>
          <w:i w:val="1"/>
          <w:iCs w:val="1"/>
          <w:color w:val="auto"/>
        </w:rPr>
        <w:t>Our employees, commercial partners and vendors may engage in misconduct or other improper activities, including noncompliance with regulatory standards and requirements.</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spacing w:after="0" w:line="1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loan and security agreement with CIBC, as amended and restated in September 2021, includes a term loan of up to $75.0 million, which matures in September 2026, and a $25.0 million revolving line of credit, which matures in September 2024.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 to encumber our intellectual property and certain other restrictions on our activities. Our business may be adversely affected by these restrictions on our ability to operate our business.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$8.3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For fiscal 2019 and 2020, we identified a material weakness in our internal controls, that we had insufficient technical skills to address complex issues combined with insufficient accounting staff to implement the process and reviews necessary to ensure material misstatements did not occur. Our remediation efforts are still ongoing and there can be no assurance that we will not experience this or other material weaknesses in the future.</w:t>
      </w:r>
    </w:p>
    <w:p>
      <w:pPr>
        <w:spacing w:after="0" w:line="14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4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 Moreover, we may choose not to provide guidance regarding our projected business or financial performance, which may have an adverse impact on our stock price.</w:t>
      </w:r>
    </w:p>
    <w:p>
      <w:pPr>
        <w:spacing w:after="0" w:line="10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taxable income or reduce our taxes may be limited.</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December 31, 2020, we had accumulated $0.1 million and $3.7 million of federal and state net operating loss carryforwards, or NOLs, respectively, available to reduce future taxable income, portions of which will begin to expire in 2037 for federal and 2031 for state tax purposes. As of December 31, 2020, we also had federal and state research and development tax credit carryforwards of $0.2 million and $0.6 million, respectively. The federal tax credits will expire at various dates beginning in the year 2029, unless previously utilized. The state tax credits do not expire and will carry forward indefinitely until utilized. It is possible that we will not generate taxable income in time to use certain of our NOLs before their expiration, or at all. Net operating losses incurred in taxable years beginning after December 31, 2017 may be carried forward indefinitely, but the deductibility of such federal net operating losses in taxable years beginning after December 31, 2020 is limited to 80% of current year taxable income. Under Section 382 and Section 383 of the Internal Revenue Code of 1986, as amended, or the Code, if a corporation undergoes an “ownership change,” the corporation’s ability to use its pre-change NOLs and certain other tax attributes, including R&amp;D tax credits, to offset its post-change income or taxes may be limited. In general, an “ownership change” occurs if there is a cumulative change in our ownership by “5-percent shareholders” that exceeds 50 percentage points over a rolling three-year period. Similar rules may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under state tax laws. Our ability to use NOLs and other tax attributes to reduce future taxable income and liabilities may be subject to annual limitations as a result of prior ownership changes and ownership changes that may occur in the future. In addition, for state income tax purposes, the extent to which states will conform to the federal laws is uncertain and there may be periods during which the use of net operating loss carryforwards is suspended or otherwise limited, which could accelerate or permanently increase state taxes owed. For example, California imposed limits on the usability of California state net operating losses and tax credits in tax years beginning after 2019 and before 2023.</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1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 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58" w:lineRule="exact"/>
        <w:rPr>
          <w:sz w:val="20"/>
          <w:szCs w:val="20"/>
          <w:color w:val="auto"/>
        </w:rPr>
      </w:pPr>
    </w:p>
    <w:p>
      <w:pPr>
        <w:ind w:left="340" w:right="40" w:hanging="332"/>
        <w:spacing w:after="0" w:line="261"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due to differing statutory tax rates in various jurisdictions;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44" w:lineRule="exact"/>
        <w:rPr>
          <w:rFonts w:ascii="Arial" w:cs="Arial" w:eastAsia="Arial" w:hAnsi="Arial"/>
          <w:sz w:val="18"/>
          <w:szCs w:val="18"/>
          <w:color w:val="auto"/>
        </w:rPr>
      </w:pPr>
    </w:p>
    <w:p>
      <w:pPr>
        <w:ind w:left="340" w:right="500" w:hanging="332"/>
        <w:spacing w:after="0" w:line="291"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06" w:lineRule="exact"/>
        <w:rPr>
          <w:rFonts w:ascii="Arial" w:cs="Arial" w:eastAsia="Arial" w:hAnsi="Arial"/>
          <w:sz w:val="17"/>
          <w:szCs w:val="17"/>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Any of these developments could adversely affect our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multiple class structure of our common stock and the Voting Trust Agreement</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Each share of our LT10 and LT50 common stock is entitled to 10 and 50 votes per share, respectively, and each share of our Class A common stock is entitled to one vote per share. Upon the completion of our Initial Public Offering, the Voting Trust held approximately 7,332,640 and 6,224,160 shares of LT10 and LT50 common stock, respectively, representing approximately 16.8% of the economic interest and 82.6% of the voting power of outstanding capital stock following the completion of our Initial Public Offering. All decisions with respect to the voting (but not the disposition) of shares held in the Voting Trust from time to time will be made by the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 actions. Additionally, the Voting Trust and the holders of our LT10 and LT50 common stock may cause us to make strategic decisions or pursue acquisitions that could involve risks to you or may not be aligned with your interests.</w:t>
      </w:r>
    </w:p>
    <w:p>
      <w:pPr>
        <w:spacing w:after="0" w:line="12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w:t>
      </w:r>
    </w:p>
    <w:p>
      <w:pPr>
        <w:spacing w:after="0" w:line="2" w:lineRule="exact"/>
        <w:rPr>
          <w:sz w:val="20"/>
          <w:szCs w:val="20"/>
          <w:color w:val="auto"/>
        </w:rPr>
      </w:pPr>
    </w:p>
    <w:p>
      <w:pPr>
        <w:ind w:right="80" w:firstLine="8"/>
        <w:spacing w:after="0" w:line="256" w:lineRule="auto"/>
        <w:tabs>
          <w:tab w:leader="none" w:pos="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matters required under Delaware law to be approved by the full board of directors, or (iv) as otherwise required by SEC rules and the rules of Nasdaq. The members of the Executive Committee are expected to be directors who may also be our employees, and the Executive Committee initially consists of David Barrett, Ryan Schaffer, Anu Muralidharan, Jason Mills and Daniel Vidal.</w:t>
      </w:r>
    </w:p>
    <w:p>
      <w:pPr>
        <w:spacing w:after="0" w:line="13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concentrated control is also likely to have the effect of limiting the likelihood of an unsolicited merger proposal, unsolicited tender offer, or proxy contest for the removal of directors. As a result,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governance structure and the Voting Trust may have the effect of depriving our stockholders of an opportunity to sell their shares at a premium over prevailing market prices and make it more difficult to replace our directors and management.</w:t>
      </w:r>
    </w:p>
    <w:p>
      <w:pPr>
        <w:spacing w:after="0" w:line="11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spacing w:after="0" w:line="11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We are a “controlled company” within the meaning of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Voting Trust controls a majority of the voting power of our outstanding common stock. As a result, we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2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intend to rely on some or all of these exceptions. As a result, we do not have a majority of independent directors and we do not have a compensation and nominating and corporate governance committee. Accordingly, you do not have the same protections afforded to stockholders of companies that are subject to all of the corporate governance requirements of Nasdaq .</w:t>
      </w:r>
    </w:p>
    <w:p>
      <w:pPr>
        <w:spacing w:after="0" w:line="112"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i w:val="1"/>
          <w:iCs w:val="1"/>
          <w:color w:val="auto"/>
        </w:rPr>
        <w:t>The multiple class structure of our common stock features certain provisions that are novel or uncommon among other corporations with multiple class structures.</w:t>
      </w:r>
    </w:p>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number of provisions relating to the multiple class structure of our common stock are novel or uncommon among other corporations with multiple class structures. For example, whenever a holder of LT10 or LT50 common stock desires to transfer or convert shares of his or her LT10 or LT50 common 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spacing w:after="0" w:line="10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cannot predict the impact our capital structure, governance structure, and the concentrated control by the Voting Trust may have on our stock price or business.</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ownership of our Class A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prospectus, and others beyond our control, including:</w:t>
      </w:r>
    </w:p>
    <w:p>
      <w:pPr>
        <w:spacing w:after="0" w:line="11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the COVID-19 pandemic and the end of the COVID-19 pandemic;</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57" w:lineRule="exact"/>
        <w:rPr>
          <w:rFonts w:ascii="Arial" w:cs="Arial" w:eastAsia="Arial" w:hAnsi="Arial"/>
          <w:sz w:val="18"/>
          <w:szCs w:val="18"/>
          <w:color w:val="auto"/>
        </w:rPr>
      </w:pPr>
    </w:p>
    <w:p>
      <w:pPr>
        <w:ind w:left="340" w:right="240" w:hanging="332"/>
        <w:spacing w:after="0" w:line="261"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economy as a whole in the United States and internationally, and market conditions in our industry;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44" w:lineRule="exact"/>
        <w:rPr>
          <w:rFonts w:ascii="Arial" w:cs="Arial" w:eastAsia="Arial" w:hAnsi="Arial"/>
          <w:sz w:val="18"/>
          <w:szCs w:val="18"/>
          <w:color w:val="auto"/>
        </w:rPr>
      </w:pPr>
    </w:p>
    <w:p>
      <w:pPr>
        <w:ind w:left="340" w:right="640" w:hanging="332"/>
        <w:spacing w:after="0" w:line="261"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capital structure;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w:t>
      </w:r>
    </w:p>
    <w:p>
      <w:pPr>
        <w:spacing w:after="0" w:line="15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Stock prices of many companies, including technology companies, have fluctuated in a manner often unrelated to the operating performance of those companies. These fluctuations may be even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in the public market could cause our share price to fall.</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Sales of a substantial number of shares of our Class A common stock in the public market or the perception that these sales might occur in large quantities, could cause the market price of our Class A common stock to decline and could impair our ability to raise capital through the sale of additional equity securities. Upon the completion of our Initial Public Offering, we had 67,347,706 shares of Class A common stock outstanding, approximately 7,332,640 shares of LT10 common stock outstanding and approximately 6,224,160 shares of LT50 common stock outstanding.</w:t>
      </w:r>
    </w:p>
    <w:p>
      <w:pPr>
        <w:spacing w:after="0" w:line="13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our Initial Public Offering, subject to earlier termination as described under "Shares eligible for future sale—Lock-up agreements and other transfer restrictions." in our prospectus on Form S-1. These lock-up agreements limit the number of shares of capital stock that may be sold immediately following our Initial Public Offering. Subject to certain limitations, approximately 64,739,010 shares of Class A common stock will become eligible for sale upon expiration of the 180-day lock-up period, or earlier, subject to earlier termination as described above. J.P. Morgan Securities LLC may, in their sole discretion, permit our stockholders who are subject to these lock-up agreements to sell shares prior to the expiration of the lock-up agreements. Our amended and restated certificate of incorporation imposes additional transfer restrictions on shares of our LT10 and LT50 common stock, as described under "Description of capital stock." in our prospectus on Form S-1.</w:t>
      </w:r>
    </w:p>
    <w:p>
      <w:pPr>
        <w:spacing w:after="0" w:line="131"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All of the Class A common stock sold in our Initial Public Offering is freely tradable without restrictions or further registration under the Securities Act of 1933, as amended, or the Securities Act, except for any shares held by our affiliates as defined in Rule 144 under the Securities Act (“Rule 144”).</w:t>
      </w:r>
    </w:p>
    <w:p>
      <w:pPr>
        <w:spacing w:after="0" w:line="1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there were 8,565,230 shares of Class A common stock issuable upon the exercise of options outstanding as of June 30, 2021. We registered all of the shares of Class A common stock issuable upon exercise of outstanding options, RSUs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w:t>
      </w:r>
    </w:p>
    <w:p>
      <w:pPr>
        <w:spacing w:after="0" w:line="13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Class A common stock to decline.</w:t>
      </w:r>
    </w:p>
    <w:p>
      <w:pPr>
        <w:spacing w:after="0" w:line="18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Interest rates are at or near record lows. Increases in interest rates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received by us from our Initial Public Offering and may not use the net proceeds effectively.</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has broad discretion in the application of the net proceeds received by the Company in connection with our Initial Public Offering, which may include working capital, operating expenses and capital expenditures. We cannot specify with certainty the uses to which we will apply these net proceeds. The failure by our management to apply these funds effectively could adversely affect our ability to pursue our growth strategies and expand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8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9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spacing w:after="0" w:line="1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spacing w:after="0" w:line="11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include provisions:</w:t>
      </w:r>
    </w:p>
    <w:p>
      <w:pPr>
        <w:spacing w:after="0" w:line="134" w:lineRule="exact"/>
        <w:rPr>
          <w:sz w:val="20"/>
          <w:szCs w:val="20"/>
          <w:color w:val="auto"/>
        </w:rPr>
      </w:pPr>
    </w:p>
    <w:p>
      <w:pPr>
        <w:ind w:left="340" w:right="100" w:hanging="332"/>
        <w:spacing w:after="0" w:line="261"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with voting, liquidation, dividend and other rights superior to our common stock;</w:t>
      </w:r>
    </w:p>
    <w:p>
      <w:pPr>
        <w:spacing w:after="0" w:line="130"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eliminating the ability of our stockholders to take action by consent in lieu of a meeting following the date on which the Voting Trust holds less than a majority of the voting power of our outstanding capital stock;</w:t>
      </w:r>
    </w:p>
    <w:p>
      <w:pPr>
        <w:spacing w:after="0" w:line="116" w:lineRule="exact"/>
        <w:rPr>
          <w:rFonts w:ascii="Arial" w:cs="Arial" w:eastAsia="Arial" w:hAnsi="Arial"/>
          <w:sz w:val="18"/>
          <w:szCs w:val="18"/>
          <w:color w:val="auto"/>
        </w:rPr>
      </w:pPr>
    </w:p>
    <w:p>
      <w:pPr>
        <w:ind w:left="340" w:right="220" w:hanging="332"/>
        <w:spacing w:after="0" w:line="261"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right="100" w:hanging="332"/>
        <w:spacing w:after="0" w:line="256"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spacing w:after="0" w:line="120"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maintaining our current multi-class structure;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3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1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9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amended and restated bylaws provide that we will indemnify our directors and officers, in each case to the fullest extent permitted by Delaware law.</w:t>
      </w:r>
    </w:p>
    <w:p>
      <w:pPr>
        <w:spacing w:after="0" w:line="130" w:lineRule="exact"/>
        <w:rPr>
          <w:sz w:val="20"/>
          <w:szCs w:val="20"/>
          <w:color w:val="auto"/>
        </w:rPr>
      </w:pPr>
    </w:p>
    <w:p>
      <w:pPr>
        <w:ind w:right="1220"/>
        <w:spacing w:after="0" w:line="261"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130" w:lineRule="exact"/>
        <w:rPr>
          <w:sz w:val="20"/>
          <w:szCs w:val="20"/>
          <w:color w:val="auto"/>
        </w:rPr>
      </w:pPr>
    </w:p>
    <w:p>
      <w:pPr>
        <w:ind w:left="340" w:right="160" w:hanging="332"/>
        <w:spacing w:after="0" w:line="254"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2"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57" w:lineRule="exact"/>
        <w:rPr>
          <w:rFonts w:ascii="Arial" w:cs="Arial" w:eastAsia="Arial" w:hAnsi="Arial"/>
          <w:sz w:val="18"/>
          <w:szCs w:val="18"/>
          <w:color w:val="auto"/>
        </w:rPr>
      </w:pPr>
    </w:p>
    <w:p>
      <w:pPr>
        <w:ind w:left="340" w:right="240" w:hanging="332"/>
        <w:spacing w:after="0" w:line="256"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34" w:lineRule="exact"/>
        <w:rPr>
          <w:rFonts w:ascii="Arial" w:cs="Arial" w:eastAsia="Arial" w:hAnsi="Arial"/>
          <w:sz w:val="18"/>
          <w:szCs w:val="18"/>
          <w:color w:val="auto"/>
        </w:rPr>
      </w:pPr>
    </w:p>
    <w:p>
      <w:pPr>
        <w:ind w:left="340" w:right="860" w:hanging="332"/>
        <w:spacing w:after="0" w:line="291" w:lineRule="auto"/>
        <w:tabs>
          <w:tab w:leader="none" w:pos="3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92" w:lineRule="exact"/>
        <w:rPr>
          <w:rFonts w:ascii="Arial" w:cs="Arial" w:eastAsia="Arial" w:hAnsi="Arial"/>
          <w:sz w:val="17"/>
          <w:szCs w:val="17"/>
          <w:color w:val="auto"/>
        </w:rPr>
      </w:pPr>
    </w:p>
    <w:p>
      <w:pPr>
        <w:ind w:left="340" w:right="560" w:hanging="332"/>
        <w:spacing w:after="0" w:line="261"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3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(or, if such court does not have subject matter jurisdiction thereof, the federal district court of the State of Delaware) is the 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 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14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 factors</w:t>
      </w:r>
    </w:p>
    <w:p>
      <w:pPr>
        <w:spacing w:after="0" w:line="13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1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which could be as long as five years following the completion of our listing on Nasdaq, we may choose to take advantage of certain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2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0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qualified executive officers.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10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8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From July 1, 2021 through September 30, 2021, we issued and sold to our employees an aggregate of 1,460,280 shares of Class A common stock upon the exercise of stock options issued under the 2009 Stock Plan and the 2019 Stock Plan at exercise prices ranging from $0.07 to $10.78 per share, for an aggregate exercise price of $0.85 per share.</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offers, sales and issuances of securities described above were deemed to be exempt from registration under the Securities Act in reliance upon Rule 701 promulgated under Section 3(b) of the Securities Act. None of the foregoing transactions involved any underwriters, underwriting discounts or commissions or any public offering. Each of the recipients of securities in these transactions had adequate access, through employment, business or other relationships, to information about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On November 9, 2021, our registration statement on Form S-1 (File No. 333-260297) was declared effective by the SEC for the IPO of our Class A common stock. There has been no material change in the use of proceeds from our IPO as described in our final prospectus filed with the SEC pursuant to Rule 424(b) of the Securities Act and other periodic reports previously filed with the SEC.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On November 15, 2021, we completed the IPO of our Class A common stock, in which we sold 2,608,696 shares of Class A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selling stockholders sold 8,581,696 shares of Class A common stock (including the full exercise of the underwriters' option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an additional 1,459,616 shares of Class A common stock from certain selling stockholders) at an initial public offering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$27.00 per share. All shares offered and sold in the IPO were registered pursuant to our registration statement on Form S-1 (File No. 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260297), which was declared effective by the SEC on November 9, 2021. J.P. Morgan Securities LLC, Citigroup Global Markets Inc.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 acted as representatives of the underwriters for the offering. The offering did not terminate until after the sale of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registered on the registration statement upon the closing of the IPO.</w:t>
      </w:r>
    </w:p>
    <w:p>
      <w:pPr>
        <w:spacing w:after="0" w:line="14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aggregate offering price for the shares registered and sold by us was approximately $70.4 million, and the aggregate offering price for the shares registered and sold by the selling stockholders was approximately $231.7 million. The IPO raised net proceeds to us of approximately $57.5 million, after deducting approximately $4.9 million in underwriting discounts and commissions and approximately $8.0 million in other offering expenses. No payments for such expenses were made directly or indirectly to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any of our officers or directors or their associates, (ii) any persons owning 10% or more of any class of our equity securities or (iii) any of our affiliates. We did not receive any proceeds from the sale of shares of Class A common stock in the IPO by the selling stockholders. The net proceeds from our IPO will be used in part to pay discretionary cash bonuses during the fiscal quarter ended December 31, 2021 to our employees including to certain of our directors and officers in which we estimate to be approximately $27.8 million as of the date of this Quarterly Report on Form 10-Q, and the rest have been or will be used for general corporate purposes, including working capital, operating expenses and capital expenditures. There has been no material change in the use of proceeds from our IPO as described in our Prospectus.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Incorporated by Reference</w:t>
            </w:r>
          </w:p>
        </w:tc>
        <w:tc>
          <w:tcPr>
            <w:tcW w:w="1780" w:type="dxa"/>
            <w:vAlign w:val="bottom"/>
            <w:tcBorders>
              <w:bottom w:val="single" w:sz="8" w:color="auto"/>
            </w:tcBorders>
          </w:tcPr>
          <w:p>
            <w:pPr>
              <w:spacing w:after="0"/>
              <w:rPr>
                <w:sz w:val="16"/>
                <w:szCs w:val="16"/>
                <w:color w:val="auto"/>
              </w:rPr>
            </w:pPr>
          </w:p>
        </w:tc>
      </w:tr>
      <w:tr>
        <w:trPr>
          <w:trHeight w:val="385"/>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180" w:type="dxa"/>
            <w:vAlign w:val="bottom"/>
            <w:gridSpan w:val="15"/>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1180" w:type="dxa"/>
            <w:vAlign w:val="bottom"/>
          </w:tcPr>
          <w:p>
            <w:pPr>
              <w:jc w:val="center"/>
              <w:ind w:left="54"/>
              <w:spacing w:after="0"/>
              <w:rPr>
                <w:sz w:val="20"/>
                <w:szCs w:val="20"/>
                <w:color w:val="auto"/>
              </w:rPr>
            </w:pPr>
            <w:r>
              <w:rPr>
                <w:rFonts w:ascii="Arial" w:cs="Arial" w:eastAsia="Arial" w:hAnsi="Arial"/>
                <w:sz w:val="14"/>
                <w:szCs w:val="14"/>
                <w:b w:val="1"/>
                <w:bCs w:val="1"/>
                <w:color w:val="auto"/>
              </w:rPr>
              <w:t>Form</w:t>
            </w:r>
          </w:p>
        </w:tc>
        <w:tc>
          <w:tcPr>
            <w:tcW w:w="1560" w:type="dxa"/>
            <w:vAlign w:val="bottom"/>
          </w:tcPr>
          <w:p>
            <w:pPr>
              <w:ind w:left="540"/>
              <w:spacing w:after="0"/>
              <w:rPr>
                <w:sz w:val="20"/>
                <w:szCs w:val="20"/>
                <w:color w:val="auto"/>
              </w:rPr>
            </w:pPr>
            <w:r>
              <w:rPr>
                <w:rFonts w:ascii="Arial" w:cs="Arial" w:eastAsia="Arial" w:hAnsi="Arial"/>
                <w:sz w:val="14"/>
                <w:szCs w:val="14"/>
                <w:b w:val="1"/>
                <w:bCs w:val="1"/>
                <w:color w:val="auto"/>
              </w:rPr>
              <w:t>File No.</w:t>
            </w: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182"/>
        </w:trPr>
        <w:tc>
          <w:tcPr>
            <w:tcW w:w="130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4180" w:type="dxa"/>
            <w:vAlign w:val="bottom"/>
            <w:tcBorders>
              <w:top w:val="single" w:sz="8" w:color="auto"/>
            </w:tcBorders>
            <w:gridSpan w:val="15"/>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Amended and Restated Certificate of Incorporation</w:t>
              </w:r>
            </w:hyperlink>
          </w:p>
        </w:tc>
        <w:tc>
          <w:tcPr>
            <w:tcW w:w="100" w:type="dxa"/>
            <w:vAlign w:val="bottom"/>
          </w:tcPr>
          <w:p>
            <w:pPr>
              <w:spacing w:after="0"/>
              <w:rPr>
                <w:sz w:val="15"/>
                <w:szCs w:val="15"/>
                <w:color w:val="auto"/>
              </w:rPr>
            </w:pPr>
          </w:p>
        </w:tc>
        <w:tc>
          <w:tcPr>
            <w:tcW w:w="1180" w:type="dxa"/>
            <w:vAlign w:val="bottom"/>
            <w:tcBorders>
              <w:top w:val="single" w:sz="8" w:color="auto"/>
            </w:tcBorders>
          </w:tcPr>
          <w:p>
            <w:pPr>
              <w:jc w:val="center"/>
              <w:ind w:left="54"/>
              <w:spacing w:after="0" w:line="182" w:lineRule="exact"/>
              <w:rPr>
                <w:sz w:val="20"/>
                <w:szCs w:val="20"/>
                <w:color w:val="auto"/>
              </w:rPr>
            </w:pPr>
            <w:r>
              <w:rPr>
                <w:rFonts w:ascii="Arial" w:cs="Arial" w:eastAsia="Arial" w:hAnsi="Arial"/>
                <w:sz w:val="18"/>
                <w:szCs w:val="18"/>
                <w:color w:val="auto"/>
                <w:w w:val="99"/>
              </w:rPr>
              <w:t>8-K</w:t>
            </w:r>
          </w:p>
        </w:tc>
        <w:tc>
          <w:tcPr>
            <w:tcW w:w="15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001-41043</w:t>
            </w:r>
          </w:p>
        </w:tc>
        <w:tc>
          <w:tcPr>
            <w:tcW w:w="10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7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November 15, 2021</w:t>
            </w: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263">
              <w:r>
                <w:rPr>
                  <w:rFonts w:ascii="Arial" w:cs="Arial" w:eastAsia="Arial" w:hAnsi="Arial"/>
                  <w:sz w:val="18"/>
                  <w:szCs w:val="18"/>
                  <w:color w:val="0000FF"/>
                  <w:w w:val="99"/>
                </w:rPr>
                <w:t>of the Registrant.</w:t>
              </w:r>
            </w:hyperlink>
          </w:p>
        </w:tc>
        <w:tc>
          <w:tcPr>
            <w:tcW w:w="268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64"/>
        </w:trPr>
        <w:tc>
          <w:tcPr>
            <w:tcW w:w="1300" w:type="dxa"/>
            <w:vAlign w:val="bottom"/>
          </w:tcPr>
          <w:p>
            <w:pPr>
              <w:ind w:lef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3940" w:type="dxa"/>
            <w:vAlign w:val="bottom"/>
            <w:tcBorders>
              <w:bottom w:val="single" w:sz="8" w:color="0000FF"/>
            </w:tcBorders>
            <w:gridSpan w:val="10"/>
          </w:tcPr>
          <w:p>
            <w:pPr>
              <w:spacing w:after="0"/>
              <w:rPr>
                <w:rFonts w:ascii="Arial" w:cs="Arial" w:eastAsia="Arial" w:hAnsi="Arial"/>
                <w:sz w:val="18"/>
                <w:szCs w:val="18"/>
                <w:color w:val="0000FF"/>
                <w:w w:val="99"/>
              </w:rPr>
            </w:pPr>
            <w:hyperlink r:id="rId264">
              <w:r>
                <w:rPr>
                  <w:rFonts w:ascii="Arial" w:cs="Arial" w:eastAsia="Arial" w:hAnsi="Arial"/>
                  <w:sz w:val="18"/>
                  <w:szCs w:val="18"/>
                  <w:color w:val="0000FF"/>
                  <w:w w:val="99"/>
                </w:rPr>
                <w:t>Amended and Restated Bylaws of the Registrant.</w:t>
              </w:r>
            </w:hyperlink>
          </w:p>
        </w:tc>
        <w:tc>
          <w:tcPr>
            <w:tcW w:w="240" w:type="dxa"/>
            <w:vAlign w:val="bottom"/>
            <w:gridSpan w:val="5"/>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center"/>
              <w:ind w:left="54"/>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001-41043</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November 15, 2021</w:t>
            </w:r>
          </w:p>
        </w:tc>
      </w:tr>
      <w:tr>
        <w:trPr>
          <w:trHeight w:val="263"/>
        </w:trPr>
        <w:tc>
          <w:tcPr>
            <w:tcW w:w="1300" w:type="dxa"/>
            <w:vAlign w:val="bottom"/>
          </w:tcPr>
          <w:p>
            <w:pPr>
              <w:ind w:lef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2"/>
                <w:szCs w:val="22"/>
                <w:color w:val="auto"/>
              </w:rPr>
            </w:pPr>
          </w:p>
        </w:tc>
        <w:tc>
          <w:tcPr>
            <w:tcW w:w="4180" w:type="dxa"/>
            <w:vAlign w:val="bottom"/>
            <w:gridSpan w:val="15"/>
          </w:tcPr>
          <w:p>
            <w:pPr>
              <w:spacing w:after="0"/>
              <w:rPr>
                <w:rFonts w:ascii="Arial" w:cs="Arial" w:eastAsia="Arial" w:hAnsi="Arial"/>
                <w:sz w:val="18"/>
                <w:szCs w:val="18"/>
                <w:color w:val="0000FF"/>
              </w:rPr>
            </w:pPr>
            <w:hyperlink r:id="rId265">
              <w:r>
                <w:rPr>
                  <w:rFonts w:ascii="Arial" w:cs="Arial" w:eastAsia="Arial" w:hAnsi="Arial"/>
                  <w:sz w:val="18"/>
                  <w:szCs w:val="18"/>
                  <w:color w:val="0000FF"/>
                </w:rPr>
                <w:t>Form of Class A Common Stock Certificate.</w:t>
              </w:r>
            </w:hyperlink>
          </w:p>
        </w:tc>
        <w:tc>
          <w:tcPr>
            <w:tcW w:w="100" w:type="dxa"/>
            <w:vAlign w:val="bottom"/>
          </w:tcPr>
          <w:p>
            <w:pPr>
              <w:spacing w:after="0"/>
              <w:rPr>
                <w:sz w:val="22"/>
                <w:szCs w:val="22"/>
                <w:color w:val="auto"/>
              </w:rPr>
            </w:pPr>
          </w:p>
        </w:tc>
        <w:tc>
          <w:tcPr>
            <w:tcW w:w="1180" w:type="dxa"/>
            <w:vAlign w:val="bottom"/>
          </w:tcPr>
          <w:p>
            <w:pPr>
              <w:jc w:val="center"/>
              <w:ind w:left="34"/>
              <w:spacing w:after="0"/>
              <w:rPr>
                <w:sz w:val="20"/>
                <w:szCs w:val="20"/>
                <w:color w:val="auto"/>
              </w:rPr>
            </w:pPr>
            <w:r>
              <w:rPr>
                <w:rFonts w:ascii="Arial" w:cs="Arial" w:eastAsia="Arial" w:hAnsi="Arial"/>
                <w:sz w:val="18"/>
                <w:szCs w:val="18"/>
                <w:color w:val="auto"/>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333-260297</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November 01, 2021</w:t>
            </w:r>
          </w:p>
        </w:tc>
      </w:tr>
      <w:tr>
        <w:trPr>
          <w:trHeight w:val="263"/>
        </w:trPr>
        <w:tc>
          <w:tcPr>
            <w:tcW w:w="1300" w:type="dxa"/>
            <w:vAlign w:val="bottom"/>
          </w:tcPr>
          <w:p>
            <w:pPr>
              <w:ind w:left="14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2"/>
                <w:szCs w:val="22"/>
                <w:color w:val="auto"/>
              </w:rPr>
            </w:pPr>
          </w:p>
        </w:tc>
        <w:tc>
          <w:tcPr>
            <w:tcW w:w="3480" w:type="dxa"/>
            <w:vAlign w:val="bottom"/>
            <w:tcBorders>
              <w:top w:val="single" w:sz="8" w:color="0000FF"/>
            </w:tcBorders>
            <w:gridSpan w:val="5"/>
          </w:tcPr>
          <w:p>
            <w:pPr>
              <w:spacing w:after="0"/>
              <w:rPr>
                <w:rFonts w:ascii="Arial" w:cs="Arial" w:eastAsia="Arial" w:hAnsi="Arial"/>
                <w:sz w:val="18"/>
                <w:szCs w:val="18"/>
                <w:color w:val="0000FF"/>
              </w:rPr>
            </w:pPr>
            <w:hyperlink r:id="rId266">
              <w:r>
                <w:rPr>
                  <w:rFonts w:ascii="Arial" w:cs="Arial" w:eastAsia="Arial" w:hAnsi="Arial"/>
                  <w:sz w:val="18"/>
                  <w:szCs w:val="18"/>
                  <w:color w:val="0000FF"/>
                </w:rPr>
                <w:t>Amended and Restated Loan and Security</w:t>
              </w:r>
            </w:hyperlink>
          </w:p>
        </w:tc>
        <w:tc>
          <w:tcPr>
            <w:tcW w:w="700" w:type="dxa"/>
            <w:vAlign w:val="bottom"/>
            <w:gridSpan w:val="10"/>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center"/>
              <w:ind w:left="34"/>
              <w:spacing w:after="0"/>
              <w:rPr>
                <w:sz w:val="20"/>
                <w:szCs w:val="20"/>
                <w:color w:val="auto"/>
              </w:rPr>
            </w:pPr>
            <w:r>
              <w:rPr>
                <w:rFonts w:ascii="Arial" w:cs="Arial" w:eastAsia="Arial" w:hAnsi="Arial"/>
                <w:sz w:val="18"/>
                <w:szCs w:val="18"/>
                <w:color w:val="auto"/>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333-260297</w:t>
            </w: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rPr>
              <w:t>October 18, 2021</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gridSpan w:val="15"/>
          </w:tcPr>
          <w:p>
            <w:pPr>
              <w:spacing w:after="0" w:line="156" w:lineRule="exact"/>
              <w:rPr>
                <w:rFonts w:ascii="Arial" w:cs="Arial" w:eastAsia="Arial" w:hAnsi="Arial"/>
                <w:sz w:val="18"/>
                <w:szCs w:val="18"/>
                <w:color w:val="0000FF"/>
              </w:rPr>
            </w:pPr>
            <w:hyperlink r:id="rId266">
              <w:r>
                <w:rPr>
                  <w:rFonts w:ascii="Arial" w:cs="Arial" w:eastAsia="Arial" w:hAnsi="Arial"/>
                  <w:sz w:val="18"/>
                  <w:szCs w:val="18"/>
                  <w:color w:val="0000FF"/>
                </w:rPr>
                <w:t>Agreement, dated as of September 21, 2021, by</w:t>
              </w:r>
            </w:hyperlink>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266">
              <w:r>
                <w:rPr>
                  <w:rFonts w:ascii="Arial" w:cs="Arial" w:eastAsia="Arial" w:hAnsi="Arial"/>
                  <w:sz w:val="18"/>
                  <w:szCs w:val="18"/>
                  <w:color w:val="0000FF"/>
                  <w:w w:val="99"/>
                </w:rPr>
                <w:t>and between the Registrant, the Borrowers party</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20" w:type="dxa"/>
            <w:vAlign w:val="bottom"/>
            <w:tcBorders>
              <w:bottom w:val="single" w:sz="8" w:color="0000FF"/>
            </w:tcBorders>
            <w:gridSpan w:val="14"/>
          </w:tcPr>
          <w:p>
            <w:pPr>
              <w:spacing w:after="0" w:line="156" w:lineRule="exact"/>
              <w:rPr>
                <w:rFonts w:ascii="Arial" w:cs="Arial" w:eastAsia="Arial" w:hAnsi="Arial"/>
                <w:sz w:val="18"/>
                <w:szCs w:val="18"/>
                <w:color w:val="0000FF"/>
                <w:w w:val="99"/>
              </w:rPr>
            </w:pPr>
            <w:hyperlink r:id="rId266">
              <w:r>
                <w:rPr>
                  <w:rFonts w:ascii="Arial" w:cs="Arial" w:eastAsia="Arial" w:hAnsi="Arial"/>
                  <w:sz w:val="18"/>
                  <w:szCs w:val="18"/>
                  <w:color w:val="0000FF"/>
                  <w:w w:val="99"/>
                </w:rPr>
                <w:t>thereto, and Canadian Imperial Bank of Commerce.</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64"/>
        </w:trPr>
        <w:tc>
          <w:tcPr>
            <w:tcW w:w="1300" w:type="dxa"/>
            <w:vAlign w:val="bottom"/>
          </w:tcPr>
          <w:p>
            <w:pPr>
              <w:ind w:left="140"/>
              <w:spacing w:after="0"/>
              <w:rPr>
                <w:sz w:val="20"/>
                <w:szCs w:val="20"/>
                <w:color w:val="auto"/>
              </w:rPr>
            </w:pPr>
            <w:r>
              <w:rPr>
                <w:rFonts w:ascii="Arial" w:cs="Arial" w:eastAsia="Arial" w:hAnsi="Arial"/>
                <w:sz w:val="18"/>
                <w:szCs w:val="18"/>
                <w:color w:val="auto"/>
              </w:rPr>
              <w:t>31.1</w:t>
            </w:r>
            <w:r>
              <w:rPr>
                <w:rFonts w:ascii="Arial" w:cs="Arial" w:eastAsia="Arial" w:hAnsi="Arial"/>
                <w:sz w:val="23"/>
                <w:szCs w:val="23"/>
                <w:color w:val="auto"/>
                <w:vertAlign w:val="superscript"/>
              </w:rPr>
              <w:t>*</w:t>
            </w:r>
          </w:p>
        </w:tc>
        <w:tc>
          <w:tcPr>
            <w:tcW w:w="80" w:type="dxa"/>
            <w:vAlign w:val="bottom"/>
          </w:tcPr>
          <w:p>
            <w:pPr>
              <w:spacing w:after="0"/>
              <w:rPr>
                <w:sz w:val="22"/>
                <w:szCs w:val="22"/>
                <w:color w:val="auto"/>
              </w:rPr>
            </w:pPr>
          </w:p>
        </w:tc>
        <w:tc>
          <w:tcPr>
            <w:tcW w:w="4180" w:type="dxa"/>
            <w:vAlign w:val="bottom"/>
            <w:gridSpan w:val="15"/>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Certification of the Principal Executive Officer,</w:t>
              </w:r>
            </w:hyperlink>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gridSpan w:val="15"/>
          </w:tcPr>
          <w:p>
            <w:pPr>
              <w:spacing w:after="0" w:line="156" w:lineRule="exact"/>
              <w:rPr>
                <w:rFonts w:ascii="Arial" w:cs="Arial" w:eastAsia="Arial" w:hAnsi="Arial"/>
                <w:sz w:val="18"/>
                <w:szCs w:val="18"/>
                <w:color w:val="0000FF"/>
              </w:rPr>
            </w:pPr>
            <w:hyperlink w:anchor="page121">
              <w:r>
                <w:rPr>
                  <w:rFonts w:ascii="Arial" w:cs="Arial" w:eastAsia="Arial" w:hAnsi="Arial"/>
                  <w:sz w:val="18"/>
                  <w:szCs w:val="18"/>
                  <w:color w:val="0000FF"/>
                </w:rPr>
                <w:t>pursuant to Rules 13a-14(a) and 15d-14(a) under</w:t>
              </w:r>
            </w:hyperlink>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7"/>
              </w:rPr>
            </w:pPr>
            <w:hyperlink w:anchor="page121">
              <w:r>
                <w:rPr>
                  <w:rFonts w:ascii="Arial" w:cs="Arial" w:eastAsia="Arial" w:hAnsi="Arial"/>
                  <w:sz w:val="18"/>
                  <w:szCs w:val="18"/>
                  <w:color w:val="0000FF"/>
                  <w:w w:val="97"/>
                </w:rPr>
                <w:t>the Securities Exchange Act of 1934, as amended,</w:t>
              </w:r>
            </w:hyperlink>
          </w:p>
        </w:tc>
        <w:tc>
          <w:tcPr>
            <w:tcW w:w="80" w:type="dxa"/>
            <w:vAlign w:val="bottom"/>
            <w:tcBorders>
              <w:bottom w:val="single" w:sz="8" w:color="0000FF"/>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gridSpan w:val="15"/>
          </w:tcPr>
          <w:p>
            <w:pPr>
              <w:spacing w:after="0" w:line="156" w:lineRule="exact"/>
              <w:rPr>
                <w:rFonts w:ascii="Arial" w:cs="Arial" w:eastAsia="Arial" w:hAnsi="Arial"/>
                <w:sz w:val="18"/>
                <w:szCs w:val="18"/>
                <w:color w:val="0000FF"/>
              </w:rPr>
            </w:pPr>
            <w:hyperlink w:anchor="page121">
              <w:r>
                <w:rPr>
                  <w:rFonts w:ascii="Arial" w:cs="Arial" w:eastAsia="Arial" w:hAnsi="Arial"/>
                  <w:sz w:val="18"/>
                  <w:szCs w:val="18"/>
                  <w:color w:val="0000FF"/>
                </w:rPr>
                <w:t>as adopted pursuant to Section 302 of the</w:t>
              </w:r>
            </w:hyperlink>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21">
              <w:r>
                <w:rPr>
                  <w:rFonts w:ascii="Arial" w:cs="Arial" w:eastAsia="Arial" w:hAnsi="Arial"/>
                  <w:sz w:val="18"/>
                  <w:szCs w:val="18"/>
                  <w:color w:val="0000FF"/>
                </w:rPr>
                <w:t>Sarbanes-Oxley Act of 2002.</w:t>
              </w:r>
            </w:hyperlink>
          </w:p>
        </w:tc>
        <w:tc>
          <w:tcPr>
            <w:tcW w:w="18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3"/>
        </w:trPr>
        <w:tc>
          <w:tcPr>
            <w:tcW w:w="1300" w:type="dxa"/>
            <w:vAlign w:val="bottom"/>
          </w:tcPr>
          <w:p>
            <w:pPr>
              <w:ind w:left="140"/>
              <w:spacing w:after="0" w:line="263" w:lineRule="exact"/>
              <w:rPr>
                <w:sz w:val="20"/>
                <w:szCs w:val="20"/>
                <w:color w:val="auto"/>
              </w:rPr>
            </w:pPr>
            <w:r>
              <w:rPr>
                <w:rFonts w:ascii="Arial" w:cs="Arial" w:eastAsia="Arial" w:hAnsi="Arial"/>
                <w:sz w:val="18"/>
                <w:szCs w:val="18"/>
                <w:color w:val="auto"/>
              </w:rPr>
              <w:t>31.2</w:t>
            </w:r>
            <w:r>
              <w:rPr>
                <w:rFonts w:ascii="Arial" w:cs="Arial" w:eastAsia="Arial" w:hAnsi="Arial"/>
                <w:sz w:val="23"/>
                <w:szCs w:val="23"/>
                <w:color w:val="auto"/>
                <w:vertAlign w:val="superscript"/>
              </w:rPr>
              <w:t>*</w:t>
            </w:r>
          </w:p>
        </w:tc>
        <w:tc>
          <w:tcPr>
            <w:tcW w:w="80" w:type="dxa"/>
            <w:vAlign w:val="bottom"/>
          </w:tcPr>
          <w:p>
            <w:pPr>
              <w:spacing w:after="0"/>
              <w:rPr>
                <w:sz w:val="22"/>
                <w:szCs w:val="22"/>
                <w:color w:val="auto"/>
              </w:rPr>
            </w:pPr>
          </w:p>
        </w:tc>
        <w:tc>
          <w:tcPr>
            <w:tcW w:w="4180" w:type="dxa"/>
            <w:vAlign w:val="bottom"/>
            <w:gridSpan w:val="15"/>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Certification of the Principal Financial Officer,</w:t>
              </w:r>
            </w:hyperlink>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tcBorders>
              <w:top w:val="single" w:sz="8" w:color="0000FF"/>
            </w:tcBorders>
            <w:gridSpan w:val="6"/>
          </w:tcPr>
          <w:p>
            <w:pPr>
              <w:spacing w:after="0" w:line="157" w:lineRule="exact"/>
              <w:rPr>
                <w:rFonts w:ascii="Arial" w:cs="Arial" w:eastAsia="Arial" w:hAnsi="Arial"/>
                <w:sz w:val="18"/>
                <w:szCs w:val="18"/>
                <w:color w:val="0000FF"/>
              </w:rPr>
            </w:pPr>
            <w:hyperlink w:anchor="page122">
              <w:r>
                <w:rPr>
                  <w:rFonts w:ascii="Arial" w:cs="Arial" w:eastAsia="Arial" w:hAnsi="Arial"/>
                  <w:sz w:val="18"/>
                  <w:szCs w:val="18"/>
                  <w:color w:val="0000FF"/>
                </w:rPr>
                <w:t>pursuant to Rules 13a-14(a) and 15d-14(a)</w:t>
              </w:r>
            </w:hyperlink>
          </w:p>
        </w:tc>
        <w:tc>
          <w:tcPr>
            <w:tcW w:w="600" w:type="dxa"/>
            <w:vAlign w:val="bottom"/>
            <w:gridSpan w:val="9"/>
          </w:tcPr>
          <w:p>
            <w:pPr>
              <w:spacing w:after="0" w:line="157" w:lineRule="exact"/>
              <w:rPr>
                <w:rFonts w:ascii="Arial" w:cs="Arial" w:eastAsia="Arial" w:hAnsi="Arial"/>
                <w:sz w:val="18"/>
                <w:szCs w:val="18"/>
                <w:color w:val="0000FF"/>
              </w:rPr>
            </w:pPr>
            <w:hyperlink w:anchor="page122">
              <w:r>
                <w:rPr>
                  <w:rFonts w:ascii="Arial" w:cs="Arial" w:eastAsia="Arial" w:hAnsi="Arial"/>
                  <w:sz w:val="18"/>
                  <w:szCs w:val="18"/>
                  <w:color w:val="0000FF"/>
                </w:rPr>
                <w:t>under</w:t>
              </w:r>
            </w:hyperlink>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6"/>
              </w:rPr>
            </w:pPr>
            <w:hyperlink w:anchor="page122">
              <w:r>
                <w:rPr>
                  <w:rFonts w:ascii="Arial" w:cs="Arial" w:eastAsia="Arial" w:hAnsi="Arial"/>
                  <w:sz w:val="18"/>
                  <w:szCs w:val="18"/>
                  <w:color w:val="0000FF"/>
                  <w:w w:val="96"/>
                </w:rPr>
                <w:t>the Securities Exchange Act of 1934, as amended,</w:t>
              </w:r>
            </w:hyperlink>
          </w:p>
        </w:tc>
        <w:tc>
          <w:tcPr>
            <w:tcW w:w="100" w:type="dxa"/>
            <w:vAlign w:val="bottom"/>
            <w:tcBorders>
              <w:bottom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gridSpan w:val="15"/>
          </w:tcPr>
          <w:p>
            <w:pPr>
              <w:spacing w:after="0" w:line="156" w:lineRule="exact"/>
              <w:rPr>
                <w:rFonts w:ascii="Arial" w:cs="Arial" w:eastAsia="Arial" w:hAnsi="Arial"/>
                <w:sz w:val="18"/>
                <w:szCs w:val="18"/>
                <w:color w:val="0000FF"/>
              </w:rPr>
            </w:pPr>
            <w:hyperlink w:anchor="page122">
              <w:r>
                <w:rPr>
                  <w:rFonts w:ascii="Arial" w:cs="Arial" w:eastAsia="Arial" w:hAnsi="Arial"/>
                  <w:sz w:val="18"/>
                  <w:szCs w:val="18"/>
                  <w:color w:val="0000FF"/>
                </w:rPr>
                <w:t>as adopted pursuant to Section 302 of the</w:t>
              </w:r>
            </w:hyperlink>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22">
              <w:r>
                <w:rPr>
                  <w:rFonts w:ascii="Arial" w:cs="Arial" w:eastAsia="Arial" w:hAnsi="Arial"/>
                  <w:sz w:val="18"/>
                  <w:szCs w:val="18"/>
                  <w:color w:val="0000FF"/>
                </w:rPr>
                <w:t>Sarbanes-Oxley Act of 2002.</w:t>
              </w:r>
            </w:hyperlink>
          </w:p>
        </w:tc>
        <w:tc>
          <w:tcPr>
            <w:tcW w:w="440" w:type="dxa"/>
            <w:vAlign w:val="bottom"/>
            <w:gridSpan w:val="3"/>
          </w:tcPr>
          <w:p>
            <w:pPr>
              <w:spacing w:after="0"/>
              <w:rPr>
                <w:sz w:val="13"/>
                <w:szCs w:val="13"/>
                <w:color w:val="auto"/>
              </w:rPr>
            </w:pPr>
          </w:p>
        </w:tc>
        <w:tc>
          <w:tcPr>
            <w:tcW w:w="340" w:type="dxa"/>
            <w:vAlign w:val="bottom"/>
            <w:gridSpan w:val="8"/>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3"/>
        </w:trPr>
        <w:tc>
          <w:tcPr>
            <w:tcW w:w="1300" w:type="dxa"/>
            <w:vAlign w:val="bottom"/>
          </w:tcPr>
          <w:p>
            <w:pPr>
              <w:ind w:left="140"/>
              <w:spacing w:after="0"/>
              <w:rPr>
                <w:sz w:val="20"/>
                <w:szCs w:val="20"/>
                <w:color w:val="auto"/>
              </w:rPr>
            </w:pPr>
            <w:r>
              <w:rPr>
                <w:rFonts w:ascii="Arial" w:cs="Arial" w:eastAsia="Arial" w:hAnsi="Arial"/>
                <w:sz w:val="18"/>
                <w:szCs w:val="18"/>
                <w:color w:val="auto"/>
              </w:rPr>
              <w:t>32.1</w:t>
            </w:r>
            <w:r>
              <w:rPr>
                <w:rFonts w:ascii="Arial" w:cs="Arial" w:eastAsia="Arial" w:hAnsi="Arial"/>
                <w:sz w:val="23"/>
                <w:szCs w:val="23"/>
                <w:color w:val="auto"/>
                <w:vertAlign w:val="superscript"/>
              </w:rPr>
              <w:t>**</w:t>
            </w:r>
          </w:p>
        </w:tc>
        <w:tc>
          <w:tcPr>
            <w:tcW w:w="80" w:type="dxa"/>
            <w:vAlign w:val="bottom"/>
          </w:tcPr>
          <w:p>
            <w:pPr>
              <w:spacing w:after="0"/>
              <w:rPr>
                <w:sz w:val="22"/>
                <w:szCs w:val="22"/>
                <w:color w:val="auto"/>
              </w:rPr>
            </w:pPr>
          </w:p>
        </w:tc>
        <w:tc>
          <w:tcPr>
            <w:tcW w:w="4180" w:type="dxa"/>
            <w:vAlign w:val="bottom"/>
            <w:gridSpan w:val="15"/>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Certification of the Principal Executive Officer,</w:t>
              </w:r>
            </w:hyperlink>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92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55"/>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gridSpan w:val="15"/>
          </w:tcPr>
          <w:p>
            <w:pPr>
              <w:spacing w:after="0" w:line="154" w:lineRule="exact"/>
              <w:rPr>
                <w:rFonts w:ascii="Arial" w:cs="Arial" w:eastAsia="Arial" w:hAnsi="Arial"/>
                <w:sz w:val="17"/>
                <w:szCs w:val="17"/>
                <w:color w:val="0000FF"/>
              </w:rPr>
            </w:pPr>
            <w:hyperlink w:anchor="page123">
              <w:r>
                <w:rPr>
                  <w:rFonts w:ascii="Arial" w:cs="Arial" w:eastAsia="Arial" w:hAnsi="Arial"/>
                  <w:sz w:val="17"/>
                  <w:szCs w:val="17"/>
                  <w:color w:val="0000FF"/>
                </w:rPr>
                <w:t>pursuant to 18 U.S.C. Section 1350, as adopted</w:t>
              </w:r>
            </w:hyperlink>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Borders>
              <w:top w:val="single" w:sz="8" w:color="0000FF"/>
            </w:tcBorders>
            <w:gridSpan w:val="7"/>
          </w:tcPr>
          <w:p>
            <w:pPr>
              <w:spacing w:after="0" w:line="157" w:lineRule="exact"/>
              <w:rPr>
                <w:rFonts w:ascii="Arial" w:cs="Arial" w:eastAsia="Arial" w:hAnsi="Arial"/>
                <w:sz w:val="18"/>
                <w:szCs w:val="18"/>
                <w:color w:val="0000FF"/>
              </w:rPr>
            </w:pPr>
            <w:hyperlink w:anchor="page123">
              <w:r>
                <w:rPr>
                  <w:rFonts w:ascii="Arial" w:cs="Arial" w:eastAsia="Arial" w:hAnsi="Arial"/>
                  <w:sz w:val="18"/>
                  <w:szCs w:val="18"/>
                  <w:color w:val="0000FF"/>
                </w:rPr>
                <w:t>pursuant to Section 906 of the Sarbanes-Oxley</w:t>
              </w:r>
            </w:hyperlink>
          </w:p>
        </w:tc>
        <w:tc>
          <w:tcPr>
            <w:tcW w:w="340" w:type="dxa"/>
            <w:vAlign w:val="bottom"/>
            <w:gridSpan w:val="8"/>
          </w:tcPr>
          <w:p>
            <w:pPr>
              <w:spacing w:after="0" w:line="157" w:lineRule="exact"/>
              <w:rPr>
                <w:rFonts w:ascii="Arial" w:cs="Arial" w:eastAsia="Arial" w:hAnsi="Arial"/>
                <w:sz w:val="18"/>
                <w:szCs w:val="18"/>
                <w:color w:val="0000FF"/>
              </w:rPr>
            </w:pPr>
            <w:hyperlink w:anchor="page123">
              <w:r>
                <w:rPr>
                  <w:rFonts w:ascii="Arial" w:cs="Arial" w:eastAsia="Arial" w:hAnsi="Arial"/>
                  <w:sz w:val="18"/>
                  <w:szCs w:val="18"/>
                  <w:color w:val="0000FF"/>
                </w:rPr>
                <w:t>Act</w:t>
              </w:r>
            </w:hyperlink>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123">
              <w:r>
                <w:rPr>
                  <w:rFonts w:ascii="Arial" w:cs="Arial" w:eastAsia="Arial" w:hAnsi="Arial"/>
                  <w:sz w:val="18"/>
                  <w:szCs w:val="18"/>
                  <w:color w:val="0000FF"/>
                  <w:w w:val="98"/>
                </w:rPr>
                <w:t>of 2002.</w:t>
              </w:r>
            </w:hyperlink>
          </w:p>
        </w:tc>
        <w:tc>
          <w:tcPr>
            <w:tcW w:w="3400" w:type="dxa"/>
            <w:vAlign w:val="bottom"/>
            <w:tcBorders>
              <w:top w:val="single" w:sz="8" w:color="0000FF"/>
            </w:tcBorders>
            <w:gridSpan w:val="12"/>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63"/>
        </w:trPr>
        <w:tc>
          <w:tcPr>
            <w:tcW w:w="1300" w:type="dxa"/>
            <w:vAlign w:val="bottom"/>
          </w:tcPr>
          <w:p>
            <w:pPr>
              <w:ind w:left="140"/>
              <w:spacing w:after="0"/>
              <w:rPr>
                <w:sz w:val="20"/>
                <w:szCs w:val="20"/>
                <w:color w:val="auto"/>
              </w:rPr>
            </w:pPr>
            <w:r>
              <w:rPr>
                <w:rFonts w:ascii="Arial" w:cs="Arial" w:eastAsia="Arial" w:hAnsi="Arial"/>
                <w:sz w:val="18"/>
                <w:szCs w:val="18"/>
                <w:color w:val="auto"/>
              </w:rPr>
              <w:t>32.2</w:t>
            </w:r>
            <w:r>
              <w:rPr>
                <w:rFonts w:ascii="Arial" w:cs="Arial" w:eastAsia="Arial" w:hAnsi="Arial"/>
                <w:sz w:val="23"/>
                <w:szCs w:val="23"/>
                <w:color w:val="auto"/>
                <w:vertAlign w:val="superscript"/>
              </w:rPr>
              <w:t>**</w:t>
            </w:r>
          </w:p>
        </w:tc>
        <w:tc>
          <w:tcPr>
            <w:tcW w:w="80" w:type="dxa"/>
            <w:vAlign w:val="bottom"/>
          </w:tcPr>
          <w:p>
            <w:pPr>
              <w:spacing w:after="0"/>
              <w:rPr>
                <w:sz w:val="22"/>
                <w:szCs w:val="22"/>
                <w:color w:val="auto"/>
              </w:rPr>
            </w:pPr>
          </w:p>
        </w:tc>
        <w:tc>
          <w:tcPr>
            <w:tcW w:w="4180" w:type="dxa"/>
            <w:vAlign w:val="bottom"/>
            <w:gridSpan w:val="15"/>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Certification of the Principal Financial Officer,</w:t>
              </w:r>
            </w:hyperlink>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55"/>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gridSpan w:val="15"/>
          </w:tcPr>
          <w:p>
            <w:pPr>
              <w:spacing w:after="0" w:line="154" w:lineRule="exact"/>
              <w:rPr>
                <w:rFonts w:ascii="Arial" w:cs="Arial" w:eastAsia="Arial" w:hAnsi="Arial"/>
                <w:sz w:val="17"/>
                <w:szCs w:val="17"/>
                <w:color w:val="0000FF"/>
              </w:rPr>
            </w:pPr>
            <w:hyperlink w:anchor="page124">
              <w:r>
                <w:rPr>
                  <w:rFonts w:ascii="Arial" w:cs="Arial" w:eastAsia="Arial" w:hAnsi="Arial"/>
                  <w:sz w:val="17"/>
                  <w:szCs w:val="17"/>
                  <w:color w:val="0000FF"/>
                </w:rPr>
                <w:t>pursuant to 18 U.S.C. Section 1350, as adopted</w:t>
              </w:r>
            </w:hyperlink>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Borders>
              <w:top w:val="single" w:sz="8" w:color="0000FF"/>
            </w:tcBorders>
            <w:gridSpan w:val="7"/>
          </w:tcPr>
          <w:p>
            <w:pPr>
              <w:spacing w:after="0" w:line="157" w:lineRule="exact"/>
              <w:rPr>
                <w:rFonts w:ascii="Arial" w:cs="Arial" w:eastAsia="Arial" w:hAnsi="Arial"/>
                <w:sz w:val="18"/>
                <w:szCs w:val="18"/>
                <w:color w:val="0000FF"/>
              </w:rPr>
            </w:pPr>
            <w:hyperlink w:anchor="page124">
              <w:r>
                <w:rPr>
                  <w:rFonts w:ascii="Arial" w:cs="Arial" w:eastAsia="Arial" w:hAnsi="Arial"/>
                  <w:sz w:val="18"/>
                  <w:szCs w:val="18"/>
                  <w:color w:val="0000FF"/>
                </w:rPr>
                <w:t>pursuant to Section 906 of the Sarbanes-Oxley</w:t>
              </w:r>
            </w:hyperlink>
          </w:p>
        </w:tc>
        <w:tc>
          <w:tcPr>
            <w:tcW w:w="340" w:type="dxa"/>
            <w:vAlign w:val="bottom"/>
            <w:gridSpan w:val="8"/>
          </w:tcPr>
          <w:p>
            <w:pPr>
              <w:spacing w:after="0" w:line="157" w:lineRule="exact"/>
              <w:rPr>
                <w:rFonts w:ascii="Arial" w:cs="Arial" w:eastAsia="Arial" w:hAnsi="Arial"/>
                <w:sz w:val="18"/>
                <w:szCs w:val="18"/>
                <w:color w:val="0000FF"/>
              </w:rPr>
            </w:pPr>
            <w:hyperlink w:anchor="page124">
              <w:r>
                <w:rPr>
                  <w:rFonts w:ascii="Arial" w:cs="Arial" w:eastAsia="Arial" w:hAnsi="Arial"/>
                  <w:sz w:val="18"/>
                  <w:szCs w:val="18"/>
                  <w:color w:val="0000FF"/>
                </w:rPr>
                <w:t>Act</w:t>
              </w:r>
            </w:hyperlink>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124">
              <w:r>
                <w:rPr>
                  <w:rFonts w:ascii="Arial" w:cs="Arial" w:eastAsia="Arial" w:hAnsi="Arial"/>
                  <w:sz w:val="18"/>
                  <w:szCs w:val="18"/>
                  <w:color w:val="0000FF"/>
                  <w:w w:val="98"/>
                </w:rPr>
                <w:t>of 2002.</w:t>
              </w:r>
            </w:hyperlink>
          </w:p>
        </w:tc>
        <w:tc>
          <w:tcPr>
            <w:tcW w:w="3400" w:type="dxa"/>
            <w:vAlign w:val="bottom"/>
            <w:tcBorders>
              <w:top w:val="single" w:sz="8" w:color="0000FF"/>
            </w:tcBorders>
            <w:gridSpan w:val="12"/>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71"/>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101.INS</w:t>
            </w:r>
            <w:r>
              <w:rPr>
                <w:rFonts w:ascii="Arial" w:cs="Arial" w:eastAsia="Arial" w:hAnsi="Arial"/>
                <w:sz w:val="23"/>
                <w:szCs w:val="23"/>
                <w:color w:val="auto"/>
                <w:vertAlign w:val="superscript"/>
              </w:rPr>
              <w:t>*</w:t>
            </w:r>
          </w:p>
        </w:tc>
        <w:tc>
          <w:tcPr>
            <w:tcW w:w="418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5"/>
        </w:trPr>
        <w:tc>
          <w:tcPr>
            <w:tcW w:w="138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101.SCH</w:t>
            </w:r>
            <w:r>
              <w:rPr>
                <w:rFonts w:ascii="Arial" w:cs="Arial" w:eastAsia="Arial" w:hAnsi="Arial"/>
                <w:sz w:val="20"/>
                <w:szCs w:val="20"/>
                <w:color w:val="auto"/>
                <w:vertAlign w:val="superscript"/>
              </w:rPr>
              <w:t>*</w:t>
            </w:r>
          </w:p>
        </w:tc>
        <w:tc>
          <w:tcPr>
            <w:tcW w:w="4180" w:type="dxa"/>
            <w:vAlign w:val="bottom"/>
            <w:gridSpan w:val="15"/>
          </w:tcPr>
          <w:p>
            <w:pPr>
              <w:spacing w:after="0" w:line="176" w:lineRule="exact"/>
              <w:rPr>
                <w:sz w:val="20"/>
                <w:szCs w:val="20"/>
                <w:color w:val="auto"/>
              </w:rPr>
            </w:pPr>
            <w:r>
              <w:rPr>
                <w:rFonts w:ascii="Arial" w:cs="Arial" w:eastAsia="Arial" w:hAnsi="Arial"/>
                <w:sz w:val="18"/>
                <w:szCs w:val="18"/>
                <w:color w:val="auto"/>
              </w:rPr>
              <w:t>Inline XBRL Taxonomy Extension Schema</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17"/>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42"/>
        </w:trPr>
        <w:tc>
          <w:tcPr>
            <w:tcW w:w="1380" w:type="dxa"/>
            <w:vAlign w:val="bottom"/>
            <w:gridSpan w:val="2"/>
          </w:tcPr>
          <w:p>
            <w:pPr>
              <w:ind w:left="140"/>
              <w:spacing w:after="0" w:line="242" w:lineRule="exact"/>
              <w:rPr>
                <w:sz w:val="20"/>
                <w:szCs w:val="20"/>
                <w:color w:val="auto"/>
              </w:rPr>
            </w:pPr>
            <w:r>
              <w:rPr>
                <w:rFonts w:ascii="Arial" w:cs="Arial" w:eastAsia="Arial" w:hAnsi="Arial"/>
                <w:sz w:val="18"/>
                <w:szCs w:val="18"/>
                <w:color w:val="auto"/>
              </w:rPr>
              <w:t>101.CAL</w:t>
            </w:r>
            <w:r>
              <w:rPr>
                <w:rFonts w:ascii="Arial" w:cs="Arial" w:eastAsia="Arial" w:hAnsi="Arial"/>
                <w:sz w:val="23"/>
                <w:szCs w:val="23"/>
                <w:color w:val="auto"/>
                <w:vertAlign w:val="superscript"/>
              </w:rPr>
              <w:t>*</w:t>
            </w:r>
          </w:p>
        </w:tc>
        <w:tc>
          <w:tcPr>
            <w:tcW w:w="41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7"/>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42"/>
        </w:trPr>
        <w:tc>
          <w:tcPr>
            <w:tcW w:w="1380" w:type="dxa"/>
            <w:vAlign w:val="bottom"/>
            <w:gridSpan w:val="2"/>
          </w:tcPr>
          <w:p>
            <w:pPr>
              <w:ind w:left="140"/>
              <w:spacing w:after="0" w:line="242" w:lineRule="exact"/>
              <w:rPr>
                <w:sz w:val="20"/>
                <w:szCs w:val="20"/>
                <w:color w:val="auto"/>
              </w:rPr>
            </w:pPr>
            <w:r>
              <w:rPr>
                <w:rFonts w:ascii="Arial" w:cs="Arial" w:eastAsia="Arial" w:hAnsi="Arial"/>
                <w:sz w:val="18"/>
                <w:szCs w:val="18"/>
                <w:color w:val="auto"/>
              </w:rPr>
              <w:t>101.DEF</w:t>
            </w:r>
            <w:r>
              <w:rPr>
                <w:rFonts w:ascii="Arial" w:cs="Arial" w:eastAsia="Arial" w:hAnsi="Arial"/>
                <w:sz w:val="23"/>
                <w:szCs w:val="23"/>
                <w:color w:val="auto"/>
                <w:vertAlign w:val="superscript"/>
              </w:rPr>
              <w:t>*</w:t>
            </w:r>
          </w:p>
        </w:tc>
        <w:tc>
          <w:tcPr>
            <w:tcW w:w="41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7"/>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42"/>
        </w:trPr>
        <w:tc>
          <w:tcPr>
            <w:tcW w:w="1380" w:type="dxa"/>
            <w:vAlign w:val="bottom"/>
            <w:gridSpan w:val="2"/>
          </w:tcPr>
          <w:p>
            <w:pPr>
              <w:ind w:left="140"/>
              <w:spacing w:after="0" w:line="242" w:lineRule="exact"/>
              <w:rPr>
                <w:sz w:val="20"/>
                <w:szCs w:val="20"/>
                <w:color w:val="auto"/>
              </w:rPr>
            </w:pPr>
            <w:r>
              <w:rPr>
                <w:rFonts w:ascii="Arial" w:cs="Arial" w:eastAsia="Arial" w:hAnsi="Arial"/>
                <w:sz w:val="18"/>
                <w:szCs w:val="18"/>
                <w:color w:val="auto"/>
              </w:rPr>
              <w:t>101.PRE</w:t>
            </w:r>
            <w:r>
              <w:rPr>
                <w:rFonts w:ascii="Arial" w:cs="Arial" w:eastAsia="Arial" w:hAnsi="Arial"/>
                <w:sz w:val="23"/>
                <w:szCs w:val="23"/>
                <w:color w:val="auto"/>
                <w:vertAlign w:val="superscript"/>
              </w:rPr>
              <w:t>*</w:t>
            </w:r>
          </w:p>
        </w:tc>
        <w:tc>
          <w:tcPr>
            <w:tcW w:w="41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7"/>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Linkable Document.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42"/>
        </w:trPr>
        <w:tc>
          <w:tcPr>
            <w:tcW w:w="1300" w:type="dxa"/>
            <w:vAlign w:val="bottom"/>
          </w:tcPr>
          <w:p>
            <w:pPr>
              <w:ind w:left="140"/>
              <w:spacing w:after="0" w:line="242" w:lineRule="exact"/>
              <w:rPr>
                <w:sz w:val="20"/>
                <w:szCs w:val="20"/>
                <w:color w:val="auto"/>
              </w:rPr>
            </w:pPr>
            <w:r>
              <w:rPr>
                <w:rFonts w:ascii="Arial" w:cs="Arial" w:eastAsia="Arial" w:hAnsi="Arial"/>
                <w:sz w:val="18"/>
                <w:szCs w:val="18"/>
                <w:color w:val="auto"/>
              </w:rPr>
              <w:t>104</w:t>
            </w:r>
            <w:r>
              <w:rPr>
                <w:rFonts w:ascii="Arial" w:cs="Arial" w:eastAsia="Arial" w:hAnsi="Arial"/>
                <w:sz w:val="23"/>
                <w:szCs w:val="23"/>
                <w:color w:val="auto"/>
                <w:vertAlign w:val="superscript"/>
              </w:rPr>
              <w:t>*</w:t>
            </w:r>
          </w:p>
        </w:tc>
        <w:tc>
          <w:tcPr>
            <w:tcW w:w="80" w:type="dxa"/>
            <w:vAlign w:val="bottom"/>
          </w:tcPr>
          <w:p>
            <w:pPr>
              <w:spacing w:after="0"/>
              <w:rPr>
                <w:sz w:val="21"/>
                <w:szCs w:val="21"/>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Cover Page Interactive Data File (embedded within</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7"/>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the Inline XBRL document).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54"/>
        </w:trPr>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780" w:type="dxa"/>
            <w:vAlign w:val="bottom"/>
          </w:tcPr>
          <w:p>
            <w:pPr>
              <w:spacing w:after="0"/>
              <w:rPr>
                <w:sz w:val="4"/>
                <w:szCs w:val="4"/>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Filed herewith.</w:t>
      </w:r>
    </w:p>
    <w:p>
      <w:pPr>
        <w:spacing w:after="0" w:line="40" w:lineRule="exact"/>
        <w:rPr>
          <w:sz w:val="20"/>
          <w:szCs w:val="20"/>
          <w:color w:val="auto"/>
        </w:rPr>
      </w:pPr>
    </w:p>
    <w:p>
      <w:pPr>
        <w:ind w:left="360" w:right="500" w:hanging="323"/>
        <w:spacing w:after="0" w:line="231" w:lineRule="auto"/>
        <w:rPr>
          <w:sz w:val="20"/>
          <w:szCs w:val="20"/>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32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7320" w:type="dxa"/>
            <w:vAlign w:val="bottom"/>
            <w:gridSpan w:val="2"/>
          </w:tcPr>
          <w:p>
            <w:pPr>
              <w:ind w:left="1840"/>
              <w:spacing w:after="0"/>
              <w:rPr>
                <w:sz w:val="20"/>
                <w:szCs w:val="20"/>
                <w:color w:val="auto"/>
              </w:rPr>
            </w:pPr>
            <w:r>
              <w:rPr>
                <w:rFonts w:ascii="Arial" w:cs="Arial" w:eastAsia="Arial" w:hAnsi="Arial"/>
                <w:sz w:val="18"/>
                <w:szCs w:val="18"/>
                <w:color w:val="auto"/>
              </w:rPr>
              <w:t>By: /s/ David Barrett</w:t>
            </w:r>
          </w:p>
        </w:tc>
      </w:tr>
      <w:tr>
        <w:trPr>
          <w:trHeight w:val="223"/>
        </w:trPr>
        <w:tc>
          <w:tcPr>
            <w:tcW w:w="3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3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5"/>
        </w:trPr>
        <w:tc>
          <w:tcPr>
            <w:tcW w:w="3900" w:type="dxa"/>
            <w:vAlign w:val="bottom"/>
          </w:tcPr>
          <w:p>
            <w:pPr>
              <w:spacing w:after="0"/>
              <w:rPr>
                <w:sz w:val="20"/>
                <w:szCs w:val="20"/>
                <w:color w:val="auto"/>
              </w:rPr>
            </w:pPr>
            <w:r>
              <w:rPr>
                <w:rFonts w:ascii="Arial" w:cs="Arial" w:eastAsia="Arial" w:hAnsi="Arial"/>
                <w:sz w:val="18"/>
                <w:szCs w:val="18"/>
                <w:color w:val="auto"/>
              </w:rPr>
              <w:t>Date: December 22, 2021</w:t>
            </w:r>
          </w:p>
        </w:tc>
        <w:tc>
          <w:tcPr>
            <w:tcW w:w="21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43"/>
        </w:trPr>
        <w:tc>
          <w:tcPr>
            <w:tcW w:w="3900" w:type="dxa"/>
            <w:vAlign w:val="bottom"/>
          </w:tcPr>
          <w:p>
            <w:pPr>
              <w:spacing w:after="0"/>
              <w:rPr>
                <w:sz w:val="24"/>
                <w:szCs w:val="24"/>
                <w:color w:val="auto"/>
              </w:rPr>
            </w:pPr>
          </w:p>
        </w:tc>
        <w:tc>
          <w:tcPr>
            <w:tcW w:w="7320" w:type="dxa"/>
            <w:vAlign w:val="bottom"/>
            <w:gridSpan w:val="2"/>
          </w:tcPr>
          <w:p>
            <w:pPr>
              <w:ind w:left="1840"/>
              <w:spacing w:after="0"/>
              <w:rPr>
                <w:sz w:val="20"/>
                <w:szCs w:val="20"/>
                <w:color w:val="auto"/>
              </w:rPr>
            </w:pPr>
            <w:r>
              <w:rPr>
                <w:rFonts w:ascii="Arial" w:cs="Arial" w:eastAsia="Arial" w:hAnsi="Arial"/>
                <w:sz w:val="18"/>
                <w:szCs w:val="18"/>
                <w:color w:val="auto"/>
              </w:rPr>
              <w:t>By: /s/ Ryan Schaffer</w:t>
            </w:r>
          </w:p>
        </w:tc>
      </w:tr>
      <w:tr>
        <w:trPr>
          <w:trHeight w:val="223"/>
        </w:trPr>
        <w:tc>
          <w:tcPr>
            <w:tcW w:w="3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3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3900" w:type="dxa"/>
            <w:vAlign w:val="bottom"/>
          </w:tcPr>
          <w:p>
            <w:pPr>
              <w:spacing w:after="0"/>
              <w:rPr>
                <w:sz w:val="20"/>
                <w:szCs w:val="20"/>
                <w:color w:val="auto"/>
              </w:rPr>
            </w:pPr>
            <w:r>
              <w:rPr>
                <w:rFonts w:ascii="Arial" w:cs="Arial" w:eastAsia="Arial" w:hAnsi="Arial"/>
                <w:sz w:val="18"/>
                <w:szCs w:val="18"/>
                <w:color w:val="auto"/>
              </w:rPr>
              <w:t>Date: December 22, 2021</w:t>
            </w:r>
          </w:p>
        </w:tc>
        <w:tc>
          <w:tcPr>
            <w:tcW w:w="21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8"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44"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ind w:left="660" w:right="140" w:hanging="328"/>
        <w:spacing w:after="0" w:line="261"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1300" w:right="20" w:hanging="320"/>
        <w:spacing w:after="0" w:line="256" w:lineRule="auto"/>
        <w:tabs>
          <w:tab w:leader="none" w:pos="12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[Omitted];</w:t>
      </w:r>
    </w:p>
    <w:p>
      <w:pPr>
        <w:spacing w:after="0" w:line="157" w:lineRule="exact"/>
        <w:rPr>
          <w:rFonts w:ascii="Arial" w:cs="Arial" w:eastAsia="Arial" w:hAnsi="Arial"/>
          <w:sz w:val="18"/>
          <w:szCs w:val="18"/>
          <w:color w:val="auto"/>
        </w:rPr>
      </w:pPr>
    </w:p>
    <w:p>
      <w:pPr>
        <w:ind w:left="1300" w:right="300" w:hanging="320"/>
        <w:spacing w:after="0" w:line="256" w:lineRule="auto"/>
        <w:tabs>
          <w:tab w:leader="none" w:pos="12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8"/>
          <w:szCs w:val="18"/>
          <w:color w:val="auto"/>
        </w:rPr>
      </w:pPr>
    </w:p>
    <w:p>
      <w:pPr>
        <w:ind w:left="1300" w:right="60" w:hanging="320"/>
        <w:spacing w:after="0" w:line="256" w:lineRule="auto"/>
        <w:tabs>
          <w:tab w:leader="none" w:pos="12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300" w:right="440" w:hanging="320"/>
        <w:spacing w:after="0" w:line="256" w:lineRule="auto"/>
        <w:tabs>
          <w:tab w:leader="none" w:pos="12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8"/>
          <w:szCs w:val="18"/>
          <w:color w:val="auto"/>
        </w:rPr>
      </w:pPr>
    </w:p>
    <w:p>
      <w:pPr>
        <w:ind w:left="1300" w:right="780" w:hanging="320"/>
        <w:spacing w:after="0" w:line="261" w:lineRule="auto"/>
        <w:tabs>
          <w:tab w:leader="none" w:pos="12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December 22, 2021</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52"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57"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ind w:left="660" w:right="140" w:hanging="328"/>
        <w:spacing w:after="0" w:line="261"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rFonts w:ascii="Arial" w:cs="Arial" w:eastAsia="Arial" w:hAnsi="Arial"/>
          <w:sz w:val="18"/>
          <w:szCs w:val="18"/>
          <w:color w:val="auto"/>
        </w:rPr>
      </w:pPr>
    </w:p>
    <w:p>
      <w:pPr>
        <w:ind w:left="1300" w:right="20" w:hanging="320"/>
        <w:spacing w:after="0" w:line="256"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8"/>
          <w:szCs w:val="18"/>
          <w:color w:val="auto"/>
        </w:rPr>
      </w:pPr>
    </w:p>
    <w:p>
      <w:pPr>
        <w:ind w:left="13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[Omitted];</w:t>
      </w:r>
    </w:p>
    <w:p>
      <w:pPr>
        <w:spacing w:after="0" w:line="157" w:lineRule="exact"/>
        <w:rPr>
          <w:rFonts w:ascii="Arial" w:cs="Arial" w:eastAsia="Arial" w:hAnsi="Arial"/>
          <w:sz w:val="18"/>
          <w:szCs w:val="18"/>
          <w:color w:val="auto"/>
        </w:rPr>
      </w:pPr>
    </w:p>
    <w:p>
      <w:pPr>
        <w:ind w:left="1300" w:right="300" w:hanging="320"/>
        <w:spacing w:after="0" w:line="256" w:lineRule="auto"/>
        <w:tabs>
          <w:tab w:leader="none" w:pos="12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ind w:left="1300" w:right="60" w:hanging="320"/>
        <w:spacing w:after="0" w:line="256"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300" w:right="440" w:hanging="320"/>
        <w:spacing w:after="0" w:line="256"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300" w:right="780" w:hanging="320"/>
        <w:spacing w:after="0" w:line="261"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December 22, 2021</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225" w:lineRule="exact"/>
        <w:rPr>
          <w:sz w:val="20"/>
          <w:szCs w:val="20"/>
          <w:color w:val="auto"/>
        </w:rPr>
      </w:pPr>
    </w:p>
    <w:p>
      <w:pPr>
        <w:ind w:right="280" w:firstLine="208"/>
        <w:spacing w:after="0" w:line="256"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2021, as filed with the Securities and Exchange Commission on the date hereof (the “Report”) fully complies with the requirements of Section 13(a) or Section 15(d), as applicable, of the Securities Exchange Act of 1934, as amended; and</w:t>
      </w:r>
    </w:p>
    <w:p>
      <w:pPr>
        <w:spacing w:after="0" w:line="228" w:lineRule="exact"/>
        <w:rPr>
          <w:rFonts w:ascii="Arial" w:cs="Arial" w:eastAsia="Arial" w:hAnsi="Arial"/>
          <w:sz w:val="18"/>
          <w:szCs w:val="18"/>
          <w:color w:val="auto"/>
        </w:rPr>
      </w:pPr>
    </w:p>
    <w:p>
      <w:pPr>
        <w:ind w:right="120" w:firstLine="208"/>
        <w:spacing w:after="0" w:line="261"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December 22, 2021</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240"/>
          </w:cols>
          <w:pgMar w:left="320" w:top="11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225" w:lineRule="exact"/>
        <w:rPr>
          <w:sz w:val="20"/>
          <w:szCs w:val="20"/>
          <w:color w:val="auto"/>
        </w:rPr>
      </w:pPr>
    </w:p>
    <w:p>
      <w:pPr>
        <w:ind w:right="340" w:firstLine="208"/>
        <w:spacing w:after="0" w:line="256"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2021 as filed with the Securities and Exchange Commission on the date hereof (the “Report”) fully complies with the requirements of Section 13(a) or Section 15(d), as applicable, of the Securities Exchange Act of 1934, as amended; and</w:t>
      </w:r>
    </w:p>
    <w:p>
      <w:pPr>
        <w:spacing w:after="0" w:line="228" w:lineRule="exact"/>
        <w:rPr>
          <w:rFonts w:ascii="Arial" w:cs="Arial" w:eastAsia="Arial" w:hAnsi="Arial"/>
          <w:sz w:val="18"/>
          <w:szCs w:val="18"/>
          <w:color w:val="auto"/>
        </w:rPr>
      </w:pPr>
    </w:p>
    <w:p>
      <w:pPr>
        <w:ind w:right="120" w:firstLine="208"/>
        <w:spacing w:after="0" w:line="261"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December 22, 2021</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lvl w:ilvl="1">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lvl w:ilvl="1">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3"/>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lowerRoman"/>
      <w:start w:val="3"/>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63" Type="http://schemas.openxmlformats.org/officeDocument/2006/relationships/hyperlink" Target="https://www.sec.gov/Archives/edgar/data/0001476840/000162828021023404/exhibit31-8xkclosing.htm" TargetMode="External"/><Relationship Id="rId264" Type="http://schemas.openxmlformats.org/officeDocument/2006/relationships/hyperlink" Target="https://www.sec.gov/Archives/edgar/data/0001476840/000162828021023404/exhibit32-8xkclosing.htm" TargetMode="External"/><Relationship Id="rId265" Type="http://schemas.openxmlformats.org/officeDocument/2006/relationships/hyperlink" Target="https://www.sec.gov/Archives/edgar/data/0001476840/000162828021020900/exhibit41-sx1a2.htm" TargetMode="External"/><Relationship Id="rId266" Type="http://schemas.openxmlformats.org/officeDocument/2006/relationships/hyperlink" Target="https://www.sec.gov/Archives/edgar/data/1476840/000162828021020137/exhibit101-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2021-12-23T05:13:51Z</dcterms:created>
  <dcterms:modified xsi:type="dcterms:W3CDTF">2021-12-23T05:13:51Z</dcterms:modified>
</cp:coreProperties>
</file>