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8"/>
          <w:szCs w:val="28"/>
          <w:b w:val="1"/>
          <w:bCs w:val="1"/>
          <w:color w:val="auto"/>
        </w:rPr>
        <w:t>UNITED STATES</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1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CURRENT REPORT</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PURSUANT TO SECTION 13 OR 15(d)</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OF THE SECURITIES EXCHANGE ACT OF 1934</w:t>
      </w:r>
    </w:p>
    <w:p>
      <w:pPr>
        <w:spacing w:after="0" w:line="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November 7, 2024</w:t>
      </w:r>
    </w:p>
    <w:p>
      <w:pPr>
        <w:spacing w:after="0" w:line="8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Expensify, Inc.</w:t>
      </w:r>
    </w:p>
    <w:p>
      <w:pPr>
        <w:spacing w:after="0" w:line="58" w:lineRule="exact"/>
        <w:rPr>
          <w:sz w:val="24"/>
          <w:szCs w:val="24"/>
          <w:color w:val="auto"/>
        </w:rPr>
      </w:pPr>
    </w:p>
    <w:tbl>
      <w:tblPr>
        <w:tblLayout w:type="fixed"/>
        <w:tblInd w:w="1140" w:type="dxa"/>
        <w:tblCellMar>
          <w:top w:w="0" w:type="dxa"/>
          <w:left w:w="0" w:type="dxa"/>
          <w:bottom w:w="0" w:type="dxa"/>
          <w:right w:w="0" w:type="dxa"/>
        </w:tblCellMar>
      </w:tblPr>
      <w:tr>
        <w:trPr>
          <w:trHeight w:val="208"/>
        </w:trPr>
        <w:tc>
          <w:tcPr>
            <w:tcW w:w="2080" w:type="dxa"/>
            <w:vAlign w:val="bottom"/>
          </w:tcPr>
          <w:p>
            <w:pPr>
              <w:spacing w:after="0"/>
              <w:rPr>
                <w:sz w:val="18"/>
                <w:szCs w:val="18"/>
                <w:color w:val="auto"/>
              </w:rPr>
            </w:pPr>
          </w:p>
        </w:tc>
        <w:tc>
          <w:tcPr>
            <w:tcW w:w="492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8"/>
              </w:rPr>
              <w:t>(Exact Name of Registrant as Specified in its Charter)</w:t>
            </w:r>
          </w:p>
        </w:tc>
        <w:tc>
          <w:tcPr>
            <w:tcW w:w="1700" w:type="dxa"/>
            <w:vAlign w:val="bottom"/>
          </w:tcPr>
          <w:p>
            <w:pPr>
              <w:spacing w:after="0"/>
              <w:rPr>
                <w:sz w:val="18"/>
                <w:szCs w:val="18"/>
                <w:color w:val="auto"/>
              </w:rPr>
            </w:pPr>
          </w:p>
        </w:tc>
      </w:tr>
      <w:tr>
        <w:trPr>
          <w:trHeight w:val="217"/>
        </w:trPr>
        <w:tc>
          <w:tcPr>
            <w:tcW w:w="2080" w:type="dxa"/>
            <w:vAlign w:val="bottom"/>
          </w:tcPr>
          <w:p>
            <w:pPr>
              <w:jc w:val="center"/>
              <w:ind w:right="532"/>
              <w:spacing w:after="0"/>
              <w:rPr>
                <w:sz w:val="20"/>
                <w:szCs w:val="20"/>
                <w:color w:val="auto"/>
              </w:rPr>
            </w:pPr>
            <w:r>
              <w:rPr>
                <w:rFonts w:ascii="Times New Roman" w:cs="Times New Roman" w:eastAsia="Times New Roman" w:hAnsi="Times New Roman"/>
                <w:sz w:val="16"/>
                <w:szCs w:val="16"/>
                <w:b w:val="1"/>
                <w:bCs w:val="1"/>
                <w:color w:val="auto"/>
                <w:w w:val="98"/>
              </w:rPr>
              <w:t>Delaware</w:t>
            </w:r>
          </w:p>
        </w:tc>
        <w:tc>
          <w:tcPr>
            <w:tcW w:w="4920" w:type="dxa"/>
            <w:vAlign w:val="bottom"/>
          </w:tcPr>
          <w:p>
            <w:pPr>
              <w:jc w:val="center"/>
              <w:ind w:right="48"/>
              <w:spacing w:after="0"/>
              <w:rPr>
                <w:sz w:val="20"/>
                <w:szCs w:val="20"/>
                <w:color w:val="auto"/>
              </w:rPr>
            </w:pPr>
            <w:r>
              <w:rPr>
                <w:rFonts w:ascii="Times New Roman" w:cs="Times New Roman" w:eastAsia="Times New Roman" w:hAnsi="Times New Roman"/>
                <w:sz w:val="16"/>
                <w:szCs w:val="16"/>
                <w:b w:val="1"/>
                <w:bCs w:val="1"/>
                <w:color w:val="auto"/>
                <w:w w:val="98"/>
              </w:rPr>
              <w:t>001-41043</w:t>
            </w:r>
          </w:p>
        </w:tc>
        <w:tc>
          <w:tcPr>
            <w:tcW w:w="1700" w:type="dxa"/>
            <w:vAlign w:val="bottom"/>
          </w:tcPr>
          <w:p>
            <w:pPr>
              <w:jc w:val="center"/>
              <w:ind w:left="672"/>
              <w:spacing w:after="0"/>
              <w:rPr>
                <w:sz w:val="20"/>
                <w:szCs w:val="20"/>
                <w:color w:val="auto"/>
              </w:rPr>
            </w:pPr>
            <w:r>
              <w:rPr>
                <w:rFonts w:ascii="Times New Roman" w:cs="Times New Roman" w:eastAsia="Times New Roman" w:hAnsi="Times New Roman"/>
                <w:sz w:val="16"/>
                <w:szCs w:val="16"/>
                <w:b w:val="1"/>
                <w:bCs w:val="1"/>
                <w:color w:val="auto"/>
                <w:w w:val="98"/>
              </w:rPr>
              <w:t>27-0239450</w:t>
            </w:r>
          </w:p>
        </w:tc>
      </w:tr>
      <w:tr>
        <w:trPr>
          <w:trHeight w:val="155"/>
        </w:trPr>
        <w:tc>
          <w:tcPr>
            <w:tcW w:w="2080" w:type="dxa"/>
            <w:vAlign w:val="bottom"/>
          </w:tcPr>
          <w:p>
            <w:pPr>
              <w:jc w:val="center"/>
              <w:ind w:right="532"/>
              <w:spacing w:after="0"/>
              <w:rPr>
                <w:sz w:val="20"/>
                <w:szCs w:val="20"/>
                <w:color w:val="auto"/>
              </w:rPr>
            </w:pPr>
            <w:r>
              <w:rPr>
                <w:rFonts w:ascii="Times New Roman" w:cs="Times New Roman" w:eastAsia="Times New Roman" w:hAnsi="Times New Roman"/>
                <w:sz w:val="13"/>
                <w:szCs w:val="13"/>
                <w:b w:val="1"/>
                <w:bCs w:val="1"/>
                <w:color w:val="auto"/>
                <w:w w:val="95"/>
              </w:rPr>
              <w:t>(State or Other Jurisdiction</w:t>
            </w:r>
          </w:p>
        </w:tc>
        <w:tc>
          <w:tcPr>
            <w:tcW w:w="4920" w:type="dxa"/>
            <w:vAlign w:val="bottom"/>
          </w:tcPr>
          <w:p>
            <w:pPr>
              <w:jc w:val="center"/>
              <w:ind w:right="68"/>
              <w:spacing w:after="0"/>
              <w:rPr>
                <w:sz w:val="20"/>
                <w:szCs w:val="20"/>
                <w:color w:val="auto"/>
              </w:rPr>
            </w:pPr>
            <w:r>
              <w:rPr>
                <w:rFonts w:ascii="Times New Roman" w:cs="Times New Roman" w:eastAsia="Times New Roman" w:hAnsi="Times New Roman"/>
                <w:sz w:val="13"/>
                <w:szCs w:val="13"/>
                <w:b w:val="1"/>
                <w:bCs w:val="1"/>
                <w:color w:val="auto"/>
                <w:w w:val="95"/>
              </w:rPr>
              <w:t>(Commission</w:t>
            </w:r>
          </w:p>
        </w:tc>
        <w:tc>
          <w:tcPr>
            <w:tcW w:w="1700" w:type="dxa"/>
            <w:vAlign w:val="bottom"/>
          </w:tcPr>
          <w:p>
            <w:pPr>
              <w:jc w:val="center"/>
              <w:ind w:left="652"/>
              <w:spacing w:after="0"/>
              <w:rPr>
                <w:sz w:val="20"/>
                <w:szCs w:val="20"/>
                <w:color w:val="auto"/>
              </w:rPr>
            </w:pPr>
            <w:r>
              <w:rPr>
                <w:rFonts w:ascii="Times New Roman" w:cs="Times New Roman" w:eastAsia="Times New Roman" w:hAnsi="Times New Roman"/>
                <w:sz w:val="13"/>
                <w:szCs w:val="13"/>
                <w:b w:val="1"/>
                <w:bCs w:val="1"/>
                <w:color w:val="auto"/>
                <w:w w:val="97"/>
              </w:rPr>
              <w:t>(IRS Employer</w:t>
            </w:r>
          </w:p>
        </w:tc>
      </w:tr>
      <w:tr>
        <w:trPr>
          <w:trHeight w:val="166"/>
        </w:trPr>
        <w:tc>
          <w:tcPr>
            <w:tcW w:w="2080" w:type="dxa"/>
            <w:vAlign w:val="bottom"/>
          </w:tcPr>
          <w:p>
            <w:pPr>
              <w:jc w:val="center"/>
              <w:ind w:right="532"/>
              <w:spacing w:after="0"/>
              <w:rPr>
                <w:sz w:val="20"/>
                <w:szCs w:val="20"/>
                <w:color w:val="auto"/>
              </w:rPr>
            </w:pPr>
            <w:r>
              <w:rPr>
                <w:rFonts w:ascii="Times New Roman" w:cs="Times New Roman" w:eastAsia="Times New Roman" w:hAnsi="Times New Roman"/>
                <w:sz w:val="13"/>
                <w:szCs w:val="13"/>
                <w:b w:val="1"/>
                <w:bCs w:val="1"/>
                <w:color w:val="auto"/>
                <w:w w:val="95"/>
              </w:rPr>
              <w:t>of Incorporation)</w:t>
            </w:r>
          </w:p>
        </w:tc>
        <w:tc>
          <w:tcPr>
            <w:tcW w:w="492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6"/>
              </w:rPr>
              <w:t>File Number)</w:t>
            </w:r>
          </w:p>
        </w:tc>
        <w:tc>
          <w:tcPr>
            <w:tcW w:w="1700" w:type="dxa"/>
            <w:vAlign w:val="bottom"/>
          </w:tcPr>
          <w:p>
            <w:pPr>
              <w:jc w:val="center"/>
              <w:ind w:left="652"/>
              <w:spacing w:after="0"/>
              <w:rPr>
                <w:sz w:val="20"/>
                <w:szCs w:val="20"/>
                <w:color w:val="auto"/>
              </w:rPr>
            </w:pPr>
            <w:r>
              <w:rPr>
                <w:rFonts w:ascii="Times New Roman" w:cs="Times New Roman" w:eastAsia="Times New Roman" w:hAnsi="Times New Roman"/>
                <w:sz w:val="13"/>
                <w:szCs w:val="13"/>
                <w:b w:val="1"/>
                <w:bCs w:val="1"/>
                <w:color w:val="auto"/>
                <w:w w:val="96"/>
              </w:rPr>
              <w:t>Identification No.)</w:t>
            </w:r>
          </w:p>
        </w:tc>
      </w:tr>
      <w:tr>
        <w:trPr>
          <w:trHeight w:val="381"/>
        </w:trPr>
        <w:tc>
          <w:tcPr>
            <w:tcW w:w="2080" w:type="dxa"/>
            <w:vAlign w:val="bottom"/>
          </w:tcPr>
          <w:p>
            <w:pPr>
              <w:spacing w:after="0"/>
              <w:rPr>
                <w:sz w:val="24"/>
                <w:szCs w:val="24"/>
                <w:color w:val="auto"/>
              </w:rPr>
            </w:pPr>
          </w:p>
        </w:tc>
        <w:tc>
          <w:tcPr>
            <w:tcW w:w="492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4"/>
              </w:rPr>
              <w:t>401 SW 5</w:t>
            </w:r>
            <w:r>
              <w:rPr>
                <w:rFonts w:ascii="Times New Roman" w:cs="Times New Roman" w:eastAsia="Times New Roman" w:hAnsi="Times New Roman"/>
                <w:sz w:val="20"/>
                <w:szCs w:val="20"/>
                <w:b w:val="1"/>
                <w:bCs w:val="1"/>
                <w:color w:val="auto"/>
                <w:w w:val="94"/>
                <w:vertAlign w:val="superscript"/>
              </w:rPr>
              <w:t>th</w:t>
            </w:r>
            <w:r>
              <w:rPr>
                <w:rFonts w:ascii="Times New Roman" w:cs="Times New Roman" w:eastAsia="Times New Roman" w:hAnsi="Times New Roman"/>
                <w:sz w:val="16"/>
                <w:szCs w:val="16"/>
                <w:b w:val="1"/>
                <w:bCs w:val="1"/>
                <w:color w:val="auto"/>
                <w:w w:val="94"/>
              </w:rPr>
              <w:t xml:space="preserve"> Ave</w:t>
            </w:r>
          </w:p>
        </w:tc>
        <w:tc>
          <w:tcPr>
            <w:tcW w:w="1700" w:type="dxa"/>
            <w:vAlign w:val="bottom"/>
          </w:tcPr>
          <w:p>
            <w:pPr>
              <w:spacing w:after="0"/>
              <w:rPr>
                <w:sz w:val="24"/>
                <w:szCs w:val="24"/>
                <w:color w:val="auto"/>
              </w:rPr>
            </w:pPr>
          </w:p>
        </w:tc>
      </w:tr>
      <w:tr>
        <w:trPr>
          <w:trHeight w:val="186"/>
        </w:trPr>
        <w:tc>
          <w:tcPr>
            <w:tcW w:w="2080" w:type="dxa"/>
            <w:vAlign w:val="bottom"/>
          </w:tcPr>
          <w:p>
            <w:pPr>
              <w:spacing w:after="0"/>
              <w:rPr>
                <w:sz w:val="16"/>
                <w:szCs w:val="16"/>
                <w:color w:val="auto"/>
              </w:rPr>
            </w:pPr>
          </w:p>
        </w:tc>
        <w:tc>
          <w:tcPr>
            <w:tcW w:w="492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8"/>
              </w:rPr>
              <w:t>Portland, Oregon 97204</w:t>
            </w:r>
          </w:p>
        </w:tc>
        <w:tc>
          <w:tcPr>
            <w:tcW w:w="1700" w:type="dxa"/>
            <w:vAlign w:val="bottom"/>
          </w:tcPr>
          <w:p>
            <w:pPr>
              <w:spacing w:after="0"/>
              <w:rPr>
                <w:sz w:val="16"/>
                <w:szCs w:val="16"/>
                <w:color w:val="auto"/>
              </w:rPr>
            </w:pPr>
          </w:p>
        </w:tc>
      </w:tr>
      <w:tr>
        <w:trPr>
          <w:trHeight w:val="166"/>
        </w:trPr>
        <w:tc>
          <w:tcPr>
            <w:tcW w:w="2080" w:type="dxa"/>
            <w:vAlign w:val="bottom"/>
          </w:tcPr>
          <w:p>
            <w:pPr>
              <w:spacing w:after="0"/>
              <w:rPr>
                <w:sz w:val="14"/>
                <w:szCs w:val="14"/>
                <w:color w:val="auto"/>
              </w:rPr>
            </w:pPr>
          </w:p>
        </w:tc>
        <w:tc>
          <w:tcPr>
            <w:tcW w:w="492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6"/>
              </w:rPr>
              <w:t>(Address of Principal Executive Offices) (Zip Code)</w:t>
            </w:r>
          </w:p>
        </w:tc>
        <w:tc>
          <w:tcPr>
            <w:tcW w:w="1700" w:type="dxa"/>
            <w:vAlign w:val="bottom"/>
          </w:tcPr>
          <w:p>
            <w:pPr>
              <w:spacing w:after="0"/>
              <w:rPr>
                <w:sz w:val="14"/>
                <w:szCs w:val="14"/>
                <w:color w:val="auto"/>
              </w:rPr>
            </w:pPr>
          </w:p>
        </w:tc>
      </w:tr>
      <w:tr>
        <w:trPr>
          <w:trHeight w:val="271"/>
        </w:trPr>
        <w:tc>
          <w:tcPr>
            <w:tcW w:w="2080" w:type="dxa"/>
            <w:vAlign w:val="bottom"/>
          </w:tcPr>
          <w:p>
            <w:pPr>
              <w:spacing w:after="0"/>
              <w:rPr>
                <w:sz w:val="23"/>
                <w:szCs w:val="23"/>
                <w:color w:val="auto"/>
              </w:rPr>
            </w:pPr>
          </w:p>
        </w:tc>
        <w:tc>
          <w:tcPr>
            <w:tcW w:w="492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7"/>
              </w:rPr>
              <w:t>(971) 365-3939</w:t>
            </w:r>
          </w:p>
        </w:tc>
        <w:tc>
          <w:tcPr>
            <w:tcW w:w="1700" w:type="dxa"/>
            <w:vAlign w:val="bottom"/>
          </w:tcPr>
          <w:p>
            <w:pPr>
              <w:spacing w:after="0"/>
              <w:rPr>
                <w:sz w:val="23"/>
                <w:szCs w:val="23"/>
                <w:color w:val="auto"/>
              </w:rPr>
            </w:pPr>
          </w:p>
        </w:tc>
      </w:tr>
      <w:tr>
        <w:trPr>
          <w:trHeight w:val="166"/>
        </w:trPr>
        <w:tc>
          <w:tcPr>
            <w:tcW w:w="2080" w:type="dxa"/>
            <w:vAlign w:val="bottom"/>
          </w:tcPr>
          <w:p>
            <w:pPr>
              <w:spacing w:after="0"/>
              <w:rPr>
                <w:sz w:val="14"/>
                <w:szCs w:val="14"/>
                <w:color w:val="auto"/>
              </w:rPr>
            </w:pPr>
          </w:p>
        </w:tc>
        <w:tc>
          <w:tcPr>
            <w:tcW w:w="492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6"/>
              </w:rPr>
              <w:t>(Registrant’s telephone number, including area code)</w:t>
            </w:r>
          </w:p>
        </w:tc>
        <w:tc>
          <w:tcPr>
            <w:tcW w:w="1700" w:type="dxa"/>
            <w:vAlign w:val="bottom"/>
          </w:tcPr>
          <w:p>
            <w:pPr>
              <w:spacing w:after="0"/>
              <w:rPr>
                <w:sz w:val="14"/>
                <w:szCs w:val="14"/>
                <w:color w:val="auto"/>
              </w:rPr>
            </w:pPr>
          </w:p>
        </w:tc>
      </w:tr>
      <w:tr>
        <w:trPr>
          <w:trHeight w:val="271"/>
        </w:trPr>
        <w:tc>
          <w:tcPr>
            <w:tcW w:w="2080" w:type="dxa"/>
            <w:vAlign w:val="bottom"/>
          </w:tcPr>
          <w:p>
            <w:pPr>
              <w:spacing w:after="0"/>
              <w:rPr>
                <w:sz w:val="23"/>
                <w:szCs w:val="23"/>
                <w:color w:val="auto"/>
              </w:rPr>
            </w:pPr>
          </w:p>
        </w:tc>
        <w:tc>
          <w:tcPr>
            <w:tcW w:w="4920" w:type="dxa"/>
            <w:vAlign w:val="bottom"/>
          </w:tcPr>
          <w:p>
            <w:pPr>
              <w:jc w:val="center"/>
              <w:ind w:right="28"/>
              <w:spacing w:after="0"/>
              <w:rPr>
                <w:sz w:val="20"/>
                <w:szCs w:val="20"/>
                <w:color w:val="auto"/>
              </w:rPr>
            </w:pPr>
            <w:r>
              <w:rPr>
                <w:rFonts w:ascii="Times New Roman" w:cs="Times New Roman" w:eastAsia="Times New Roman" w:hAnsi="Times New Roman"/>
                <w:sz w:val="16"/>
                <w:szCs w:val="16"/>
                <w:b w:val="1"/>
                <w:bCs w:val="1"/>
                <w:color w:val="auto"/>
                <w:w w:val="98"/>
              </w:rPr>
              <w:t>Not applicable</w:t>
            </w:r>
          </w:p>
        </w:tc>
        <w:tc>
          <w:tcPr>
            <w:tcW w:w="1700" w:type="dxa"/>
            <w:vAlign w:val="bottom"/>
          </w:tcPr>
          <w:p>
            <w:pPr>
              <w:spacing w:after="0"/>
              <w:rPr>
                <w:sz w:val="23"/>
                <w:szCs w:val="23"/>
                <w:color w:val="auto"/>
              </w:rPr>
            </w:pPr>
          </w:p>
        </w:tc>
      </w:tr>
      <w:tr>
        <w:trPr>
          <w:trHeight w:val="166"/>
        </w:trPr>
        <w:tc>
          <w:tcPr>
            <w:tcW w:w="2080" w:type="dxa"/>
            <w:vAlign w:val="bottom"/>
          </w:tcPr>
          <w:p>
            <w:pPr>
              <w:spacing w:after="0"/>
              <w:rPr>
                <w:sz w:val="14"/>
                <w:szCs w:val="14"/>
                <w:color w:val="auto"/>
              </w:rPr>
            </w:pPr>
          </w:p>
        </w:tc>
        <w:tc>
          <w:tcPr>
            <w:tcW w:w="4920" w:type="dxa"/>
            <w:vAlign w:val="bottom"/>
          </w:tcPr>
          <w:p>
            <w:pPr>
              <w:jc w:val="center"/>
              <w:ind w:right="48"/>
              <w:spacing w:after="0"/>
              <w:rPr>
                <w:sz w:val="20"/>
                <w:szCs w:val="20"/>
                <w:color w:val="auto"/>
              </w:rPr>
            </w:pPr>
            <w:r>
              <w:rPr>
                <w:rFonts w:ascii="Times New Roman" w:cs="Times New Roman" w:eastAsia="Times New Roman" w:hAnsi="Times New Roman"/>
                <w:sz w:val="13"/>
                <w:szCs w:val="13"/>
                <w:b w:val="1"/>
                <w:bCs w:val="1"/>
                <w:color w:val="auto"/>
                <w:w w:val="96"/>
              </w:rPr>
              <w:t>(Former Name or Former Address, if Changed Since Last Report)</w:t>
            </w:r>
          </w:p>
        </w:tc>
        <w:tc>
          <w:tcPr>
            <w:tcW w:w="1700" w:type="dxa"/>
            <w:vAlign w:val="bottom"/>
          </w:tcPr>
          <w:p>
            <w:pPr>
              <w:spacing w:after="0"/>
              <w:rPr>
                <w:sz w:val="14"/>
                <w:szCs w:val="14"/>
                <w:color w:val="auto"/>
              </w:rPr>
            </w:pPr>
          </w:p>
        </w:tc>
      </w:tr>
    </w:tbl>
    <w:p>
      <w:pPr>
        <w:spacing w:after="0" w:line="8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3" w:lineRule="exact"/>
        <w:rPr>
          <w:sz w:val="24"/>
          <w:szCs w:val="24"/>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23"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123"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23" w:lineRule="exact"/>
        <w:rPr>
          <w:rFonts w:ascii="MS PGothic" w:cs="MS PGothic" w:eastAsia="MS PGothic" w:hAnsi="MS PGothic"/>
          <w:sz w:val="16"/>
          <w:szCs w:val="16"/>
          <w:color w:val="auto"/>
        </w:rPr>
      </w:pPr>
    </w:p>
    <w:p>
      <w:pPr>
        <w:ind w:left="400" w:hanging="390"/>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47"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3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Trading</w:t>
            </w:r>
          </w:p>
        </w:tc>
        <w:tc>
          <w:tcPr>
            <w:tcW w:w="3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78"/>
        </w:trPr>
        <w:tc>
          <w:tcPr>
            <w:tcW w:w="396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6"/>
              </w:rPr>
              <w:t>Title of each class</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7"/>
              </w:rPr>
              <w:t>Symbol(s)</w:t>
            </w:r>
          </w:p>
        </w:tc>
        <w:tc>
          <w:tcPr>
            <w:tcW w:w="3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r>
      <w:tr>
        <w:trPr>
          <w:trHeight w:val="21"/>
        </w:trPr>
        <w:tc>
          <w:tcPr>
            <w:tcW w:w="3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20" w:type="dxa"/>
            <w:vAlign w:val="bottom"/>
            <w:tcBorders>
              <w:bottom w:val="single" w:sz="8" w:color="auto"/>
            </w:tcBorders>
          </w:tcPr>
          <w:p>
            <w:pPr>
              <w:spacing w:after="0" w:line="20" w:lineRule="exact"/>
              <w:rPr>
                <w:sz w:val="1"/>
                <w:szCs w:val="1"/>
                <w:color w:val="auto"/>
              </w:rPr>
            </w:pPr>
          </w:p>
        </w:tc>
      </w:tr>
      <w:tr>
        <w:trPr>
          <w:trHeight w:val="205"/>
        </w:trPr>
        <w:tc>
          <w:tcPr>
            <w:tcW w:w="3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Class A Common Stock, par value $0.0001 per share</w:t>
            </w:r>
          </w:p>
        </w:tc>
        <w:tc>
          <w:tcPr>
            <w:tcW w:w="36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EXFY</w:t>
            </w:r>
          </w:p>
        </w:tc>
        <w:tc>
          <w:tcPr>
            <w:tcW w:w="3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The Nasdaq Stock Market LLC</w:t>
            </w:r>
          </w:p>
        </w:tc>
      </w:tr>
    </w:tbl>
    <w:p>
      <w:pPr>
        <w:spacing w:after="0" w:line="77" w:lineRule="exact"/>
        <w:rPr>
          <w:sz w:val="24"/>
          <w:szCs w:val="24"/>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6"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4" w:lineRule="exact"/>
        <w:rPr>
          <w:sz w:val="24"/>
          <w:szCs w:val="24"/>
          <w:color w:val="auto"/>
        </w:rPr>
      </w:pPr>
    </w:p>
    <w:p>
      <w:pPr>
        <w:ind w:right="320"/>
        <w:spacing w:after="0" w:line="21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813435</wp:posOffset>
            </wp:positionV>
            <wp:extent cx="7174865" cy="406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339" w:right="319" w:bottom="1440" w:gutter="0" w:footer="0" w:header="0"/>
        </w:sectPr>
      </w:pPr>
    </w:p>
    <w:bookmarkStart w:id="1" w:name="page2"/>
    <w:bookmarkEnd w:id="1"/>
    <w:p>
      <w:pPr>
        <w:spacing w:after="0" w:line="10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2.02 Results of Operations and Financial Condition.</w:t>
      </w:r>
    </w:p>
    <w:p>
      <w:pPr>
        <w:spacing w:after="0" w:line="126" w:lineRule="exact"/>
        <w:rPr>
          <w:sz w:val="20"/>
          <w:szCs w:val="20"/>
          <w:color w:val="auto"/>
        </w:rPr>
      </w:pPr>
    </w:p>
    <w:p>
      <w:pPr>
        <w:ind w:left="5" w:right="40"/>
        <w:spacing w:after="0" w:line="260" w:lineRule="auto"/>
        <w:rPr>
          <w:sz w:val="20"/>
          <w:szCs w:val="20"/>
          <w:color w:val="auto"/>
        </w:rPr>
      </w:pPr>
      <w:r>
        <w:rPr>
          <w:rFonts w:ascii="Times New Roman" w:cs="Times New Roman" w:eastAsia="Times New Roman" w:hAnsi="Times New Roman"/>
          <w:sz w:val="16"/>
          <w:szCs w:val="16"/>
          <w:color w:val="auto"/>
        </w:rPr>
        <w:t>On November 7, 2024, Expensify, Inc. (“Expensify” or the “Company”) issued a press release announcing its financial results for the quarter ended September 30, 2024. A copy of this press release is furnished as Exhibit 99.1 to this current report on Form 8-K and is incorporated herein by reference.</w:t>
      </w:r>
    </w:p>
    <w:p>
      <w:pPr>
        <w:spacing w:after="0" w:line="17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7.01 Regulation FD Disclosure.</w:t>
      </w:r>
    </w:p>
    <w:p>
      <w:pPr>
        <w:spacing w:after="0" w:line="126" w:lineRule="exact"/>
        <w:rPr>
          <w:sz w:val="20"/>
          <w:szCs w:val="20"/>
          <w:color w:val="auto"/>
        </w:rPr>
      </w:pPr>
    </w:p>
    <w:p>
      <w:pPr>
        <w:ind w:left="5"/>
        <w:spacing w:after="0" w:line="244" w:lineRule="auto"/>
        <w:rPr>
          <w:sz w:val="20"/>
          <w:szCs w:val="20"/>
          <w:color w:val="auto"/>
        </w:rPr>
      </w:pPr>
      <w:r>
        <w:rPr>
          <w:rFonts w:ascii="Times New Roman" w:cs="Times New Roman" w:eastAsia="Times New Roman" w:hAnsi="Times New Roman"/>
          <w:sz w:val="16"/>
          <w:szCs w:val="16"/>
          <w:color w:val="auto"/>
        </w:rPr>
        <w:t>On November 7, 2024, the Company posted an investor presentation to its website at https://ir.expensify.com (the “Investor Presentation”). A copy of the Investor Presentation is furnished as Exhibit 99.2 to this current report on Form 8-K and is incorporated herein by reference. The Company expects to use the Investor Presentation, in whole or in part, and possibly with modifications, in connection with presentations to investors, analysts and others.</w:t>
      </w:r>
    </w:p>
    <w:p>
      <w:pPr>
        <w:ind w:left="5" w:right="100"/>
        <w:spacing w:after="0" w:line="238" w:lineRule="auto"/>
        <w:rPr>
          <w:sz w:val="20"/>
          <w:szCs w:val="20"/>
          <w:color w:val="auto"/>
        </w:rPr>
      </w:pPr>
      <w:r>
        <w:rPr>
          <w:rFonts w:ascii="Times New Roman" w:cs="Times New Roman" w:eastAsia="Times New Roman" w:hAnsi="Times New Roman"/>
          <w:sz w:val="16"/>
          <w:szCs w:val="16"/>
          <w:color w:val="auto"/>
        </w:rPr>
        <w:t>The information contained in the Investor Presentation is summary information that is intended to be considered in the context of the Company’s Securities and Exchange Commission (“SEC”) filings and other public announcements that the Company may make, by press release or otherwise, from time to time. The Investor Presentation speaks only as of the date of this current report on Form 8-K. The Company undertakes no duty or obligation to publicly update or revise the information included in the Investor Presentation, although it may do so from time to time. Any such updating may be made through the filing of other reports or documents with the SEC, through press releases or other public disclosure. In addition, the exhibit furnished herewith contains statements intended as “forward-looking statements” that are subject to the cautionary statements about forward-looking statements set forth in such exhibit. By furnishing the information contained in the Investor Presentation, the Company makes no admission as to the materiality of any information in the Investor Presentation that is required to be disclosed solely by reason of Regulation FD.</w:t>
      </w:r>
    </w:p>
    <w:p>
      <w:pPr>
        <w:spacing w:after="0" w:line="184" w:lineRule="exact"/>
        <w:rPr>
          <w:sz w:val="20"/>
          <w:szCs w:val="20"/>
          <w:color w:val="auto"/>
        </w:rPr>
      </w:pPr>
    </w:p>
    <w:p>
      <w:pPr>
        <w:jc w:val="both"/>
        <w:ind w:left="5" w:right="20"/>
        <w:spacing w:after="0" w:line="278" w:lineRule="auto"/>
        <w:rPr>
          <w:sz w:val="20"/>
          <w:szCs w:val="20"/>
          <w:color w:val="auto"/>
        </w:rPr>
      </w:pPr>
      <w:r>
        <w:rPr>
          <w:rFonts w:ascii="Times New Roman" w:cs="Times New Roman" w:eastAsia="Times New Roman" w:hAnsi="Times New Roman"/>
          <w:sz w:val="15"/>
          <w:szCs w:val="15"/>
          <w:color w:val="auto"/>
        </w:rPr>
        <w:t>The information contained in Item 2.02 and this Item 7.01, including Exhibits 99.1 and 99.2, is being furnished and shall not be deemed “filed” for purposes of Section 18 of the Securities and Exchange Act of 1934, as amended (the “Exchange Act”), or otherwise subject to the liabilities of that section, nor shall it be deemed incorporated by reference in any filing made by Expensify under the Securities Act of 1933, as amended, or the Exchange Act, except as expressly set forth by specific reference in such a filing.</w:t>
      </w:r>
    </w:p>
    <w:p>
      <w:pPr>
        <w:spacing w:after="0" w:line="22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Item 9.01 Financial Statements and Exhibits.</w:t>
      </w:r>
    </w:p>
    <w:p>
      <w:pPr>
        <w:spacing w:after="0" w:line="126" w:lineRule="exact"/>
        <w:rPr>
          <w:sz w:val="20"/>
          <w:szCs w:val="20"/>
          <w:color w:val="auto"/>
        </w:rPr>
      </w:pPr>
    </w:p>
    <w:p>
      <w:pPr>
        <w:ind w:left="225" w:hanging="225"/>
        <w:spacing w:after="0"/>
        <w:tabs>
          <w:tab w:leader="none" w:pos="225"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u w:val="single" w:color="auto"/>
          <w:color w:val="auto"/>
        </w:rPr>
        <w:t>Exhibits</w:t>
      </w:r>
      <w:r>
        <w:rPr>
          <w:rFonts w:ascii="Times New Roman" w:cs="Times New Roman" w:eastAsia="Times New Roman" w:hAnsi="Times New Roman"/>
          <w:sz w:val="16"/>
          <w:szCs w:val="16"/>
          <w:color w:val="auto"/>
        </w:rPr>
        <w:t>.</w:t>
      </w:r>
    </w:p>
    <w:p>
      <w:pPr>
        <w:spacing w:after="0" w:line="165" w:lineRule="exact"/>
        <w:rPr>
          <w:sz w:val="20"/>
          <w:szCs w:val="20"/>
          <w:color w:val="auto"/>
        </w:rPr>
      </w:pPr>
    </w:p>
    <w:p>
      <w:pPr>
        <w:ind w:left="105"/>
        <w:spacing w:after="0"/>
        <w:tabs>
          <w:tab w:leader="none" w:pos="925" w:val="left"/>
        </w:tabs>
        <w:rPr>
          <w:sz w:val="20"/>
          <w:szCs w:val="20"/>
          <w:color w:val="auto"/>
        </w:rPr>
      </w:pPr>
      <w:r>
        <w:rPr>
          <w:rFonts w:ascii="Times New Roman" w:cs="Times New Roman" w:eastAsia="Times New Roman" w:hAnsi="Times New Roman"/>
          <w:sz w:val="13"/>
          <w:szCs w:val="13"/>
          <w:b w:val="1"/>
          <w:bCs w:val="1"/>
          <w:color w:val="auto"/>
        </w:rPr>
        <w:t>Exhibit No.</w:t>
      </w:r>
      <w:r>
        <w:rPr>
          <w:sz w:val="20"/>
          <w:szCs w:val="20"/>
          <w:color w:val="auto"/>
        </w:rPr>
        <w:tab/>
      </w:r>
      <w:r>
        <w:rPr>
          <w:rFonts w:ascii="Times New Roman" w:cs="Times New Roman" w:eastAsia="Times New Roman" w:hAnsi="Times New Roman"/>
          <w:sz w:val="12"/>
          <w:szCs w:val="12"/>
          <w:b w:val="1"/>
          <w:bCs w:val="1"/>
          <w:color w:val="auto"/>
        </w:rPr>
        <w:t>Description</w:t>
      </w:r>
    </w:p>
    <w:p>
      <w:pPr>
        <w:spacing w:after="0" w:line="92" w:lineRule="exact"/>
        <w:rPr>
          <w:sz w:val="20"/>
          <w:szCs w:val="20"/>
          <w:color w:val="auto"/>
        </w:rPr>
      </w:pPr>
    </w:p>
    <w:p>
      <w:pPr>
        <w:ind w:left="285"/>
        <w:spacing w:after="0"/>
        <w:tabs>
          <w:tab w:leader="none" w:pos="925" w:val="left"/>
        </w:tabs>
        <w:rPr>
          <w:sz w:val="20"/>
          <w:szCs w:val="20"/>
          <w:color w:val="auto"/>
        </w:rPr>
      </w:pPr>
      <w:r>
        <w:rPr>
          <w:rFonts w:ascii="Times New Roman" w:cs="Times New Roman" w:eastAsia="Times New Roman" w:hAnsi="Times New Roman"/>
          <w:sz w:val="16"/>
          <w:szCs w:val="16"/>
          <w:color w:val="auto"/>
        </w:rPr>
        <w:t>99.1</w:t>
      </w:r>
      <w:r>
        <w:rPr>
          <w:sz w:val="20"/>
          <w:szCs w:val="20"/>
          <w:color w:val="auto"/>
        </w:rPr>
        <w:tab/>
      </w:r>
      <w:r>
        <w:rPr>
          <w:rFonts w:ascii="Times New Roman" w:cs="Times New Roman" w:eastAsia="Times New Roman" w:hAnsi="Times New Roman"/>
          <w:sz w:val="15"/>
          <w:szCs w:val="15"/>
          <w:u w:val="single" w:color="auto"/>
          <w:color w:val="0000FF"/>
        </w:rPr>
        <w:t>Press Release issued by Expensify, Inc., dated November 7, 2024.</w:t>
      </w:r>
    </w:p>
    <w:p>
      <w:pPr>
        <w:spacing w:after="0" w:line="88" w:lineRule="exact"/>
        <w:rPr>
          <w:sz w:val="20"/>
          <w:szCs w:val="20"/>
          <w:color w:val="auto"/>
        </w:rPr>
      </w:pPr>
    </w:p>
    <w:p>
      <w:pPr>
        <w:ind w:left="285"/>
        <w:spacing w:after="0"/>
        <w:tabs>
          <w:tab w:leader="none" w:pos="925" w:val="left"/>
        </w:tabs>
        <w:rPr>
          <w:sz w:val="20"/>
          <w:szCs w:val="20"/>
          <w:color w:val="auto"/>
        </w:rPr>
      </w:pPr>
      <w:r>
        <w:rPr>
          <w:rFonts w:ascii="Times New Roman" w:cs="Times New Roman" w:eastAsia="Times New Roman" w:hAnsi="Times New Roman"/>
          <w:sz w:val="16"/>
          <w:szCs w:val="16"/>
          <w:color w:val="auto"/>
        </w:rPr>
        <w:t>99.2</w:t>
      </w:r>
      <w:r>
        <w:rPr>
          <w:sz w:val="20"/>
          <w:szCs w:val="20"/>
          <w:color w:val="auto"/>
        </w:rPr>
        <w:tab/>
      </w:r>
      <w:r>
        <w:rPr>
          <w:rFonts w:ascii="Times New Roman" w:cs="Times New Roman" w:eastAsia="Times New Roman" w:hAnsi="Times New Roman"/>
          <w:sz w:val="15"/>
          <w:szCs w:val="15"/>
          <w:u w:val="single" w:color="auto"/>
          <w:color w:val="0000FF"/>
        </w:rPr>
        <w:t>Investor Presentation, dated November 7, 2024.</w:t>
      </w:r>
    </w:p>
    <w:p>
      <w:pPr>
        <w:spacing w:after="0" w:line="88" w:lineRule="exact"/>
        <w:rPr>
          <w:sz w:val="20"/>
          <w:szCs w:val="20"/>
          <w:color w:val="auto"/>
        </w:rPr>
      </w:pPr>
    </w:p>
    <w:p>
      <w:pPr>
        <w:ind w:left="305"/>
        <w:spacing w:after="0"/>
        <w:tabs>
          <w:tab w:leader="none" w:pos="925" w:val="left"/>
        </w:tabs>
        <w:rPr>
          <w:sz w:val="20"/>
          <w:szCs w:val="20"/>
          <w:color w:val="auto"/>
        </w:rPr>
      </w:pPr>
      <w:r>
        <w:rPr>
          <w:rFonts w:ascii="Times New Roman" w:cs="Times New Roman" w:eastAsia="Times New Roman" w:hAnsi="Times New Roman"/>
          <w:sz w:val="16"/>
          <w:szCs w:val="16"/>
          <w:color w:val="auto"/>
        </w:rPr>
        <w:t>104</w:t>
      </w:r>
      <w:r>
        <w:rPr>
          <w:sz w:val="20"/>
          <w:szCs w:val="20"/>
          <w:color w:val="auto"/>
        </w:rPr>
        <w:tab/>
      </w:r>
      <w:r>
        <w:rPr>
          <w:rFonts w:ascii="Times New Roman" w:cs="Times New Roman" w:eastAsia="Times New Roman" w:hAnsi="Times New Roman"/>
          <w:sz w:val="16"/>
          <w:szCs w:val="16"/>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842010</wp:posOffset>
            </wp:positionV>
            <wp:extent cx="7174865" cy="406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185"/>
          </w:cols>
          <w:pgMar w:left="315" w:top="1440" w:right="399" w:bottom="1440" w:gutter="0" w:footer="0" w:header="0"/>
        </w:sectPr>
      </w:pPr>
    </w:p>
    <w:bookmarkStart w:id="2" w:name="page3"/>
    <w:bookmarkEnd w:id="2"/>
    <w:p>
      <w:pPr>
        <w:ind w:left="5160"/>
        <w:spacing w:after="0"/>
        <w:rPr>
          <w:sz w:val="20"/>
          <w:szCs w:val="20"/>
          <w:color w:val="auto"/>
        </w:rPr>
      </w:pPr>
      <w:r>
        <w:rPr>
          <w:rFonts w:ascii="Times New Roman" w:cs="Times New Roman" w:eastAsia="Times New Roman" w:hAnsi="Times New Roman"/>
          <w:sz w:val="16"/>
          <w:szCs w:val="16"/>
          <w:b w:val="1"/>
          <w:bCs w:val="1"/>
          <w:u w:val="single" w:color="auto"/>
          <w:color w:val="auto"/>
        </w:rPr>
        <w:t>SIGNATURE</w:t>
      </w:r>
    </w:p>
    <w:p>
      <w:pPr>
        <w:spacing w:after="0" w:line="185"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hereunto duly authorized.</w:t>
      </w:r>
    </w:p>
    <w:p>
      <w:pPr>
        <w:spacing w:after="0" w:line="1" w:lineRule="exact"/>
        <w:rPr>
          <w:sz w:val="20"/>
          <w:szCs w:val="20"/>
          <w:color w:val="auto"/>
        </w:rPr>
      </w:pPr>
    </w:p>
    <w:p>
      <w:pPr>
        <w:ind w:left="8440"/>
        <w:spacing w:after="0"/>
        <w:rPr>
          <w:sz w:val="20"/>
          <w:szCs w:val="20"/>
          <w:color w:val="auto"/>
        </w:rPr>
      </w:pPr>
      <w:r>
        <w:rPr>
          <w:rFonts w:ascii="Times New Roman" w:cs="Times New Roman" w:eastAsia="Times New Roman" w:hAnsi="Times New Roman"/>
          <w:sz w:val="16"/>
          <w:szCs w:val="16"/>
          <w:color w:val="auto"/>
        </w:rPr>
        <w:t>Expensify, Inc.</w:t>
      </w:r>
    </w:p>
    <w:p>
      <w:pPr>
        <w:spacing w:after="0" w:line="230" w:lineRule="exact"/>
        <w:rPr>
          <w:sz w:val="20"/>
          <w:szCs w:val="20"/>
          <w:color w:val="auto"/>
        </w:rPr>
      </w:pPr>
    </w:p>
    <w:p>
      <w:pPr>
        <w:ind w:left="8440"/>
        <w:spacing w:after="0"/>
        <w:tabs>
          <w:tab w:leader="none" w:pos="896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Ryan Schaffer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5696585</wp:posOffset>
            </wp:positionH>
            <wp:positionV relativeFrom="paragraph">
              <wp:posOffset>21590</wp:posOffset>
            </wp:positionV>
            <wp:extent cx="14497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705" cy="7620"/>
                    </a:xfrm>
                    <a:prstGeom prst="rect">
                      <a:avLst/>
                    </a:prstGeom>
                    <a:noFill/>
                  </pic:spPr>
                </pic:pic>
              </a:graphicData>
            </a:graphic>
          </wp:anchor>
        </w:drawing>
      </w:r>
    </w:p>
    <w:p>
      <w:pPr>
        <w:spacing w:after="0" w:line="21" w:lineRule="exact"/>
        <w:rPr>
          <w:sz w:val="20"/>
          <w:szCs w:val="20"/>
          <w:color w:val="auto"/>
        </w:rPr>
      </w:pPr>
    </w:p>
    <w:p>
      <w:pPr>
        <w:ind w:left="8440"/>
        <w:spacing w:after="0"/>
        <w:tabs>
          <w:tab w:leader="none" w:pos="896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Ryan Schaffer</w:t>
      </w:r>
    </w:p>
    <w:p>
      <w:pPr>
        <w:spacing w:after="0" w:line="53" w:lineRule="exact"/>
        <w:rPr>
          <w:sz w:val="20"/>
          <w:szCs w:val="20"/>
          <w:color w:val="auto"/>
        </w:rPr>
      </w:pPr>
    </w:p>
    <w:p>
      <w:pPr>
        <w:ind w:left="8440"/>
        <w:spacing w:after="0"/>
        <w:tabs>
          <w:tab w:leader="none" w:pos="896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7, 2024</w:t>
      </w:r>
    </w:p>
    <w:p>
      <w:pPr>
        <w:sectPr>
          <w:pgSz w:w="11900" w:h="16838" w:orient="portrait"/>
          <w:cols w:equalWidth="0" w:num="1">
            <w:col w:w="10720"/>
          </w:cols>
          <w:pgMar w:left="320" w:top="1256" w:right="85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EXPENSIFY ANNOUNCES Q3 2024 RESULTS</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Interchange derived from the Expensify Card grew to $4.6 million, an increase of 48% as compared to the same period last year.</w:t>
      </w:r>
    </w:p>
    <w:p>
      <w:pPr>
        <w:spacing w:after="0" w:line="220"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PORTLAND, Ore.--(BUSINESS WIRE)--November 7, 2024-- Expensify, Inc. (Nasdaq: EXFY), a payments superapp that helps individuals and businesses around the world simplify the way they manage money across expenses, corporate cards and bills, today released a letter to shareholders from Founder and CEO David Barrett alongside results for its quarter ended September 30, 2024.</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 Message From Our Founder</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I'm happy to report that Q3'24 has extended and expanded upon the strong results of the previous two quarters:</w:t>
      </w:r>
    </w:p>
    <w:p>
      <w:pPr>
        <w:spacing w:after="0" w:line="228" w:lineRule="exact"/>
        <w:rPr>
          <w:sz w:val="20"/>
          <w:szCs w:val="20"/>
          <w:color w:val="auto"/>
        </w:rPr>
      </w:pPr>
    </w:p>
    <w:p>
      <w:pPr>
        <w:ind w:left="560" w:right="20" w:hanging="282"/>
        <w:spacing w:after="0" w:line="296" w:lineRule="auto"/>
        <w:tabs>
          <w:tab w:leader="none" w:pos="556" w:val="left"/>
        </w:tabs>
        <w:numPr>
          <w:ilvl w:val="0"/>
          <w:numId w:val="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Our core business has remained stable. </w:t>
      </w:r>
      <w:r>
        <w:rPr>
          <w:rFonts w:ascii="Times New Roman" w:cs="Times New Roman" w:eastAsia="Times New Roman" w:hAnsi="Times New Roman"/>
          <w:sz w:val="15"/>
          <w:szCs w:val="15"/>
          <w:color w:val="auto"/>
        </w:rPr>
        <w:t>Though we're still catching up to last year's paid users and revenue (slightly down 5% and 3% y/y, respectively), our paid users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have been stable for the past two quarters, and revenue is up 6% q/q. Even more exciting, total card spend is up 8% q/q, with a majority of that spend occurring on our new card program. Our strategy of using Expensify Classic as a stable foundation on which to launch New Expensify for our next generation of growth is working great.</w:t>
      </w:r>
    </w:p>
    <w:p>
      <w:pPr>
        <w:spacing w:after="0" w:line="71" w:lineRule="exact"/>
        <w:rPr>
          <w:rFonts w:ascii="Times New Roman" w:cs="Times New Roman" w:eastAsia="Times New Roman" w:hAnsi="Times New Roman"/>
          <w:sz w:val="15"/>
          <w:szCs w:val="15"/>
          <w:color w:val="auto"/>
        </w:rPr>
      </w:pPr>
    </w:p>
    <w:p>
      <w:pPr>
        <w:ind w:left="560" w:right="160" w:hanging="282"/>
        <w:spacing w:after="0" w:line="278" w:lineRule="auto"/>
        <w:tabs>
          <w:tab w:leader="none" w:pos="55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We are raising our 2024 free cash flow guidance, again. </w:t>
      </w:r>
      <w:r>
        <w:rPr>
          <w:rFonts w:ascii="Times New Roman" w:cs="Times New Roman" w:eastAsia="Times New Roman" w:hAnsi="Times New Roman"/>
          <w:sz w:val="16"/>
          <w:szCs w:val="16"/>
          <w:color w:val="auto"/>
        </w:rPr>
        <w:t>We initially announced FY'24 FCF guidance in Q1'24 in the range of $10.0 - $12.0 million. In Q2 we raised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this to $11.0 - $13.0 million, and then again to $15.0 - $16.0 million in Q3 as the full extent of our cost cutting measures came online. I'm happy to share that we've found even more efficiencies, and are increasing FY'24 FCF guidance by another 27% to $19.0 - $20.0 million.</w:t>
      </w:r>
    </w:p>
    <w:p>
      <w:pPr>
        <w:spacing w:after="0" w:line="82" w:lineRule="exact"/>
        <w:rPr>
          <w:rFonts w:ascii="Times New Roman" w:cs="Times New Roman" w:eastAsia="Times New Roman" w:hAnsi="Times New Roman"/>
          <w:sz w:val="16"/>
          <w:szCs w:val="16"/>
          <w:color w:val="auto"/>
        </w:rPr>
      </w:pPr>
    </w:p>
    <w:p>
      <w:pPr>
        <w:ind w:left="560" w:right="20" w:hanging="282"/>
        <w:spacing w:after="0" w:line="270" w:lineRule="auto"/>
        <w:tabs>
          <w:tab w:leader="none" w:pos="55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The new Expensify Card program is almost fully deployed. </w:t>
      </w:r>
      <w:r>
        <w:rPr>
          <w:rFonts w:ascii="Times New Roman" w:cs="Times New Roman" w:eastAsia="Times New Roman" w:hAnsi="Times New Roman"/>
          <w:sz w:val="16"/>
          <w:szCs w:val="16"/>
          <w:color w:val="auto"/>
        </w:rPr>
        <w:t>As of the end of Q3, 94% of Expensify Card spend has transitioned to the new program, which in</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addition to earning more interchange per swipe, also treats all that interchange as revenue. We are increasingly confident in our ability to reduce interchange from the old program down to immaterial amounts or even $0 by EOY, making the confusing interchange contra-expense a distant memory.</w:t>
      </w:r>
    </w:p>
    <w:p>
      <w:pPr>
        <w:spacing w:after="0" w:line="88" w:lineRule="exact"/>
        <w:rPr>
          <w:rFonts w:ascii="Times New Roman" w:cs="Times New Roman" w:eastAsia="Times New Roman" w:hAnsi="Times New Roman"/>
          <w:sz w:val="16"/>
          <w:szCs w:val="16"/>
          <w:color w:val="auto"/>
        </w:rPr>
      </w:pPr>
    </w:p>
    <w:p>
      <w:pPr>
        <w:ind w:left="560" w:right="160" w:hanging="282"/>
        <w:spacing w:after="0" w:line="237" w:lineRule="auto"/>
        <w:tabs>
          <w:tab w:leader="none" w:pos="55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New Expensify is driving more interest and new leads. </w:t>
      </w:r>
      <w:r>
        <w:rPr>
          <w:rFonts w:ascii="Times New Roman" w:cs="Times New Roman" w:eastAsia="Times New Roman" w:hAnsi="Times New Roman"/>
          <w:sz w:val="16"/>
          <w:szCs w:val="16"/>
          <w:color w:val="auto"/>
        </w:rPr>
        <w:t>Market reception has been fantastic: we generated 61% more leads at Suiteworld 2024 by focusing on New</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Expensify than we did at the same conference in 2023 with Classic. We are currently sending a slice of our smallest leads from the Expensify homepage to New Expensify, and our sales and account management organizations are gradually perfecting their New Expensify pitch for maximum effect, the current iteration sounding something like:</w:t>
      </w:r>
    </w:p>
    <w:p>
      <w:pPr>
        <w:spacing w:after="0" w:line="114" w:lineRule="exact"/>
        <w:rPr>
          <w:rFonts w:ascii="Times New Roman" w:cs="Times New Roman" w:eastAsia="Times New Roman" w:hAnsi="Times New Roman"/>
          <w:sz w:val="16"/>
          <w:szCs w:val="16"/>
          <w:color w:val="auto"/>
        </w:rPr>
      </w:pPr>
    </w:p>
    <w:p>
      <w:pPr>
        <w:ind w:left="1140" w:right="20" w:hanging="294"/>
        <w:spacing w:after="0" w:line="262" w:lineRule="auto"/>
        <w:tabs>
          <w:tab w:leader="none" w:pos="1137" w:val="left"/>
        </w:tabs>
        <w:numPr>
          <w:ilvl w:val="1"/>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best expense tools (including Expensify) can automate about 80% of your expense workflow based on the information on the transaction alone. But the last 20% requires information not available on the receipt or card swipe: the client you're meeting, the conference you're attending, etc. That part requires emailing a question to the employee… and then waiting. Even if your question only takes a second to answer, they might take a month to respond, blowing up your accounting timeline. New Expensify's mobile-first, chat-first design streamlines that 20% by helping your question get answered at "the speed of chat", taking precedence over their email inbox. But additionally, by capturing the general chat leading up to the expense (and after it's made), we expect that our AI will soon be able to automate that 20% without needing to ask the employee anything. We believe that New Expensify will be the only expense management tool to achieve 100% end-to-end automation.</w:t>
      </w:r>
    </w:p>
    <w:p>
      <w:pPr>
        <w:spacing w:after="0" w:line="94" w:lineRule="exact"/>
        <w:rPr>
          <w:rFonts w:ascii="Times New Roman" w:cs="Times New Roman" w:eastAsia="Times New Roman" w:hAnsi="Times New Roman"/>
          <w:sz w:val="16"/>
          <w:szCs w:val="16"/>
          <w:color w:val="auto"/>
        </w:rPr>
      </w:pPr>
    </w:p>
    <w:p>
      <w:pPr>
        <w:ind w:left="560" w:right="360" w:hanging="282"/>
        <w:spacing w:after="0" w:line="294" w:lineRule="auto"/>
        <w:tabs>
          <w:tab w:leader="none" w:pos="556"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Expensify Travel is generating new revenue. </w:t>
      </w:r>
      <w:r>
        <w:rPr>
          <w:rFonts w:ascii="Times New Roman" w:cs="Times New Roman" w:eastAsia="Times New Roman" w:hAnsi="Times New Roman"/>
          <w:sz w:val="16"/>
          <w:szCs w:val="16"/>
          <w:color w:val="auto"/>
        </w:rPr>
        <w:t>Beta customers continued booking travel in Q3, which resulted in Expensify Travel driving new revenue for the first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time. Our initial travel beta has been completed and we've expanded the beta to a targeted group of mid-market customers.</w:t>
      </w:r>
    </w:p>
    <w:p>
      <w:pPr>
        <w:sectPr>
          <w:pgSz w:w="11900" w:h="16838" w:orient="portrait"/>
          <w:cols w:equalWidth="0" w:num="1">
            <w:col w:w="11260"/>
          </w:cols>
          <w:pgMar w:left="320" w:top="121" w:right="31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620"/>
        <w:spacing w:after="0" w:line="291" w:lineRule="auto"/>
        <w:rPr>
          <w:sz w:val="20"/>
          <w:szCs w:val="20"/>
          <w:color w:val="auto"/>
        </w:rPr>
      </w:pPr>
      <w:r>
        <w:rPr>
          <w:rFonts w:ascii="Times New Roman" w:cs="Times New Roman" w:eastAsia="Times New Roman" w:hAnsi="Times New Roman"/>
          <w:sz w:val="16"/>
          <w:szCs w:val="16"/>
          <w:color w:val="auto"/>
        </w:rPr>
        <w:t>Expensify Classic is proving to be an excellent foundation on which to launch New Expensify and Expensify Travel, and the entire company has shifted its focus toward supporting the growth of these two products in the market. I can't wait to share more progress soon!</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-david</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Founder and CEO of Expensify</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Third Quarter 2024 Highlights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Financial:</w:t>
      </w:r>
    </w:p>
    <w:p>
      <w:pPr>
        <w:spacing w:after="0" w:line="137" w:lineRule="exact"/>
        <w:rPr>
          <w:sz w:val="20"/>
          <w:szCs w:val="20"/>
          <w:color w:val="auto"/>
        </w:rPr>
      </w:pPr>
    </w:p>
    <w:p>
      <w:pPr>
        <w:ind w:left="560" w:hanging="282"/>
        <w:spacing w:after="0"/>
        <w:tabs>
          <w:tab w:leader="none" w:pos="560" w:val="left"/>
        </w:tabs>
        <w:numPr>
          <w:ilvl w:val="0"/>
          <w:numId w:val="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Revenue was $35.4 million, a decrease of 3% compared to the same period last year.</w:t>
      </w:r>
    </w:p>
    <w:p>
      <w:pPr>
        <w:spacing w:after="0" w:line="135" w:lineRule="exact"/>
        <w:rPr>
          <w:rFonts w:ascii="Times New Roman" w:cs="Times New Roman" w:eastAsia="Times New Roman" w:hAnsi="Times New Roman"/>
          <w:sz w:val="16"/>
          <w:szCs w:val="16"/>
          <w:b w:val="1"/>
          <w:bCs w:val="1"/>
          <w:color w:val="auto"/>
        </w:rPr>
      </w:pPr>
    </w:p>
    <w:p>
      <w:pPr>
        <w:ind w:left="560" w:hanging="282"/>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Generated $3.7 million of cash from operating activities.</w:t>
      </w:r>
    </w:p>
    <w:p>
      <w:pPr>
        <w:spacing w:after="0" w:line="13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Free cash flow was $6.7 million.</w:t>
      </w:r>
    </w:p>
    <w:p>
      <w:pPr>
        <w:spacing w:after="0" w:line="147"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loss was $2.2 million, compared to $17.0 million for the same period last year.</w:t>
      </w:r>
    </w:p>
    <w:p>
      <w:pPr>
        <w:spacing w:after="0" w:line="13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Non-GAAP net income was $5.4 million.</w:t>
      </w:r>
    </w:p>
    <w:p>
      <w:pPr>
        <w:spacing w:after="0" w:line="13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Adjusted EBITDA was $9.7 million.</w:t>
      </w:r>
    </w:p>
    <w:p>
      <w:pPr>
        <w:spacing w:after="0" w:line="147"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Interchange derived from the Expensify Card grew to $4.6 million, an increase of 48% compared to the same period last year.</w:t>
      </w:r>
    </w:p>
    <w:p>
      <w:pPr>
        <w:spacing w:after="0" w:line="13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 Financial Outlook section for Free Cash Flow guidance for fiscal year ending December 31,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Business:</w:t>
      </w:r>
    </w:p>
    <w:p>
      <w:pPr>
        <w:spacing w:after="0" w:line="147" w:lineRule="exact"/>
        <w:rPr>
          <w:sz w:val="20"/>
          <w:szCs w:val="20"/>
          <w:color w:val="auto"/>
        </w:rPr>
      </w:pPr>
    </w:p>
    <w:p>
      <w:pPr>
        <w:ind w:left="560" w:hanging="282"/>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Paid members - </w:t>
      </w:r>
      <w:r>
        <w:rPr>
          <w:rFonts w:ascii="Times New Roman" w:cs="Times New Roman" w:eastAsia="Times New Roman" w:hAnsi="Times New Roman"/>
          <w:sz w:val="16"/>
          <w:szCs w:val="16"/>
          <w:color w:val="auto"/>
        </w:rPr>
        <w:t>Paid members were 684,000, a decrease of 5% from the same period last year.</w:t>
      </w:r>
    </w:p>
    <w:p>
      <w:pPr>
        <w:spacing w:after="0" w:line="13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5"/>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b w:val="1"/>
          <w:bCs w:val="1"/>
          <w:color w:val="auto"/>
        </w:rPr>
        <w:t xml:space="preserve">New Expensify Card program - </w:t>
      </w:r>
      <w:r>
        <w:rPr>
          <w:rFonts w:ascii="Times New Roman" w:cs="Times New Roman" w:eastAsia="Times New Roman" w:hAnsi="Times New Roman"/>
          <w:sz w:val="15"/>
          <w:szCs w:val="15"/>
          <w:color w:val="auto"/>
        </w:rPr>
        <w:t>The majority of active Expensify Card customers began transitioning to the new program, with 94% of spend migrated by end of Q3.</w:t>
      </w:r>
    </w:p>
    <w:p>
      <w:pPr>
        <w:spacing w:after="0" w:line="146" w:lineRule="exact"/>
        <w:rPr>
          <w:rFonts w:ascii="Times New Roman" w:cs="Times New Roman" w:eastAsia="Times New Roman" w:hAnsi="Times New Roman"/>
          <w:sz w:val="15"/>
          <w:szCs w:val="15"/>
          <w:color w:val="auto"/>
        </w:rPr>
      </w:pPr>
    </w:p>
    <w:p>
      <w:pPr>
        <w:ind w:left="560" w:hanging="282"/>
        <w:spacing w:after="0"/>
        <w:tabs>
          <w:tab w:leader="none" w:pos="5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Expensify Travel - </w:t>
      </w:r>
      <w:r>
        <w:rPr>
          <w:rFonts w:ascii="Times New Roman" w:cs="Times New Roman" w:eastAsia="Times New Roman" w:hAnsi="Times New Roman"/>
          <w:sz w:val="16"/>
          <w:szCs w:val="16"/>
          <w:color w:val="auto"/>
        </w:rPr>
        <w:t>Expensify travel completed its initial beta and expanded its beta to a targeted group of mid-market customers.</w:t>
      </w:r>
    </w:p>
    <w:p>
      <w:pPr>
        <w:sectPr>
          <w:pgSz w:w="11900" w:h="16838" w:orient="portrait"/>
          <w:cols w:equalWidth="0" w:num="1">
            <w:col w:w="11260"/>
          </w:cols>
          <w:pgMar w:left="320" w:top="121" w:right="31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Financial Outlook</w:t>
      </w:r>
    </w:p>
    <w:p>
      <w:pPr>
        <w:spacing w:after="0" w:line="126"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16"/>
          <w:szCs w:val="16"/>
          <w:color w:val="auto"/>
        </w:rPr>
        <w:t>Expensify's outlook statements are based on current estimates, expectations and assumptions and are not a guarantee of future performance. The following statements are forward-looking and actual results could differ materially depending on market conditions and the factors set forth under “Forward-Looking Statements” below. There can be no assurance that the Company will achieve the results expressed by this guidance.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Free Cash Flow</w:t>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Expensify estimates Free Cash Flow of $19.0 million to $20.0 million for the fiscal year ending December 31, 2024.</w:t>
      </w:r>
    </w:p>
    <w:p>
      <w:pPr>
        <w:spacing w:after="0" w:line="225" w:lineRule="exact"/>
        <w:rPr>
          <w:sz w:val="20"/>
          <w:szCs w:val="20"/>
          <w:color w:val="auto"/>
        </w:rPr>
      </w:pPr>
    </w:p>
    <w:p>
      <w:pPr>
        <w:ind w:right="100"/>
        <w:spacing w:after="0" w:line="269" w:lineRule="auto"/>
        <w:rPr>
          <w:sz w:val="20"/>
          <w:szCs w:val="20"/>
          <w:color w:val="auto"/>
        </w:rPr>
      </w:pPr>
      <w:r>
        <w:rPr>
          <w:rFonts w:ascii="Times New Roman" w:cs="Times New Roman" w:eastAsia="Times New Roman" w:hAnsi="Times New Roman"/>
          <w:sz w:val="16"/>
          <w:szCs w:val="16"/>
          <w:color w:val="auto"/>
        </w:rPr>
        <w:t>The Company does not provide a reconciliation for free cash flow estimates on a forward-looking basis because it is unable, without making unreasonable efforts, to provide a meaningful or reasonably accurate calculation or estimation of net cash provided by operating activities and certain reconciling items on a forward-looking basis, which could be significant to the Company's results.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Stock Based Compensation</w:t>
      </w:r>
    </w:p>
    <w:p>
      <w:pPr>
        <w:spacing w:after="0" w:line="220"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6"/>
          <w:szCs w:val="16"/>
          <w:color w:val="auto"/>
        </w:rPr>
        <w:t>An estimate of expected stock-based compensation for the next four fiscal quarters is as follows, which is driven primarily by the pre-IPO grant of RSUs issued to all employees (which vest quarterly over eight years with approximately five years remaining).</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Est. stock-based compensation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1941830</wp:posOffset>
            </wp:positionH>
            <wp:positionV relativeFrom="paragraph">
              <wp:posOffset>67945</wp:posOffset>
            </wp:positionV>
            <wp:extent cx="501650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01650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37465</wp:posOffset>
            </wp:positionV>
            <wp:extent cx="69615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1505" cy="7620"/>
                    </a:xfrm>
                    <a:prstGeom prst="rect">
                      <a:avLst/>
                    </a:prstGeom>
                    <a:noFill/>
                  </pic:spPr>
                </pic:pic>
              </a:graphicData>
            </a:graphic>
          </wp:anchor>
        </w:drawing>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0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Q4 2024</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Q1 2025</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500"/>
              <w:spacing w:after="0"/>
              <w:rPr>
                <w:sz w:val="20"/>
                <w:szCs w:val="20"/>
                <w:color w:val="auto"/>
              </w:rPr>
            </w:pPr>
            <w:r>
              <w:rPr>
                <w:rFonts w:ascii="Times New Roman" w:cs="Times New Roman" w:eastAsia="Times New Roman" w:hAnsi="Times New Roman"/>
                <w:sz w:val="13"/>
                <w:szCs w:val="13"/>
                <w:b w:val="1"/>
                <w:bCs w:val="1"/>
                <w:color w:val="auto"/>
              </w:rPr>
              <w:t>Q2 2025</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Q3 2025</w:t>
            </w:r>
          </w:p>
        </w:tc>
        <w:tc>
          <w:tcPr>
            <w:tcW w:w="680" w:type="dxa"/>
            <w:vAlign w:val="bottom"/>
          </w:tcPr>
          <w:p>
            <w:pPr>
              <w:spacing w:after="0"/>
              <w:rPr>
                <w:sz w:val="14"/>
                <w:szCs w:val="14"/>
                <w:color w:val="auto"/>
              </w:rPr>
            </w:pPr>
          </w:p>
        </w:tc>
      </w:tr>
      <w:tr>
        <w:trPr>
          <w:trHeight w:val="21"/>
        </w:trPr>
        <w:tc>
          <w:tcPr>
            <w:tcW w:w="30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72"/>
        </w:trPr>
        <w:tc>
          <w:tcPr>
            <w:tcW w:w="306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Low</w:t>
            </w:r>
          </w:p>
        </w:tc>
        <w:tc>
          <w:tcPr>
            <w:tcW w:w="2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High</w:t>
            </w:r>
          </w:p>
        </w:tc>
        <w:tc>
          <w:tcPr>
            <w:tcW w:w="220" w:type="dxa"/>
            <w:vAlign w:val="bottom"/>
          </w:tcPr>
          <w:p>
            <w:pPr>
              <w:spacing w:after="0"/>
              <w:rPr>
                <w:sz w:val="14"/>
                <w:szCs w:val="14"/>
                <w:color w:val="auto"/>
              </w:rPr>
            </w:pPr>
          </w:p>
        </w:tc>
        <w:tc>
          <w:tcPr>
            <w:tcW w:w="740" w:type="dxa"/>
            <w:vAlign w:val="bottom"/>
          </w:tcPr>
          <w:p>
            <w:pPr>
              <w:jc w:val="right"/>
              <w:ind w:right="291"/>
              <w:spacing w:after="0"/>
              <w:rPr>
                <w:sz w:val="20"/>
                <w:szCs w:val="20"/>
                <w:color w:val="auto"/>
              </w:rPr>
            </w:pPr>
            <w:r>
              <w:rPr>
                <w:rFonts w:ascii="Times New Roman" w:cs="Times New Roman" w:eastAsia="Times New Roman" w:hAnsi="Times New Roman"/>
                <w:sz w:val="13"/>
                <w:szCs w:val="13"/>
                <w:b w:val="1"/>
                <w:bCs w:val="1"/>
                <w:color w:val="auto"/>
              </w:rPr>
              <w:t>Low</w:t>
            </w:r>
          </w:p>
        </w:tc>
        <w:tc>
          <w:tcPr>
            <w:tcW w:w="28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High</w:t>
            </w:r>
          </w:p>
        </w:tc>
        <w:tc>
          <w:tcPr>
            <w:tcW w:w="220" w:type="dxa"/>
            <w:vAlign w:val="bottom"/>
          </w:tcPr>
          <w:p>
            <w:pPr>
              <w:spacing w:after="0"/>
              <w:rPr>
                <w:sz w:val="14"/>
                <w:szCs w:val="14"/>
                <w:color w:val="auto"/>
              </w:rPr>
            </w:pPr>
          </w:p>
        </w:tc>
        <w:tc>
          <w:tcPr>
            <w:tcW w:w="70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Low</w:t>
            </w:r>
          </w:p>
        </w:tc>
        <w:tc>
          <w:tcPr>
            <w:tcW w:w="3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color w:val="auto"/>
              </w:rPr>
              <w:t>High</w:t>
            </w:r>
          </w:p>
        </w:tc>
        <w:tc>
          <w:tcPr>
            <w:tcW w:w="220" w:type="dxa"/>
            <w:vAlign w:val="bottom"/>
          </w:tcPr>
          <w:p>
            <w:pPr>
              <w:spacing w:after="0"/>
              <w:rPr>
                <w:sz w:val="14"/>
                <w:szCs w:val="14"/>
                <w:color w:val="auto"/>
              </w:rPr>
            </w:pPr>
          </w:p>
        </w:tc>
        <w:tc>
          <w:tcPr>
            <w:tcW w:w="720" w:type="dxa"/>
            <w:vAlign w:val="bottom"/>
          </w:tcPr>
          <w:p>
            <w:pPr>
              <w:ind w:left="140"/>
              <w:spacing w:after="0"/>
              <w:rPr>
                <w:sz w:val="20"/>
                <w:szCs w:val="20"/>
                <w:color w:val="auto"/>
              </w:rPr>
            </w:pPr>
            <w:r>
              <w:rPr>
                <w:rFonts w:ascii="Times New Roman" w:cs="Times New Roman" w:eastAsia="Times New Roman" w:hAnsi="Times New Roman"/>
                <w:sz w:val="13"/>
                <w:szCs w:val="13"/>
                <w:b w:val="1"/>
                <w:bCs w:val="1"/>
                <w:color w:val="auto"/>
              </w:rPr>
              <w:t>Low</w:t>
            </w:r>
          </w:p>
        </w:tc>
        <w:tc>
          <w:tcPr>
            <w:tcW w:w="300" w:type="dxa"/>
            <w:vAlign w:val="bottom"/>
          </w:tcPr>
          <w:p>
            <w:pPr>
              <w:spacing w:after="0"/>
              <w:rPr>
                <w:sz w:val="14"/>
                <w:szCs w:val="14"/>
                <w:color w:val="auto"/>
              </w:rPr>
            </w:pPr>
          </w:p>
        </w:tc>
        <w:tc>
          <w:tcPr>
            <w:tcW w:w="680" w:type="dxa"/>
            <w:vAlign w:val="bottom"/>
          </w:tcPr>
          <w:p>
            <w:pPr>
              <w:jc w:val="right"/>
              <w:ind w:right="270"/>
              <w:spacing w:after="0"/>
              <w:rPr>
                <w:sz w:val="20"/>
                <w:szCs w:val="20"/>
                <w:color w:val="auto"/>
              </w:rPr>
            </w:pPr>
            <w:r>
              <w:rPr>
                <w:rFonts w:ascii="Times New Roman" w:cs="Times New Roman" w:eastAsia="Times New Roman" w:hAnsi="Times New Roman"/>
                <w:sz w:val="13"/>
                <w:szCs w:val="13"/>
                <w:b w:val="1"/>
                <w:bCs w:val="1"/>
                <w:color w:val="auto"/>
              </w:rPr>
              <w:t>High</w:t>
            </w:r>
          </w:p>
        </w:tc>
      </w:tr>
      <w:tr>
        <w:trPr>
          <w:trHeight w:val="21"/>
        </w:trPr>
        <w:tc>
          <w:tcPr>
            <w:tcW w:w="306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197"/>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Cost of revenue, net</w:t>
            </w:r>
          </w:p>
        </w:tc>
        <w:tc>
          <w:tcPr>
            <w:tcW w:w="640" w:type="dxa"/>
            <w:vAlign w:val="bottom"/>
            <w:tcBorders>
              <w:bottom w:val="single" w:sz="8" w:color="CCEEFF"/>
            </w:tcBorders>
            <w:shd w:val="clear" w:color="auto" w:fill="CCEEFF"/>
          </w:tcPr>
          <w:p>
            <w:pPr>
              <w:jc w:val="right"/>
              <w:ind w:right="49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2.7</w:t>
            </w:r>
          </w:p>
        </w:tc>
        <w:tc>
          <w:tcPr>
            <w:tcW w:w="300" w:type="dxa"/>
            <w:vAlign w:val="bottom"/>
            <w:tcBorders>
              <w:bottom w:val="single" w:sz="8" w:color="CCEEFF"/>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28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2.2</w:t>
            </w:r>
          </w:p>
        </w:tc>
        <w:tc>
          <w:tcPr>
            <w:tcW w:w="32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2.0</w:t>
            </w:r>
          </w:p>
        </w:tc>
        <w:tc>
          <w:tcPr>
            <w:tcW w:w="300" w:type="dxa"/>
            <w:vAlign w:val="bottom"/>
            <w:tcBorders>
              <w:bottom w:val="single" w:sz="8" w:color="CCEEFF"/>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r>
      <w:tr>
        <w:trPr>
          <w:trHeight w:val="196"/>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Research and development</w:t>
            </w:r>
          </w:p>
        </w:tc>
        <w:tc>
          <w:tcPr>
            <w:tcW w:w="640" w:type="dxa"/>
            <w:vAlign w:val="bottom"/>
          </w:tcPr>
          <w:p>
            <w:pPr>
              <w:spacing w:after="0"/>
              <w:rPr>
                <w:sz w:val="17"/>
                <w:szCs w:val="17"/>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2.3</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1.9</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1.8</w:t>
            </w: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w:t>
            </w:r>
          </w:p>
        </w:tc>
      </w:tr>
      <w:tr>
        <w:trPr>
          <w:trHeight w:val="29"/>
        </w:trPr>
        <w:tc>
          <w:tcPr>
            <w:tcW w:w="30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05"/>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6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1.4</w:t>
            </w:r>
          </w:p>
        </w:tc>
        <w:tc>
          <w:tcPr>
            <w:tcW w:w="3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w:t>
            </w:r>
          </w:p>
        </w:tc>
        <w:tc>
          <w:tcPr>
            <w:tcW w:w="2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1.2</w:t>
            </w:r>
          </w:p>
        </w:tc>
        <w:tc>
          <w:tcPr>
            <w:tcW w:w="3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1.1</w:t>
            </w:r>
          </w:p>
        </w:tc>
        <w:tc>
          <w:tcPr>
            <w:tcW w:w="30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w:t>
            </w:r>
          </w:p>
        </w:tc>
      </w:tr>
      <w:tr>
        <w:trPr>
          <w:trHeight w:val="196"/>
        </w:trPr>
        <w:tc>
          <w:tcPr>
            <w:tcW w:w="30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640" w:type="dxa"/>
            <w:vAlign w:val="bottom"/>
          </w:tcPr>
          <w:p>
            <w:pPr>
              <w:spacing w:after="0"/>
              <w:rPr>
                <w:sz w:val="17"/>
                <w:szCs w:val="17"/>
                <w:color w:val="auto"/>
              </w:rPr>
            </w:pPr>
          </w:p>
        </w:tc>
        <w:tc>
          <w:tcPr>
            <w:tcW w:w="28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0.6</w:t>
            </w:r>
          </w:p>
        </w:tc>
        <w:tc>
          <w:tcPr>
            <w:tcW w:w="30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0.6</w:t>
            </w:r>
          </w:p>
        </w:tc>
        <w:tc>
          <w:tcPr>
            <w:tcW w:w="2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0.8</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0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0.5</w:t>
            </w:r>
          </w:p>
        </w:tc>
        <w:tc>
          <w:tcPr>
            <w:tcW w:w="3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ind w:left="500"/>
              <w:spacing w:after="0"/>
              <w:rPr>
                <w:sz w:val="20"/>
                <w:szCs w:val="20"/>
                <w:color w:val="auto"/>
              </w:rPr>
            </w:pPr>
            <w:r>
              <w:rPr>
                <w:rFonts w:ascii="Times New Roman" w:cs="Times New Roman" w:eastAsia="Times New Roman" w:hAnsi="Times New Roman"/>
                <w:sz w:val="14"/>
                <w:szCs w:val="14"/>
                <w:color w:val="auto"/>
              </w:rPr>
              <w:t>0.5</w:t>
            </w: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0.7</w:t>
            </w:r>
          </w:p>
        </w:tc>
      </w:tr>
      <w:tr>
        <w:trPr>
          <w:trHeight w:val="29"/>
        </w:trPr>
        <w:tc>
          <w:tcPr>
            <w:tcW w:w="30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9"/>
        </w:trPr>
        <w:tc>
          <w:tcPr>
            <w:tcW w:w="30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w:t>
            </w:r>
          </w:p>
        </w:tc>
        <w:tc>
          <w:tcPr>
            <w:tcW w:w="640" w:type="dxa"/>
            <w:vAlign w:val="bottom"/>
            <w:tcBorders>
              <w:bottom w:val="single" w:sz="8" w:color="auto"/>
            </w:tcBorders>
            <w:shd w:val="clear" w:color="auto" w:fill="CCEEFF"/>
          </w:tcPr>
          <w:p>
            <w:pPr>
              <w:jc w:val="right"/>
              <w:ind w:right="492"/>
              <w:spacing w:after="0"/>
              <w:rPr>
                <w:sz w:val="20"/>
                <w:szCs w:val="20"/>
                <w:color w:val="auto"/>
              </w:rPr>
            </w:pPr>
            <w:r>
              <w:rPr>
                <w:rFonts w:ascii="Times New Roman" w:cs="Times New Roman" w:eastAsia="Times New Roman" w:hAnsi="Times New Roman"/>
                <w:sz w:val="14"/>
                <w:szCs w:val="14"/>
                <w:color w:val="auto"/>
                <w:w w:val="85"/>
              </w:rPr>
              <w:t>$</w:t>
            </w:r>
          </w:p>
        </w:tc>
        <w:tc>
          <w:tcPr>
            <w:tcW w:w="2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7.0</w:t>
            </w:r>
          </w:p>
        </w:tc>
        <w:tc>
          <w:tcPr>
            <w:tcW w:w="300" w:type="dxa"/>
            <w:vAlign w:val="bottom"/>
            <w:tcBorders>
              <w:bottom w:val="single" w:sz="8" w:color="auto"/>
            </w:tcBorders>
            <w:shd w:val="clear" w:color="auto" w:fill="CCEEFF"/>
          </w:tcPr>
          <w:p>
            <w:pPr>
              <w:jc w:val="right"/>
              <w:ind w:right="10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49"/>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0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5.8</w:t>
            </w:r>
          </w:p>
        </w:tc>
        <w:tc>
          <w:tcPr>
            <w:tcW w:w="32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ind w:left="500"/>
              <w:spacing w:after="0"/>
              <w:rPr>
                <w:sz w:val="20"/>
                <w:szCs w:val="20"/>
                <w:color w:val="auto"/>
              </w:rPr>
            </w:pPr>
            <w:r>
              <w:rPr>
                <w:rFonts w:ascii="Times New Roman" w:cs="Times New Roman" w:eastAsia="Times New Roman" w:hAnsi="Times New Roman"/>
                <w:sz w:val="14"/>
                <w:szCs w:val="14"/>
                <w:color w:val="auto"/>
              </w:rPr>
              <w:t>5.4</w:t>
            </w: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30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Availability of Information on Expensify’s Website</w:t>
      </w:r>
    </w:p>
    <w:p>
      <w:pPr>
        <w:spacing w:after="0" w:line="14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6"/>
          <w:szCs w:val="16"/>
          <w:color w:val="auto"/>
        </w:rPr>
        <w:t>Investors and others should note that Expensify routinely announces material information to investors and the marketplace using SEC filings, press releases, public conference calls, webcasts and the Expensify Investor Relations website at https://ir.expensify.com. While not all of the information that the Company posts to its Investor Relations website is of a material nature, some information could be deemed to be material. Accordingly, the Company encourages investors, the media and others interested in Expensify to review the information that it shares on its Investor Relations website.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Conference Call</w:t>
      </w:r>
    </w:p>
    <w:p>
      <w:pPr>
        <w:spacing w:after="0" w:line="149"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6"/>
          <w:szCs w:val="16"/>
          <w:color w:val="auto"/>
        </w:rPr>
        <w:t>Expensify will host a video call to discuss the financial results and business highlights at 2:00 p.m. Pacific Time today. An investor presentation and the video call information is available on Expensify’s Investor Relations website at https://ir.expensify.com. A replay of the call will be available on the site for three months.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Non-GAAP Financial Measures</w:t>
      </w:r>
    </w:p>
    <w:p>
      <w:pPr>
        <w:spacing w:after="0" w:line="137" w:lineRule="exact"/>
        <w:rPr>
          <w:sz w:val="20"/>
          <w:szCs w:val="20"/>
          <w:color w:val="auto"/>
        </w:rPr>
      </w:pPr>
    </w:p>
    <w:p>
      <w:pPr>
        <w:ind w:right="480"/>
        <w:spacing w:after="0" w:line="291" w:lineRule="auto"/>
        <w:rPr>
          <w:sz w:val="20"/>
          <w:szCs w:val="20"/>
          <w:color w:val="auto"/>
        </w:rPr>
      </w:pPr>
      <w:r>
        <w:rPr>
          <w:rFonts w:ascii="Times New Roman" w:cs="Times New Roman" w:eastAsia="Times New Roman" w:hAnsi="Times New Roman"/>
          <w:sz w:val="16"/>
          <w:szCs w:val="16"/>
          <w:color w:val="auto"/>
        </w:rPr>
        <w:t>In addition to financial measures prepared in accordance with U.S. generally accepted accounting principles (“GAAP”), we provide certain non-GAAP financial measures, including adjusted EBITDA, non-GAAP net loss, and free cash flow.</w:t>
      </w:r>
    </w:p>
    <w:p>
      <w:pPr>
        <w:spacing w:after="0" w:line="169" w:lineRule="exact"/>
        <w:rPr>
          <w:sz w:val="20"/>
          <w:szCs w:val="20"/>
          <w:color w:val="auto"/>
        </w:rPr>
      </w:pPr>
    </w:p>
    <w:p>
      <w:pPr>
        <w:ind w:right="180"/>
        <w:spacing w:after="0" w:line="276" w:lineRule="auto"/>
        <w:rPr>
          <w:sz w:val="20"/>
          <w:szCs w:val="20"/>
          <w:color w:val="auto"/>
        </w:rPr>
      </w:pPr>
      <w:r>
        <w:rPr>
          <w:rFonts w:ascii="Times New Roman" w:cs="Times New Roman" w:eastAsia="Times New Roman" w:hAnsi="Times New Roman"/>
          <w:sz w:val="16"/>
          <w:szCs w:val="16"/>
          <w:color w:val="auto"/>
        </w:rPr>
        <w:t>We believe our non-GAAP financial measures are useful in evaluating our business, measuring our performance, identifying trends affecting our business, formulating business plans and making strategic decisions. Accordingly,</w:t>
      </w:r>
    </w:p>
    <w:p>
      <w:pPr>
        <w:sectPr>
          <w:pgSz w:w="11900" w:h="16838" w:orient="portrait"/>
          <w:cols w:equalWidth="0" w:num="1">
            <w:col w:w="11260"/>
          </w:cols>
          <w:pgMar w:left="320" w:top="121" w:right="31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16"/>
          <w:szCs w:val="16"/>
          <w:color w:val="auto"/>
        </w:rPr>
        <w:t>we believe that these non-GAAP financial measures provide useful information to investors and others in understanding and evaluating our results of operations in the same manner as our management team. These non-GAAP financial measures are presented for supplemental informational purposes only, should not be considered a substitute for financial information presented in accordance with GAAP, and may be different from similarly titled metrics or measures presented by other companies. Non-GAAP financial measures have limitations as analytical tools and should not be considered in isolation or as substitutes for financial information presented under GAAP. There are a number of limitations related to the use of non-GAAP financial measures versus comparable financial measures determined under GAAP. For example, other companies in our industry may calculate these non-GAAP financial measures differently or may use other measures to evaluate their performance. All of these limitations could reduce the usefulness of these non-GAAP financial measures as analytical tools. Investors are encouraged to review the related GAAP financial measures and the reconciliations of these non-GAAP financial measures to their most directly comparable GAAP financial measures and to not rely on any single financial measure to evaluate our business. A reconciliation of each non-GAAP financial measure to the most directly comparable financial measure stated in accordance with GAAP is at the end of this press release.</w:t>
      </w:r>
    </w:p>
    <w:p>
      <w:pPr>
        <w:spacing w:after="0" w:line="191" w:lineRule="exact"/>
        <w:rPr>
          <w:sz w:val="20"/>
          <w:szCs w:val="20"/>
          <w:color w:val="auto"/>
        </w:rPr>
      </w:pPr>
    </w:p>
    <w:p>
      <w:pPr>
        <w:ind w:right="820"/>
        <w:spacing w:after="0" w:line="294" w:lineRule="auto"/>
        <w:rPr>
          <w:sz w:val="20"/>
          <w:szCs w:val="20"/>
          <w:color w:val="auto"/>
        </w:rPr>
      </w:pPr>
      <w:r>
        <w:rPr>
          <w:rFonts w:ascii="Times New Roman" w:cs="Times New Roman" w:eastAsia="Times New Roman" w:hAnsi="Times New Roman"/>
          <w:sz w:val="16"/>
          <w:szCs w:val="16"/>
          <w:b w:val="1"/>
          <w:bCs w:val="1"/>
          <w:color w:val="auto"/>
        </w:rPr>
        <w:t xml:space="preserve">Adjusted EBITDA. </w:t>
      </w:r>
      <w:r>
        <w:rPr>
          <w:rFonts w:ascii="Times New Roman" w:cs="Times New Roman" w:eastAsia="Times New Roman" w:hAnsi="Times New Roman"/>
          <w:sz w:val="16"/>
          <w:szCs w:val="16"/>
          <w:color w:val="auto"/>
        </w:rPr>
        <w:t>We define adjusted EBITDA as net loss from operations excluding provision for income taxes, interest and other expenses, net, depreciation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amortization, and stock-based compensation.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 xml:space="preserve">Non-GAAP net income. </w:t>
      </w:r>
      <w:r>
        <w:rPr>
          <w:rFonts w:ascii="Times New Roman" w:cs="Times New Roman" w:eastAsia="Times New Roman" w:hAnsi="Times New Roman"/>
          <w:sz w:val="16"/>
          <w:szCs w:val="16"/>
          <w:color w:val="auto"/>
        </w:rPr>
        <w:t>We define non-GAAP net income as net loss from operations excluding stock-based compensation.</w:t>
      </w:r>
    </w:p>
    <w:p>
      <w:pPr>
        <w:spacing w:after="0" w:line="230" w:lineRule="exact"/>
        <w:rPr>
          <w:sz w:val="20"/>
          <w:szCs w:val="20"/>
          <w:color w:val="auto"/>
        </w:rPr>
      </w:pPr>
    </w:p>
    <w:p>
      <w:pPr>
        <w:ind w:right="40"/>
        <w:spacing w:after="0" w:line="294" w:lineRule="auto"/>
        <w:rPr>
          <w:sz w:val="20"/>
          <w:szCs w:val="20"/>
          <w:color w:val="auto"/>
        </w:rPr>
      </w:pPr>
      <w:r>
        <w:rPr>
          <w:rFonts w:ascii="Times New Roman" w:cs="Times New Roman" w:eastAsia="Times New Roman" w:hAnsi="Times New Roman"/>
          <w:sz w:val="16"/>
          <w:szCs w:val="16"/>
          <w:b w:val="1"/>
          <w:bCs w:val="1"/>
          <w:color w:val="auto"/>
        </w:rPr>
        <w:t xml:space="preserve">Free cash flow. </w:t>
      </w:r>
      <w:r>
        <w:rPr>
          <w:rFonts w:ascii="Times New Roman" w:cs="Times New Roman" w:eastAsia="Times New Roman" w:hAnsi="Times New Roman"/>
          <w:sz w:val="16"/>
          <w:szCs w:val="16"/>
          <w:color w:val="auto"/>
        </w:rPr>
        <w:t>We define Free cash flow as net cash provided by operating activities excluding changes in settlement assets and settlement liabilities, which represent funds held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for customers and customer funds in transit, respectively, reduced by the purchases of property and equipment and software development costs.</w:t>
      </w:r>
    </w:p>
    <w:p>
      <w:pPr>
        <w:spacing w:after="0" w:line="166" w:lineRule="exact"/>
        <w:rPr>
          <w:sz w:val="20"/>
          <w:szCs w:val="20"/>
          <w:color w:val="auto"/>
        </w:rPr>
      </w:pPr>
    </w:p>
    <w:p>
      <w:pPr>
        <w:ind w:right="100"/>
        <w:spacing w:after="0" w:line="276" w:lineRule="auto"/>
        <w:rPr>
          <w:sz w:val="20"/>
          <w:szCs w:val="20"/>
          <w:color w:val="auto"/>
        </w:rPr>
      </w:pPr>
      <w:r>
        <w:rPr>
          <w:rFonts w:ascii="Times New Roman" w:cs="Times New Roman" w:eastAsia="Times New Roman" w:hAnsi="Times New Roman"/>
          <w:sz w:val="16"/>
          <w:szCs w:val="16"/>
          <w:color w:val="auto"/>
        </w:rPr>
        <w:t>The tables at the end of the Condensed Consolidated Financial Statements provide reconciliations to the most directly comparable GAAP financial measure to each of these non-GAAP financial measures.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Forward-Looking Statements</w:t>
      </w:r>
    </w:p>
    <w:p>
      <w:pPr>
        <w:spacing w:after="0" w:line="126" w:lineRule="exact"/>
        <w:rPr>
          <w:sz w:val="20"/>
          <w:szCs w:val="20"/>
          <w:color w:val="auto"/>
        </w:rPr>
      </w:pPr>
    </w:p>
    <w:p>
      <w:pPr>
        <w:ind w:right="20"/>
        <w:spacing w:after="0" w:line="232" w:lineRule="auto"/>
        <w:rPr>
          <w:sz w:val="20"/>
          <w:szCs w:val="20"/>
          <w:color w:val="auto"/>
        </w:rPr>
      </w:pPr>
      <w:r>
        <w:rPr>
          <w:rFonts w:ascii="Times New Roman" w:cs="Times New Roman" w:eastAsia="Times New Roman" w:hAnsi="Times New Roman"/>
          <w:sz w:val="16"/>
          <w:szCs w:val="16"/>
          <w:color w:val="auto"/>
        </w:rPr>
        <w:t>Forward-looking statements in this press release, or made during the earnings call, which are not historical facts, are forward-looking statements within the meaning of the Private Securities Litigation Reform Act of 1955. These statements include statements regarding our strategy, future financial condition, future operations, future cash flow, projected costs, prospects, plans, objectives of management and expected market growth, product developments and their potential impact and our stock-based compensation estimates and involve known and unknown risks that are difficult to predict. As a result, our actual results, performance or achievements may differ materially from those expressed or implied by these forward-looking statements. In some cases, you can identify forward-looking statements because they contain words such as “may,” “will,” “shall,” “should,” “expects,” “plans,” “anticipates,” “could,” “intends,” “target,” “projects,” “contemplates,” “believes,” “estimates,” “predicts,” “potential,” “goal,” “ambition,” “objective,” “seeks,” “outlook,” or “continue” or the negative of these words or other similar terms or expressions that concern our expectations, strategy, plans, or intentions. Such forward-looking statements are necessarily based upon estimates and assumptions that, while considered reasonable by us and our management, are inherently uncertain. Factors that may cause actual results to differ materially from current expectations include, but are not limited to: the impact on inflation on us and our members; our borrowing costs have and may continue to increase as a result of increases in interest rates; our expectations regarding our financial performance and future operating performance; our ability to attract and retain members, expand usage of our platform, sell subscriptions to our platform and convert individuals and organizations into paying customers; the timing and success of new features, integrations, capabilities and enhancements by us, or by competitors to their products, or any other changes in the competitive landscape of our market; the amount and timing of operating expenses and capital expenditures that we may incur to maintain and expand our business and operations to remain competitive; the sufficiency of our cash, cash equivalents and investments to meet our liquidity needs; our ability to make required payments under and to comply with the various requirements of our current and future indebtedness; our cash flows, the prevailing stock prices, general economic and market conditions and other considerations that could affect the specific timing, price and size of repurchases under our stock repurchase program or our ability to fund any stock repurchases;</w:t>
      </w:r>
    </w:p>
    <w:p>
      <w:pPr>
        <w:sectPr>
          <w:pgSz w:w="11900" w:h="16838" w:orient="portrait"/>
          <w:cols w:equalWidth="0" w:num="1">
            <w:col w:w="11260"/>
          </w:cols>
          <w:pgMar w:left="320" w:top="121" w:right="319" w:bottom="1440" w:gutter="0" w:footer="0" w:header="0"/>
        </w:sectPr>
      </w:pPr>
    </w:p>
    <w:bookmarkStart w:id="7" w:name="page8"/>
    <w:bookmarkEnd w:id="7"/>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right="40"/>
        <w:spacing w:after="0" w:line="249" w:lineRule="auto"/>
        <w:rPr>
          <w:sz w:val="20"/>
          <w:szCs w:val="20"/>
          <w:color w:val="auto"/>
        </w:rPr>
      </w:pPr>
      <w:r>
        <w:rPr>
          <w:rFonts w:ascii="Times New Roman" w:cs="Times New Roman" w:eastAsia="Times New Roman" w:hAnsi="Times New Roman"/>
          <w:sz w:val="15"/>
          <w:szCs w:val="15"/>
          <w:color w:val="auto"/>
        </w:rPr>
        <w:t>geopolitical tensions, including the war in Ukraine and the escalating conflict in Israel, Gaza and surrounding areas; our ability to effectively manage our exposure to fluctuations in foreign currency exchange rates; the expenses associated with being a public company; the size of our addressable markets, market share and market trends; anticipated trends, developments and challenges in our industry, business and the highly competitive markets in which we operate; any adverse impact on our business operations as a result of using artificial intelligence or other machine learning technologies in our services; our expectations regarding our income tax liabilities and the adequacy of our reserves; our ability to effectively manage our growth and expand our infrastructure and maintain our corporate culture; our ability to identify, recruit and retain skilled personnel, including key members of senior management; the safety, affordability and convenience of our platform and our offerings; our ability to successfully defend litigation brought against us; our ability to successfully identify, manage and integrate any existing and potential acquisitions of businesses, talent, technologies or intellectual property; general economic conditions in either domestic or international markets, and geopolitical uncertainty and instability, including as a result of the 2024 United States presidential election; our protections against security breaches, technical difficulties, or interruptions to our platform; our ability to maintain, protect and enhance our intellectual property; and other risks discussed in our filings with the SEC. All forward-looking statements attributable to us or persons acting on our behalf are expressly qualified in their entirety by the cautionary statements set forth above. We caution you not to place undue reliance on any forward-looking statements, which are made only as of the date of this press release. We do not undertake or assume any obligation to update publicly any of these forward-looking statements to reflect actual results, new information or future events, changes in assumptions or changes in other factors affecting forward-looking statements, except to the extent required by applicable law. If we update one or more forward-looking statements, no inference should be drawn that we will make additional updates with respect to those or other forward-looking statements.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About Expensify</w:t>
      </w:r>
    </w:p>
    <w:p>
      <w:pPr>
        <w:spacing w:after="0" w:line="137"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Expensify is a payments superapp that helps individuals and businesses around the world simplify the way they manage money. More than 12 million people use Expensify's free features, which include corporate cards, expense tracking, next-day reimbursement, invoicing, bill pay, and travel booking in one app. All free. Whether you own a small business, manage a team, or close the books for your clients, Expensify makes it easy so you have more time to focus on what really matters.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Investor Relations Contact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Nick Tooker</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investors@expensify.com</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Press Contact</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James Dean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press@expensify.com</w:t>
      </w:r>
    </w:p>
    <w:p>
      <w:pPr>
        <w:sectPr>
          <w:pgSz w:w="11900" w:h="16838" w:orient="portrait"/>
          <w:cols w:equalWidth="0" w:num="1">
            <w:col w:w="11260"/>
          </w:cols>
          <w:pgMar w:left="320" w:top="121" w:right="31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 in thousands, except share data)</w:t>
      </w:r>
    </w:p>
    <w:p>
      <w:pPr>
        <w:sectPr>
          <w:pgSz w:w="11900" w:h="16838" w:orient="portrait"/>
          <w:cols w:equalWidth="0" w:num="1">
            <w:col w:w="11260"/>
          </w:cols>
          <w:pgMar w:left="320" w:top="337" w:right="319" w:bottom="1440"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2"/>
          <w:szCs w:val="12"/>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31115</wp:posOffset>
            </wp:positionV>
            <wp:extent cx="99885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998855" cy="7620"/>
                    </a:xfrm>
                    <a:prstGeom prst="rect">
                      <a:avLst/>
                    </a:prstGeom>
                    <a:noFill/>
                  </pic:spPr>
                </pic:pic>
              </a:graphicData>
            </a:graphic>
          </wp:anchor>
        </w:drawing>
      </w:r>
    </w:p>
    <w:p>
      <w:pPr>
        <w:spacing w:after="0" w:line="55" w:lineRule="exact"/>
        <w:rPr>
          <w:sz w:val="20"/>
          <w:szCs w:val="20"/>
          <w:color w:val="auto"/>
        </w:rPr>
      </w:pPr>
    </w:p>
    <w:p>
      <w:pPr>
        <w:jc w:val="center"/>
        <w:ind w:left="8260"/>
        <w:spacing w:after="0"/>
        <w:rPr>
          <w:sz w:val="20"/>
          <w:szCs w:val="20"/>
          <w:color w:val="auto"/>
        </w:rPr>
      </w:pPr>
      <w:r>
        <w:rPr>
          <w:rFonts w:ascii="Times New Roman" w:cs="Times New Roman" w:eastAsia="Times New Roman" w:hAnsi="Times New Roman"/>
          <w:sz w:val="13"/>
          <w:szCs w:val="13"/>
          <w:b w:val="1"/>
          <w:bCs w:val="1"/>
          <w:color w:val="auto"/>
        </w:rPr>
        <w:t>2024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2"/>
          <w:szCs w:val="12"/>
          <w:b w:val="1"/>
          <w:bCs w:val="1"/>
          <w:color w:val="auto"/>
        </w:rPr>
        <w:t>As of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-164465</wp:posOffset>
            </wp:positionH>
            <wp:positionV relativeFrom="paragraph">
              <wp:posOffset>31115</wp:posOffset>
            </wp:positionV>
            <wp:extent cx="99885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998855" cy="7620"/>
                    </a:xfrm>
                    <a:prstGeom prst="rect">
                      <a:avLst/>
                    </a:prstGeom>
                    <a:noFill/>
                  </pic:spPr>
                </pic:pic>
              </a:graphicData>
            </a:graphic>
          </wp:anchor>
        </w:drawing>
      </w:r>
    </w:p>
    <w:p>
      <w:pPr>
        <w:spacing w:after="0" w:line="55"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2023</w:t>
      </w:r>
    </w:p>
    <w:p>
      <w:pPr>
        <w:spacing w:after="0" w:line="18" w:lineRule="exact"/>
        <w:rPr>
          <w:sz w:val="20"/>
          <w:szCs w:val="20"/>
          <w:color w:val="auto"/>
        </w:rPr>
      </w:pPr>
    </w:p>
    <w:p>
      <w:pPr>
        <w:sectPr>
          <w:pgSz w:w="11900" w:h="16838" w:orient="portrait"/>
          <w:cols w:equalWidth="0" w:num="2">
            <w:col w:w="9340" w:space="600"/>
            <w:col w:w="1320"/>
          </w:cols>
          <w:pgMar w:left="320" w:top="337" w:right="319" w:bottom="1440" w:gutter="0" w:footer="0" w:header="0"/>
          <w:type w:val="continuous"/>
        </w:sectPr>
      </w:pPr>
    </w:p>
    <w:tbl>
      <w:tblPr>
        <w:tblLayout w:type="fixed"/>
        <w:tblInd w:w="0" w:type="dxa"/>
        <w:tblCellMar>
          <w:top w:w="0" w:type="dxa"/>
          <w:left w:w="0" w:type="dxa"/>
          <w:bottom w:w="0" w:type="dxa"/>
          <w:right w:w="0" w:type="dxa"/>
        </w:tblCellMar>
      </w:tblPr>
      <w:tr>
        <w:trPr>
          <w:trHeight w:val="201"/>
        </w:trPr>
        <w:tc>
          <w:tcPr>
            <w:tcW w:w="80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56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56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39,172</w:t>
            </w:r>
          </w:p>
        </w:tc>
        <w:tc>
          <w:tcPr>
            <w:tcW w:w="100" w:type="dxa"/>
            <w:vAlign w:val="bottom"/>
          </w:tcPr>
          <w:p>
            <w:pPr>
              <w:spacing w:after="0"/>
              <w:rPr>
                <w:sz w:val="15"/>
                <w:szCs w:val="15"/>
                <w:color w:val="auto"/>
              </w:rPr>
            </w:pPr>
          </w:p>
        </w:tc>
        <w:tc>
          <w:tcPr>
            <w:tcW w:w="56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47,510</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receivable, net</w:t>
            </w: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12,650</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13,834</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Settlement assets, net</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53,391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39,261</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Prepaid expenses</w:t>
            </w: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9,002</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5,649</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current assets</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24,321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30,978</w:t>
            </w:r>
          </w:p>
        </w:tc>
        <w:tc>
          <w:tcPr>
            <w:tcW w:w="0" w:type="dxa"/>
            <w:vAlign w:val="bottom"/>
          </w:tcPr>
          <w:p>
            <w:pPr>
              <w:spacing w:after="0"/>
              <w:rPr>
                <w:sz w:val="1"/>
                <w:szCs w:val="1"/>
                <w:color w:val="auto"/>
              </w:rPr>
            </w:pP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8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Total current assets</w:t>
            </w: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138,536</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137,232</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Capitalized software, net</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16,859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12,494</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Property and equipment, net</w:t>
            </w: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13,763</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14,372</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 right-of-use assets</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5,611</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6,435</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 assets, net</w:t>
            </w: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489</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457</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assets</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5,794</w:t>
            </w:r>
          </w:p>
        </w:tc>
        <w:tc>
          <w:tcPr>
            <w:tcW w:w="0" w:type="dxa"/>
            <w:vAlign w:val="bottom"/>
          </w:tcPr>
          <w:p>
            <w:pPr>
              <w:spacing w:after="0"/>
              <w:rPr>
                <w:sz w:val="1"/>
                <w:szCs w:val="1"/>
                <w:color w:val="auto"/>
              </w:rPr>
            </w:pP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8"/>
        </w:trPr>
        <w:tc>
          <w:tcPr>
            <w:tcW w:w="8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Total assets</w:t>
            </w:r>
          </w:p>
        </w:tc>
        <w:tc>
          <w:tcPr>
            <w:tcW w:w="560" w:type="dxa"/>
            <w:vAlign w:val="bottom"/>
            <w:tcBorders>
              <w:bottom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176,246</w:t>
            </w:r>
          </w:p>
        </w:tc>
        <w:tc>
          <w:tcPr>
            <w:tcW w:w="10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ind w:right="41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176,784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stockholders' equity</w:t>
            </w: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4"/>
        </w:trPr>
        <w:tc>
          <w:tcPr>
            <w:tcW w:w="8020" w:type="dxa"/>
            <w:vAlign w:val="bottom"/>
            <w:vMerge w:val="continue"/>
          </w:tcPr>
          <w:p>
            <w:pPr>
              <w:spacing w:after="0"/>
              <w:rPr>
                <w:sz w:val="10"/>
                <w:szCs w:val="10"/>
                <w:color w:val="auto"/>
              </w:rPr>
            </w:pPr>
          </w:p>
        </w:tc>
        <w:tc>
          <w:tcPr>
            <w:tcW w:w="5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payable</w:t>
            </w:r>
          </w:p>
        </w:tc>
        <w:tc>
          <w:tcPr>
            <w:tcW w:w="56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1,035</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1,425</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Accrued expenses and other liabilities</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7,294</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9,390</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Borrowings under line of credit</w:t>
            </w:r>
          </w:p>
        </w:tc>
        <w:tc>
          <w:tcPr>
            <w:tcW w:w="5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15,000</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portion of long-term debt, net of original issue discount and debt issuance costs</w:t>
            </w:r>
          </w:p>
        </w:tc>
        <w:tc>
          <w:tcPr>
            <w:tcW w:w="560" w:type="dxa"/>
            <w:vAlign w:val="bottom"/>
          </w:tcPr>
          <w:p>
            <w:pPr>
              <w:spacing w:after="0"/>
              <w:rPr>
                <w:sz w:val="15"/>
                <w:szCs w:val="15"/>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7,655</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liabilities, current</w:t>
            </w: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631</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432</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Settlement liabilities</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39,379</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33,990</w:t>
            </w:r>
          </w:p>
        </w:tc>
        <w:tc>
          <w:tcPr>
            <w:tcW w:w="0" w:type="dxa"/>
            <w:vAlign w:val="bottom"/>
          </w:tcPr>
          <w:p>
            <w:pPr>
              <w:spacing w:after="0"/>
              <w:rPr>
                <w:sz w:val="1"/>
                <w:szCs w:val="1"/>
                <w:color w:val="auto"/>
              </w:rPr>
            </w:pP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3"/>
        </w:trPr>
        <w:tc>
          <w:tcPr>
            <w:tcW w:w="8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Total current liabilities</w:t>
            </w: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48,339</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67,892</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Lease liabilities, non-current</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5,928</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6,467</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liabilities</w:t>
            </w:r>
          </w:p>
        </w:tc>
        <w:tc>
          <w:tcPr>
            <w:tcW w:w="5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2,045</w:t>
            </w:r>
          </w:p>
        </w:tc>
        <w:tc>
          <w:tcPr>
            <w:tcW w:w="10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1,681</w:t>
            </w:r>
          </w:p>
        </w:tc>
        <w:tc>
          <w:tcPr>
            <w:tcW w:w="0" w:type="dxa"/>
            <w:vAlign w:val="bottom"/>
          </w:tcPr>
          <w:p>
            <w:pPr>
              <w:spacing w:after="0"/>
              <w:rPr>
                <w:sz w:val="1"/>
                <w:szCs w:val="1"/>
                <w:color w:val="auto"/>
              </w:rPr>
            </w:pPr>
          </w:p>
        </w:tc>
      </w:tr>
      <w:tr>
        <w:trPr>
          <w:trHeight w:val="172"/>
        </w:trPr>
        <w:tc>
          <w:tcPr>
            <w:tcW w:w="80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Total liabilities</w:t>
            </w:r>
          </w:p>
        </w:tc>
        <w:tc>
          <w:tcPr>
            <w:tcW w:w="5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56,312</w:t>
            </w:r>
          </w:p>
        </w:tc>
        <w:tc>
          <w:tcPr>
            <w:tcW w:w="100" w:type="dxa"/>
            <w:vAlign w:val="bottom"/>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76,040</w:t>
            </w:r>
          </w:p>
        </w:tc>
        <w:tc>
          <w:tcPr>
            <w:tcW w:w="0" w:type="dxa"/>
            <w:vAlign w:val="bottom"/>
          </w:tcPr>
          <w:p>
            <w:pPr>
              <w:spacing w:after="0"/>
              <w:rPr>
                <w:sz w:val="1"/>
                <w:szCs w:val="1"/>
                <w:color w:val="auto"/>
              </w:rPr>
            </w:pP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Commitments and contingencies</w:t>
            </w:r>
          </w:p>
        </w:tc>
        <w:tc>
          <w:tcPr>
            <w:tcW w:w="560" w:type="dxa"/>
            <w:vAlign w:val="bottom"/>
            <w:tcBorders>
              <w:bottom w:val="single" w:sz="8" w:color="CCEEFF"/>
            </w:tcBorders>
            <w:shd w:val="clear" w:color="auto" w:fill="CCEEFF"/>
          </w:tcPr>
          <w:p>
            <w:pPr>
              <w:spacing w:after="0"/>
              <w:rPr>
                <w:sz w:val="14"/>
                <w:szCs w:val="14"/>
                <w:color w:val="auto"/>
              </w:rPr>
            </w:pPr>
          </w:p>
        </w:tc>
        <w:tc>
          <w:tcPr>
            <w:tcW w:w="100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560" w:type="dxa"/>
            <w:vAlign w:val="bottom"/>
            <w:tcBorders>
              <w:bottom w:val="single" w:sz="8" w:color="CCEEFF"/>
            </w:tcBorders>
            <w:shd w:val="clear" w:color="auto" w:fill="CCEEFF"/>
          </w:tcPr>
          <w:p>
            <w:pPr>
              <w:spacing w:after="0"/>
              <w:rPr>
                <w:sz w:val="14"/>
                <w:szCs w:val="14"/>
                <w:color w:val="auto"/>
              </w:rPr>
            </w:pPr>
          </w:p>
        </w:tc>
        <w:tc>
          <w:tcPr>
            <w:tcW w:w="102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Stockholders' equity:</w:t>
            </w:r>
          </w:p>
        </w:tc>
        <w:tc>
          <w:tcPr>
            <w:tcW w:w="5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7"/>
              </w:rPr>
              <w:t>Preferred stock, par value $0.0001; 10,000,000 shares of preferred stock authorized as of September 30, 2024 and December 31, 2023; no shares of preferred</w:t>
            </w:r>
          </w:p>
        </w:tc>
        <w:tc>
          <w:tcPr>
            <w:tcW w:w="5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80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stock issued and outstanding as of September 30, 2024 and December 31, 2023</w:t>
            </w:r>
          </w:p>
        </w:tc>
        <w:tc>
          <w:tcPr>
            <w:tcW w:w="56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9"/>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w w:val="97"/>
              </w:rPr>
              <w:t>Common stock, par value $0.0001; 1,000,000,000 shares of Class A common stock authorized as of September 30, 2024 and December 31, 2023; 77,119,750</w:t>
            </w: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4"/>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8"/>
              </w:rPr>
              <w:t>and 70,569,815 shares of Class A common stock issued and outstanding as of September 30, 2024 and December 31, 2023, respectively; 21,871,197 and</w:t>
            </w: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8"/>
              </w:rPr>
              <w:t>24,994,989 shares of LT10 common stock authorized as of September 30, 2024 and December 31, 2023, respectively; 4,209,827 and 7,333,619 shares of</w:t>
            </w: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8"/>
              </w:rPr>
              <w:t>LT10 common stock issued and outstanding as of September 30, 2024 and December 31, 2023, respectively; 24,969,634 and 24,998,941 shares of LT50</w:t>
            </w:r>
          </w:p>
        </w:tc>
        <w:tc>
          <w:tcPr>
            <w:tcW w:w="5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w w:val="97"/>
              </w:rPr>
              <w:t>common stock authorized as of September 30, 2024 and December 31, 2023, respectively; 7,597,099 and 7,321,894 shares of LT50 common stock issued</w:t>
            </w: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8020" w:type="dxa"/>
            <w:vAlign w:val="bottom"/>
          </w:tcPr>
          <w:p>
            <w:pPr>
              <w:ind w:left="160"/>
              <w:spacing w:after="0"/>
              <w:rPr>
                <w:sz w:val="20"/>
                <w:szCs w:val="20"/>
                <w:color w:val="auto"/>
              </w:rPr>
            </w:pPr>
            <w:r>
              <w:rPr>
                <w:rFonts w:ascii="Times New Roman" w:cs="Times New Roman" w:eastAsia="Times New Roman" w:hAnsi="Times New Roman"/>
                <w:sz w:val="13"/>
                <w:szCs w:val="13"/>
                <w:color w:val="auto"/>
              </w:rPr>
              <w:t>and outstanding as of September 30, 2024 and December 31, 2023, respectively</w:t>
            </w:r>
          </w:p>
        </w:tc>
        <w:tc>
          <w:tcPr>
            <w:tcW w:w="5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r>
        <w:trPr>
          <w:trHeight w:val="21"/>
        </w:trPr>
        <w:tc>
          <w:tcPr>
            <w:tcW w:w="80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5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269,441</w:t>
            </w:r>
          </w:p>
        </w:tc>
        <w:tc>
          <w:tcPr>
            <w:tcW w:w="10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241,509</w:t>
            </w:r>
          </w:p>
        </w:tc>
        <w:tc>
          <w:tcPr>
            <w:tcW w:w="0" w:type="dxa"/>
            <w:vAlign w:val="bottom"/>
          </w:tcPr>
          <w:p>
            <w:pPr>
              <w:spacing w:after="0"/>
              <w:rPr>
                <w:sz w:val="1"/>
                <w:szCs w:val="1"/>
                <w:color w:val="auto"/>
              </w:rPr>
            </w:pPr>
          </w:p>
        </w:tc>
      </w:tr>
      <w:tr>
        <w:trPr>
          <w:trHeight w:val="180"/>
        </w:trPr>
        <w:tc>
          <w:tcPr>
            <w:tcW w:w="80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Accumulated deficit</w:t>
            </w:r>
          </w:p>
        </w:tc>
        <w:tc>
          <w:tcPr>
            <w:tcW w:w="56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(149,516)</w:t>
            </w: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(140,773)</w:t>
            </w:r>
          </w:p>
        </w:tc>
        <w:tc>
          <w:tcPr>
            <w:tcW w:w="0" w:type="dxa"/>
            <w:vAlign w:val="bottom"/>
          </w:tcPr>
          <w:p>
            <w:pPr>
              <w:spacing w:after="0"/>
              <w:rPr>
                <w:sz w:val="1"/>
                <w:szCs w:val="1"/>
                <w:color w:val="auto"/>
              </w:rPr>
            </w:pPr>
          </w:p>
        </w:tc>
      </w:tr>
      <w:tr>
        <w:trPr>
          <w:trHeight w:val="21"/>
        </w:trPr>
        <w:tc>
          <w:tcPr>
            <w:tcW w:w="802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8020" w:type="dxa"/>
            <w:vAlign w:val="bottom"/>
            <w:tcBorders>
              <w:bottom w:val="single" w:sz="8" w:color="CCEEFF"/>
            </w:tcBorders>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Total stockholders' equity</w:t>
            </w:r>
          </w:p>
        </w:tc>
        <w:tc>
          <w:tcPr>
            <w:tcW w:w="56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119,934</w:t>
            </w:r>
          </w:p>
        </w:tc>
        <w:tc>
          <w:tcPr>
            <w:tcW w:w="10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100,744</w:t>
            </w:r>
          </w:p>
        </w:tc>
        <w:tc>
          <w:tcPr>
            <w:tcW w:w="0" w:type="dxa"/>
            <w:vAlign w:val="bottom"/>
          </w:tcPr>
          <w:p>
            <w:pPr>
              <w:spacing w:after="0"/>
              <w:rPr>
                <w:sz w:val="1"/>
                <w:szCs w:val="1"/>
                <w:color w:val="auto"/>
              </w:rPr>
            </w:pPr>
          </w:p>
        </w:tc>
      </w:tr>
      <w:tr>
        <w:trPr>
          <w:trHeight w:val="193"/>
        </w:trPr>
        <w:tc>
          <w:tcPr>
            <w:tcW w:w="8020" w:type="dxa"/>
            <w:vAlign w:val="bottom"/>
          </w:tcPr>
          <w:p>
            <w:pPr>
              <w:ind w:left="380"/>
              <w:spacing w:after="0"/>
              <w:rPr>
                <w:sz w:val="20"/>
                <w:szCs w:val="20"/>
                <w:color w:val="auto"/>
              </w:rPr>
            </w:pPr>
            <w:r>
              <w:rPr>
                <w:rFonts w:ascii="Times New Roman" w:cs="Times New Roman" w:eastAsia="Times New Roman" w:hAnsi="Times New Roman"/>
                <w:sz w:val="13"/>
                <w:szCs w:val="13"/>
                <w:color w:val="auto"/>
              </w:rPr>
              <w:t>Total liabilities and stockholders' equity</w:t>
            </w:r>
          </w:p>
        </w:tc>
        <w:tc>
          <w:tcPr>
            <w:tcW w:w="56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176,246</w:t>
            </w:r>
          </w:p>
        </w:tc>
        <w:tc>
          <w:tcPr>
            <w:tcW w:w="100" w:type="dxa"/>
            <w:vAlign w:val="bottom"/>
          </w:tcPr>
          <w:p>
            <w:pPr>
              <w:spacing w:after="0"/>
              <w:rPr>
                <w:sz w:val="16"/>
                <w:szCs w:val="16"/>
                <w:color w:val="auto"/>
              </w:rPr>
            </w:pPr>
          </w:p>
        </w:tc>
        <w:tc>
          <w:tcPr>
            <w:tcW w:w="56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3"/>
                <w:szCs w:val="13"/>
                <w:color w:val="auto"/>
                <w:w w:val="9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176,784</w:t>
            </w: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337" w:right="319" w:bottom="1440" w:gutter="0" w:footer="0" w:header="0"/>
          <w:type w:val="continuous"/>
        </w:sectPr>
      </w:pPr>
    </w:p>
    <w:bookmarkStart w:id="9" w:name="page10"/>
    <w:bookmarkEnd w:id="9"/>
    <w:p>
      <w:pPr>
        <w:jc w:val="center"/>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Operations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 in thousands, except share and per share data)</w:t>
      </w:r>
    </w:p>
    <w:p>
      <w:pPr>
        <w:spacing w:after="0" w:line="306" w:lineRule="exact"/>
        <w:rPr>
          <w:sz w:val="20"/>
          <w:szCs w:val="20"/>
          <w:color w:val="auto"/>
        </w:rPr>
      </w:pPr>
    </w:p>
    <w:tbl>
      <w:tblPr>
        <w:tblLayout w:type="fixed"/>
        <w:tblInd w:w="160" w:type="dxa"/>
        <w:tblCellMar>
          <w:top w:w="0" w:type="dxa"/>
          <w:left w:w="0" w:type="dxa"/>
          <w:bottom w:w="0" w:type="dxa"/>
          <w:right w:w="0" w:type="dxa"/>
        </w:tblCellMar>
      </w:tblPr>
      <w:tr>
        <w:trPr>
          <w:trHeight w:val="166"/>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20" w:type="dxa"/>
            <w:vAlign w:val="bottom"/>
            <w:gridSpan w:val="5"/>
          </w:tcPr>
          <w:p>
            <w:pPr>
              <w:ind w:left="16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80" w:type="dxa"/>
            <w:vAlign w:val="bottom"/>
          </w:tcPr>
          <w:p>
            <w:pPr>
              <w:spacing w:after="0"/>
              <w:rPr>
                <w:sz w:val="14"/>
                <w:szCs w:val="14"/>
                <w:color w:val="auto"/>
              </w:rPr>
            </w:pPr>
          </w:p>
        </w:tc>
        <w:tc>
          <w:tcPr>
            <w:tcW w:w="2540" w:type="dxa"/>
            <w:vAlign w:val="bottom"/>
            <w:gridSpan w:val="4"/>
          </w:tcPr>
          <w:p>
            <w:pPr>
              <w:jc w:val="right"/>
              <w:ind w:right="402"/>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c>
          <w:tcPr>
            <w:tcW w:w="0" w:type="dxa"/>
            <w:vAlign w:val="bottom"/>
          </w:tcPr>
          <w:p>
            <w:pPr>
              <w:spacing w:after="0"/>
              <w:rPr>
                <w:sz w:val="1"/>
                <w:szCs w:val="1"/>
                <w:color w:val="auto"/>
              </w:rPr>
            </w:pPr>
          </w:p>
        </w:tc>
      </w:tr>
      <w:tr>
        <w:trPr>
          <w:trHeight w:val="21"/>
        </w:trPr>
        <w:tc>
          <w:tcPr>
            <w:tcW w:w="4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2"/>
        </w:trPr>
        <w:tc>
          <w:tcPr>
            <w:tcW w:w="4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483"/>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82"/>
              <w:spacing w:after="0"/>
              <w:rPr>
                <w:sz w:val="20"/>
                <w:szCs w:val="20"/>
                <w:color w:val="auto"/>
              </w:rPr>
            </w:pPr>
            <w:r>
              <w:rPr>
                <w:rFonts w:ascii="Times New Roman" w:cs="Times New Roman" w:eastAsia="Times New Roman" w:hAnsi="Times New Roman"/>
                <w:sz w:val="13"/>
                <w:szCs w:val="13"/>
                <w:b w:val="1"/>
                <w:bCs w:val="1"/>
                <w:color w:val="auto"/>
              </w:rPr>
              <w:t>2023</w:t>
            </w:r>
          </w:p>
        </w:tc>
        <w:tc>
          <w:tcPr>
            <w:tcW w:w="0" w:type="dxa"/>
            <w:vAlign w:val="bottom"/>
          </w:tcPr>
          <w:p>
            <w:pPr>
              <w:spacing w:after="0"/>
              <w:rPr>
                <w:sz w:val="1"/>
                <w:szCs w:val="1"/>
                <w:color w:val="auto"/>
              </w:rPr>
            </w:pPr>
          </w:p>
        </w:tc>
      </w:tr>
      <w:tr>
        <w:trPr>
          <w:trHeight w:val="21"/>
        </w:trPr>
        <w:tc>
          <w:tcPr>
            <w:tcW w:w="4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35,409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36,494</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102,232</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115,479</w:t>
            </w:r>
          </w:p>
        </w:tc>
        <w:tc>
          <w:tcPr>
            <w:tcW w:w="0" w:type="dxa"/>
            <w:vAlign w:val="bottom"/>
          </w:tcPr>
          <w:p>
            <w:pPr>
              <w:spacing w:after="0"/>
              <w:rPr>
                <w:sz w:val="1"/>
                <w:szCs w:val="1"/>
                <w:color w:val="auto"/>
              </w:rPr>
            </w:pPr>
          </w:p>
        </w:tc>
      </w:tr>
      <w:tr>
        <w:trPr>
          <w:trHeight w:val="248"/>
        </w:trPr>
        <w:tc>
          <w:tcPr>
            <w:tcW w:w="4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Cost of revenue, net </w:t>
            </w:r>
            <w:r>
              <w:rPr>
                <w:rFonts w:ascii="Times New Roman" w:cs="Times New Roman" w:eastAsia="Times New Roman" w:hAnsi="Times New Roman"/>
                <w:sz w:val="20"/>
                <w:szCs w:val="20"/>
                <w:color w:val="auto"/>
                <w:vertAlign w:val="superscript"/>
              </w:rPr>
              <w:t>(1)</w:t>
            </w: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17,145</w:t>
            </w:r>
          </w:p>
        </w:tc>
        <w:tc>
          <w:tcPr>
            <w:tcW w:w="8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17,680</w:t>
            </w:r>
          </w:p>
        </w:tc>
        <w:tc>
          <w:tcPr>
            <w:tcW w:w="8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46,091</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50,380</w:t>
            </w:r>
          </w:p>
        </w:tc>
        <w:tc>
          <w:tcPr>
            <w:tcW w:w="0" w:type="dxa"/>
            <w:vAlign w:val="bottom"/>
          </w:tcPr>
          <w:p>
            <w:pPr>
              <w:spacing w:after="0"/>
              <w:rPr>
                <w:sz w:val="1"/>
                <w:szCs w:val="1"/>
                <w:color w:val="auto"/>
              </w:rPr>
            </w:pPr>
          </w:p>
        </w:tc>
      </w:tr>
      <w:tr>
        <w:trPr>
          <w:trHeight w:val="24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18,264</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18,814</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56,141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65,099</w:t>
            </w:r>
          </w:p>
        </w:tc>
        <w:tc>
          <w:tcPr>
            <w:tcW w:w="0" w:type="dxa"/>
            <w:vAlign w:val="bottom"/>
          </w:tcPr>
          <w:p>
            <w:pPr>
              <w:spacing w:after="0"/>
              <w:rPr>
                <w:sz w:val="1"/>
                <w:szCs w:val="1"/>
                <w:color w:val="auto"/>
              </w:rPr>
            </w:pPr>
          </w:p>
        </w:tc>
      </w:tr>
      <w:tr>
        <w:trPr>
          <w:trHeight w:val="194"/>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expenses:</w:t>
            </w:r>
          </w:p>
        </w:tc>
        <w:tc>
          <w:tcPr>
            <w:tcW w:w="2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8"/>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xml:space="preserve">Research and development </w:t>
            </w:r>
            <w:r>
              <w:rPr>
                <w:rFonts w:ascii="Times New Roman" w:cs="Times New Roman" w:eastAsia="Times New Roman" w:hAnsi="Times New Roman"/>
                <w:sz w:val="20"/>
                <w:szCs w:val="20"/>
                <w:color w:val="auto"/>
                <w:vertAlign w:val="superscript"/>
              </w:rPr>
              <w:t>(1)</w:t>
            </w:r>
          </w:p>
        </w:tc>
        <w:tc>
          <w:tcPr>
            <w:tcW w:w="2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5,618</w:t>
            </w:r>
          </w:p>
        </w:tc>
        <w:tc>
          <w:tcPr>
            <w:tcW w:w="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6,607</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17,936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0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17,119</w:t>
            </w:r>
          </w:p>
        </w:tc>
        <w:tc>
          <w:tcPr>
            <w:tcW w:w="0" w:type="dxa"/>
            <w:vAlign w:val="bottom"/>
          </w:tcPr>
          <w:p>
            <w:pPr>
              <w:spacing w:after="0"/>
              <w:rPr>
                <w:sz w:val="1"/>
                <w:szCs w:val="1"/>
                <w:color w:val="auto"/>
              </w:rPr>
            </w:pPr>
          </w:p>
        </w:tc>
      </w:tr>
      <w:tr>
        <w:trPr>
          <w:trHeight w:val="248"/>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 xml:space="preserve">General and administrative </w:t>
            </w:r>
            <w:r>
              <w:rPr>
                <w:rFonts w:ascii="Times New Roman" w:cs="Times New Roman" w:eastAsia="Times New Roman" w:hAnsi="Times New Roman"/>
                <w:sz w:val="20"/>
                <w:szCs w:val="20"/>
                <w:color w:val="auto"/>
                <w:vertAlign w:val="superscript"/>
              </w:rPr>
              <w:t>(1)</w:t>
            </w: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9,084</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14,245</w:t>
            </w:r>
          </w:p>
        </w:tc>
        <w:tc>
          <w:tcPr>
            <w:tcW w:w="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29,760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38,386</w:t>
            </w:r>
          </w:p>
        </w:tc>
        <w:tc>
          <w:tcPr>
            <w:tcW w:w="0" w:type="dxa"/>
            <w:vAlign w:val="bottom"/>
          </w:tcPr>
          <w:p>
            <w:pPr>
              <w:spacing w:after="0"/>
              <w:rPr>
                <w:sz w:val="1"/>
                <w:szCs w:val="1"/>
                <w:color w:val="auto"/>
              </w:rPr>
            </w:pPr>
          </w:p>
        </w:tc>
      </w:tr>
      <w:tr>
        <w:trPr>
          <w:trHeight w:val="248"/>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 xml:space="preserve">Sales and marketing </w:t>
            </w:r>
            <w:r>
              <w:rPr>
                <w:rFonts w:ascii="Times New Roman" w:cs="Times New Roman" w:eastAsia="Times New Roman" w:hAnsi="Times New Roman"/>
                <w:sz w:val="20"/>
                <w:szCs w:val="20"/>
                <w:color w:val="auto"/>
                <w:vertAlign w:val="superscript"/>
              </w:rPr>
              <w:t>(1)</w:t>
            </w:r>
          </w:p>
        </w:tc>
        <w:tc>
          <w:tcPr>
            <w:tcW w:w="26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3,274</w:t>
            </w:r>
          </w:p>
        </w:tc>
        <w:tc>
          <w:tcPr>
            <w:tcW w:w="8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12,860</w:t>
            </w:r>
          </w:p>
        </w:tc>
        <w:tc>
          <w:tcPr>
            <w:tcW w:w="8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9,730</w:t>
            </w:r>
          </w:p>
        </w:tc>
        <w:tc>
          <w:tcPr>
            <w:tcW w:w="10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36,757</w:t>
            </w:r>
          </w:p>
        </w:tc>
        <w:tc>
          <w:tcPr>
            <w:tcW w:w="0" w:type="dxa"/>
            <w:vAlign w:val="bottom"/>
          </w:tcPr>
          <w:p>
            <w:pPr>
              <w:spacing w:after="0"/>
              <w:rPr>
                <w:sz w:val="1"/>
                <w:szCs w:val="1"/>
                <w:color w:val="auto"/>
              </w:rPr>
            </w:pPr>
          </w:p>
        </w:tc>
      </w:tr>
      <w:tr>
        <w:trPr>
          <w:trHeight w:val="205"/>
        </w:trPr>
        <w:tc>
          <w:tcPr>
            <w:tcW w:w="41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Total operating expenses</w:t>
            </w:r>
          </w:p>
        </w:tc>
        <w:tc>
          <w:tcPr>
            <w:tcW w:w="2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17,976</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33,712</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57,426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92,262</w:t>
            </w:r>
          </w:p>
        </w:tc>
        <w:tc>
          <w:tcPr>
            <w:tcW w:w="0" w:type="dxa"/>
            <w:vAlign w:val="bottom"/>
          </w:tcPr>
          <w:p>
            <w:pPr>
              <w:spacing w:after="0"/>
              <w:rPr>
                <w:sz w:val="1"/>
                <w:szCs w:val="1"/>
                <w:color w:val="auto"/>
              </w:rPr>
            </w:pPr>
          </w:p>
        </w:tc>
      </w:tr>
      <w:tr>
        <w:trPr>
          <w:trHeight w:val="35"/>
        </w:trPr>
        <w:tc>
          <w:tcPr>
            <w:tcW w:w="4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from operations</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(14,898)</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(1,285)</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(27,163)</w:t>
            </w:r>
          </w:p>
        </w:tc>
        <w:tc>
          <w:tcPr>
            <w:tcW w:w="0" w:type="dxa"/>
            <w:vAlign w:val="bottom"/>
          </w:tcPr>
          <w:p>
            <w:pPr>
              <w:spacing w:after="0"/>
              <w:rPr>
                <w:sz w:val="1"/>
                <w:szCs w:val="1"/>
                <w:color w:val="auto"/>
              </w:rPr>
            </w:pPr>
          </w:p>
        </w:tc>
      </w:tr>
      <w:tr>
        <w:trPr>
          <w:trHeight w:val="214"/>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(expenses), net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(2,375)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(1,033)</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(5,158)</w:t>
            </w:r>
          </w:p>
        </w:tc>
        <w:tc>
          <w:tcPr>
            <w:tcW w:w="0" w:type="dxa"/>
            <w:vAlign w:val="bottom"/>
          </w:tcPr>
          <w:p>
            <w:pPr>
              <w:spacing w:after="0"/>
              <w:rPr>
                <w:sz w:val="1"/>
                <w:szCs w:val="1"/>
                <w:color w:val="auto"/>
              </w:rPr>
            </w:pPr>
          </w:p>
        </w:tc>
      </w:tr>
      <w:tr>
        <w:trPr>
          <w:trHeight w:val="35"/>
        </w:trPr>
        <w:tc>
          <w:tcPr>
            <w:tcW w:w="4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(17,273)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(2,318)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(32,321)</w:t>
            </w:r>
          </w:p>
        </w:tc>
        <w:tc>
          <w:tcPr>
            <w:tcW w:w="0" w:type="dxa"/>
            <w:vAlign w:val="bottom"/>
          </w:tcPr>
          <w:p>
            <w:pPr>
              <w:spacing w:after="0"/>
              <w:rPr>
                <w:sz w:val="1"/>
                <w:szCs w:val="1"/>
                <w:color w:val="auto"/>
              </w:rPr>
            </w:pPr>
          </w:p>
        </w:tc>
      </w:tr>
      <w:tr>
        <w:trPr>
          <w:trHeight w:val="214"/>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(2,667)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(6,425)</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(1,931)</w:t>
            </w:r>
          </w:p>
        </w:tc>
        <w:tc>
          <w:tcPr>
            <w:tcW w:w="0" w:type="dxa"/>
            <w:vAlign w:val="bottom"/>
          </w:tcPr>
          <w:p>
            <w:pPr>
              <w:spacing w:after="0"/>
              <w:rPr>
                <w:sz w:val="1"/>
                <w:szCs w:val="1"/>
                <w:color w:val="auto"/>
              </w:rPr>
            </w:pPr>
          </w:p>
        </w:tc>
      </w:tr>
      <w:tr>
        <w:trPr>
          <w:trHeight w:val="35"/>
        </w:trPr>
        <w:tc>
          <w:tcPr>
            <w:tcW w:w="4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0"/>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26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(2,198)</w:t>
            </w:r>
          </w:p>
        </w:tc>
        <w:tc>
          <w:tcPr>
            <w:tcW w:w="8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(17,003)</w:t>
            </w:r>
          </w:p>
        </w:tc>
        <w:tc>
          <w:tcPr>
            <w:tcW w:w="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(8,743)</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(34,252)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Net loss per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41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5"/>
        </w:trPr>
        <w:tc>
          <w:tcPr>
            <w:tcW w:w="4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and diluted</w:t>
            </w:r>
          </w:p>
        </w:tc>
        <w:tc>
          <w:tcPr>
            <w:tcW w:w="2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(0.21)</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1"/>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(0.10)</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(0.42)</w:t>
            </w:r>
          </w:p>
        </w:tc>
        <w:tc>
          <w:tcPr>
            <w:tcW w:w="0" w:type="dxa"/>
            <w:vAlign w:val="bottom"/>
          </w:tcPr>
          <w:p>
            <w:pPr>
              <w:spacing w:after="0"/>
              <w:rPr>
                <w:sz w:val="1"/>
                <w:szCs w:val="1"/>
                <w:color w:val="auto"/>
              </w:rPr>
            </w:pPr>
          </w:p>
        </w:tc>
      </w:tr>
      <w:tr>
        <w:trPr>
          <w:trHeight w:val="208"/>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shares of common stock used to compute net</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12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loss per share:</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
        </w:trPr>
        <w:tc>
          <w:tcPr>
            <w:tcW w:w="4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Basic and diluted</w:t>
            </w:r>
          </w:p>
        </w:tc>
        <w:tc>
          <w:tcPr>
            <w:tcW w:w="2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88,177,739</w:t>
            </w:r>
          </w:p>
        </w:tc>
        <w:tc>
          <w:tcPr>
            <w:tcW w:w="8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82,469,190</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86,643,209</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82,085,508</w:t>
            </w:r>
          </w:p>
        </w:tc>
        <w:tc>
          <w:tcPr>
            <w:tcW w:w="0" w:type="dxa"/>
            <w:vAlign w:val="bottom"/>
          </w:tcPr>
          <w:p>
            <w:pPr>
              <w:spacing w:after="0"/>
              <w:rPr>
                <w:sz w:val="1"/>
                <w:szCs w:val="1"/>
                <w:color w:val="auto"/>
              </w:rPr>
            </w:pPr>
          </w:p>
        </w:tc>
      </w:tr>
      <w:tr>
        <w:trPr>
          <w:trHeight w:val="47"/>
        </w:trPr>
        <w:tc>
          <w:tcPr>
            <w:tcW w:w="4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75" w:lineRule="exact"/>
        <w:rPr>
          <w:sz w:val="20"/>
          <w:szCs w:val="20"/>
          <w:color w:val="auto"/>
        </w:rPr>
      </w:pPr>
    </w:p>
    <w:p>
      <w:pPr>
        <w:ind w:left="560" w:hanging="558"/>
        <w:spacing w:after="0"/>
        <w:tabs>
          <w:tab w:leader="none" w:pos="560" w:val="left"/>
        </w:tabs>
        <w:numPr>
          <w:ilvl w:val="0"/>
          <w:numId w:val="6"/>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Includes stock-based compensation expense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189230</wp:posOffset>
            </wp:positionH>
            <wp:positionV relativeFrom="paragraph">
              <wp:posOffset>22860</wp:posOffset>
            </wp:positionV>
            <wp:extent cx="6233160" cy="152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33160" cy="15240"/>
                    </a:xfrm>
                    <a:prstGeom prst="rect">
                      <a:avLst/>
                    </a:prstGeom>
                    <a:noFill/>
                  </pic:spPr>
                </pic:pic>
              </a:graphicData>
            </a:graphic>
          </wp:anchor>
        </w:drawing>
      </w:r>
    </w:p>
    <w:p>
      <w:pPr>
        <w:spacing w:after="0" w:line="53" w:lineRule="exact"/>
        <w:rPr>
          <w:sz w:val="20"/>
          <w:szCs w:val="20"/>
          <w:color w:val="auto"/>
        </w:rPr>
      </w:pPr>
    </w:p>
    <w:tbl>
      <w:tblPr>
        <w:tblLayout w:type="fixed"/>
        <w:tblInd w:w="300" w:type="dxa"/>
        <w:tblCellMar>
          <w:top w:w="0" w:type="dxa"/>
          <w:left w:w="0" w:type="dxa"/>
          <w:bottom w:w="0" w:type="dxa"/>
          <w:right w:w="0" w:type="dxa"/>
        </w:tblCellMar>
      </w:tblPr>
      <w:tr>
        <w:trPr>
          <w:trHeight w:val="166"/>
        </w:trPr>
        <w:tc>
          <w:tcPr>
            <w:tcW w:w="4120" w:type="dxa"/>
            <w:vAlign w:val="bottom"/>
          </w:tcPr>
          <w:p>
            <w:pPr>
              <w:spacing w:after="0"/>
              <w:rPr>
                <w:sz w:val="14"/>
                <w:szCs w:val="14"/>
                <w:color w:val="auto"/>
              </w:rPr>
            </w:pPr>
          </w:p>
        </w:tc>
        <w:tc>
          <w:tcPr>
            <w:tcW w:w="238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20" w:type="dxa"/>
            <w:vAlign w:val="bottom"/>
            <w:gridSpan w:val="4"/>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Nine months ended September 30,</w:t>
            </w:r>
          </w:p>
        </w:tc>
      </w:tr>
      <w:tr>
        <w:trPr>
          <w:trHeight w:val="21"/>
        </w:trPr>
        <w:tc>
          <w:tcPr>
            <w:tcW w:w="4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2"/>
        </w:trPr>
        <w:tc>
          <w:tcPr>
            <w:tcW w:w="4120" w:type="dxa"/>
            <w:vAlign w:val="bottom"/>
          </w:tcPr>
          <w:p>
            <w:pPr>
              <w:spacing w:after="0"/>
              <w:rPr>
                <w:sz w:val="14"/>
                <w:szCs w:val="14"/>
                <w:color w:val="auto"/>
              </w:rPr>
            </w:pPr>
          </w:p>
        </w:tc>
        <w:tc>
          <w:tcPr>
            <w:tcW w:w="92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2023</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1"/>
        </w:trPr>
        <w:tc>
          <w:tcPr>
            <w:tcW w:w="4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73"/>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Cost of revenue, net</w:t>
            </w:r>
          </w:p>
        </w:tc>
        <w:tc>
          <w:tcPr>
            <w:tcW w:w="920" w:type="dxa"/>
            <w:vAlign w:val="bottom"/>
            <w:tcBorders>
              <w:bottom w:val="single" w:sz="8" w:color="CCEEFF"/>
            </w:tcBorders>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2,843</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3,312</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8,661</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10,218</w:t>
            </w: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Research and development</w:t>
            </w:r>
          </w:p>
        </w:tc>
        <w:tc>
          <w:tcPr>
            <w:tcW w:w="9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2,530</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2,901</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8,424</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7,562</w:t>
            </w:r>
          </w:p>
        </w:tc>
      </w:tr>
      <w:tr>
        <w:trPr>
          <w:trHeight w:val="21"/>
        </w:trPr>
        <w:tc>
          <w:tcPr>
            <w:tcW w:w="4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1"/>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w:t>
            </w:r>
          </w:p>
        </w:tc>
        <w:tc>
          <w:tcPr>
            <w:tcW w:w="92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2,532</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4,965</w:t>
            </w: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7,552</w:t>
            </w:r>
          </w:p>
        </w:tc>
      </w:tr>
      <w:tr>
        <w:trPr>
          <w:trHeight w:val="180"/>
        </w:trPr>
        <w:tc>
          <w:tcPr>
            <w:tcW w:w="41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Sales and marketing</w:t>
            </w:r>
          </w:p>
        </w:tc>
        <w:tc>
          <w:tcPr>
            <w:tcW w:w="92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697</w:t>
            </w: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1,522</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1,485</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5,280</w:t>
            </w:r>
          </w:p>
        </w:tc>
      </w:tr>
      <w:tr>
        <w:trPr>
          <w:trHeight w:val="21"/>
        </w:trPr>
        <w:tc>
          <w:tcPr>
            <w:tcW w:w="41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18"/>
        </w:trPr>
        <w:tc>
          <w:tcPr>
            <w:tcW w:w="4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stock-based compensation expense</w:t>
            </w:r>
          </w:p>
        </w:tc>
        <w:tc>
          <w:tcPr>
            <w:tcW w:w="920" w:type="dxa"/>
            <w:vAlign w:val="bottom"/>
            <w:tcBorders>
              <w:bottom w:val="single" w:sz="8" w:color="auto"/>
            </w:tcBorders>
            <w:shd w:val="clear" w:color="auto" w:fill="CCEEFF"/>
          </w:tcPr>
          <w:p>
            <w:pPr>
              <w:jc w:val="right"/>
              <w:ind w:right="777"/>
              <w:spacing w:after="0"/>
              <w:rPr>
                <w:sz w:val="20"/>
                <w:szCs w:val="20"/>
                <w:color w:val="auto"/>
              </w:rPr>
            </w:pPr>
            <w:r>
              <w:rPr>
                <w:rFonts w:ascii="Times New Roman" w:cs="Times New Roman" w:eastAsia="Times New Roman" w:hAnsi="Times New Roman"/>
                <w:sz w:val="13"/>
                <w:szCs w:val="13"/>
                <w:color w:val="auto"/>
                <w:w w:val="91"/>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7,630</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ind w:right="797"/>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10,267</w:t>
            </w:r>
          </w:p>
        </w:tc>
        <w:tc>
          <w:tcPr>
            <w:tcW w:w="10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67"/>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23,535</w:t>
            </w:r>
          </w:p>
        </w:tc>
        <w:tc>
          <w:tcPr>
            <w:tcW w:w="8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color w:val="auto"/>
                <w:w w:val="91"/>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30,612</w:t>
            </w: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
        </w:trPr>
        <w:tc>
          <w:tcPr>
            <w:tcW w:w="41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1">
            <w:col w:w="10120"/>
          </w:cols>
          <w:pgMar w:left="880" w:top="337" w:right="899" w:bottom="1440" w:gutter="0" w:footer="0" w:header="0"/>
        </w:sectPr>
      </w:pPr>
    </w:p>
    <w:bookmarkStart w:id="10" w:name="page11"/>
    <w:bookmarkEnd w:id="10"/>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3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Condensed Consolidated Statements of Cash Flows</w:t>
      </w:r>
    </w:p>
    <w:p>
      <w:pPr>
        <w:spacing w:after="0" w:line="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(unaudited, in thousands)</w:t>
      </w: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8020" w:type="dxa"/>
            <w:vAlign w:val="bottom"/>
          </w:tcPr>
          <w:p>
            <w:pPr>
              <w:spacing w:after="0"/>
              <w:rPr>
                <w:sz w:val="12"/>
                <w:szCs w:val="12"/>
                <w:color w:val="auto"/>
              </w:rPr>
            </w:pPr>
          </w:p>
        </w:tc>
        <w:tc>
          <w:tcPr>
            <w:tcW w:w="2700" w:type="dxa"/>
            <w:vAlign w:val="bottom"/>
            <w:gridSpan w:val="4"/>
          </w:tcPr>
          <w:p>
            <w:pPr>
              <w:jc w:val="right"/>
              <w:ind w:right="205"/>
              <w:spacing w:after="0"/>
              <w:rPr>
                <w:sz w:val="20"/>
                <w:szCs w:val="20"/>
                <w:color w:val="auto"/>
              </w:rPr>
            </w:pPr>
            <w:r>
              <w:rPr>
                <w:rFonts w:ascii="Times New Roman" w:cs="Times New Roman" w:eastAsia="Times New Roman" w:hAnsi="Times New Roman"/>
                <w:sz w:val="11"/>
                <w:szCs w:val="11"/>
                <w:b w:val="1"/>
                <w:bCs w:val="1"/>
                <w:color w:val="auto"/>
              </w:rPr>
              <w:t>Nine Months Ended September 30,</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8020" w:type="dxa"/>
            <w:vAlign w:val="bottom"/>
          </w:tcPr>
          <w:p>
            <w:pPr>
              <w:spacing w:after="0"/>
              <w:rPr>
                <w:sz w:val="12"/>
                <w:szCs w:val="12"/>
                <w:color w:val="auto"/>
              </w:rPr>
            </w:pPr>
          </w:p>
        </w:tc>
        <w:tc>
          <w:tcPr>
            <w:tcW w:w="1020" w:type="dxa"/>
            <w:vAlign w:val="bottom"/>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rPr>
              <w:t>2024</w:t>
            </w:r>
          </w:p>
        </w:tc>
        <w:tc>
          <w:tcPr>
            <w:tcW w:w="5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rPr>
              <w:t>2023</w:t>
            </w: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020" w:type="dxa"/>
            <w:vAlign w:val="bottom"/>
            <w:vMerge w:val="restart"/>
          </w:tcPr>
          <w:p>
            <w:pPr>
              <w:ind w:left="20"/>
              <w:spacing w:after="0"/>
              <w:rPr>
                <w:sz w:val="20"/>
                <w:szCs w:val="20"/>
                <w:color w:val="auto"/>
              </w:rPr>
            </w:pPr>
            <w:r>
              <w:rPr>
                <w:rFonts w:ascii="Times New Roman" w:cs="Times New Roman" w:eastAsia="Times New Roman" w:hAnsi="Times New Roman"/>
                <w:sz w:val="11"/>
                <w:szCs w:val="11"/>
                <w:color w:val="auto"/>
              </w:rPr>
              <w:t>Cash flows from operating activities:</w:t>
            </w: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30"/>
        </w:trPr>
        <w:tc>
          <w:tcPr>
            <w:tcW w:w="8020" w:type="dxa"/>
            <w:vAlign w:val="bottom"/>
            <w:vMerge w:val="continue"/>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loss</w:t>
            </w:r>
          </w:p>
        </w:tc>
        <w:tc>
          <w:tcPr>
            <w:tcW w:w="1020" w:type="dxa"/>
            <w:vAlign w:val="bottom"/>
            <w:tcBorders>
              <w:bottom w:val="single" w:sz="8" w:color="CCEEFF"/>
            </w:tcBorders>
            <w:shd w:val="clear" w:color="auto" w:fill="CCEEFF"/>
          </w:tcPr>
          <w:p>
            <w:pPr>
              <w:jc w:val="right"/>
              <w:ind w:right="90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(8,743)</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905"/>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(34,252)</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Adjustments to reconcile net loss to net cash provided by operating activities:</w:t>
            </w: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Depreciation and amortization</w:t>
            </w:r>
          </w:p>
        </w:tc>
        <w:tc>
          <w:tcPr>
            <w:tcW w:w="10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4,851</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3,871</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Reduction of operating lease right-of-use assets</w:t>
            </w:r>
          </w:p>
        </w:tc>
        <w:tc>
          <w:tcPr>
            <w:tcW w:w="10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411</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476</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Loss on impairment, receivables and sale or disposal of equipment</w:t>
            </w:r>
          </w:p>
        </w:tc>
        <w:tc>
          <w:tcPr>
            <w:tcW w:w="10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637</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585</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expense</w:t>
            </w:r>
          </w:p>
        </w:tc>
        <w:tc>
          <w:tcPr>
            <w:tcW w:w="10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23,535</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30,612</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Amortization of original issue discount and debt issuance costs</w:t>
            </w:r>
          </w:p>
        </w:tc>
        <w:tc>
          <w:tcPr>
            <w:tcW w:w="10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139</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Deferred tax assets</w:t>
            </w:r>
          </w:p>
        </w:tc>
        <w:tc>
          <w:tcPr>
            <w:tcW w:w="10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(86)</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Changes in assets and liabilities:</w:t>
            </w:r>
          </w:p>
        </w:tc>
        <w:tc>
          <w:tcPr>
            <w:tcW w:w="10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8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Accounts receivable, net</w:t>
            </w:r>
          </w:p>
        </w:tc>
        <w:tc>
          <w:tcPr>
            <w:tcW w:w="10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845</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1,671</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Settlement assets, net</w:t>
            </w:r>
          </w:p>
        </w:tc>
        <w:tc>
          <w:tcPr>
            <w:tcW w:w="10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(13,202)</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(9,381)</w:t>
            </w:r>
          </w:p>
        </w:tc>
        <w:tc>
          <w:tcPr>
            <w:tcW w:w="0" w:type="dxa"/>
            <w:vAlign w:val="bottom"/>
          </w:tcPr>
          <w:p>
            <w:pPr>
              <w:spacing w:after="0"/>
              <w:rPr>
                <w:sz w:val="1"/>
                <w:szCs w:val="1"/>
                <w:color w:val="auto"/>
              </w:rPr>
            </w:pPr>
          </w:p>
        </w:tc>
      </w:tr>
      <w:tr>
        <w:trPr>
          <w:trHeight w:val="150"/>
        </w:trPr>
        <w:tc>
          <w:tcPr>
            <w:tcW w:w="8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Prepaid expenses</w:t>
            </w:r>
          </w:p>
        </w:tc>
        <w:tc>
          <w:tcPr>
            <w:tcW w:w="10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1,597</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3,672</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current assets</w:t>
            </w:r>
          </w:p>
        </w:tc>
        <w:tc>
          <w:tcPr>
            <w:tcW w:w="10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2,707</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(1,861)</w:t>
            </w:r>
          </w:p>
        </w:tc>
        <w:tc>
          <w:tcPr>
            <w:tcW w:w="0" w:type="dxa"/>
            <w:vAlign w:val="bottom"/>
          </w:tcPr>
          <w:p>
            <w:pPr>
              <w:spacing w:after="0"/>
              <w:rPr>
                <w:sz w:val="1"/>
                <w:szCs w:val="1"/>
                <w:color w:val="auto"/>
              </w:rPr>
            </w:pPr>
          </w:p>
        </w:tc>
      </w:tr>
      <w:tr>
        <w:trPr>
          <w:trHeight w:val="150"/>
        </w:trPr>
        <w:tc>
          <w:tcPr>
            <w:tcW w:w="8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Other assets</w:t>
            </w:r>
          </w:p>
        </w:tc>
        <w:tc>
          <w:tcPr>
            <w:tcW w:w="10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(144)</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(125)</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Accounts payable</w:t>
            </w:r>
          </w:p>
        </w:tc>
        <w:tc>
          <w:tcPr>
            <w:tcW w:w="10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(349)</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229</w:t>
            </w:r>
          </w:p>
        </w:tc>
        <w:tc>
          <w:tcPr>
            <w:tcW w:w="0" w:type="dxa"/>
            <w:vAlign w:val="bottom"/>
          </w:tcPr>
          <w:p>
            <w:pPr>
              <w:spacing w:after="0"/>
              <w:rPr>
                <w:sz w:val="1"/>
                <w:szCs w:val="1"/>
                <w:color w:val="auto"/>
              </w:rPr>
            </w:pPr>
          </w:p>
        </w:tc>
      </w:tr>
      <w:tr>
        <w:trPr>
          <w:trHeight w:val="150"/>
        </w:trPr>
        <w:tc>
          <w:tcPr>
            <w:tcW w:w="8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Accrued expenses and other liabilities</w:t>
            </w:r>
          </w:p>
        </w:tc>
        <w:tc>
          <w:tcPr>
            <w:tcW w:w="10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(1,501)</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4,259</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Operating lease liabilities</w:t>
            </w:r>
          </w:p>
        </w:tc>
        <w:tc>
          <w:tcPr>
            <w:tcW w:w="10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67</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(236)</w:t>
            </w:r>
          </w:p>
        </w:tc>
        <w:tc>
          <w:tcPr>
            <w:tcW w:w="0" w:type="dxa"/>
            <w:vAlign w:val="bottom"/>
          </w:tcPr>
          <w:p>
            <w:pPr>
              <w:spacing w:after="0"/>
              <w:rPr>
                <w:sz w:val="1"/>
                <w:szCs w:val="1"/>
                <w:color w:val="auto"/>
              </w:rPr>
            </w:pPr>
          </w:p>
        </w:tc>
      </w:tr>
      <w:tr>
        <w:trPr>
          <w:trHeight w:val="150"/>
        </w:trPr>
        <w:tc>
          <w:tcPr>
            <w:tcW w:w="8020" w:type="dxa"/>
            <w:vAlign w:val="bottom"/>
          </w:tcPr>
          <w:p>
            <w:pPr>
              <w:ind w:left="100"/>
              <w:spacing w:after="0"/>
              <w:rPr>
                <w:sz w:val="20"/>
                <w:szCs w:val="20"/>
                <w:color w:val="auto"/>
              </w:rPr>
            </w:pPr>
            <w:r>
              <w:rPr>
                <w:rFonts w:ascii="Times New Roman" w:cs="Times New Roman" w:eastAsia="Times New Roman" w:hAnsi="Times New Roman"/>
                <w:sz w:val="11"/>
                <w:szCs w:val="11"/>
                <w:color w:val="auto"/>
              </w:rPr>
              <w:t>Settlement liabilities</w:t>
            </w:r>
          </w:p>
        </w:tc>
        <w:tc>
          <w:tcPr>
            <w:tcW w:w="10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5,389</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2,451</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02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Other liabilities</w:t>
            </w:r>
          </w:p>
        </w:tc>
        <w:tc>
          <w:tcPr>
            <w:tcW w:w="10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364</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78</w:t>
            </w:r>
          </w:p>
        </w:tc>
        <w:tc>
          <w:tcPr>
            <w:tcW w:w="0" w:type="dxa"/>
            <w:vAlign w:val="bottom"/>
          </w:tcPr>
          <w:p>
            <w:pPr>
              <w:spacing w:after="0"/>
              <w:rPr>
                <w:sz w:val="1"/>
                <w:szCs w:val="1"/>
                <w:color w:val="auto"/>
              </w:rPr>
            </w:pPr>
          </w:p>
        </w:tc>
      </w:tr>
      <w:tr>
        <w:trPr>
          <w:trHeight w:val="142"/>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cash provided by operating activities</w:t>
            </w:r>
          </w:p>
        </w:tc>
        <w:tc>
          <w:tcPr>
            <w:tcW w:w="10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16,475</w:t>
            </w:r>
          </w:p>
        </w:tc>
        <w:tc>
          <w:tcPr>
            <w:tcW w:w="1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2,102</w:t>
            </w:r>
          </w:p>
        </w:tc>
        <w:tc>
          <w:tcPr>
            <w:tcW w:w="0" w:type="dxa"/>
            <w:vAlign w:val="bottom"/>
          </w:tcPr>
          <w:p>
            <w:pPr>
              <w:spacing w:after="0"/>
              <w:rPr>
                <w:sz w:val="1"/>
                <w:szCs w:val="1"/>
                <w:color w:val="auto"/>
              </w:rPr>
            </w:pPr>
          </w:p>
        </w:tc>
      </w:tr>
      <w:tr>
        <w:trPr>
          <w:trHeight w:val="39"/>
        </w:trPr>
        <w:tc>
          <w:tcPr>
            <w:tcW w:w="80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flows from investing activities:</w:t>
            </w:r>
          </w:p>
        </w:tc>
        <w:tc>
          <w:tcPr>
            <w:tcW w:w="10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Purchases of property and equipment</w:t>
            </w:r>
          </w:p>
        </w:tc>
        <w:tc>
          <w:tcPr>
            <w:tcW w:w="10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(1,103)</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Software development costs</w:t>
            </w:r>
          </w:p>
        </w:tc>
        <w:tc>
          <w:tcPr>
            <w:tcW w:w="10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(6,699)</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(3,730)</w:t>
            </w:r>
          </w:p>
        </w:tc>
        <w:tc>
          <w:tcPr>
            <w:tcW w:w="0" w:type="dxa"/>
            <w:vAlign w:val="bottom"/>
          </w:tcPr>
          <w:p>
            <w:pPr>
              <w:spacing w:after="0"/>
              <w:rPr>
                <w:sz w:val="1"/>
                <w:szCs w:val="1"/>
                <w:color w:val="auto"/>
              </w:rPr>
            </w:pPr>
          </w:p>
        </w:tc>
      </w:tr>
      <w:tr>
        <w:trPr>
          <w:trHeight w:val="142"/>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cash used in investing activities</w:t>
            </w:r>
          </w:p>
        </w:tc>
        <w:tc>
          <w:tcPr>
            <w:tcW w:w="10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(6,699)</w:t>
            </w:r>
          </w:p>
        </w:tc>
        <w:tc>
          <w:tcPr>
            <w:tcW w:w="1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(4,833)</w:t>
            </w:r>
          </w:p>
        </w:tc>
        <w:tc>
          <w:tcPr>
            <w:tcW w:w="0" w:type="dxa"/>
            <w:vAlign w:val="bottom"/>
          </w:tcPr>
          <w:p>
            <w:pPr>
              <w:spacing w:after="0"/>
              <w:rPr>
                <w:sz w:val="1"/>
                <w:szCs w:val="1"/>
                <w:color w:val="auto"/>
              </w:rPr>
            </w:pPr>
          </w:p>
        </w:tc>
      </w:tr>
      <w:tr>
        <w:trPr>
          <w:trHeight w:val="39"/>
        </w:trPr>
        <w:tc>
          <w:tcPr>
            <w:tcW w:w="80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flows from financing activities:</w:t>
            </w:r>
          </w:p>
        </w:tc>
        <w:tc>
          <w:tcPr>
            <w:tcW w:w="102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040" w:type="dxa"/>
            <w:vAlign w:val="bottom"/>
            <w:tcBorders>
              <w:bottom w:val="single" w:sz="8" w:color="CCEEFF"/>
            </w:tcBorders>
            <w:shd w:val="clear" w:color="auto" w:fill="CCEEFF"/>
          </w:tcPr>
          <w:p>
            <w:pPr>
              <w:spacing w:after="0"/>
              <w:rPr>
                <w:sz w:val="12"/>
                <w:szCs w:val="12"/>
                <w:color w:val="auto"/>
              </w:rPr>
            </w:pPr>
          </w:p>
        </w:tc>
        <w:tc>
          <w:tcPr>
            <w:tcW w:w="54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Principal payments of finance leases</w:t>
            </w:r>
          </w:p>
        </w:tc>
        <w:tc>
          <w:tcPr>
            <w:tcW w:w="10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(482)</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Principal payments of outstanding debt</w:t>
            </w:r>
          </w:p>
        </w:tc>
        <w:tc>
          <w:tcPr>
            <w:tcW w:w="10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(22,671)</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(8,450)</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Payments for debt issuance costs</w:t>
            </w:r>
          </w:p>
        </w:tc>
        <w:tc>
          <w:tcPr>
            <w:tcW w:w="10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(71)</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Repurchases of early exercised stock options</w:t>
            </w:r>
          </w:p>
        </w:tc>
        <w:tc>
          <w:tcPr>
            <w:tcW w:w="10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Proceeds from common stock purchased under Matching Plan</w:t>
            </w:r>
          </w:p>
        </w:tc>
        <w:tc>
          <w:tcPr>
            <w:tcW w:w="10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2,900</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3,132</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Proceeds from issuance of common stock on exercise of stock options</w:t>
            </w:r>
          </w:p>
        </w:tc>
        <w:tc>
          <w:tcPr>
            <w:tcW w:w="10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303</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216</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Payments for employee taxes withheld from stock-based awards</w:t>
            </w:r>
          </w:p>
        </w:tc>
        <w:tc>
          <w:tcPr>
            <w:tcW w:w="1020" w:type="dxa"/>
            <w:vAlign w:val="bottom"/>
          </w:tcPr>
          <w:p>
            <w:pPr>
              <w:spacing w:after="0"/>
              <w:rPr>
                <w:sz w:val="13"/>
                <w:szCs w:val="13"/>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(1,766)</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Repurchase and retirement of common stock</w:t>
            </w:r>
          </w:p>
        </w:tc>
        <w:tc>
          <w:tcPr>
            <w:tcW w:w="10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(1,510)</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(3,000)</w:t>
            </w:r>
          </w:p>
        </w:tc>
        <w:tc>
          <w:tcPr>
            <w:tcW w:w="0" w:type="dxa"/>
            <w:vAlign w:val="bottom"/>
          </w:tcPr>
          <w:p>
            <w:pPr>
              <w:spacing w:after="0"/>
              <w:rPr>
                <w:sz w:val="1"/>
                <w:szCs w:val="1"/>
                <w:color w:val="auto"/>
              </w:rPr>
            </w:pPr>
          </w:p>
        </w:tc>
      </w:tr>
      <w:tr>
        <w:trPr>
          <w:trHeight w:val="142"/>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Net cash used in financing activities</w:t>
            </w:r>
          </w:p>
        </w:tc>
        <w:tc>
          <w:tcPr>
            <w:tcW w:w="10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(21,180)</w:t>
            </w:r>
          </w:p>
        </w:tc>
        <w:tc>
          <w:tcPr>
            <w:tcW w:w="10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(10,371)</w:t>
            </w:r>
          </w:p>
        </w:tc>
        <w:tc>
          <w:tcPr>
            <w:tcW w:w="0" w:type="dxa"/>
            <w:vAlign w:val="bottom"/>
          </w:tcPr>
          <w:p>
            <w:pPr>
              <w:spacing w:after="0"/>
              <w:rPr>
                <w:sz w:val="1"/>
                <w:szCs w:val="1"/>
                <w:color w:val="auto"/>
              </w:rPr>
            </w:pPr>
          </w:p>
        </w:tc>
      </w:tr>
      <w:tr>
        <w:trPr>
          <w:trHeight w:val="39"/>
        </w:trPr>
        <w:tc>
          <w:tcPr>
            <w:tcW w:w="80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1"/>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decrease in cash and cash equivalents and restricted cash</w:t>
            </w:r>
          </w:p>
        </w:tc>
        <w:tc>
          <w:tcPr>
            <w:tcW w:w="10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(11,404)</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(13,102)</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and cash equivalents and restricted cash, beginning of period</w:t>
            </w:r>
          </w:p>
        </w:tc>
        <w:tc>
          <w:tcPr>
            <w:tcW w:w="10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96,658</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147,710</w:t>
            </w:r>
          </w:p>
        </w:tc>
        <w:tc>
          <w:tcPr>
            <w:tcW w:w="0" w:type="dxa"/>
            <w:vAlign w:val="bottom"/>
          </w:tcPr>
          <w:p>
            <w:pPr>
              <w:spacing w:after="0"/>
              <w:rPr>
                <w:sz w:val="1"/>
                <w:szCs w:val="1"/>
                <w:color w:val="auto"/>
              </w:rPr>
            </w:pPr>
          </w:p>
        </w:tc>
      </w:tr>
      <w:tr>
        <w:trPr>
          <w:trHeight w:val="39"/>
        </w:trPr>
        <w:tc>
          <w:tcPr>
            <w:tcW w:w="802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 and restricted cash, end of period</w:t>
            </w:r>
          </w:p>
        </w:tc>
        <w:tc>
          <w:tcPr>
            <w:tcW w:w="1020" w:type="dxa"/>
            <w:vAlign w:val="bottom"/>
            <w:tcBorders>
              <w:bottom w:val="single" w:sz="8" w:color="auto"/>
            </w:tcBorders>
            <w:shd w:val="clear" w:color="auto" w:fill="CCEEFF"/>
          </w:tcPr>
          <w:p>
            <w:pPr>
              <w:jc w:val="right"/>
              <w:ind w:right="90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85,254</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ind w:right="905"/>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134,608</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1"/>
                <w:szCs w:val="11"/>
                <w:color w:val="auto"/>
              </w:rPr>
              <w:t>Supplemental disclosure of cash flow information:</w:t>
            </w: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8020" w:type="dxa"/>
            <w:vAlign w:val="bottom"/>
            <w:vMerge w:val="continue"/>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paid for interest</w:t>
            </w:r>
          </w:p>
        </w:tc>
        <w:tc>
          <w:tcPr>
            <w:tcW w:w="1020" w:type="dxa"/>
            <w:vAlign w:val="bottom"/>
            <w:tcBorders>
              <w:bottom w:val="single" w:sz="8" w:color="CCEEFF"/>
            </w:tcBorders>
            <w:shd w:val="clear" w:color="auto" w:fill="CCEEFF"/>
          </w:tcPr>
          <w:p>
            <w:pPr>
              <w:jc w:val="right"/>
              <w:ind w:right="90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1,326</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905"/>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4,396</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Cash paid for income taxes</w:t>
            </w:r>
          </w:p>
        </w:tc>
        <w:tc>
          <w:tcPr>
            <w:tcW w:w="1020" w:type="dxa"/>
            <w:vAlign w:val="bottom"/>
          </w:tcPr>
          <w:p>
            <w:pPr>
              <w:jc w:val="right"/>
              <w:ind w:right="90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3,735</w:t>
            </w:r>
          </w:p>
        </w:tc>
        <w:tc>
          <w:tcPr>
            <w:tcW w:w="100" w:type="dxa"/>
            <w:vAlign w:val="bottom"/>
          </w:tcPr>
          <w:p>
            <w:pPr>
              <w:spacing w:after="0"/>
              <w:rPr>
                <w:sz w:val="13"/>
                <w:szCs w:val="13"/>
                <w:color w:val="auto"/>
              </w:rPr>
            </w:pPr>
          </w:p>
        </w:tc>
        <w:tc>
          <w:tcPr>
            <w:tcW w:w="1040" w:type="dxa"/>
            <w:vAlign w:val="bottom"/>
          </w:tcPr>
          <w:p>
            <w:pPr>
              <w:jc w:val="right"/>
              <w:ind w:right="905"/>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3,104</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Noncash investing and financing items:</w:t>
            </w:r>
          </w:p>
        </w:tc>
        <w:tc>
          <w:tcPr>
            <w:tcW w:w="102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spacing w:after="0"/>
              <w:rPr>
                <w:sz w:val="14"/>
                <w:szCs w:val="14"/>
                <w:color w:val="auto"/>
              </w:rPr>
            </w:pPr>
          </w:p>
        </w:tc>
        <w:tc>
          <w:tcPr>
            <w:tcW w:w="54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Stock-based compensation capitalized as software development costs</w:t>
            </w:r>
          </w:p>
        </w:tc>
        <w:tc>
          <w:tcPr>
            <w:tcW w:w="1020" w:type="dxa"/>
            <w:vAlign w:val="bottom"/>
          </w:tcPr>
          <w:p>
            <w:pPr>
              <w:jc w:val="right"/>
              <w:ind w:right="90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2,315</w:t>
            </w:r>
          </w:p>
        </w:tc>
        <w:tc>
          <w:tcPr>
            <w:tcW w:w="100" w:type="dxa"/>
            <w:vAlign w:val="bottom"/>
          </w:tcPr>
          <w:p>
            <w:pPr>
              <w:spacing w:after="0"/>
              <w:rPr>
                <w:sz w:val="13"/>
                <w:szCs w:val="13"/>
                <w:color w:val="auto"/>
              </w:rPr>
            </w:pPr>
          </w:p>
        </w:tc>
        <w:tc>
          <w:tcPr>
            <w:tcW w:w="1040" w:type="dxa"/>
            <w:vAlign w:val="bottom"/>
          </w:tcPr>
          <w:p>
            <w:pPr>
              <w:jc w:val="right"/>
              <w:ind w:right="905"/>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2,219</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Purchases of property and equipment and capitalized software in accounts payable and accrued expenses</w:t>
            </w:r>
          </w:p>
        </w:tc>
        <w:tc>
          <w:tcPr>
            <w:tcW w:w="1020" w:type="dxa"/>
            <w:vAlign w:val="bottom"/>
            <w:tcBorders>
              <w:bottom w:val="single" w:sz="8" w:color="CCEEFF"/>
            </w:tcBorders>
            <w:shd w:val="clear" w:color="auto" w:fill="CCEEFF"/>
          </w:tcPr>
          <w:p>
            <w:pPr>
              <w:jc w:val="right"/>
              <w:ind w:right="90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905"/>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Right-of-use assets acquired through operating leases</w:t>
            </w:r>
          </w:p>
        </w:tc>
        <w:tc>
          <w:tcPr>
            <w:tcW w:w="1020" w:type="dxa"/>
            <w:vAlign w:val="bottom"/>
          </w:tcPr>
          <w:p>
            <w:pPr>
              <w:jc w:val="right"/>
              <w:ind w:right="90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Pr>
          <w:p>
            <w:pPr>
              <w:jc w:val="right"/>
              <w:ind w:right="905"/>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6,402</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Right-of-use assets acquired through finance leases</w:t>
            </w:r>
          </w:p>
        </w:tc>
        <w:tc>
          <w:tcPr>
            <w:tcW w:w="1020" w:type="dxa"/>
            <w:vAlign w:val="bottom"/>
            <w:tcBorders>
              <w:bottom w:val="single" w:sz="8" w:color="CCEEFF"/>
            </w:tcBorders>
            <w:shd w:val="clear" w:color="auto" w:fill="CCEEFF"/>
          </w:tcPr>
          <w:p>
            <w:pPr>
              <w:jc w:val="right"/>
              <w:ind w:right="905"/>
              <w:spacing w:after="0"/>
              <w:rPr>
                <w:sz w:val="20"/>
                <w:szCs w:val="20"/>
                <w:color w:val="auto"/>
              </w:rPr>
            </w:pPr>
            <w:r>
              <w:rPr>
                <w:rFonts w:ascii="Times New Roman" w:cs="Times New Roman" w:eastAsia="Times New Roman" w:hAnsi="Times New Roman"/>
                <w:sz w:val="11"/>
                <w:szCs w:val="11"/>
                <w:color w:val="auto"/>
                <w:w w:val="71"/>
              </w:rPr>
              <w:t>$</w:t>
            </w:r>
          </w:p>
        </w:tc>
        <w:tc>
          <w:tcPr>
            <w:tcW w:w="6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040" w:type="dxa"/>
            <w:vAlign w:val="bottom"/>
            <w:tcBorders>
              <w:bottom w:val="single" w:sz="8" w:color="CCEEFF"/>
            </w:tcBorders>
            <w:shd w:val="clear" w:color="auto" w:fill="CCEEFF"/>
          </w:tcPr>
          <w:p>
            <w:pPr>
              <w:jc w:val="right"/>
              <w:ind w:right="905"/>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409</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Reconciliation of cash and cash equivalents and restricted cash to the Condensed Consolidated Balance Sheets</w:t>
            </w: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020" w:type="dxa"/>
            <w:vAlign w:val="bottom"/>
            <w:tcBorders>
              <w:bottom w:val="single" w:sz="8" w:color="CCEEFF"/>
            </w:tcBorders>
            <w:shd w:val="clear" w:color="auto" w:fill="CCEEFF"/>
          </w:tcPr>
          <w:p>
            <w:pPr>
              <w:jc w:val="right"/>
              <w:ind w:right="90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39,172</w:t>
            </w:r>
          </w:p>
        </w:tc>
        <w:tc>
          <w:tcPr>
            <w:tcW w:w="100" w:type="dxa"/>
            <w:vAlign w:val="bottom"/>
            <w:tcBorders>
              <w:bottom w:val="single" w:sz="8" w:color="CCEEFF"/>
            </w:tcBorders>
            <w:shd w:val="clear" w:color="auto" w:fill="CCEEFF"/>
          </w:tcPr>
          <w:p>
            <w:pPr>
              <w:spacing w:after="0"/>
              <w:rPr>
                <w:sz w:val="14"/>
                <w:szCs w:val="14"/>
                <w:color w:val="auto"/>
              </w:rPr>
            </w:pPr>
          </w:p>
        </w:tc>
        <w:tc>
          <w:tcPr>
            <w:tcW w:w="1040" w:type="dxa"/>
            <w:vAlign w:val="bottom"/>
            <w:tcBorders>
              <w:bottom w:val="single" w:sz="8" w:color="CCEEFF"/>
            </w:tcBorders>
            <w:shd w:val="clear" w:color="auto" w:fill="CCEEFF"/>
          </w:tcPr>
          <w:p>
            <w:pPr>
              <w:jc w:val="right"/>
              <w:ind w:right="905"/>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89,118</w:t>
            </w:r>
          </w:p>
        </w:tc>
        <w:tc>
          <w:tcPr>
            <w:tcW w:w="0" w:type="dxa"/>
            <w:vAlign w:val="bottom"/>
          </w:tcPr>
          <w:p>
            <w:pPr>
              <w:spacing w:after="0"/>
              <w:rPr>
                <w:sz w:val="1"/>
                <w:szCs w:val="1"/>
                <w:color w:val="auto"/>
              </w:rPr>
            </w:pPr>
          </w:p>
        </w:tc>
      </w:tr>
      <w:tr>
        <w:trPr>
          <w:trHeight w:val="150"/>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Restricted cash included in other current assets</w:t>
            </w:r>
          </w:p>
        </w:tc>
        <w:tc>
          <w:tcPr>
            <w:tcW w:w="1020" w:type="dxa"/>
            <w:vAlign w:val="bottom"/>
          </w:tcPr>
          <w:p>
            <w:pPr>
              <w:spacing w:after="0"/>
              <w:rPr>
                <w:sz w:val="13"/>
                <w:szCs w:val="13"/>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23,748</w:t>
            </w: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23,398</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8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Restricted cash included in settlement assets, net</w:t>
            </w:r>
          </w:p>
        </w:tc>
        <w:tc>
          <w:tcPr>
            <w:tcW w:w="10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22,334</w:t>
            </w:r>
          </w:p>
        </w:tc>
        <w:tc>
          <w:tcPr>
            <w:tcW w:w="10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22,092</w:t>
            </w:r>
          </w:p>
        </w:tc>
        <w:tc>
          <w:tcPr>
            <w:tcW w:w="0" w:type="dxa"/>
            <w:vAlign w:val="bottom"/>
          </w:tcPr>
          <w:p>
            <w:pPr>
              <w:spacing w:after="0"/>
              <w:rPr>
                <w:sz w:val="1"/>
                <w:szCs w:val="1"/>
                <w:color w:val="auto"/>
              </w:rPr>
            </w:pPr>
          </w:p>
        </w:tc>
      </w:tr>
      <w:tr>
        <w:trPr>
          <w:trHeight w:val="173"/>
        </w:trPr>
        <w:tc>
          <w:tcPr>
            <w:tcW w:w="80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cash, cash equivalents and restricted cash</w:t>
            </w:r>
          </w:p>
        </w:tc>
        <w:tc>
          <w:tcPr>
            <w:tcW w:w="1020" w:type="dxa"/>
            <w:vAlign w:val="bottom"/>
            <w:tcBorders>
              <w:top w:val="single" w:sz="8" w:color="auto"/>
              <w:bottom w:val="single" w:sz="8" w:color="auto"/>
            </w:tcBorders>
          </w:tcPr>
          <w:p>
            <w:pPr>
              <w:jc w:val="right"/>
              <w:ind w:right="905"/>
              <w:spacing w:after="0"/>
              <w:rPr>
                <w:sz w:val="20"/>
                <w:szCs w:val="20"/>
                <w:color w:val="auto"/>
              </w:rPr>
            </w:pPr>
            <w:r>
              <w:rPr>
                <w:rFonts w:ascii="Times New Roman" w:cs="Times New Roman" w:eastAsia="Times New Roman" w:hAnsi="Times New Roman"/>
                <w:sz w:val="11"/>
                <w:szCs w:val="11"/>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85,254</w:t>
            </w:r>
          </w:p>
        </w:tc>
        <w:tc>
          <w:tcPr>
            <w:tcW w:w="10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ind w:right="905"/>
              <w:spacing w:after="0"/>
              <w:rPr>
                <w:sz w:val="20"/>
                <w:szCs w:val="20"/>
                <w:color w:val="auto"/>
              </w:rPr>
            </w:pPr>
            <w:r>
              <w:rPr>
                <w:rFonts w:ascii="Times New Roman" w:cs="Times New Roman" w:eastAsia="Times New Roman" w:hAnsi="Times New Roman"/>
                <w:sz w:val="11"/>
                <w:szCs w:val="11"/>
                <w:color w:val="auto"/>
              </w:rPr>
              <w:t>$</w:t>
            </w:r>
          </w:p>
        </w:tc>
        <w:tc>
          <w:tcPr>
            <w:tcW w:w="540" w:type="dxa"/>
            <w:vAlign w:val="bottom"/>
            <w:tcBorders>
              <w:top w:val="single" w:sz="8" w:color="auto"/>
              <w:bottom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color w:val="auto"/>
              </w:rPr>
              <w:t>134,608</w:t>
            </w:r>
          </w:p>
        </w:tc>
        <w:tc>
          <w:tcPr>
            <w:tcW w:w="0" w:type="dxa"/>
            <w:vAlign w:val="bottom"/>
          </w:tcPr>
          <w:p>
            <w:pPr>
              <w:spacing w:after="0"/>
              <w:rPr>
                <w:sz w:val="1"/>
                <w:szCs w:val="1"/>
                <w:color w:val="auto"/>
              </w:rPr>
            </w:pPr>
          </w:p>
        </w:tc>
      </w:tr>
      <w:tr>
        <w:trPr>
          <w:trHeight w:val="23"/>
        </w:trPr>
        <w:tc>
          <w:tcPr>
            <w:tcW w:w="80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0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60"/>
          </w:cols>
          <w:pgMar w:left="320" w:top="337" w:right="3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Reconciliation of GAAP to Non-GAAP Financial Measures</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(unaudited, in thousands, except percentages)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i w:val="1"/>
          <w:iCs w:val="1"/>
          <w:color w:val="auto"/>
        </w:rPr>
        <w:t>Adjusted EBITDA and Adjusted EBITDA Margin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37465</wp:posOffset>
            </wp:positionV>
            <wp:extent cx="714946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5240"/>
                    </a:xfrm>
                    <a:prstGeom prst="rect">
                      <a:avLst/>
                    </a:prstGeom>
                    <a:noFill/>
                  </pic:spPr>
                </pic:pic>
              </a:graphicData>
            </a:graphic>
          </wp:anchor>
        </w:drawing>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7800" w:type="dxa"/>
            <w:vAlign w:val="bottom"/>
          </w:tcPr>
          <w:p>
            <w:pPr>
              <w:spacing w:after="0"/>
              <w:rPr>
                <w:sz w:val="14"/>
                <w:szCs w:val="14"/>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700" w:type="dxa"/>
            <w:vAlign w:val="bottom"/>
          </w:tcPr>
          <w:p>
            <w:pPr>
              <w:spacing w:after="0"/>
              <w:rPr>
                <w:sz w:val="14"/>
                <w:szCs w:val="14"/>
                <w:color w:val="auto"/>
              </w:rPr>
            </w:pPr>
          </w:p>
        </w:tc>
      </w:tr>
      <w:tr>
        <w:trPr>
          <w:trHeight w:val="21"/>
        </w:trPr>
        <w:tc>
          <w:tcPr>
            <w:tcW w:w="7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2"/>
        </w:trPr>
        <w:tc>
          <w:tcPr>
            <w:tcW w:w="78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700" w:type="dxa"/>
            <w:vAlign w:val="bottom"/>
          </w:tcPr>
          <w:p>
            <w:pPr>
              <w:spacing w:after="0"/>
              <w:rPr>
                <w:sz w:val="14"/>
                <w:szCs w:val="14"/>
                <w:color w:val="auto"/>
              </w:rPr>
            </w:pPr>
          </w:p>
        </w:tc>
      </w:tr>
      <w:tr>
        <w:trPr>
          <w:trHeight w:val="21"/>
        </w:trPr>
        <w:tc>
          <w:tcPr>
            <w:tcW w:w="78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tcBorders>
              <w:bottom w:val="single" w:sz="8" w:color="CCEEFF"/>
            </w:tcBorders>
            <w:shd w:val="clear" w:color="auto" w:fill="CCEEFF"/>
          </w:tcPr>
          <w:p>
            <w:pPr>
              <w:jc w:val="right"/>
              <w:ind w:right="84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(2,198)</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26"/>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5"/>
              </w:rPr>
              <w:t>(17,003)</w:t>
            </w:r>
          </w:p>
        </w:tc>
      </w:tr>
      <w:tr>
        <w:trPr>
          <w:trHeight w:val="214"/>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margin</w:t>
            </w: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35"/>
        </w:trPr>
        <w:tc>
          <w:tcPr>
            <w:tcW w:w="7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10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r>
      <w:tr>
        <w:trPr>
          <w:trHeight w:val="214"/>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Provision for (benefit from) income taxes</w:t>
            </w:r>
          </w:p>
        </w:tc>
        <w:tc>
          <w:tcPr>
            <w:tcW w:w="1020" w:type="dxa"/>
            <w:vAlign w:val="bottom"/>
          </w:tcPr>
          <w:p>
            <w:pPr>
              <w:spacing w:after="0"/>
              <w:rPr>
                <w:sz w:val="18"/>
                <w:szCs w:val="18"/>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2,667</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(270)</w:t>
            </w:r>
          </w:p>
        </w:tc>
      </w:tr>
      <w:tr>
        <w:trPr>
          <w:trHeight w:val="35"/>
        </w:trPr>
        <w:tc>
          <w:tcPr>
            <w:tcW w:w="7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expenses, net</w:t>
            </w:r>
          </w:p>
        </w:tc>
        <w:tc>
          <w:tcPr>
            <w:tcW w:w="10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2,375</w:t>
            </w:r>
          </w:p>
        </w:tc>
      </w:tr>
      <w:tr>
        <w:trPr>
          <w:trHeight w:val="214"/>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020" w:type="dxa"/>
            <w:vAlign w:val="bottom"/>
          </w:tcPr>
          <w:p>
            <w:pPr>
              <w:spacing w:after="0"/>
              <w:rPr>
                <w:sz w:val="18"/>
                <w:szCs w:val="18"/>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1,758</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1,082</w:t>
            </w:r>
          </w:p>
        </w:tc>
      </w:tr>
      <w:tr>
        <w:trPr>
          <w:trHeight w:val="35"/>
        </w:trPr>
        <w:tc>
          <w:tcPr>
            <w:tcW w:w="7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4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7,630</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10,267</w:t>
            </w:r>
          </w:p>
        </w:tc>
      </w:tr>
      <w:tr>
        <w:trPr>
          <w:trHeight w:val="235"/>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EBITDA</w:t>
            </w:r>
          </w:p>
        </w:tc>
        <w:tc>
          <w:tcPr>
            <w:tcW w:w="1020" w:type="dxa"/>
            <w:vAlign w:val="bottom"/>
            <w:tcBorders>
              <w:top w:val="single" w:sz="8" w:color="auto"/>
              <w:bottom w:val="single" w:sz="8" w:color="auto"/>
            </w:tcBorders>
          </w:tcPr>
          <w:p>
            <w:pPr>
              <w:jc w:val="right"/>
              <w:ind w:right="84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9,676</w:t>
            </w:r>
          </w:p>
        </w:tc>
        <w:tc>
          <w:tcPr>
            <w:tcW w:w="10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826"/>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(3,549)</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1"/>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Adjusted EBITDA margin</w:t>
            </w:r>
          </w:p>
        </w:tc>
        <w:tc>
          <w:tcPr>
            <w:tcW w:w="10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47"/>
        </w:trPr>
        <w:tc>
          <w:tcPr>
            <w:tcW w:w="78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r>
        <w:trPr>
          <w:trHeight w:val="477"/>
        </w:trPr>
        <w:tc>
          <w:tcPr>
            <w:tcW w:w="78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Non-GAAP Net Income and Non-GAAP Net Income Margin</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27"/>
        </w:trPr>
        <w:tc>
          <w:tcPr>
            <w:tcW w:w="78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gridSpan w:val="4"/>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180"/>
        </w:trPr>
        <w:tc>
          <w:tcPr>
            <w:tcW w:w="7800" w:type="dxa"/>
            <w:vAlign w:val="bottom"/>
          </w:tcPr>
          <w:p>
            <w:pPr>
              <w:spacing w:after="0"/>
              <w:rPr>
                <w:sz w:val="15"/>
                <w:szCs w:val="15"/>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700" w:type="dxa"/>
            <w:vAlign w:val="bottom"/>
          </w:tcPr>
          <w:p>
            <w:pPr>
              <w:spacing w:after="0"/>
              <w:rPr>
                <w:sz w:val="15"/>
                <w:szCs w:val="15"/>
                <w:color w:val="auto"/>
              </w:rPr>
            </w:pPr>
          </w:p>
        </w:tc>
      </w:tr>
      <w:tr>
        <w:trPr>
          <w:trHeight w:val="21"/>
        </w:trPr>
        <w:tc>
          <w:tcPr>
            <w:tcW w:w="7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2"/>
        </w:trPr>
        <w:tc>
          <w:tcPr>
            <w:tcW w:w="78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700" w:type="dxa"/>
            <w:vAlign w:val="bottom"/>
          </w:tcPr>
          <w:p>
            <w:pPr>
              <w:spacing w:after="0"/>
              <w:rPr>
                <w:sz w:val="14"/>
                <w:szCs w:val="14"/>
                <w:color w:val="auto"/>
              </w:rPr>
            </w:pPr>
          </w:p>
        </w:tc>
      </w:tr>
      <w:tr>
        <w:trPr>
          <w:trHeight w:val="21"/>
        </w:trPr>
        <w:tc>
          <w:tcPr>
            <w:tcW w:w="78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tcBorders>
              <w:bottom w:val="single" w:sz="8" w:color="CCEEFF"/>
            </w:tcBorders>
            <w:shd w:val="clear" w:color="auto" w:fill="CCEEFF"/>
          </w:tcPr>
          <w:p>
            <w:pPr>
              <w:jc w:val="right"/>
              <w:ind w:right="84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(2,198)</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26"/>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w w:val="95"/>
              </w:rPr>
              <w:t>(17,003)</w:t>
            </w:r>
          </w:p>
        </w:tc>
      </w:tr>
      <w:tr>
        <w:trPr>
          <w:trHeight w:val="214"/>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loss margin</w:t>
            </w: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r>
      <w:tr>
        <w:trPr>
          <w:trHeight w:val="35"/>
        </w:trPr>
        <w:tc>
          <w:tcPr>
            <w:tcW w:w="7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w:t>
            </w:r>
          </w:p>
        </w:tc>
        <w:tc>
          <w:tcPr>
            <w:tcW w:w="10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r>
      <w:tr>
        <w:trPr>
          <w:trHeight w:val="214"/>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020" w:type="dxa"/>
            <w:vAlign w:val="bottom"/>
          </w:tcPr>
          <w:p>
            <w:pPr>
              <w:spacing w:after="0"/>
              <w:rPr>
                <w:sz w:val="18"/>
                <w:szCs w:val="18"/>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7,630</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10,267</w:t>
            </w:r>
          </w:p>
        </w:tc>
      </w:tr>
      <w:tr>
        <w:trPr>
          <w:trHeight w:val="35"/>
        </w:trPr>
        <w:tc>
          <w:tcPr>
            <w:tcW w:w="78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6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Non-GAAP net income (loss)</w:t>
            </w:r>
          </w:p>
        </w:tc>
        <w:tc>
          <w:tcPr>
            <w:tcW w:w="1020" w:type="dxa"/>
            <w:vAlign w:val="bottom"/>
            <w:tcBorders>
              <w:bottom w:val="single" w:sz="8" w:color="auto"/>
            </w:tcBorders>
            <w:shd w:val="clear" w:color="auto" w:fill="CCEEFF"/>
          </w:tcPr>
          <w:p>
            <w:pPr>
              <w:jc w:val="right"/>
              <w:ind w:right="84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5,432</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826"/>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auto"/>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(6,736)</w:t>
            </w:r>
          </w:p>
        </w:tc>
      </w:tr>
      <w:tr>
        <w:trPr>
          <w:trHeight w:val="20"/>
        </w:trPr>
        <w:tc>
          <w:tcPr>
            <w:tcW w:w="78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r>
      <w:tr>
        <w:trPr>
          <w:trHeight w:val="186"/>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Non-GAAP net income (loss) margin</w:t>
            </w:r>
          </w:p>
        </w:tc>
        <w:tc>
          <w:tcPr>
            <w:tcW w:w="10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82"/>
        </w:trPr>
        <w:tc>
          <w:tcPr>
            <w:tcW w:w="78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700" w:type="dxa"/>
            <w:vAlign w:val="bottom"/>
            <w:tcBorders>
              <w:bottom w:val="single" w:sz="8" w:color="auto"/>
            </w:tcBorders>
          </w:tcPr>
          <w:p>
            <w:pPr>
              <w:spacing w:after="0"/>
              <w:rPr>
                <w:sz w:val="7"/>
                <w:szCs w:val="7"/>
                <w:color w:val="auto"/>
              </w:rPr>
            </w:pPr>
          </w:p>
        </w:tc>
      </w:tr>
      <w:tr>
        <w:trPr>
          <w:trHeight w:val="477"/>
        </w:trPr>
        <w:tc>
          <w:tcPr>
            <w:tcW w:w="78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Adjusted Operating Cash Flow and Free Cash Flow</w:t>
            </w:r>
          </w:p>
        </w:tc>
        <w:tc>
          <w:tcPr>
            <w:tcW w:w="10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8"/>
        </w:trPr>
        <w:tc>
          <w:tcPr>
            <w:tcW w:w="7800" w:type="dxa"/>
            <w:vAlign w:val="bottom"/>
            <w:tcBorders>
              <w:bottom w:val="single" w:sz="8" w:color="auto"/>
            </w:tcBorders>
          </w:tcPr>
          <w:p>
            <w:pPr>
              <w:spacing w:after="0"/>
              <w:rPr>
                <w:sz w:val="3"/>
                <w:szCs w:val="3"/>
                <w:color w:val="auto"/>
              </w:rPr>
            </w:pPr>
          </w:p>
        </w:tc>
        <w:tc>
          <w:tcPr>
            <w:tcW w:w="2760" w:type="dxa"/>
            <w:vAlign w:val="bottom"/>
            <w:tcBorders>
              <w:bottom w:val="single" w:sz="8" w:color="auto"/>
            </w:tcBorders>
            <w:gridSpan w:val="4"/>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0"/>
        </w:trPr>
        <w:tc>
          <w:tcPr>
            <w:tcW w:w="7800" w:type="dxa"/>
            <w:vAlign w:val="bottom"/>
          </w:tcPr>
          <w:p>
            <w:pPr>
              <w:spacing w:after="0"/>
              <w:rPr>
                <w:sz w:val="15"/>
                <w:szCs w:val="15"/>
                <w:color w:val="auto"/>
              </w:rPr>
            </w:pPr>
          </w:p>
        </w:tc>
        <w:tc>
          <w:tcPr>
            <w:tcW w:w="2760" w:type="dxa"/>
            <w:vAlign w:val="bottom"/>
            <w:gridSpan w:val="4"/>
          </w:tcPr>
          <w:p>
            <w:pPr>
              <w:jc w:val="right"/>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700" w:type="dxa"/>
            <w:vAlign w:val="bottom"/>
          </w:tcPr>
          <w:p>
            <w:pPr>
              <w:spacing w:after="0"/>
              <w:rPr>
                <w:sz w:val="15"/>
                <w:szCs w:val="15"/>
                <w:color w:val="auto"/>
              </w:rPr>
            </w:pPr>
          </w:p>
        </w:tc>
      </w:tr>
      <w:tr>
        <w:trPr>
          <w:trHeight w:val="21"/>
        </w:trPr>
        <w:tc>
          <w:tcPr>
            <w:tcW w:w="78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172"/>
        </w:trPr>
        <w:tc>
          <w:tcPr>
            <w:tcW w:w="780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2024</w:t>
            </w: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2023</w:t>
            </w:r>
          </w:p>
        </w:tc>
        <w:tc>
          <w:tcPr>
            <w:tcW w:w="700" w:type="dxa"/>
            <w:vAlign w:val="bottom"/>
          </w:tcPr>
          <w:p>
            <w:pPr>
              <w:spacing w:after="0"/>
              <w:rPr>
                <w:sz w:val="14"/>
                <w:szCs w:val="14"/>
                <w:color w:val="auto"/>
              </w:rPr>
            </w:pPr>
          </w:p>
        </w:tc>
      </w:tr>
      <w:tr>
        <w:trPr>
          <w:trHeight w:val="21"/>
        </w:trPr>
        <w:tc>
          <w:tcPr>
            <w:tcW w:w="78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0"/>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provided by (used in) operating activities</w:t>
            </w:r>
          </w:p>
        </w:tc>
        <w:tc>
          <w:tcPr>
            <w:tcW w:w="1020" w:type="dxa"/>
            <w:vAlign w:val="bottom"/>
            <w:tcBorders>
              <w:bottom w:val="single" w:sz="8" w:color="CCEEFF"/>
            </w:tcBorders>
            <w:shd w:val="clear" w:color="auto" w:fill="CCEEFF"/>
          </w:tcPr>
          <w:p>
            <w:pPr>
              <w:jc w:val="right"/>
              <w:ind w:right="84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bottom w:val="single" w:sz="8" w:color="CCEEFF"/>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3,687</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jc w:val="right"/>
              <w:ind w:right="826"/>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(5,106)</w:t>
            </w:r>
          </w:p>
        </w:tc>
      </w:tr>
      <w:tr>
        <w:trPr>
          <w:trHeight w:val="214"/>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cash flow margin</w:t>
            </w:r>
          </w:p>
        </w:tc>
        <w:tc>
          <w:tcPr>
            <w:tcW w:w="10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35"/>
        </w:trPr>
        <w:tc>
          <w:tcPr>
            <w:tcW w:w="7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2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(Increase) decrease in changes in assets and liabilities:</w:t>
            </w:r>
          </w:p>
        </w:tc>
        <w:tc>
          <w:tcPr>
            <w:tcW w:w="10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r>
      <w:tr>
        <w:trPr>
          <w:trHeight w:val="214"/>
        </w:trPr>
        <w:tc>
          <w:tcPr>
            <w:tcW w:w="7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Settlement assets</w:t>
            </w:r>
          </w:p>
        </w:tc>
        <w:tc>
          <w:tcPr>
            <w:tcW w:w="1020" w:type="dxa"/>
            <w:vAlign w:val="bottom"/>
          </w:tcPr>
          <w:p>
            <w:pPr>
              <w:spacing w:after="0"/>
              <w:rPr>
                <w:sz w:val="18"/>
                <w:szCs w:val="18"/>
                <w:color w:val="auto"/>
              </w:rPr>
            </w:pPr>
          </w:p>
        </w:tc>
        <w:tc>
          <w:tcPr>
            <w:tcW w:w="6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5,326</w:t>
            </w: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4,137</w:t>
            </w:r>
          </w:p>
        </w:tc>
      </w:tr>
      <w:tr>
        <w:trPr>
          <w:trHeight w:val="35"/>
        </w:trPr>
        <w:tc>
          <w:tcPr>
            <w:tcW w:w="7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48"/>
        </w:trPr>
        <w:tc>
          <w:tcPr>
            <w:tcW w:w="7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Settlement liabilities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(502)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(3,833)</w:t>
            </w:r>
          </w:p>
        </w:tc>
      </w:tr>
      <w:tr>
        <w:trPr>
          <w:trHeight w:val="205"/>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operating cash flow</w:t>
            </w:r>
          </w:p>
        </w:tc>
        <w:tc>
          <w:tcPr>
            <w:tcW w:w="10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8,511</w:t>
            </w: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(4,802)</w:t>
            </w:r>
          </w:p>
        </w:tc>
      </w:tr>
      <w:tr>
        <w:trPr>
          <w:trHeight w:val="35"/>
        </w:trPr>
        <w:tc>
          <w:tcPr>
            <w:tcW w:w="780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08"/>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w:t>
            </w:r>
          </w:p>
        </w:tc>
        <w:tc>
          <w:tcPr>
            <w:tcW w:w="102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spacing w:after="0"/>
              <w:rPr>
                <w:sz w:val="18"/>
                <w:szCs w:val="18"/>
                <w:color w:val="auto"/>
              </w:rPr>
            </w:pPr>
          </w:p>
        </w:tc>
      </w:tr>
      <w:tr>
        <w:trPr>
          <w:trHeight w:val="214"/>
        </w:trPr>
        <w:tc>
          <w:tcPr>
            <w:tcW w:w="78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Purchases of property and equipment</w:t>
            </w:r>
          </w:p>
        </w:tc>
        <w:tc>
          <w:tcPr>
            <w:tcW w:w="1020" w:type="dxa"/>
            <w:vAlign w:val="bottom"/>
          </w:tcPr>
          <w:p>
            <w:pPr>
              <w:spacing w:after="0"/>
              <w:rPr>
                <w:sz w:val="18"/>
                <w:szCs w:val="18"/>
                <w:color w:val="auto"/>
              </w:rPr>
            </w:pPr>
          </w:p>
        </w:tc>
        <w:tc>
          <w:tcPr>
            <w:tcW w:w="7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spacing w:after="0"/>
              <w:rPr>
                <w:sz w:val="18"/>
                <w:szCs w:val="18"/>
                <w:color w:val="auto"/>
              </w:rPr>
            </w:pPr>
          </w:p>
        </w:tc>
        <w:tc>
          <w:tcPr>
            <w:tcW w:w="700" w:type="dxa"/>
            <w:vAlign w:val="bottom"/>
          </w:tcPr>
          <w:p>
            <w:pPr>
              <w:jc w:val="right"/>
              <w:ind w:right="81"/>
              <w:spacing w:after="0"/>
              <w:rPr>
                <w:sz w:val="20"/>
                <w:szCs w:val="20"/>
                <w:color w:val="auto"/>
              </w:rPr>
            </w:pPr>
            <w:r>
              <w:rPr>
                <w:rFonts w:ascii="Times New Roman" w:cs="Times New Roman" w:eastAsia="Times New Roman" w:hAnsi="Times New Roman"/>
                <w:sz w:val="16"/>
                <w:szCs w:val="16"/>
                <w:color w:val="auto"/>
              </w:rPr>
              <w:t>(624)</w:t>
            </w:r>
          </w:p>
        </w:tc>
      </w:tr>
      <w:tr>
        <w:trPr>
          <w:trHeight w:val="35"/>
        </w:trPr>
        <w:tc>
          <w:tcPr>
            <w:tcW w:w="7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248"/>
        </w:trPr>
        <w:tc>
          <w:tcPr>
            <w:tcW w:w="7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Software development costs</w:t>
            </w:r>
          </w:p>
        </w:tc>
        <w:tc>
          <w:tcPr>
            <w:tcW w:w="10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(1,832)</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(1,687)</w:t>
            </w:r>
          </w:p>
        </w:tc>
      </w:tr>
      <w:tr>
        <w:trPr>
          <w:trHeight w:val="235"/>
        </w:trPr>
        <w:tc>
          <w:tcPr>
            <w:tcW w:w="7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1020" w:type="dxa"/>
            <w:vAlign w:val="bottom"/>
            <w:tcBorders>
              <w:top w:val="single" w:sz="8" w:color="auto"/>
              <w:bottom w:val="single" w:sz="8" w:color="auto"/>
            </w:tcBorders>
          </w:tcPr>
          <w:p>
            <w:pPr>
              <w:jc w:val="right"/>
              <w:ind w:right="849"/>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6,679</w:t>
            </w:r>
          </w:p>
        </w:tc>
        <w:tc>
          <w:tcPr>
            <w:tcW w:w="100" w:type="dxa"/>
            <w:vAlign w:val="bottom"/>
          </w:tcPr>
          <w:p>
            <w:pPr>
              <w:spacing w:after="0"/>
              <w:rPr>
                <w:sz w:val="20"/>
                <w:szCs w:val="20"/>
                <w:color w:val="auto"/>
              </w:rPr>
            </w:pPr>
          </w:p>
        </w:tc>
        <w:tc>
          <w:tcPr>
            <w:tcW w:w="980" w:type="dxa"/>
            <w:vAlign w:val="bottom"/>
            <w:tcBorders>
              <w:top w:val="single" w:sz="8" w:color="auto"/>
              <w:bottom w:val="single" w:sz="8" w:color="auto"/>
            </w:tcBorders>
          </w:tcPr>
          <w:p>
            <w:pPr>
              <w:jc w:val="right"/>
              <w:ind w:right="826"/>
              <w:spacing w:after="0"/>
              <w:rPr>
                <w:sz w:val="20"/>
                <w:szCs w:val="20"/>
                <w:color w:val="auto"/>
              </w:rPr>
            </w:pPr>
            <w:r>
              <w:rPr>
                <w:rFonts w:ascii="Times New Roman" w:cs="Times New Roman" w:eastAsia="Times New Roman" w:hAnsi="Times New Roman"/>
                <w:sz w:val="16"/>
                <w:szCs w:val="16"/>
                <w:color w:val="auto"/>
                <w:w w:val="74"/>
              </w:rPr>
              <w:t>$</w:t>
            </w:r>
          </w:p>
        </w:tc>
        <w:tc>
          <w:tcPr>
            <w:tcW w:w="700" w:type="dxa"/>
            <w:vAlign w:val="bottom"/>
            <w:tcBorders>
              <w:top w:val="single" w:sz="8" w:color="auto"/>
              <w:bottom w:val="single" w:sz="8" w:color="auto"/>
            </w:tcBorders>
          </w:tcPr>
          <w:p>
            <w:pPr>
              <w:jc w:val="right"/>
              <w:ind w:right="81"/>
              <w:spacing w:after="0"/>
              <w:rPr>
                <w:sz w:val="20"/>
                <w:szCs w:val="20"/>
                <w:color w:val="auto"/>
              </w:rPr>
            </w:pPr>
            <w:r>
              <w:rPr>
                <w:rFonts w:ascii="Times New Roman" w:cs="Times New Roman" w:eastAsia="Times New Roman" w:hAnsi="Times New Roman"/>
                <w:sz w:val="16"/>
                <w:szCs w:val="16"/>
                <w:color w:val="auto"/>
              </w:rPr>
              <w:t>(7,113)</w:t>
            </w:r>
          </w:p>
        </w:tc>
      </w:tr>
      <w:tr>
        <w:trPr>
          <w:trHeight w:val="20"/>
        </w:trPr>
        <w:tc>
          <w:tcPr>
            <w:tcW w:w="780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r>
        <w:trPr>
          <w:trHeight w:val="221"/>
        </w:trPr>
        <w:tc>
          <w:tcPr>
            <w:tcW w:w="7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Free cash flow margin</w:t>
            </w:r>
          </w:p>
        </w:tc>
        <w:tc>
          <w:tcPr>
            <w:tcW w:w="102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tcBorders>
              <w:bottom w:val="single" w:sz="8" w:color="CCEEFF"/>
            </w:tcBorders>
            <w:shd w:val="clear" w:color="auto" w:fill="CCEEFF"/>
          </w:tcPr>
          <w:p>
            <w:pPr>
              <w:spacing w:after="0"/>
              <w:rPr>
                <w:sz w:val="19"/>
                <w:szCs w:val="19"/>
                <w:color w:val="auto"/>
              </w:rPr>
            </w:pPr>
          </w:p>
        </w:tc>
        <w:tc>
          <w:tcPr>
            <w:tcW w:w="9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r>
      <w:tr>
        <w:trPr>
          <w:trHeight w:val="47"/>
        </w:trPr>
        <w:tc>
          <w:tcPr>
            <w:tcW w:w="780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700" w:type="dxa"/>
            <w:vAlign w:val="bottom"/>
            <w:tcBorders>
              <w:bottom w:val="single" w:sz="8" w:color="auto"/>
            </w:tcBorders>
          </w:tcPr>
          <w:p>
            <w:pPr>
              <w:spacing w:after="0"/>
              <w:rPr>
                <w:sz w:val="4"/>
                <w:szCs w:val="4"/>
                <w:color w:val="auto"/>
              </w:rPr>
            </w:pPr>
          </w:p>
        </w:tc>
      </w:tr>
    </w:tbl>
    <w:p>
      <w:pPr>
        <w:sectPr>
          <w:pgSz w:w="11900" w:h="16838" w:orient="portrait"/>
          <w:cols w:equalWidth="0" w:num="1">
            <w:col w:w="11260"/>
          </w:cols>
          <w:pgMar w:left="320" w:top="337" w:right="31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1</w:t>
      </w:r>
    </w:p>
    <w:p>
      <w:pPr>
        <w:sectPr>
          <w:pgSz w:w="11900" w:h="16838" w:orient="portrait"/>
          <w:cols w:equalWidth="0" w:num="1">
            <w:col w:w="10140"/>
          </w:cols>
          <w:pgMar w:left="1440" w:top="124" w:right="31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2</w:t>
      </w:r>
    </w:p>
    <w:p>
      <w:pPr>
        <w:sectPr>
          <w:pgSz w:w="11900" w:h="16838" w:orient="portrait"/>
          <w:cols w:equalWidth="0" w:num="1">
            <w:col w:w="10140"/>
          </w:cols>
          <w:pgMar w:left="1440" w:top="124" w:right="31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3</w:t>
      </w:r>
    </w:p>
    <w:p>
      <w:pPr>
        <w:sectPr>
          <w:pgSz w:w="11900" w:h="16838" w:orient="portrait"/>
          <w:cols w:equalWidth="0" w:num="1">
            <w:col w:w="10140"/>
          </w:cols>
          <w:pgMar w:left="1440" w:top="124" w:right="31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4</w:t>
      </w:r>
    </w:p>
    <w:p>
      <w:pPr>
        <w:sectPr>
          <w:pgSz w:w="11900" w:h="16838" w:orient="portrait"/>
          <w:cols w:equalWidth="0" w:num="1">
            <w:col w:w="10140"/>
          </w:cols>
          <w:pgMar w:left="1440" w:top="124" w:right="31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5</w:t>
      </w:r>
    </w:p>
    <w:p>
      <w:pPr>
        <w:sectPr>
          <w:pgSz w:w="11900" w:h="16838" w:orient="portrait"/>
          <w:cols w:equalWidth="0" w:num="1">
            <w:col w:w="10140"/>
          </w:cols>
          <w:pgMar w:left="1440" w:top="124" w:right="319" w:bottom="1440" w:gutter="0" w:footer="0" w:header="0"/>
        </w:sectPr>
      </w:pPr>
    </w:p>
    <w:bookmarkStart w:id="17" w:name="page18"/>
    <w:bookmarkEnd w:id="17"/>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6</w:t>
      </w:r>
    </w:p>
    <w:p>
      <w:pPr>
        <w:sectPr>
          <w:pgSz w:w="11900" w:h="16838" w:orient="portrait"/>
          <w:cols w:equalWidth="0" w:num="1">
            <w:col w:w="10140"/>
          </w:cols>
          <w:pgMar w:left="1440" w:top="124" w:right="319" w:bottom="1440" w:gutter="0" w:footer="0" w:header="0"/>
        </w:sectPr>
      </w:pPr>
    </w:p>
    <w:bookmarkStart w:id="18" w:name="page19"/>
    <w:bookmarkEnd w:id="18"/>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7</w:t>
      </w:r>
    </w:p>
    <w:p>
      <w:pPr>
        <w:sectPr>
          <w:pgSz w:w="11900" w:h="16838" w:orient="portrait"/>
          <w:cols w:equalWidth="0" w:num="1">
            <w:col w:w="10140"/>
          </w:cols>
          <w:pgMar w:left="1440" w:top="124" w:right="31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8</w:t>
      </w:r>
    </w:p>
    <w:p>
      <w:pPr>
        <w:sectPr>
          <w:pgSz w:w="11900" w:h="16838" w:orient="portrait"/>
          <w:cols w:equalWidth="0" w:num="1">
            <w:col w:w="10140"/>
          </w:cols>
          <w:pgMar w:left="1440" w:top="124" w:right="319" w:bottom="1440" w:gutter="0" w:footer="0" w:header="0"/>
        </w:sectPr>
      </w:pPr>
    </w:p>
    <w:bookmarkStart w:id="20" w:name="page21"/>
    <w:bookmarkEnd w:id="20"/>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9"/>
          <w:szCs w:val="19"/>
          <w:color w:val="auto"/>
        </w:rPr>
        <w:t>9</w:t>
      </w:r>
    </w:p>
    <w:p>
      <w:pPr>
        <w:sectPr>
          <w:pgSz w:w="11900" w:h="16838" w:orient="portrait"/>
          <w:cols w:equalWidth="0" w:num="1">
            <w:col w:w="10140"/>
          </w:cols>
          <w:pgMar w:left="1440" w:top="124" w:right="31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10</w:t>
      </w:r>
    </w:p>
    <w:p>
      <w:pPr>
        <w:sectPr>
          <w:pgSz w:w="11900" w:h="16838" w:orient="portrait"/>
          <w:cols w:equalWidth="0" w:num="1">
            <w:col w:w="10140"/>
          </w:cols>
          <w:pgMar w:left="1440" w:top="124" w:right="31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20"/>
        <w:spacing w:after="0"/>
        <w:rPr>
          <w:sz w:val="20"/>
          <w:szCs w:val="20"/>
          <w:color w:val="auto"/>
        </w:rPr>
      </w:pPr>
      <w:r>
        <w:rPr>
          <w:rFonts w:ascii="Times New Roman" w:cs="Times New Roman" w:eastAsia="Times New Roman" w:hAnsi="Times New Roman"/>
          <w:sz w:val="19"/>
          <w:szCs w:val="19"/>
          <w:color w:val="auto"/>
        </w:rPr>
        <w:t>11</w:t>
      </w:r>
    </w:p>
    <w:p>
      <w:pPr>
        <w:sectPr>
          <w:pgSz w:w="11900" w:h="16838" w:orient="portrait"/>
          <w:cols w:equalWidth="0" w:num="1">
            <w:col w:w="10140"/>
          </w:cols>
          <w:pgMar w:left="1440" w:top="124" w:right="31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12</w:t>
      </w:r>
    </w:p>
    <w:p>
      <w:pPr>
        <w:sectPr>
          <w:pgSz w:w="11900" w:h="16838" w:orient="portrait"/>
          <w:cols w:equalWidth="0" w:num="1">
            <w:col w:w="10140"/>
          </w:cols>
          <w:pgMar w:left="1440" w:top="124" w:right="31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13</w:t>
      </w:r>
    </w:p>
    <w:p>
      <w:pPr>
        <w:sectPr>
          <w:pgSz w:w="11900" w:h="16838" w:orient="portrait"/>
          <w:cols w:equalWidth="0" w:num="1">
            <w:col w:w="10140"/>
          </w:cols>
          <w:pgMar w:left="1440" w:top="124" w:right="319" w:bottom="1440" w:gutter="0" w:footer="0" w:header="0"/>
        </w:sectPr>
      </w:pPr>
    </w:p>
    <w:bookmarkStart w:id="25" w:name="page26"/>
    <w:bookmarkEnd w:id="25"/>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14</w:t>
      </w:r>
    </w:p>
    <w:p>
      <w:pPr>
        <w:sectPr>
          <w:pgSz w:w="11900" w:h="16838" w:orient="portrait"/>
          <w:cols w:equalWidth="0" w:num="1">
            <w:col w:w="10140"/>
          </w:cols>
          <w:pgMar w:left="1440" w:top="124" w:right="31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15</w:t>
      </w:r>
    </w:p>
    <w:p>
      <w:pPr>
        <w:sectPr>
          <w:pgSz w:w="11900" w:h="16838" w:orient="portrait"/>
          <w:cols w:equalWidth="0" w:num="1">
            <w:col w:w="10140"/>
          </w:cols>
          <w:pgMar w:left="1440" w:top="124" w:right="31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16</w:t>
      </w:r>
    </w:p>
    <w:p>
      <w:pPr>
        <w:sectPr>
          <w:pgSz w:w="11900" w:h="16838" w:orient="portrait"/>
          <w:cols w:equalWidth="0" w:num="1">
            <w:col w:w="10140"/>
          </w:cols>
          <w:pgMar w:left="1440" w:top="124" w:right="31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17</w:t>
      </w:r>
    </w:p>
    <w:p>
      <w:pPr>
        <w:sectPr>
          <w:pgSz w:w="11900" w:h="16838" w:orient="portrait"/>
          <w:cols w:equalWidth="0" w:num="1">
            <w:col w:w="10140"/>
          </w:cols>
          <w:pgMar w:left="1440" w:top="124" w:right="31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18</w:t>
      </w:r>
    </w:p>
    <w:p>
      <w:pPr>
        <w:sectPr>
          <w:pgSz w:w="11900" w:h="16838" w:orient="portrait"/>
          <w:cols w:equalWidth="0" w:num="1">
            <w:col w:w="10140"/>
          </w:cols>
          <w:pgMar w:left="1440" w:top="124" w:right="31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9"/>
          <w:szCs w:val="19"/>
          <w:b w:val="1"/>
          <w:bCs w:val="1"/>
          <w:color w:val="auto"/>
        </w:rPr>
        <w:t>Exhibit 99.2</w:t>
      </w:r>
    </w:p>
    <w:p>
      <w:pPr>
        <w:spacing w:after="0" w:line="3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9"/>
          <w:szCs w:val="19"/>
          <w:b w:val="1"/>
          <w:bCs w:val="1"/>
          <w:color w:val="auto"/>
        </w:rPr>
        <w:t>Expensify, Inc.</w:t>
      </w:r>
    </w:p>
    <w:p>
      <w:pPr>
        <w:spacing w:after="0" w:line="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-713740</wp:posOffset>
            </wp:positionH>
            <wp:positionV relativeFrom="paragraph">
              <wp:posOffset>568960</wp:posOffset>
            </wp:positionV>
            <wp:extent cx="7204075" cy="40551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4075" cy="4055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9"/>
          <w:szCs w:val="19"/>
          <w:color w:val="auto"/>
        </w:rPr>
        <w:t>19</w:t>
      </w:r>
    </w:p>
    <w:sectPr>
      <w:pgSz w:w="11900" w:h="16838" w:orient="portrait"/>
      <w:cols w:equalWidth="0" w:num="1">
        <w:col w:w="10140"/>
      </w:cols>
      <w:pgMar w:left="1440" w:top="124"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
      <w:numFmt w:val="bullet"/>
      <w:start w:val="1"/>
    </w:lvl>
    <w:lvl w:ilvl="1">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2024-11-07T15:41:04Z</dcterms:created>
  <dcterms:modified xsi:type="dcterms:W3CDTF">2024-11-07T15:41:04Z</dcterms:modified>
</cp:coreProperties>
</file>