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2462268.xml.htm"/>
      <w:bookmarkStart w:id="1" w:name="kswkform4_17224622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Barrett David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12"/>
        <w:gridCol w:w="1280"/>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w:t>
            </w:r>
            <w:r>
              <w:rPr>
                <w:rFonts w:ascii="Times;serif" w:hAnsi="Times;serif"/>
                <w:color w:val="008000"/>
                <w:position w:val="7"/>
                <w:sz w:val="16"/>
                <w:sz w:val="20"/>
                <w:shd w:fill="FFFFFF" w:val="clear"/>
              </w:rPr>
              <w:t>(2)</w:t>
            </w:r>
            <w:r>
              <w:rPr/>
              <w:t xml:space="preserve"> </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3,345,995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w:t>
            </w:r>
            <w:r>
              <w:rPr>
                <w:rFonts w:ascii="Times;serif" w:hAnsi="Times;serif"/>
                <w:color w:val="008000"/>
                <w:position w:val="7"/>
                <w:sz w:val="16"/>
                <w:sz w:val="20"/>
                <w:shd w:fill="FFFFFF" w:val="clear"/>
              </w:rPr>
              <w:t>(4)</w:t>
            </w:r>
            <w:r>
              <w:rPr/>
              <w:t xml:space="preserve"> </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3,344,495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r>
              <w:rPr>
                <w:rFonts w:ascii="Times;serif" w:hAnsi="Times;serif"/>
                <w:color w:val="008000"/>
                <w:position w:val="7"/>
                <w:sz w:val="16"/>
                <w:sz w:val="20"/>
                <w:shd w:fill="FFFFFF" w:val="clear"/>
              </w:rPr>
              <w:t>(5)</w:t>
            </w:r>
            <w:r>
              <w:rPr/>
              <w:t xml:space="preserve"> </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3,342,995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218,680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$1.88 to $1.97,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Barrett Trust LLC, a manager-managed limited liability company. The investment and voting decisions of Barrett Trust LLC are made by its manager, the Reporting Person, and its controlling member is the Barrett Family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$1.90 to $1.96,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$1.83 to $1.87,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92682"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882</Words>
  <Characters>4745</Characters>
  <CharactersWithSpaces>5546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