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1160780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38"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ind w:left="520" w:hanging="494"/>
        <w:spacing w:after="0"/>
        <w:tabs>
          <w:tab w:leader="none" w:pos="5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520" w:hanging="494"/>
        <w:spacing w:after="0"/>
        <w:tabs>
          <w:tab w:leader="none" w:pos="5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001-41043</w:t>
      </w:r>
    </w:p>
    <w:p>
      <w:pPr>
        <w:spacing w:after="0" w:line="117"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Expensify, Inc.</w:t>
      </w:r>
    </w:p>
    <w:p>
      <w:pPr>
        <w:spacing w:after="0" w:line="53"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62" w:lineRule="exact"/>
        <w:rPr>
          <w:sz w:val="24"/>
          <w:szCs w:val="24"/>
          <w:color w:val="auto"/>
        </w:rPr>
      </w:pPr>
    </w:p>
    <w:tbl>
      <w:tblPr>
        <w:tblLayout w:type="fixed"/>
        <w:tblInd w:w="340" w:type="dxa"/>
        <w:tblCellMar>
          <w:top w:w="0" w:type="dxa"/>
          <w:left w:w="0" w:type="dxa"/>
          <w:bottom w:w="0" w:type="dxa"/>
          <w:right w:w="0" w:type="dxa"/>
        </w:tblCellMar>
      </w:tblPr>
      <w:tr>
        <w:trPr>
          <w:trHeight w:val="247"/>
        </w:trPr>
        <w:tc>
          <w:tcPr>
            <w:tcW w:w="5580" w:type="dxa"/>
            <w:vAlign w:val="bottom"/>
          </w:tcPr>
          <w:p>
            <w:pPr>
              <w:jc w:val="center"/>
              <w:ind w:right="874"/>
              <w:spacing w:after="0"/>
              <w:rPr>
                <w:sz w:val="20"/>
                <w:szCs w:val="20"/>
                <w:color w:val="auto"/>
              </w:rPr>
            </w:pPr>
            <w:r>
              <w:rPr>
                <w:rFonts w:ascii="Arial" w:cs="Arial" w:eastAsia="Arial" w:hAnsi="Arial"/>
                <w:sz w:val="18"/>
                <w:szCs w:val="18"/>
                <w:b w:val="1"/>
                <w:bCs w:val="1"/>
                <w:color w:val="auto"/>
                <w:w w:val="98"/>
              </w:rPr>
              <w:t>Delaware</w:t>
            </w:r>
          </w:p>
        </w:tc>
        <w:tc>
          <w:tcPr>
            <w:tcW w:w="3740" w:type="dxa"/>
            <w:vAlign w:val="bottom"/>
          </w:tcPr>
          <w:p>
            <w:pPr>
              <w:jc w:val="right"/>
              <w:ind w:right="812"/>
              <w:spacing w:after="0"/>
              <w:rPr>
                <w:sz w:val="20"/>
                <w:szCs w:val="20"/>
                <w:color w:val="auto"/>
              </w:rPr>
            </w:pPr>
            <w:r>
              <w:rPr>
                <w:rFonts w:ascii="Arial" w:cs="Arial" w:eastAsia="Arial" w:hAnsi="Arial"/>
                <w:sz w:val="18"/>
                <w:szCs w:val="18"/>
                <w:b w:val="1"/>
                <w:bCs w:val="1"/>
                <w:color w:val="auto"/>
              </w:rPr>
              <w:t>27-0239450</w:t>
            </w:r>
          </w:p>
        </w:tc>
      </w:tr>
      <w:tr>
        <w:trPr>
          <w:trHeight w:val="262"/>
        </w:trPr>
        <w:tc>
          <w:tcPr>
            <w:tcW w:w="5580" w:type="dxa"/>
            <w:vAlign w:val="bottom"/>
          </w:tcPr>
          <w:p>
            <w:pPr>
              <w:jc w:val="center"/>
              <w:ind w:right="854"/>
              <w:spacing w:after="0"/>
              <w:rPr>
                <w:sz w:val="20"/>
                <w:szCs w:val="20"/>
                <w:color w:val="auto"/>
              </w:rPr>
            </w:pPr>
            <w:r>
              <w:rPr>
                <w:rFonts w:ascii="Arial" w:cs="Arial" w:eastAsia="Arial" w:hAnsi="Arial"/>
                <w:sz w:val="18"/>
                <w:szCs w:val="18"/>
                <w:color w:val="auto"/>
                <w:w w:val="99"/>
              </w:rPr>
              <w:t>(State or other jurisdiction of incorporation or organization)</w:t>
            </w:r>
          </w:p>
        </w:tc>
        <w:tc>
          <w:tcPr>
            <w:tcW w:w="3740" w:type="dxa"/>
            <w:vAlign w:val="bottom"/>
          </w:tcPr>
          <w:p>
            <w:pPr>
              <w:jc w:val="center"/>
              <w:ind w:left="872"/>
              <w:spacing w:after="0"/>
              <w:rPr>
                <w:sz w:val="20"/>
                <w:szCs w:val="20"/>
                <w:color w:val="auto"/>
              </w:rPr>
            </w:pPr>
            <w:r>
              <w:rPr>
                <w:rFonts w:ascii="Arial" w:cs="Arial" w:eastAsia="Arial" w:hAnsi="Arial"/>
                <w:sz w:val="18"/>
                <w:szCs w:val="18"/>
                <w:color w:val="auto"/>
              </w:rPr>
              <w:t>(I.R.S. Employer Identification No.)</w:t>
            </w:r>
          </w:p>
        </w:tc>
      </w:tr>
      <w:tr>
        <w:trPr>
          <w:trHeight w:val="225"/>
        </w:trPr>
        <w:tc>
          <w:tcPr>
            <w:tcW w:w="5580" w:type="dxa"/>
            <w:vAlign w:val="bottom"/>
          </w:tcPr>
          <w:p>
            <w:pPr>
              <w:jc w:val="center"/>
              <w:ind w:right="854"/>
              <w:spacing w:after="0"/>
              <w:rPr>
                <w:sz w:val="20"/>
                <w:szCs w:val="20"/>
                <w:color w:val="auto"/>
              </w:rPr>
            </w:pPr>
            <w:r>
              <w:rPr>
                <w:rFonts w:ascii="Arial" w:cs="Arial" w:eastAsia="Arial" w:hAnsi="Arial"/>
                <w:sz w:val="16"/>
                <w:szCs w:val="16"/>
                <w:b w:val="1"/>
                <w:bCs w:val="1"/>
                <w:color w:val="auto"/>
              </w:rPr>
              <w:t>401 SW 5th Ave</w:t>
            </w:r>
          </w:p>
        </w:tc>
        <w:tc>
          <w:tcPr>
            <w:tcW w:w="3740" w:type="dxa"/>
            <w:vAlign w:val="bottom"/>
          </w:tcPr>
          <w:p>
            <w:pPr>
              <w:spacing w:after="0"/>
              <w:rPr>
                <w:sz w:val="19"/>
                <w:szCs w:val="19"/>
                <w:color w:val="auto"/>
              </w:rPr>
            </w:pPr>
          </w:p>
        </w:tc>
      </w:tr>
      <w:tr>
        <w:trPr>
          <w:trHeight w:val="236"/>
        </w:trPr>
        <w:tc>
          <w:tcPr>
            <w:tcW w:w="5580" w:type="dxa"/>
            <w:vAlign w:val="bottom"/>
          </w:tcPr>
          <w:p>
            <w:pPr>
              <w:jc w:val="center"/>
              <w:ind w:right="854"/>
              <w:spacing w:after="0"/>
              <w:rPr>
                <w:sz w:val="20"/>
                <w:szCs w:val="20"/>
                <w:color w:val="auto"/>
              </w:rPr>
            </w:pPr>
            <w:r>
              <w:rPr>
                <w:rFonts w:ascii="Arial" w:cs="Arial" w:eastAsia="Arial" w:hAnsi="Arial"/>
                <w:sz w:val="16"/>
                <w:szCs w:val="16"/>
                <w:b w:val="1"/>
                <w:bCs w:val="1"/>
                <w:color w:val="auto"/>
              </w:rPr>
              <w:t>Portland Oregon</w:t>
            </w:r>
          </w:p>
        </w:tc>
        <w:tc>
          <w:tcPr>
            <w:tcW w:w="3740" w:type="dxa"/>
            <w:vAlign w:val="bottom"/>
          </w:tcPr>
          <w:p>
            <w:pPr>
              <w:jc w:val="right"/>
              <w:ind w:right="1072"/>
              <w:spacing w:after="0"/>
              <w:rPr>
                <w:sz w:val="20"/>
                <w:szCs w:val="20"/>
                <w:color w:val="auto"/>
              </w:rPr>
            </w:pPr>
            <w:r>
              <w:rPr>
                <w:rFonts w:ascii="Arial" w:cs="Arial" w:eastAsia="Arial" w:hAnsi="Arial"/>
                <w:sz w:val="16"/>
                <w:szCs w:val="16"/>
                <w:b w:val="1"/>
                <w:bCs w:val="1"/>
                <w:color w:val="auto"/>
              </w:rPr>
              <w:t>97204</w:t>
            </w:r>
          </w:p>
        </w:tc>
      </w:tr>
      <w:tr>
        <w:trPr>
          <w:trHeight w:val="254"/>
        </w:trPr>
        <w:tc>
          <w:tcPr>
            <w:tcW w:w="5580" w:type="dxa"/>
            <w:vAlign w:val="bottom"/>
          </w:tcPr>
          <w:p>
            <w:pPr>
              <w:jc w:val="center"/>
              <w:ind w:right="854"/>
              <w:spacing w:after="0"/>
              <w:rPr>
                <w:sz w:val="20"/>
                <w:szCs w:val="20"/>
                <w:color w:val="auto"/>
              </w:rPr>
            </w:pPr>
            <w:r>
              <w:rPr>
                <w:rFonts w:ascii="Arial" w:cs="Arial" w:eastAsia="Arial" w:hAnsi="Arial"/>
                <w:sz w:val="18"/>
                <w:szCs w:val="18"/>
                <w:color w:val="auto"/>
                <w:w w:val="99"/>
              </w:rPr>
              <w:t>(Address of Principal Executive Offices)</w:t>
            </w:r>
          </w:p>
        </w:tc>
        <w:tc>
          <w:tcPr>
            <w:tcW w:w="3740" w:type="dxa"/>
            <w:vAlign w:val="bottom"/>
          </w:tcPr>
          <w:p>
            <w:pPr>
              <w:jc w:val="center"/>
              <w:ind w:left="872"/>
              <w:spacing w:after="0"/>
              <w:rPr>
                <w:sz w:val="20"/>
                <w:szCs w:val="20"/>
                <w:color w:val="auto"/>
              </w:rPr>
            </w:pPr>
            <w:r>
              <w:rPr>
                <w:rFonts w:ascii="Arial" w:cs="Arial" w:eastAsia="Arial" w:hAnsi="Arial"/>
                <w:sz w:val="18"/>
                <w:szCs w:val="18"/>
                <w:color w:val="auto"/>
              </w:rPr>
              <w:t>(Zip Code)</w:t>
            </w:r>
          </w:p>
        </w:tc>
      </w:tr>
    </w:tbl>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(475) 221-8402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99"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80" w:type="dxa"/>
            <w:vAlign w:val="bottom"/>
          </w:tcPr>
          <w:p>
            <w:pPr>
              <w:spacing w:after="0"/>
              <w:rPr>
                <w:sz w:val="17"/>
                <w:szCs w:val="17"/>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7"/>
                <w:szCs w:val="17"/>
                <w:color w:val="auto"/>
              </w:rPr>
            </w:pP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4"/>
        </w:trPr>
        <w:tc>
          <w:tcPr>
            <w:tcW w:w="4240" w:type="dxa"/>
            <w:vAlign w:val="bottom"/>
            <w:gridSpan w:val="2"/>
          </w:tcPr>
          <w:p>
            <w:pPr>
              <w:jc w:val="center"/>
              <w:ind w:right="80"/>
              <w:spacing w:after="0"/>
              <w:rPr>
                <w:sz w:val="20"/>
                <w:szCs w:val="20"/>
                <w:color w:val="auto"/>
              </w:rPr>
            </w:pPr>
            <w:r>
              <w:rPr>
                <w:rFonts w:ascii="Arial" w:cs="Arial" w:eastAsia="Arial" w:hAnsi="Arial"/>
                <w:sz w:val="18"/>
                <w:szCs w:val="18"/>
                <w:color w:val="auto"/>
              </w:rPr>
              <w:t>Class A Common Stock, par value $0.0001 per</w:t>
            </w: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spacing w:after="0"/>
              <w:rPr>
                <w:sz w:val="19"/>
                <w:szCs w:val="19"/>
                <w:color w:val="auto"/>
              </w:rPr>
            </w:pPr>
          </w:p>
        </w:tc>
      </w:tr>
      <w:tr>
        <w:trPr>
          <w:trHeight w:val="239"/>
        </w:trPr>
        <w:tc>
          <w:tcPr>
            <w:tcW w:w="424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share</w:t>
            </w:r>
          </w:p>
        </w:tc>
        <w:tc>
          <w:tcPr>
            <w:tcW w:w="24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EXFY</w:t>
            </w:r>
          </w:p>
        </w:tc>
        <w:tc>
          <w:tcPr>
            <w:tcW w:w="454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r>
    </w:tbl>
    <w:p>
      <w:pPr>
        <w:spacing w:after="0" w:line="207" w:lineRule="exact"/>
        <w:rPr>
          <w:sz w:val="24"/>
          <w:szCs w:val="24"/>
          <w:color w:val="auto"/>
        </w:rPr>
      </w:pPr>
    </w:p>
    <w:p>
      <w:pPr>
        <w:ind w:right="60"/>
        <w:spacing w:after="0" w:line="26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63" w:lineRule="exact"/>
        <w:rPr>
          <w:sz w:val="24"/>
          <w:szCs w:val="24"/>
          <w:color w:val="auto"/>
        </w:rPr>
      </w:pPr>
    </w:p>
    <w:p>
      <w:pPr>
        <w:ind w:right="40"/>
        <w:spacing w:after="0" w:line="26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to Rule 405 of Regulation S-T (§232.405 of this chapter) during the preceding 12 months (or for such shorter period that the registrant was required to submit such files). Yes x No o</w:t>
      </w:r>
    </w:p>
    <w:p>
      <w:pPr>
        <w:spacing w:after="0" w:line="63" w:lineRule="exact"/>
        <w:rPr>
          <w:sz w:val="24"/>
          <w:szCs w:val="24"/>
          <w:color w:val="auto"/>
        </w:rPr>
      </w:pPr>
    </w:p>
    <w:p>
      <w:pPr>
        <w:ind w:right="34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8" w:lineRule="exact"/>
        <w:rPr>
          <w:sz w:val="24"/>
          <w:szCs w:val="24"/>
          <w:color w:val="auto"/>
        </w:rPr>
      </w:pPr>
    </w:p>
    <w:tbl>
      <w:tblPr>
        <w:tblLayout w:type="fixed"/>
        <w:tblInd w:w="20" w:type="dxa"/>
        <w:tblCellMar>
          <w:top w:w="0" w:type="dxa"/>
          <w:left w:w="0" w:type="dxa"/>
          <w:bottom w:w="0" w:type="dxa"/>
          <w:right w:w="0" w:type="dxa"/>
        </w:tblCellMar>
      </w:tblPr>
      <w:tr>
        <w:trPr>
          <w:trHeight w:val="350"/>
        </w:trPr>
        <w:tc>
          <w:tcPr>
            <w:tcW w:w="346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198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vMerge w:val="restart"/>
          </w:tcPr>
          <w:p>
            <w:pPr>
              <w:ind w:left="160"/>
              <w:spacing w:after="0"/>
              <w:rPr>
                <w:sz w:val="20"/>
                <w:szCs w:val="20"/>
                <w:color w:val="auto"/>
              </w:rPr>
            </w:pPr>
            <w:r>
              <w:rPr>
                <w:rFonts w:ascii="Arial" w:cs="Arial" w:eastAsia="Arial" w:hAnsi="Arial"/>
                <w:sz w:val="18"/>
                <w:szCs w:val="18"/>
                <w:color w:val="auto"/>
              </w:rPr>
              <w:t>Accelerated filer</w:t>
            </w:r>
          </w:p>
        </w:tc>
        <w:tc>
          <w:tcPr>
            <w:tcW w:w="16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5"/>
        </w:trPr>
        <w:tc>
          <w:tcPr>
            <w:tcW w:w="3460" w:type="dxa"/>
            <w:vAlign w:val="bottom"/>
            <w:vMerge w:val="continue"/>
          </w:tcPr>
          <w:p>
            <w:pPr>
              <w:spacing w:after="0"/>
              <w:rPr>
                <w:sz w:val="5"/>
                <w:szCs w:val="5"/>
                <w:color w:val="auto"/>
              </w:rPr>
            </w:pPr>
          </w:p>
        </w:tc>
        <w:tc>
          <w:tcPr>
            <w:tcW w:w="1980" w:type="dxa"/>
            <w:vAlign w:val="bottom"/>
          </w:tcPr>
          <w:p>
            <w:pPr>
              <w:spacing w:after="0"/>
              <w:rPr>
                <w:sz w:val="5"/>
                <w:szCs w:val="5"/>
                <w:color w:val="auto"/>
              </w:rPr>
            </w:pPr>
          </w:p>
        </w:tc>
        <w:tc>
          <w:tcPr>
            <w:tcW w:w="3800" w:type="dxa"/>
            <w:vAlign w:val="bottom"/>
            <w:vMerge w:val="continue"/>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346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1980" w:type="dxa"/>
            <w:vAlign w:val="bottom"/>
          </w:tcPr>
          <w:p>
            <w:pPr>
              <w:ind w:left="1660"/>
              <w:spacing w:after="0"/>
              <w:rPr>
                <w:sz w:val="20"/>
                <w:szCs w:val="20"/>
                <w:color w:val="auto"/>
              </w:rPr>
            </w:pPr>
            <w:r>
              <w:rPr>
                <w:rFonts w:ascii="Arial" w:cs="Arial" w:eastAsia="Arial" w:hAnsi="Arial"/>
                <w:sz w:val="18"/>
                <w:szCs w:val="18"/>
                <w:color w:val="auto"/>
              </w:rPr>
              <w:t>x</w:t>
            </w:r>
          </w:p>
        </w:tc>
        <w:tc>
          <w:tcPr>
            <w:tcW w:w="3800" w:type="dxa"/>
            <w:vAlign w:val="bottom"/>
            <w:vMerge w:val="restart"/>
          </w:tcPr>
          <w:p>
            <w:pPr>
              <w:ind w:left="160"/>
              <w:spacing w:after="0"/>
              <w:rPr>
                <w:sz w:val="20"/>
                <w:szCs w:val="20"/>
                <w:color w:val="auto"/>
              </w:rPr>
            </w:pPr>
            <w:r>
              <w:rPr>
                <w:rFonts w:ascii="Arial" w:cs="Arial" w:eastAsia="Arial" w:hAnsi="Arial"/>
                <w:sz w:val="18"/>
                <w:szCs w:val="18"/>
                <w:color w:val="auto"/>
              </w:rPr>
              <w:t>Smaller reporting company</w:t>
            </w:r>
          </w:p>
        </w:tc>
        <w:tc>
          <w:tcPr>
            <w:tcW w:w="16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81"/>
        </w:trPr>
        <w:tc>
          <w:tcPr>
            <w:tcW w:w="3460" w:type="dxa"/>
            <w:vAlign w:val="bottom"/>
            <w:vMerge w:val="continue"/>
          </w:tcPr>
          <w:p>
            <w:pPr>
              <w:spacing w:after="0"/>
              <w:rPr>
                <w:sz w:val="7"/>
                <w:szCs w:val="7"/>
                <w:color w:val="auto"/>
              </w:rPr>
            </w:pPr>
          </w:p>
        </w:tc>
        <w:tc>
          <w:tcPr>
            <w:tcW w:w="1980" w:type="dxa"/>
            <w:vAlign w:val="bottom"/>
          </w:tcPr>
          <w:p>
            <w:pPr>
              <w:spacing w:after="0"/>
              <w:rPr>
                <w:sz w:val="7"/>
                <w:szCs w:val="7"/>
                <w:color w:val="auto"/>
              </w:rPr>
            </w:pPr>
          </w:p>
        </w:tc>
        <w:tc>
          <w:tcPr>
            <w:tcW w:w="3800" w:type="dxa"/>
            <w:vAlign w:val="bottom"/>
            <w:vMerge w:val="continue"/>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Emerging growth company</w:t>
            </w:r>
          </w:p>
        </w:tc>
        <w:tc>
          <w:tcPr>
            <w:tcW w:w="1660" w:type="dxa"/>
            <w:vAlign w:val="bottom"/>
          </w:tcPr>
          <w:p>
            <w:pPr>
              <w:ind w:left="15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07" w:lineRule="exact"/>
        <w:rPr>
          <w:sz w:val="24"/>
          <w:szCs w:val="24"/>
          <w:color w:val="auto"/>
        </w:rPr>
      </w:pPr>
    </w:p>
    <w:p>
      <w:pPr>
        <w:ind w:right="200"/>
        <w:spacing w:after="0" w:line="235"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71" w:lineRule="exact"/>
        <w:rPr>
          <w:sz w:val="24"/>
          <w:szCs w:val="24"/>
          <w:color w:val="auto"/>
        </w:rPr>
      </w:pPr>
    </w:p>
    <w:p>
      <w:pPr>
        <w:ind w:right="2240"/>
        <w:spacing w:after="0" w:line="287"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ectPr>
          <w:pgSz w:w="11900" w:h="16838" w:orient="portrait"/>
          <w:cols w:equalWidth="0" w:num="1">
            <w:col w:w="11240"/>
          </w:cols>
          <w:pgMar w:left="320" w:top="1440" w:right="339" w:bottom="0" w:gutter="0" w:footer="0" w:header="0"/>
        </w:sectPr>
      </w:pPr>
    </w:p>
    <w:bookmarkStart w:id="1" w:name="page2"/>
    <w:bookmarkEnd w:id="1"/>
    <w:p>
      <w:pPr>
        <w:jc w:val="both"/>
        <w:spacing w:after="0" w:line="268" w:lineRule="auto"/>
        <w:rPr>
          <w:sz w:val="20"/>
          <w:szCs w:val="20"/>
          <w:color w:val="auto"/>
        </w:rPr>
      </w:pPr>
      <w:r>
        <w:rPr>
          <w:rFonts w:ascii="Arial" w:cs="Arial" w:eastAsia="Arial" w:hAnsi="Arial"/>
          <w:sz w:val="18"/>
          <w:szCs w:val="18"/>
          <w:color w:val="auto"/>
        </w:rPr>
        <w:t>The registrant had outstanding 68,252,500 shares of Class A common stock, par value of $0.0001 per share, 7,337,960 shares of LT10 common stock, par value $0.0001 per share, and 6,225,330 shares of LT50 common stock, par value $0.0001 per share as of August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1084580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20"/>
          </w:cols>
          <w:pgMar w:left="320" w:top="121" w:right="7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Table of Contents</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1200" w:type="dxa"/>
            <w:vAlign w:val="bottom"/>
          </w:tcPr>
          <w:p>
            <w:pPr>
              <w:spacing w:after="0"/>
              <w:rPr>
                <w:sz w:val="21"/>
                <w:szCs w:val="21"/>
                <w:color w:val="auto"/>
              </w:rPr>
            </w:pPr>
          </w:p>
        </w:tc>
        <w:tc>
          <w:tcPr>
            <w:tcW w:w="8380" w:type="dxa"/>
            <w:vAlign w:val="bottom"/>
            <w:gridSpan w:val="22"/>
            <w:vMerge w:val="restart"/>
          </w:tcPr>
          <w:p>
            <w:pPr>
              <w:spacing w:after="0"/>
              <w:rPr>
                <w:sz w:val="20"/>
                <w:szCs w:val="20"/>
                <w:color w:val="auto"/>
              </w:rPr>
            </w:pPr>
            <w:r>
              <w:rPr>
                <w:rFonts w:ascii="Arial" w:cs="Arial" w:eastAsia="Arial" w:hAnsi="Arial"/>
                <w:sz w:val="18"/>
                <w:szCs w:val="18"/>
                <w:color w:val="0000FF"/>
              </w:rPr>
              <w:t>Special Note Regarding Forward-Looking Statements</w:t>
            </w:r>
          </w:p>
        </w:tc>
        <w:tc>
          <w:tcPr>
            <w:tcW w:w="162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7"/>
        </w:trPr>
        <w:tc>
          <w:tcPr>
            <w:tcW w:w="1200" w:type="dxa"/>
            <w:vAlign w:val="bottom"/>
          </w:tcPr>
          <w:p>
            <w:pPr>
              <w:spacing w:after="0"/>
              <w:rPr>
                <w:sz w:val="15"/>
                <w:szCs w:val="15"/>
                <w:color w:val="auto"/>
              </w:rPr>
            </w:pPr>
          </w:p>
        </w:tc>
        <w:tc>
          <w:tcPr>
            <w:tcW w:w="8380" w:type="dxa"/>
            <w:vAlign w:val="bottom"/>
            <w:gridSpan w:val="22"/>
            <w:vMerge w:val="continue"/>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4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b w:val="1"/>
                <w:bCs w:val="1"/>
                <w:color w:val="0000FF"/>
                <w:w w:val="99"/>
              </w:rPr>
              <w:t>Part I - Financial Information</w:t>
            </w:r>
          </w:p>
        </w:tc>
        <w:tc>
          <w:tcPr>
            <w:tcW w:w="7140" w:type="dxa"/>
            <w:vAlign w:val="bottom"/>
            <w:gridSpan w:val="16"/>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1.</w:t>
            </w:r>
          </w:p>
        </w:tc>
        <w:tc>
          <w:tcPr>
            <w:tcW w:w="26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Condensed Financial Statements</w:t>
            </w:r>
          </w:p>
        </w:tc>
        <w:tc>
          <w:tcPr>
            <w:tcW w:w="5720" w:type="dxa"/>
            <w:vAlign w:val="bottom"/>
            <w:gridSpan w:val="10"/>
          </w:tcPr>
          <w:p>
            <w:pPr>
              <w:spacing w:after="0"/>
              <w:rPr>
                <w:sz w:val="18"/>
                <w:szCs w:val="18"/>
                <w:color w:val="auto"/>
              </w:rPr>
            </w:pPr>
          </w:p>
        </w:tc>
        <w:tc>
          <w:tcPr>
            <w:tcW w:w="152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40" w:type="dxa"/>
            <w:vAlign w:val="bottom"/>
            <w:gridSpan w:val="21"/>
          </w:tcPr>
          <w:p>
            <w:pPr>
              <w:spacing w:after="0"/>
              <w:rPr>
                <w:sz w:val="20"/>
                <w:szCs w:val="20"/>
                <w:color w:val="auto"/>
              </w:rPr>
            </w:pPr>
            <w:r>
              <w:rPr>
                <w:rFonts w:ascii="Arial" w:cs="Arial" w:eastAsia="Arial" w:hAnsi="Arial"/>
                <w:sz w:val="18"/>
                <w:szCs w:val="18"/>
                <w:color w:val="0000FF"/>
              </w:rPr>
              <w:t>Condensed Consolidated Balance Sheets</w:t>
            </w:r>
          </w:p>
        </w:tc>
        <w:tc>
          <w:tcPr>
            <w:tcW w:w="1620" w:type="dxa"/>
            <w:vAlign w:val="bottom"/>
            <w:gridSpan w:val="3"/>
          </w:tcPr>
          <w:p>
            <w:pPr>
              <w:jc w:val="right"/>
              <w:spacing w:after="0"/>
              <w:rPr>
                <w:sz w:val="20"/>
                <w:szCs w:val="20"/>
                <w:color w:val="auto"/>
              </w:rPr>
            </w:pPr>
            <w:r>
              <w:rPr>
                <w:rFonts w:ascii="Arial" w:cs="Arial" w:eastAsia="Arial" w:hAnsi="Arial"/>
                <w:sz w:val="18"/>
                <w:szCs w:val="18"/>
                <w:color w:val="0000FF"/>
              </w:rPr>
              <w:t>2</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Condensed Consolidated Statements of Income</w:t>
            </w:r>
          </w:p>
        </w:tc>
        <w:tc>
          <w:tcPr>
            <w:tcW w:w="4220" w:type="dxa"/>
            <w:vAlign w:val="bottom"/>
            <w:gridSpan w:val="8"/>
          </w:tcPr>
          <w:p>
            <w:pPr>
              <w:spacing w:after="0"/>
              <w:rPr>
                <w:sz w:val="18"/>
                <w:szCs w:val="18"/>
                <w:color w:val="auto"/>
              </w:rPr>
            </w:pPr>
          </w:p>
        </w:tc>
        <w:tc>
          <w:tcPr>
            <w:tcW w:w="152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4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Convertible Preferred Stock and Stockholders' Equity</w:t>
            </w:r>
          </w:p>
        </w:tc>
        <w:tc>
          <w:tcPr>
            <w:tcW w:w="1620" w:type="dxa"/>
            <w:vAlign w:val="bottom"/>
            <w:gridSpan w:val="3"/>
            <w:vMerge w:val="restart"/>
          </w:tcPr>
          <w:p>
            <w:pPr>
              <w:jc w:val="right"/>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300" w:type="dxa"/>
            <w:vAlign w:val="bottom"/>
            <w:tcBorders>
              <w:top w:val="single" w:sz="8" w:color="0000FF"/>
            </w:tcBorders>
            <w:gridSpan w:val="19"/>
          </w:tcPr>
          <w:p>
            <w:pPr>
              <w:spacing w:after="0" w:line="142" w:lineRule="exact"/>
              <w:rPr>
                <w:sz w:val="20"/>
                <w:szCs w:val="20"/>
                <w:color w:val="auto"/>
              </w:rPr>
            </w:pPr>
            <w:r>
              <w:rPr>
                <w:rFonts w:ascii="Arial" w:cs="Arial" w:eastAsia="Arial" w:hAnsi="Arial"/>
                <w:sz w:val="16"/>
                <w:szCs w:val="16"/>
                <w:color w:val="0000FF"/>
              </w:rPr>
              <w:t>(Deficit</w:t>
            </w:r>
            <w:r>
              <w:rPr>
                <w:rFonts w:ascii="Arial" w:cs="Arial" w:eastAsia="Arial" w:hAnsi="Arial"/>
                <w:sz w:val="16"/>
                <w:szCs w:val="16"/>
                <w:color w:val="000000"/>
              </w:rPr>
              <w:t>)</w:t>
            </w:r>
          </w:p>
        </w:tc>
        <w:tc>
          <w:tcPr>
            <w:tcW w:w="580" w:type="dxa"/>
            <w:vAlign w:val="bottom"/>
          </w:tcPr>
          <w:p>
            <w:pPr>
              <w:spacing w:after="0"/>
              <w:rPr>
                <w:sz w:val="13"/>
                <w:szCs w:val="13"/>
                <w:color w:val="auto"/>
              </w:rPr>
            </w:pPr>
          </w:p>
        </w:tc>
        <w:tc>
          <w:tcPr>
            <w:tcW w:w="16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420" w:type="dxa"/>
            <w:vAlign w:val="bottom"/>
            <w:tcBorders>
              <w:left w:val="single" w:sz="8" w:color="0000FF"/>
            </w:tcBorders>
            <w:gridSpan w:val="3"/>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940" w:type="dxa"/>
            <w:vAlign w:val="bottom"/>
            <w:gridSpan w:val="5"/>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4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Cash Flows</w:t>
            </w:r>
          </w:p>
        </w:tc>
        <w:tc>
          <w:tcPr>
            <w:tcW w:w="1620" w:type="dxa"/>
            <w:vAlign w:val="bottom"/>
            <w:gridSpan w:val="3"/>
          </w:tcPr>
          <w:p>
            <w:pPr>
              <w:jc w:val="right"/>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40" w:type="dxa"/>
            <w:vAlign w:val="bottom"/>
            <w:gridSpan w:val="21"/>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620" w:type="dxa"/>
            <w:vAlign w:val="bottom"/>
            <w:gridSpan w:val="3"/>
          </w:tcPr>
          <w:p>
            <w:pPr>
              <w:jc w:val="right"/>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2.</w:t>
            </w:r>
          </w:p>
        </w:tc>
        <w:tc>
          <w:tcPr>
            <w:tcW w:w="8380" w:type="dxa"/>
            <w:vAlign w:val="bottom"/>
            <w:gridSpan w:val="22"/>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620" w:type="dxa"/>
            <w:vAlign w:val="bottom"/>
            <w:gridSpan w:val="3"/>
          </w:tcPr>
          <w:p>
            <w:pPr>
              <w:jc w:val="right"/>
              <w:spacing w:after="0"/>
              <w:rPr>
                <w:sz w:val="20"/>
                <w:szCs w:val="20"/>
                <w:color w:val="auto"/>
              </w:rPr>
            </w:pPr>
            <w:r>
              <w:rPr>
                <w:rFonts w:ascii="Arial" w:cs="Arial" w:eastAsia="Arial" w:hAnsi="Arial"/>
                <w:sz w:val="18"/>
                <w:szCs w:val="18"/>
                <w:color w:val="0000FF"/>
              </w:rPr>
              <w:t>22</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3.</w:t>
            </w:r>
          </w:p>
        </w:tc>
        <w:tc>
          <w:tcPr>
            <w:tcW w:w="4720" w:type="dxa"/>
            <w:vAlign w:val="bottom"/>
            <w:tcBorders>
              <w:top w:val="single" w:sz="8" w:color="0000FF"/>
              <w:bottom w:val="single" w:sz="8" w:color="0000FF"/>
            </w:tcBorders>
            <w:gridSpan w:val="17"/>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tcBorders>
              <w:top w:val="single" w:sz="8" w:color="0000FF"/>
            </w:tcBorders>
            <w:gridSpan w:val="3"/>
          </w:tcPr>
          <w:p>
            <w:pPr>
              <w:spacing w:after="0"/>
              <w:rPr>
                <w:sz w:val="18"/>
                <w:szCs w:val="18"/>
                <w:color w:val="auto"/>
              </w:rPr>
            </w:pPr>
          </w:p>
        </w:tc>
        <w:tc>
          <w:tcPr>
            <w:tcW w:w="1300" w:type="dxa"/>
            <w:vAlign w:val="bottom"/>
            <w:gridSpan w:val="2"/>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36</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Controls and Procedures</w:t>
            </w:r>
          </w:p>
        </w:tc>
        <w:tc>
          <w:tcPr>
            <w:tcW w:w="6380" w:type="dxa"/>
            <w:vAlign w:val="bottom"/>
            <w:gridSpan w:val="12"/>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36</w:t>
            </w:r>
          </w:p>
        </w:tc>
        <w:tc>
          <w:tcPr>
            <w:tcW w:w="0" w:type="dxa"/>
            <w:vAlign w:val="bottom"/>
          </w:tcPr>
          <w:p>
            <w:pPr>
              <w:spacing w:after="0"/>
              <w:rPr>
                <w:sz w:val="1"/>
                <w:szCs w:val="1"/>
                <w:color w:val="auto"/>
              </w:rPr>
            </w:pPr>
          </w:p>
        </w:tc>
      </w:tr>
      <w:tr>
        <w:trPr>
          <w:trHeight w:val="479"/>
        </w:trPr>
        <w:tc>
          <w:tcPr>
            <w:tcW w:w="9580" w:type="dxa"/>
            <w:vAlign w:val="bottom"/>
            <w:gridSpan w:val="23"/>
          </w:tcPr>
          <w:p>
            <w:pPr>
              <w:spacing w:after="0"/>
              <w:rPr>
                <w:sz w:val="20"/>
                <w:szCs w:val="20"/>
                <w:color w:val="auto"/>
              </w:rPr>
            </w:pPr>
            <w:r>
              <w:rPr>
                <w:rFonts w:ascii="Arial" w:cs="Arial" w:eastAsia="Arial" w:hAnsi="Arial"/>
                <w:sz w:val="18"/>
                <w:szCs w:val="18"/>
                <w:b w:val="1"/>
                <w:bCs w:val="1"/>
                <w:color w:val="0000FF"/>
              </w:rPr>
              <w:t>Part II - Other Information</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Legal Proceedings</w:t>
            </w:r>
          </w:p>
        </w:tc>
        <w:tc>
          <w:tcPr>
            <w:tcW w:w="6880" w:type="dxa"/>
            <w:vAlign w:val="bottom"/>
            <w:gridSpan w:val="14"/>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39</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Item 1A.</w:t>
            </w:r>
          </w:p>
        </w:tc>
        <w:tc>
          <w:tcPr>
            <w:tcW w:w="8380" w:type="dxa"/>
            <w:vAlign w:val="bottom"/>
            <w:gridSpan w:val="22"/>
          </w:tcPr>
          <w:p>
            <w:pPr>
              <w:spacing w:after="0"/>
              <w:rPr>
                <w:sz w:val="20"/>
                <w:szCs w:val="20"/>
                <w:color w:val="auto"/>
              </w:rPr>
            </w:pPr>
            <w:r>
              <w:rPr>
                <w:rFonts w:ascii="Arial" w:cs="Arial" w:eastAsia="Arial" w:hAnsi="Arial"/>
                <w:sz w:val="18"/>
                <w:szCs w:val="18"/>
                <w:color w:val="0000FF"/>
              </w:rPr>
              <w:t>Risk Factors</w:t>
            </w:r>
          </w:p>
        </w:tc>
        <w:tc>
          <w:tcPr>
            <w:tcW w:w="1620" w:type="dxa"/>
            <w:vAlign w:val="bottom"/>
            <w:gridSpan w:val="3"/>
          </w:tcPr>
          <w:p>
            <w:pPr>
              <w:jc w:val="right"/>
              <w:spacing w:after="0"/>
              <w:rPr>
                <w:sz w:val="20"/>
                <w:szCs w:val="20"/>
                <w:color w:val="auto"/>
              </w:rPr>
            </w:pPr>
            <w:r>
              <w:rPr>
                <w:rFonts w:ascii="Arial" w:cs="Arial" w:eastAsia="Arial" w:hAnsi="Arial"/>
                <w:sz w:val="18"/>
                <w:szCs w:val="18"/>
                <w:color w:val="0000FF"/>
              </w:rPr>
              <w:t>39</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3520" w:type="dxa"/>
            <w:vAlign w:val="bottom"/>
            <w:gridSpan w:val="3"/>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39</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Defaults Upon Senior Securities</w:t>
            </w:r>
          </w:p>
        </w:tc>
        <w:tc>
          <w:tcPr>
            <w:tcW w:w="5820" w:type="dxa"/>
            <w:vAlign w:val="bottom"/>
            <w:gridSpan w:val="11"/>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40</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Mine Safety Disclosures</w:t>
            </w:r>
          </w:p>
        </w:tc>
        <w:tc>
          <w:tcPr>
            <w:tcW w:w="6440" w:type="dxa"/>
            <w:vAlign w:val="bottom"/>
            <w:gridSpan w:val="13"/>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40</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Item 5.</w:t>
            </w:r>
          </w:p>
        </w:tc>
        <w:tc>
          <w:tcPr>
            <w:tcW w:w="8380" w:type="dxa"/>
            <w:vAlign w:val="bottom"/>
            <w:gridSpan w:val="22"/>
          </w:tcPr>
          <w:p>
            <w:pPr>
              <w:spacing w:after="0"/>
              <w:rPr>
                <w:sz w:val="20"/>
                <w:szCs w:val="20"/>
                <w:color w:val="auto"/>
              </w:rPr>
            </w:pPr>
            <w:r>
              <w:rPr>
                <w:rFonts w:ascii="Arial" w:cs="Arial" w:eastAsia="Arial" w:hAnsi="Arial"/>
                <w:sz w:val="18"/>
                <w:szCs w:val="18"/>
                <w:color w:val="0000FF"/>
              </w:rPr>
              <w:t>Other Information</w:t>
            </w:r>
          </w:p>
        </w:tc>
        <w:tc>
          <w:tcPr>
            <w:tcW w:w="1620" w:type="dxa"/>
            <w:vAlign w:val="bottom"/>
            <w:gridSpan w:val="3"/>
          </w:tcPr>
          <w:p>
            <w:pPr>
              <w:jc w:val="right"/>
              <w:spacing w:after="0"/>
              <w:rPr>
                <w:sz w:val="20"/>
                <w:szCs w:val="20"/>
                <w:color w:val="auto"/>
              </w:rPr>
            </w:pPr>
            <w:r>
              <w:rPr>
                <w:rFonts w:ascii="Arial" w:cs="Arial" w:eastAsia="Arial" w:hAnsi="Arial"/>
                <w:sz w:val="18"/>
                <w:szCs w:val="18"/>
                <w:color w:val="0000FF"/>
              </w:rPr>
              <w:t>40</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tcBorders>
              <w:top w:val="single" w:sz="8" w:color="0000FF"/>
            </w:tcBorders>
            <w:gridSpan w:val="4"/>
          </w:tcPr>
          <w:p>
            <w:pPr>
              <w:spacing w:after="0"/>
              <w:rPr>
                <w:sz w:val="18"/>
                <w:szCs w:val="18"/>
                <w:color w:val="auto"/>
              </w:rPr>
            </w:pPr>
          </w:p>
        </w:tc>
        <w:tc>
          <w:tcPr>
            <w:tcW w:w="6980" w:type="dxa"/>
            <w:vAlign w:val="bottom"/>
            <w:gridSpan w:val="15"/>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41</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18"/>
                <w:szCs w:val="18"/>
                <w:color w:val="auto"/>
              </w:rPr>
            </w:pPr>
          </w:p>
        </w:tc>
        <w:tc>
          <w:tcPr>
            <w:tcW w:w="9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rPr>
              <w:t>Signatures</w:t>
            </w:r>
          </w:p>
        </w:tc>
        <w:tc>
          <w:tcPr>
            <w:tcW w:w="7400" w:type="dxa"/>
            <w:vAlign w:val="bottom"/>
            <w:gridSpan w:val="18"/>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9"/>
          <w:szCs w:val="29"/>
          <w:color w:val="auto"/>
        </w:rPr>
        <w:t>Special Note Regarding Forward Looking Statements</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strategies, plans, or intentions. There are a number of risks, uncertainties and other important factors, many of which are beyond our control, that could cause our actual results to differ materially from the forward-looking statements contained in this Quarterly Report on Form 10-Q. Such risks, uncertainties and other important factors include, among others:</w:t>
      </w:r>
    </w:p>
    <w:p>
      <w:pPr>
        <w:spacing w:after="0" w:line="113"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economic, political and social impact of, and uncertainty relating to, the COVID-19 pandemic;</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war in Ukraine and escalating geopolitical tensions as a result of Russia's invasion of Ukraine;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financial performance and future operating performance;</w:t>
      </w:r>
    </w:p>
    <w:p>
      <w:pPr>
        <w:spacing w:after="0" w:line="157" w:lineRule="exact"/>
        <w:rPr>
          <w:rFonts w:ascii="Arial" w:cs="Arial" w:eastAsia="Arial" w:hAnsi="Arial"/>
          <w:sz w:val="18"/>
          <w:szCs w:val="18"/>
          <w:color w:val="auto"/>
        </w:rPr>
      </w:pPr>
    </w:p>
    <w:p>
      <w:pPr>
        <w:ind w:left="340" w:right="400" w:hanging="332"/>
        <w:spacing w:after="0" w:line="28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members, expand usage of our platform, sell subscriptions to our platform and convert individuals and organizations into paying customers;</w:t>
      </w:r>
    </w:p>
    <w:p>
      <w:pPr>
        <w:spacing w:after="0" w:line="71" w:lineRule="exact"/>
        <w:rPr>
          <w:rFonts w:ascii="Arial" w:cs="Arial" w:eastAsia="Arial" w:hAnsi="Arial"/>
          <w:sz w:val="18"/>
          <w:szCs w:val="18"/>
          <w:color w:val="auto"/>
        </w:rPr>
      </w:pPr>
    </w:p>
    <w:p>
      <w:pPr>
        <w:ind w:left="340" w:right="300" w:hanging="332"/>
        <w:spacing w:after="0" w:line="28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success of new features, integrations, capabilities and enhancements by us, or by competitors to their products, or any other changes in the competitive landscape of our market;</w:t>
      </w:r>
    </w:p>
    <w:p>
      <w:pPr>
        <w:spacing w:after="0" w:line="85" w:lineRule="exact"/>
        <w:rPr>
          <w:rFonts w:ascii="Arial" w:cs="Arial" w:eastAsia="Arial" w:hAnsi="Arial"/>
          <w:sz w:val="18"/>
          <w:szCs w:val="18"/>
          <w:color w:val="auto"/>
        </w:rPr>
      </w:pPr>
    </w:p>
    <w:p>
      <w:pPr>
        <w:ind w:left="340" w:right="520" w:hanging="332"/>
        <w:spacing w:after="0" w:line="28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that we may incur to maintain and expand our business and operations to remain competitive;</w:t>
      </w:r>
    </w:p>
    <w:p>
      <w:pPr>
        <w:spacing w:after="0" w:line="85"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cash equivalents and investments to meet our liquidity needs;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required payments under and to comply with the various requirements of our current and future indebtedness;</w:t>
      </w:r>
    </w:p>
    <w:p>
      <w:pPr>
        <w:spacing w:after="0" w:line="157" w:lineRule="exact"/>
        <w:rPr>
          <w:rFonts w:ascii="Arial" w:cs="Arial" w:eastAsia="Arial" w:hAnsi="Arial"/>
          <w:sz w:val="18"/>
          <w:szCs w:val="18"/>
          <w:color w:val="auto"/>
        </w:rPr>
      </w:pPr>
    </w:p>
    <w:p>
      <w:pPr>
        <w:ind w:left="340" w:right="620" w:hanging="332"/>
        <w:spacing w:after="0" w:line="318" w:lineRule="auto"/>
        <w:tabs>
          <w:tab w:leader="none" w:pos="3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cash flows, the prevailing stock prices, general economic and market conditions and other considerations that could affect the specific timing, price and size of repurchases under our stock repurchase program or our ability to fund any stock repurchases;</w:t>
      </w:r>
    </w:p>
    <w:p>
      <w:pPr>
        <w:spacing w:after="0" w:line="48"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fluctuations in foreign currency exchange rates;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our addressable markets, market share and market trends;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developments and challenges in our industry, business and the highly competitive markets in which we operate;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income tax liabilities and the adequacy of our reserves;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and expand our infrastructure and maintain our corporate culture;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recruit and retain skilled personnel, including key members of senior management;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affordability and convenience of our platform and our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144" w:lineRule="exact"/>
        <w:rPr>
          <w:rFonts w:ascii="Arial" w:cs="Arial" w:eastAsia="Arial" w:hAnsi="Arial"/>
          <w:sz w:val="18"/>
          <w:szCs w:val="18"/>
          <w:color w:val="auto"/>
        </w:rPr>
      </w:pPr>
    </w:p>
    <w:p>
      <w:pPr>
        <w:ind w:left="340" w:right="360" w:hanging="332"/>
        <w:spacing w:after="0" w:line="28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identify, manage and integrate any existing and potential acquisitions of businesses, talent, technologies or intellectual property;</w:t>
      </w:r>
    </w:p>
    <w:p>
      <w:pPr>
        <w:spacing w:after="0" w:line="85"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conditions in either domestic or international markets, including geopolitical uncertainty and instability;</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protections against security breaches, technical difficulties, or interruptions to our platform;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caution you that the foregoing list does not contain all of the forward-looking statements made in this Quarterly Report on Form 10-Q.</w:t>
      </w:r>
    </w:p>
    <w:p>
      <w:pPr>
        <w:spacing w:after="0" w:line="15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our Annual Report on Form 10-K for the year ended December 31, 2021, and any subsequent filings, as well as those identified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0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Unless otherwise indicated or unless the context requires otherwise, all references in this document to “Expensify,” the “Company,” “we,” “us,” “our” or similar references are to Expensify, Inc. Capitalized terms used and not defined above are defined elsewhere within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line="11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Part I - Financial Information</w:t>
      </w:r>
    </w:p>
    <w:p>
      <w:pPr>
        <w:spacing w:after="0" w:line="305" w:lineRule="exact"/>
        <w:rPr>
          <w:sz w:val="20"/>
          <w:szCs w:val="20"/>
          <w:color w:val="auto"/>
        </w:rPr>
      </w:pPr>
    </w:p>
    <w:p>
      <w:pPr>
        <w:spacing w:after="0"/>
        <w:rPr>
          <w:sz w:val="20"/>
          <w:szCs w:val="20"/>
          <w:color w:val="auto"/>
        </w:rPr>
      </w:pPr>
      <w:r>
        <w:rPr>
          <w:rFonts w:ascii="Arial" w:cs="Arial" w:eastAsia="Arial" w:hAnsi="Arial"/>
          <w:sz w:val="29"/>
          <w:szCs w:val="29"/>
          <w:color w:val="auto"/>
        </w:rPr>
        <w:t>Item 1.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 June 30,</w:t>
            </w:r>
          </w:p>
        </w:tc>
        <w:tc>
          <w:tcPr>
            <w:tcW w:w="100" w:type="dxa"/>
            <w:vAlign w:val="bottom"/>
          </w:tcPr>
          <w:p>
            <w:pPr>
              <w:spacing w:after="0"/>
              <w:rPr>
                <w:sz w:val="17"/>
                <w:szCs w:val="17"/>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80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98"/>
        </w:trPr>
        <w:tc>
          <w:tcPr>
            <w:tcW w:w="8020" w:type="dxa"/>
            <w:vAlign w:val="bottom"/>
          </w:tcPr>
          <w:p>
            <w:pPr>
              <w:ind w:left="24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105,537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98,398</w:t>
            </w:r>
          </w:p>
        </w:tc>
      </w:tr>
      <w:tr>
        <w:trPr>
          <w:trHeight w:val="207"/>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receivable, net</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15,713</w:t>
            </w:r>
          </w:p>
        </w:tc>
      </w:tr>
      <w:tr>
        <w:trPr>
          <w:trHeight w:val="198"/>
        </w:trPr>
        <w:tc>
          <w:tcPr>
            <w:tcW w:w="8020" w:type="dxa"/>
            <w:vAlign w:val="bottom"/>
          </w:tcPr>
          <w:p>
            <w:pPr>
              <w:ind w:left="240"/>
              <w:spacing w:after="0"/>
              <w:rPr>
                <w:sz w:val="20"/>
                <w:szCs w:val="20"/>
                <w:color w:val="auto"/>
              </w:rPr>
            </w:pPr>
            <w:r>
              <w:rPr>
                <w:rFonts w:ascii="Arial" w:cs="Arial" w:eastAsia="Arial" w:hAnsi="Arial"/>
                <w:sz w:val="14"/>
                <w:szCs w:val="14"/>
                <w:color w:val="auto"/>
              </w:rPr>
              <w:t>Settlement assets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43,780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21,880</w:t>
            </w:r>
          </w:p>
        </w:tc>
      </w:tr>
      <w:tr>
        <w:trPr>
          <w:trHeight w:val="207"/>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Prepaid expenses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7,436</w:t>
            </w:r>
          </w:p>
        </w:tc>
      </w:tr>
      <w:tr>
        <w:trPr>
          <w:trHeight w:val="198"/>
        </w:trPr>
        <w:tc>
          <w:tcPr>
            <w:tcW w:w="8020" w:type="dxa"/>
            <w:vAlign w:val="bottom"/>
          </w:tcPr>
          <w:p>
            <w:pPr>
              <w:ind w:left="240"/>
              <w:spacing w:after="0"/>
              <w:rPr>
                <w:sz w:val="20"/>
                <w:szCs w:val="20"/>
                <w:color w:val="auto"/>
              </w:rPr>
            </w:pPr>
            <w:r>
              <w:rPr>
                <w:rFonts w:ascii="Arial" w:cs="Arial" w:eastAsia="Arial" w:hAnsi="Arial"/>
                <w:sz w:val="14"/>
                <w:szCs w:val="14"/>
                <w:color w:val="auto"/>
              </w:rPr>
              <w:t>Related party loan receivable</w:t>
            </w:r>
          </w:p>
        </w:tc>
        <w:tc>
          <w:tcPr>
            <w:tcW w:w="20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7"/>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current assets</w:t>
            </w: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20,434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14,201</w:t>
            </w:r>
          </w:p>
        </w:tc>
      </w:tr>
      <w:tr>
        <w:trPr>
          <w:trHeight w:val="192"/>
        </w:trPr>
        <w:tc>
          <w:tcPr>
            <w:tcW w:w="8020" w:type="dxa"/>
            <w:vAlign w:val="bottom"/>
          </w:tcPr>
          <w:p>
            <w:pPr>
              <w:ind w:left="780"/>
              <w:spacing w:after="0"/>
              <w:rPr>
                <w:sz w:val="20"/>
                <w:szCs w:val="20"/>
                <w:color w:val="auto"/>
              </w:rPr>
            </w:pPr>
            <w:r>
              <w:rPr>
                <w:rFonts w:ascii="Arial" w:cs="Arial" w:eastAsia="Arial" w:hAnsi="Arial"/>
                <w:sz w:val="14"/>
                <w:szCs w:val="14"/>
                <w:color w:val="auto"/>
              </w:rPr>
              <w:t>Total current assets</w:t>
            </w: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191,451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157,642</w:t>
            </w:r>
          </w:p>
        </w:tc>
      </w:tr>
      <w:tr>
        <w:trPr>
          <w:trHeight w:val="207"/>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Capitalized software, net</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6,359</w:t>
            </w:r>
          </w:p>
        </w:tc>
      </w:tr>
      <w:tr>
        <w:trPr>
          <w:trHeight w:val="198"/>
        </w:trPr>
        <w:tc>
          <w:tcPr>
            <w:tcW w:w="8020" w:type="dxa"/>
            <w:vAlign w:val="bottom"/>
          </w:tcPr>
          <w:p>
            <w:pPr>
              <w:ind w:left="240"/>
              <w:spacing w:after="0"/>
              <w:rPr>
                <w:sz w:val="20"/>
                <w:szCs w:val="20"/>
                <w:color w:val="auto"/>
              </w:rPr>
            </w:pPr>
            <w:r>
              <w:rPr>
                <w:rFonts w:ascii="Arial" w:cs="Arial" w:eastAsia="Arial" w:hAnsi="Arial"/>
                <w:sz w:val="14"/>
                <w:szCs w:val="14"/>
                <w:color w:val="auto"/>
              </w:rPr>
              <w:t>Property and equipment, net</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15,174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15,930</w:t>
            </w:r>
          </w:p>
        </w:tc>
      </w:tr>
      <w:tr>
        <w:trPr>
          <w:trHeight w:val="207"/>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Lease right-of-use assets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2,202</w:t>
            </w:r>
          </w:p>
        </w:tc>
      </w:tr>
      <w:tr>
        <w:trPr>
          <w:trHeight w:val="198"/>
        </w:trPr>
        <w:tc>
          <w:tcPr>
            <w:tcW w:w="8020" w:type="dxa"/>
            <w:vAlign w:val="bottom"/>
          </w:tcPr>
          <w:p>
            <w:pPr>
              <w:ind w:left="240"/>
              <w:spacing w:after="0"/>
              <w:rPr>
                <w:sz w:val="20"/>
                <w:szCs w:val="20"/>
                <w:color w:val="auto"/>
              </w:rPr>
            </w:pPr>
            <w:r>
              <w:rPr>
                <w:rFonts w:ascii="Arial" w:cs="Arial" w:eastAsia="Arial" w:hAnsi="Arial"/>
                <w:sz w:val="14"/>
                <w:szCs w:val="14"/>
                <w:color w:val="auto"/>
              </w:rPr>
              <w:t>Deferred tax assets, net</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689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370</w:t>
            </w:r>
          </w:p>
        </w:tc>
      </w:tr>
      <w:tr>
        <w:trPr>
          <w:trHeight w:val="203"/>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w:t>
            </w:r>
          </w:p>
        </w:tc>
      </w:tr>
      <w:tr>
        <w:trPr>
          <w:trHeight w:val="200"/>
        </w:trPr>
        <w:tc>
          <w:tcPr>
            <w:tcW w:w="8020" w:type="dxa"/>
            <w:vAlign w:val="bottom"/>
          </w:tcPr>
          <w:p>
            <w:pPr>
              <w:ind w:left="78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215,372</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183,213</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6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98"/>
        </w:trPr>
        <w:tc>
          <w:tcPr>
            <w:tcW w:w="8020" w:type="dxa"/>
            <w:vAlign w:val="bottom"/>
          </w:tcPr>
          <w:p>
            <w:pPr>
              <w:ind w:left="240"/>
              <w:spacing w:after="0"/>
              <w:rPr>
                <w:sz w:val="20"/>
                <w:szCs w:val="20"/>
                <w:color w:val="auto"/>
              </w:rPr>
            </w:pPr>
            <w:r>
              <w:rPr>
                <w:rFonts w:ascii="Arial" w:cs="Arial" w:eastAsia="Arial" w:hAnsi="Arial"/>
                <w:sz w:val="14"/>
                <w:szCs w:val="14"/>
                <w:color w:val="auto"/>
              </w:rPr>
              <w:t>Accounts payable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2,169</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3,752</w:t>
            </w:r>
          </w:p>
        </w:tc>
      </w:tr>
      <w:tr>
        <w:trPr>
          <w:trHeight w:val="207"/>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 expenses and other liabilities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11,046</w:t>
            </w:r>
          </w:p>
        </w:tc>
      </w:tr>
      <w:tr>
        <w:trPr>
          <w:trHeight w:val="198"/>
        </w:trPr>
        <w:tc>
          <w:tcPr>
            <w:tcW w:w="8020" w:type="dxa"/>
            <w:vAlign w:val="bottom"/>
          </w:tcPr>
          <w:p>
            <w:pPr>
              <w:ind w:left="240"/>
              <w:spacing w:after="0"/>
              <w:rPr>
                <w:sz w:val="20"/>
                <w:szCs w:val="20"/>
                <w:color w:val="auto"/>
              </w:rPr>
            </w:pPr>
            <w:r>
              <w:rPr>
                <w:rFonts w:ascii="Arial" w:cs="Arial" w:eastAsia="Arial" w:hAnsi="Arial"/>
                <w:sz w:val="14"/>
                <w:szCs w:val="14"/>
                <w:color w:val="auto"/>
              </w:rPr>
              <w:t>Borrowings under line of credit</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15,000</w:t>
            </w:r>
          </w:p>
        </w:tc>
      </w:tr>
      <w:tr>
        <w:trPr>
          <w:trHeight w:val="207"/>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Current portion of long-term debt, net of original issuance discount and debt issuance costs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w:t>
            </w:r>
          </w:p>
        </w:tc>
      </w:tr>
      <w:tr>
        <w:trPr>
          <w:trHeight w:val="198"/>
        </w:trPr>
        <w:tc>
          <w:tcPr>
            <w:tcW w:w="8020" w:type="dxa"/>
            <w:vAlign w:val="bottom"/>
          </w:tcPr>
          <w:p>
            <w:pPr>
              <w:ind w:left="240"/>
              <w:spacing w:after="0"/>
              <w:rPr>
                <w:sz w:val="20"/>
                <w:szCs w:val="20"/>
                <w:color w:val="auto"/>
              </w:rPr>
            </w:pPr>
            <w:r>
              <w:rPr>
                <w:rFonts w:ascii="Arial" w:cs="Arial" w:eastAsia="Arial" w:hAnsi="Arial"/>
                <w:sz w:val="14"/>
                <w:szCs w:val="14"/>
                <w:color w:val="auto"/>
              </w:rPr>
              <w:t>Lease liabilities, current</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1,549</w:t>
            </w:r>
          </w:p>
        </w:tc>
      </w:tr>
      <w:tr>
        <w:trPr>
          <w:trHeight w:val="207"/>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Settlement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41,590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21,680</w:t>
            </w:r>
          </w:p>
        </w:tc>
      </w:tr>
      <w:tr>
        <w:trPr>
          <w:trHeight w:val="192"/>
        </w:trPr>
        <w:tc>
          <w:tcPr>
            <w:tcW w:w="8020" w:type="dxa"/>
            <w:vAlign w:val="bottom"/>
          </w:tcPr>
          <w:p>
            <w:pPr>
              <w:ind w:left="780"/>
              <w:spacing w:after="0"/>
              <w:rPr>
                <w:sz w:val="20"/>
                <w:szCs w:val="20"/>
                <w:color w:val="auto"/>
              </w:rPr>
            </w:pPr>
            <w:r>
              <w:rPr>
                <w:rFonts w:ascii="Arial" w:cs="Arial" w:eastAsia="Arial" w:hAnsi="Arial"/>
                <w:sz w:val="14"/>
                <w:szCs w:val="14"/>
                <w:color w:val="auto"/>
              </w:rPr>
              <w:t>Total current liabilities</w:t>
            </w: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69,782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53,576</w:t>
            </w:r>
          </w:p>
        </w:tc>
      </w:tr>
      <w:tr>
        <w:trPr>
          <w:trHeight w:val="207"/>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Lease liabilities, non-current</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w:t>
            </w:r>
          </w:p>
        </w:tc>
      </w:tr>
      <w:tr>
        <w:trPr>
          <w:trHeight w:val="198"/>
        </w:trPr>
        <w:tc>
          <w:tcPr>
            <w:tcW w:w="8020" w:type="dxa"/>
            <w:vAlign w:val="bottom"/>
          </w:tcPr>
          <w:p>
            <w:pPr>
              <w:ind w:left="240"/>
              <w:spacing w:after="0"/>
              <w:rPr>
                <w:sz w:val="20"/>
                <w:szCs w:val="20"/>
                <w:color w:val="auto"/>
              </w:rPr>
            </w:pPr>
            <w:r>
              <w:rPr>
                <w:rFonts w:ascii="Arial" w:cs="Arial" w:eastAsia="Arial" w:hAnsi="Arial"/>
                <w:sz w:val="14"/>
                <w:szCs w:val="14"/>
                <w:color w:val="auto"/>
              </w:rPr>
              <w:t>Other liabilities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153</w:t>
            </w:r>
          </w:p>
        </w:tc>
      </w:tr>
      <w:tr>
        <w:trPr>
          <w:trHeight w:val="207"/>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Long-term debt, net of original issuance discount and debt issuance costs</w:t>
            </w: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51,710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52,067</w:t>
            </w:r>
          </w:p>
        </w:tc>
      </w:tr>
      <w:tr>
        <w:trPr>
          <w:trHeight w:val="192"/>
        </w:trPr>
        <w:tc>
          <w:tcPr>
            <w:tcW w:w="8020" w:type="dxa"/>
            <w:vAlign w:val="bottom"/>
            <w:tcBorders>
              <w:bottom w:val="single" w:sz="8" w:color="CCEEFF"/>
            </w:tcBorders>
          </w:tcPr>
          <w:p>
            <w:pPr>
              <w:ind w:left="780"/>
              <w:spacing w:after="0"/>
              <w:rPr>
                <w:sz w:val="20"/>
                <w:szCs w:val="20"/>
                <w:color w:val="auto"/>
              </w:rPr>
            </w:pPr>
            <w:r>
              <w:rPr>
                <w:rFonts w:ascii="Arial" w:cs="Arial" w:eastAsia="Arial" w:hAnsi="Arial"/>
                <w:sz w:val="14"/>
                <w:szCs w:val="14"/>
                <w:color w:val="auto"/>
              </w:rPr>
              <w:t>Total liabilities</w:t>
            </w: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122,681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106,598</w:t>
            </w:r>
          </w:p>
        </w:tc>
      </w:tr>
      <w:tr>
        <w:trPr>
          <w:trHeight w:val="187"/>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4)</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00"/>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572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57250"/>
                    </a:xfrm>
                    <a:prstGeom prst="rect">
                      <a:avLst/>
                    </a:prstGeom>
                    <a:noFill/>
                  </pic:spPr>
                </pic:pic>
              </a:graphicData>
            </a:graphic>
          </wp:anchor>
        </w:drawing>
      </w:r>
    </w:p>
    <w:p>
      <w:pPr>
        <w:ind w:left="20" w:right="3520"/>
        <w:spacing w:after="0" w:line="221" w:lineRule="auto"/>
        <w:rPr>
          <w:sz w:val="20"/>
          <w:szCs w:val="20"/>
          <w:color w:val="auto"/>
        </w:rPr>
      </w:pPr>
      <w:r>
        <w:rPr>
          <w:rFonts w:ascii="Arial" w:cs="Arial" w:eastAsia="Arial" w:hAnsi="Arial"/>
          <w:sz w:val="14"/>
          <w:szCs w:val="14"/>
          <w:color w:val="auto"/>
        </w:rPr>
        <w:t>Common stock, par value $0.0001; 1,000,000,000 shares of Class A common stock authorized as of June 30, 2022 and December 31, 2021; 68,209,726 and 67,844,060 shares of Class A common stock issued and outstanding as of June 30,</w:t>
      </w:r>
    </w:p>
    <w:p>
      <w:pPr>
        <w:ind w:left="20"/>
        <w:spacing w:after="0" w:line="222" w:lineRule="auto"/>
        <w:rPr>
          <w:sz w:val="20"/>
          <w:szCs w:val="20"/>
          <w:color w:val="auto"/>
        </w:rPr>
      </w:pPr>
      <w:r>
        <w:rPr>
          <w:rFonts w:ascii="Arial" w:cs="Arial" w:eastAsia="Arial" w:hAnsi="Arial"/>
          <w:sz w:val="14"/>
          <w:szCs w:val="14"/>
          <w:color w:val="auto"/>
        </w:rPr>
        <w:t>2022 and December 31, 2021, respectively; 24,999,330 and 25,000,000 shares of LT10 common stock authorized as of</w:t>
      </w:r>
    </w:p>
    <w:p>
      <w:pPr>
        <w:spacing w:after="0" w:line="1" w:lineRule="exact"/>
        <w:rPr>
          <w:sz w:val="20"/>
          <w:szCs w:val="20"/>
          <w:color w:val="auto"/>
        </w:rPr>
      </w:pPr>
    </w:p>
    <w:p>
      <w:pPr>
        <w:ind w:left="20" w:right="3320"/>
        <w:spacing w:after="0" w:line="211" w:lineRule="auto"/>
        <w:rPr>
          <w:sz w:val="20"/>
          <w:szCs w:val="20"/>
          <w:color w:val="auto"/>
        </w:rPr>
      </w:pPr>
      <w:r>
        <w:rPr>
          <w:rFonts w:ascii="Arial" w:cs="Arial" w:eastAsia="Arial" w:hAnsi="Arial"/>
          <w:sz w:val="14"/>
          <w:szCs w:val="14"/>
          <w:color w:val="auto"/>
        </w:rPr>
        <w:t>June 30, 2022 and December 31, 2021, respectively; 7,337,960 and 7,332,640 shares of LT10 common stock issued and outstanding as of June 30, 2022 and December 31, 2021, respectively; 24,999,170 and 25,000,000 shares of LT50 common</w:t>
      </w:r>
    </w:p>
    <w:p>
      <w:pPr>
        <w:ind w:left="20"/>
        <w:spacing w:after="0" w:line="222" w:lineRule="auto"/>
        <w:rPr>
          <w:sz w:val="20"/>
          <w:szCs w:val="20"/>
          <w:color w:val="auto"/>
        </w:rPr>
      </w:pPr>
      <w:r>
        <w:rPr>
          <w:rFonts w:ascii="Arial" w:cs="Arial" w:eastAsia="Arial" w:hAnsi="Arial"/>
          <w:sz w:val="14"/>
          <w:szCs w:val="14"/>
          <w:color w:val="auto"/>
        </w:rPr>
        <w:t>stock authorized as of June 30, 2022 and December 31, 2021, respectively; 6,225,330 and 6,224,160 shares of LT50</w:t>
      </w:r>
    </w:p>
    <w:p>
      <w:pPr>
        <w:ind w:left="20" w:right="3320"/>
        <w:spacing w:after="0" w:line="211" w:lineRule="auto"/>
        <w:rPr>
          <w:sz w:val="20"/>
          <w:szCs w:val="20"/>
          <w:color w:val="auto"/>
        </w:rPr>
      </w:pPr>
      <w:r>
        <w:rPr>
          <w:rFonts w:ascii="Arial" w:cs="Arial" w:eastAsia="Arial" w:hAnsi="Arial"/>
          <w:sz w:val="14"/>
          <w:szCs w:val="14"/>
          <w:color w:val="auto"/>
        </w:rPr>
        <w:t>common stock issued and outstanding as of June 30, 2022 and December 31, 2021, respectively; preferred stock, par value $0.0001; 10,000,000 shares of preferred stock authorized as of June 30, 2022 and December 31, 2021; no shares of</w:t>
      </w:r>
    </w:p>
    <w:tbl>
      <w:tblPr>
        <w:tblLayout w:type="fixed"/>
        <w:tblInd w:w="0" w:type="dxa"/>
        <w:tblCellMar>
          <w:top w:w="0" w:type="dxa"/>
          <w:left w:w="0" w:type="dxa"/>
          <w:bottom w:w="0" w:type="dxa"/>
          <w:right w:w="0" w:type="dxa"/>
        </w:tblCellMar>
      </w:tblPr>
      <w:tr>
        <w:trPr>
          <w:trHeight w:val="188"/>
        </w:trPr>
        <w:tc>
          <w:tcPr>
            <w:tcW w:w="8020" w:type="dxa"/>
            <w:vAlign w:val="bottom"/>
          </w:tcPr>
          <w:p>
            <w:pPr>
              <w:ind w:left="20"/>
              <w:spacing w:after="0"/>
              <w:rPr>
                <w:sz w:val="20"/>
                <w:szCs w:val="20"/>
                <w:color w:val="auto"/>
              </w:rPr>
            </w:pPr>
            <w:r>
              <w:rPr>
                <w:rFonts w:ascii="Arial" w:cs="Arial" w:eastAsia="Arial" w:hAnsi="Arial"/>
                <w:sz w:val="14"/>
                <w:szCs w:val="14"/>
                <w:color w:val="auto"/>
              </w:rPr>
              <w:t>preferred stock outstanding as of June 30, 2022 and December 31, 2021</w:t>
            </w:r>
          </w:p>
        </w:tc>
        <w:tc>
          <w:tcPr>
            <w:tcW w:w="5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94"/>
        </w:trPr>
        <w:tc>
          <w:tcPr>
            <w:tcW w:w="8020" w:type="dxa"/>
            <w:vAlign w:val="bottom"/>
          </w:tcPr>
          <w:p>
            <w:pPr>
              <w:ind w:left="240"/>
              <w:spacing w:after="0"/>
              <w:rPr>
                <w:sz w:val="20"/>
                <w:szCs w:val="20"/>
                <w:color w:val="auto"/>
              </w:rPr>
            </w:pPr>
            <w:r>
              <w:rPr>
                <w:rFonts w:ascii="Arial" w:cs="Arial" w:eastAsia="Arial" w:hAnsi="Arial"/>
                <w:sz w:val="14"/>
                <w:szCs w:val="14"/>
                <w:color w:val="auto"/>
              </w:rPr>
              <w:t>Additional paid-in capital</w:t>
            </w:r>
          </w:p>
        </w:tc>
        <w:tc>
          <w:tcPr>
            <w:tcW w:w="5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173,961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142,515</w:t>
            </w:r>
          </w:p>
        </w:tc>
      </w:tr>
      <w:tr>
        <w:trPr>
          <w:trHeight w:val="207"/>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Accumulated deficit</w:t>
            </w:r>
          </w:p>
        </w:tc>
        <w:tc>
          <w:tcPr>
            <w:tcW w:w="5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(81,276)</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(65,906)</w:t>
            </w:r>
          </w:p>
        </w:tc>
      </w:tr>
      <w:tr>
        <w:trPr>
          <w:trHeight w:val="192"/>
        </w:trPr>
        <w:tc>
          <w:tcPr>
            <w:tcW w:w="8020" w:type="dxa"/>
            <w:vAlign w:val="bottom"/>
            <w:tcBorders>
              <w:bottom w:val="single" w:sz="8" w:color="CCEEFF"/>
            </w:tcBorders>
          </w:tcPr>
          <w:p>
            <w:pPr>
              <w:ind w:left="760"/>
              <w:spacing w:after="0"/>
              <w:rPr>
                <w:sz w:val="20"/>
                <w:szCs w:val="20"/>
                <w:color w:val="auto"/>
              </w:rPr>
            </w:pPr>
            <w:r>
              <w:rPr>
                <w:rFonts w:ascii="Arial" w:cs="Arial" w:eastAsia="Arial" w:hAnsi="Arial"/>
                <w:sz w:val="14"/>
                <w:szCs w:val="14"/>
                <w:color w:val="auto"/>
              </w:rPr>
              <w:t>Total stockholders' equity</w:t>
            </w: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92,691</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76,615</w:t>
            </w:r>
          </w:p>
        </w:tc>
      </w:tr>
      <w:tr>
        <w:trPr>
          <w:trHeight w:val="225"/>
        </w:trPr>
        <w:tc>
          <w:tcPr>
            <w:tcW w:w="80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4"/>
                <w:szCs w:val="14"/>
                <w:color w:val="auto"/>
              </w:rPr>
              <w:t>Total liabilities and stockholders' equity</w:t>
            </w: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215,372</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183,213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w:t>
      </w: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7"/>
                <w:szCs w:val="17"/>
                <w:color w:val="auto"/>
              </w:rPr>
            </w:pPr>
          </w:p>
        </w:tc>
        <w:tc>
          <w:tcPr>
            <w:tcW w:w="286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65,024</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 net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15,571</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49,453</w:t>
            </w:r>
          </w:p>
        </w:tc>
        <w:tc>
          <w:tcPr>
            <w:tcW w:w="0" w:type="dxa"/>
            <w:vAlign w:val="bottom"/>
          </w:tcPr>
          <w:p>
            <w:pPr>
              <w:spacing w:after="0"/>
              <w:rPr>
                <w:sz w:val="1"/>
                <w:szCs w:val="1"/>
                <w:color w:val="auto"/>
              </w:rPr>
            </w:pPr>
          </w:p>
        </w:tc>
      </w:tr>
      <w:tr>
        <w:trPr>
          <w:trHeight w:val="209"/>
        </w:trPr>
        <w:tc>
          <w:tcPr>
            <w:tcW w:w="4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29,438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17,494</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6,947</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30,412</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from operations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19,041</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expenses, net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17,535</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income allocated to participating securities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(9,426)</w:t>
            </w:r>
          </w:p>
        </w:tc>
        <w:tc>
          <w:tcPr>
            <w:tcW w:w="0" w:type="dxa"/>
            <w:vAlign w:val="bottom"/>
          </w:tcPr>
          <w:p>
            <w:pPr>
              <w:spacing w:after="0"/>
              <w:rPr>
                <w:sz w:val="1"/>
                <w:szCs w:val="1"/>
                <w:color w:val="auto"/>
              </w:rPr>
            </w:pPr>
          </w:p>
        </w:tc>
      </w:tr>
      <w:tr>
        <w:trPr>
          <w:trHeight w:val="156"/>
        </w:trPr>
        <w:tc>
          <w:tcPr>
            <w:tcW w:w="4700" w:type="dxa"/>
            <w:vAlign w:val="bottom"/>
          </w:tcPr>
          <w:p>
            <w:pPr>
              <w:ind w:left="20"/>
              <w:spacing w:after="0" w:line="156" w:lineRule="exact"/>
              <w:rPr>
                <w:sz w:val="20"/>
                <w:szCs w:val="20"/>
                <w:color w:val="auto"/>
              </w:rPr>
            </w:pPr>
            <w:r>
              <w:rPr>
                <w:rFonts w:ascii="Arial" w:cs="Arial" w:eastAsia="Arial" w:hAnsi="Arial"/>
                <w:sz w:val="18"/>
                <w:szCs w:val="18"/>
                <w:color w:val="auto"/>
              </w:rPr>
              <w:t>Net (loss) income attributable to Class A, LT10 and LT50</w:t>
            </w: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(7,994)</w:t>
            </w:r>
          </w:p>
        </w:tc>
        <w:tc>
          <w:tcPr>
            <w:tcW w:w="100" w:type="dxa"/>
            <w:vAlign w:val="bottom"/>
          </w:tcPr>
          <w:p>
            <w:pPr>
              <w:spacing w:after="0"/>
              <w:rPr>
                <w:sz w:val="13"/>
                <w:szCs w:val="13"/>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1,925</w:t>
            </w:r>
          </w:p>
        </w:tc>
        <w:tc>
          <w:tcPr>
            <w:tcW w:w="100" w:type="dxa"/>
            <w:vAlign w:val="bottom"/>
          </w:tcPr>
          <w:p>
            <w:pPr>
              <w:spacing w:after="0"/>
              <w:rPr>
                <w:sz w:val="13"/>
                <w:szCs w:val="13"/>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(15,370)</w:t>
            </w:r>
          </w:p>
        </w:tc>
        <w:tc>
          <w:tcPr>
            <w:tcW w:w="100" w:type="dxa"/>
            <w:vAlign w:val="bottom"/>
          </w:tcPr>
          <w:p>
            <w:pPr>
              <w:spacing w:after="0"/>
              <w:rPr>
                <w:sz w:val="13"/>
                <w:szCs w:val="13"/>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21"/>
        </w:trPr>
        <w:tc>
          <w:tcPr>
            <w:tcW w:w="4700" w:type="dxa"/>
            <w:vAlign w:val="bottom"/>
          </w:tcPr>
          <w:p>
            <w:pPr>
              <w:ind w:left="180"/>
              <w:spacing w:after="0"/>
              <w:rPr>
                <w:sz w:val="20"/>
                <w:szCs w:val="20"/>
                <w:color w:val="auto"/>
              </w:rPr>
            </w:pPr>
            <w:r>
              <w:rPr>
                <w:rFonts w:ascii="Arial" w:cs="Arial" w:eastAsia="Arial" w:hAnsi="Arial"/>
                <w:sz w:val="18"/>
                <w:szCs w:val="18"/>
                <w:color w:val="auto"/>
              </w:rPr>
              <w:t>common stockholders</w:t>
            </w:r>
          </w:p>
        </w:tc>
        <w:tc>
          <w:tcPr>
            <w:tcW w:w="34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(loss) income per share attributable to Class A, LT10</w:t>
            </w: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LT50 common stockholders:</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Weighted-average shares of common stock used to</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7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4700" w:type="dxa"/>
            <w:vAlign w:val="bottom"/>
          </w:tcPr>
          <w:p>
            <w:pPr>
              <w:ind w:left="180"/>
              <w:spacing w:after="0" w:line="183" w:lineRule="exact"/>
              <w:rPr>
                <w:sz w:val="20"/>
                <w:szCs w:val="20"/>
                <w:color w:val="auto"/>
              </w:rPr>
            </w:pPr>
            <w:r>
              <w:rPr>
                <w:rFonts w:ascii="Arial" w:cs="Arial" w:eastAsia="Arial" w:hAnsi="Arial"/>
                <w:sz w:val="18"/>
                <w:szCs w:val="18"/>
                <w:color w:val="auto"/>
              </w:rPr>
              <w:t>compute net (loss) income per share attributable to</w:t>
            </w: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700" w:type="dxa"/>
            <w:vAlign w:val="bottom"/>
          </w:tcPr>
          <w:p>
            <w:pPr>
              <w:ind w:left="180"/>
              <w:spacing w:after="0"/>
              <w:rPr>
                <w:sz w:val="20"/>
                <w:szCs w:val="20"/>
                <w:color w:val="auto"/>
              </w:rPr>
            </w:pPr>
            <w:r>
              <w:rPr>
                <w:rFonts w:ascii="Arial" w:cs="Arial" w:eastAsia="Arial" w:hAnsi="Arial"/>
                <w:sz w:val="18"/>
                <w:szCs w:val="18"/>
                <w:color w:val="auto"/>
              </w:rPr>
              <w:t>Class A, LT10 and LT50 common stockholders: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80,473,097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29,836,295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80,311,053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29,680,220</w:t>
            </w: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80,473,097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41,341,330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80,311,053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41,216,420</w:t>
            </w:r>
          </w:p>
        </w:tc>
        <w:tc>
          <w:tcPr>
            <w:tcW w:w="0" w:type="dxa"/>
            <w:vAlign w:val="bottom"/>
          </w:tcPr>
          <w:p>
            <w:pPr>
              <w:spacing w:after="0"/>
              <w:rPr>
                <w:sz w:val="1"/>
                <w:szCs w:val="1"/>
                <w:color w:val="auto"/>
              </w:rPr>
            </w:pPr>
          </w:p>
        </w:tc>
      </w:tr>
      <w:tr>
        <w:trPr>
          <w:trHeight w:val="20"/>
        </w:trPr>
        <w:tc>
          <w:tcPr>
            <w:tcW w:w="4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Convertible Preferred Stock and Stockholders’ Equity (Deficit)</w:t>
      </w: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0" w:type="dxa"/>
            <w:vAlign w:val="bottom"/>
          </w:tcPr>
          <w:p>
            <w:pPr>
              <w:spacing w:after="0"/>
              <w:rPr>
                <w:sz w:val="14"/>
                <w:szCs w:val="14"/>
                <w:color w:val="auto"/>
              </w:rPr>
            </w:pPr>
          </w:p>
        </w:tc>
        <w:tc>
          <w:tcPr>
            <w:tcW w:w="212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rPr>
              <w:t>Convertible preferred stock</w:t>
            </w:r>
          </w:p>
        </w:tc>
        <w:tc>
          <w:tcPr>
            <w:tcW w:w="100" w:type="dxa"/>
            <w:vAlign w:val="bottom"/>
            <w:tcBorders>
              <w:right w:val="single" w:sz="8" w:color="auto"/>
            </w:tcBorders>
            <w:vMerge w:val="restart"/>
          </w:tcPr>
          <w:p>
            <w:pPr>
              <w:spacing w:after="0"/>
              <w:rPr>
                <w:sz w:val="14"/>
                <w:szCs w:val="14"/>
                <w:color w:val="auto"/>
              </w:rPr>
            </w:pPr>
          </w:p>
        </w:tc>
        <w:tc>
          <w:tcPr>
            <w:tcW w:w="60" w:type="dxa"/>
            <w:vAlign w:val="bottom"/>
          </w:tcPr>
          <w:p>
            <w:pPr>
              <w:spacing w:after="0"/>
              <w:rPr>
                <w:sz w:val="14"/>
                <w:szCs w:val="14"/>
                <w:color w:val="auto"/>
              </w:rPr>
            </w:pPr>
          </w:p>
        </w:tc>
        <w:tc>
          <w:tcPr>
            <w:tcW w:w="1900" w:type="dxa"/>
            <w:vAlign w:val="bottom"/>
            <w:gridSpan w:val="3"/>
            <w:vMerge w:val="restart"/>
          </w:tcPr>
          <w:p>
            <w:pPr>
              <w:jc w:val="right"/>
              <w:ind w:right="241"/>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center"/>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0"/>
        </w:trPr>
        <w:tc>
          <w:tcPr>
            <w:tcW w:w="2000" w:type="dxa"/>
            <w:vAlign w:val="bottom"/>
          </w:tcPr>
          <w:p>
            <w:pPr>
              <w:spacing w:after="0"/>
              <w:rPr>
                <w:sz w:val="10"/>
                <w:szCs w:val="10"/>
                <w:color w:val="auto"/>
              </w:rPr>
            </w:pPr>
          </w:p>
        </w:tc>
        <w:tc>
          <w:tcPr>
            <w:tcW w:w="2120" w:type="dxa"/>
            <w:vAlign w:val="bottom"/>
            <w:tcBorders>
              <w:bottom w:val="single" w:sz="8" w:color="auto"/>
            </w:tcBorders>
            <w:gridSpan w:val="4"/>
            <w:vMerge w:val="continue"/>
          </w:tcPr>
          <w:p>
            <w:pPr>
              <w:spacing w:after="0"/>
              <w:rPr>
                <w:sz w:val="10"/>
                <w:szCs w:val="10"/>
                <w:color w:val="auto"/>
              </w:rPr>
            </w:pPr>
          </w:p>
        </w:tc>
        <w:tc>
          <w:tcPr>
            <w:tcW w:w="1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900" w:type="dxa"/>
            <w:vAlign w:val="bottom"/>
            <w:tcBorders>
              <w:bottom w:val="single" w:sz="8" w:color="auto"/>
            </w:tcBorders>
            <w:gridSpan w:val="3"/>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240"/>
              <w:spacing w:after="0" w:line="121" w:lineRule="exact"/>
              <w:rPr>
                <w:sz w:val="20"/>
                <w:szCs w:val="20"/>
                <w:color w:val="auto"/>
              </w:rPr>
            </w:pPr>
            <w:r>
              <w:rPr>
                <w:rFonts w:ascii="Arial" w:cs="Arial" w:eastAsia="Arial" w:hAnsi="Arial"/>
                <w:sz w:val="13"/>
                <w:szCs w:val="13"/>
                <w:b w:val="1"/>
                <w:bCs w:val="1"/>
                <w:color w:val="auto"/>
              </w:rPr>
              <w:t>Additional</w:t>
            </w:r>
          </w:p>
        </w:tc>
        <w:tc>
          <w:tcPr>
            <w:tcW w:w="1220" w:type="dxa"/>
            <w:vAlign w:val="bottom"/>
            <w:gridSpan w:val="3"/>
          </w:tcPr>
          <w:p>
            <w:pPr>
              <w:ind w:left="80"/>
              <w:spacing w:after="0" w:line="121" w:lineRule="exact"/>
              <w:rPr>
                <w:sz w:val="20"/>
                <w:szCs w:val="20"/>
                <w:color w:val="auto"/>
              </w:rPr>
            </w:pPr>
            <w:r>
              <w:rPr>
                <w:rFonts w:ascii="Arial" w:cs="Arial" w:eastAsia="Arial" w:hAnsi="Arial"/>
                <w:sz w:val="13"/>
                <w:szCs w:val="13"/>
                <w:b w:val="1"/>
                <w:bCs w:val="1"/>
                <w:color w:val="auto"/>
              </w:rPr>
              <w:t>Subscriptions</w:t>
            </w:r>
          </w:p>
        </w:tc>
        <w:tc>
          <w:tcPr>
            <w:tcW w:w="100" w:type="dxa"/>
            <w:vAlign w:val="bottom"/>
          </w:tcPr>
          <w:p>
            <w:pPr>
              <w:spacing w:after="0"/>
              <w:rPr>
                <w:sz w:val="10"/>
                <w:szCs w:val="10"/>
                <w:color w:val="auto"/>
              </w:rPr>
            </w:pPr>
          </w:p>
        </w:tc>
        <w:tc>
          <w:tcPr>
            <w:tcW w:w="1100" w:type="dxa"/>
            <w:vAlign w:val="bottom"/>
            <w:gridSpan w:val="2"/>
          </w:tcPr>
          <w:p>
            <w:pPr>
              <w:jc w:val="center"/>
              <w:ind w:right="200"/>
              <w:spacing w:after="0" w:line="121" w:lineRule="exact"/>
              <w:rPr>
                <w:sz w:val="20"/>
                <w:szCs w:val="20"/>
                <w:color w:val="auto"/>
              </w:rPr>
            </w:pPr>
            <w:r>
              <w:rPr>
                <w:rFonts w:ascii="Arial" w:cs="Arial" w:eastAsia="Arial" w:hAnsi="Arial"/>
                <w:sz w:val="13"/>
                <w:szCs w:val="13"/>
                <w:b w:val="1"/>
                <w:bCs w:val="1"/>
                <w:color w:val="auto"/>
              </w:rPr>
              <w:t>Accumulated</w:t>
            </w:r>
          </w:p>
        </w:tc>
        <w:tc>
          <w:tcPr>
            <w:tcW w:w="1140" w:type="dxa"/>
            <w:vAlign w:val="bottom"/>
            <w:gridSpan w:val="2"/>
          </w:tcPr>
          <w:p>
            <w:pPr>
              <w:jc w:val="center"/>
              <w:spacing w:after="0" w:line="121"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7"/>
                <w:szCs w:val="17"/>
                <w:color w:val="auto"/>
              </w:rPr>
            </w:pPr>
          </w:p>
        </w:tc>
        <w:tc>
          <w:tcPr>
            <w:tcW w:w="94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7"/>
                <w:szCs w:val="17"/>
                <w:color w:val="auto"/>
              </w:rPr>
            </w:pPr>
          </w:p>
        </w:tc>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paid-in capital</w:t>
            </w:r>
          </w:p>
        </w:tc>
        <w:tc>
          <w:tcPr>
            <w:tcW w:w="160" w:type="dxa"/>
            <w:vAlign w:val="bottom"/>
          </w:tcPr>
          <w:p>
            <w:pPr>
              <w:spacing w:after="0"/>
              <w:rPr>
                <w:sz w:val="17"/>
                <w:szCs w:val="17"/>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receivable</w:t>
            </w:r>
          </w:p>
        </w:tc>
        <w:tc>
          <w:tcPr>
            <w:tcW w:w="1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deficit</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142"/>
        </w:trPr>
        <w:tc>
          <w:tcPr>
            <w:tcW w:w="200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Three months ended</w:t>
            </w:r>
          </w:p>
        </w:tc>
        <w:tc>
          <w:tcPr>
            <w:tcW w:w="10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2022</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0" w:type="dxa"/>
            <w:vAlign w:val="bottom"/>
          </w:tcPr>
          <w:p>
            <w:pPr>
              <w:ind w:left="20"/>
              <w:spacing w:after="0"/>
              <w:rPr>
                <w:sz w:val="20"/>
                <w:szCs w:val="20"/>
                <w:color w:val="auto"/>
              </w:rPr>
            </w:pPr>
            <w:r>
              <w:rPr>
                <w:rFonts w:ascii="Arial" w:cs="Arial" w:eastAsia="Arial" w:hAnsi="Arial"/>
                <w:sz w:val="16"/>
                <w:szCs w:val="16"/>
                <w:color w:val="auto"/>
              </w:rPr>
              <w:t>Balance at March 31, 2022</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81,606,993</w:t>
            </w:r>
          </w:p>
        </w:tc>
        <w:tc>
          <w:tcPr>
            <w:tcW w:w="80" w:type="dxa"/>
            <w:vAlign w:val="bottom"/>
          </w:tcPr>
          <w:p>
            <w:pPr>
              <w:spacing w:after="0"/>
              <w:rPr>
                <w:sz w:val="18"/>
                <w:szCs w:val="18"/>
                <w:color w:val="auto"/>
              </w:rPr>
            </w:pPr>
          </w:p>
        </w:tc>
        <w:tc>
          <w:tcPr>
            <w:tcW w:w="780" w:type="dxa"/>
            <w:vAlign w:val="bottom"/>
          </w:tcPr>
          <w:p>
            <w:pPr>
              <w:jc w:val="right"/>
              <w:ind w:right="601"/>
              <w:spacing w:after="0"/>
              <w:rPr>
                <w:sz w:val="20"/>
                <w:szCs w:val="20"/>
                <w:color w:val="auto"/>
              </w:rPr>
            </w:pPr>
            <w:r>
              <w:rPr>
                <w:rFonts w:ascii="Arial" w:cs="Arial" w:eastAsia="Arial" w:hAnsi="Arial"/>
                <w:sz w:val="16"/>
                <w:szCs w:val="16"/>
                <w:color w:val="auto"/>
                <w:w w:val="89"/>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157,743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(73,282)</w:t>
            </w:r>
          </w:p>
        </w:tc>
        <w:tc>
          <w:tcPr>
            <w:tcW w:w="80" w:type="dxa"/>
            <w:vAlign w:val="bottom"/>
          </w:tcPr>
          <w:p>
            <w:pPr>
              <w:spacing w:after="0"/>
              <w:rPr>
                <w:sz w:val="18"/>
                <w:szCs w:val="18"/>
                <w:color w:val="auto"/>
              </w:rPr>
            </w:pPr>
          </w:p>
        </w:tc>
        <w:tc>
          <w:tcPr>
            <w:tcW w:w="26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84,467</w:t>
            </w:r>
          </w:p>
        </w:tc>
        <w:tc>
          <w:tcPr>
            <w:tcW w:w="0" w:type="dxa"/>
            <w:vAlign w:val="bottom"/>
          </w:tcPr>
          <w:p>
            <w:pPr>
              <w:spacing w:after="0"/>
              <w:rPr>
                <w:sz w:val="1"/>
                <w:szCs w:val="1"/>
                <w:color w:val="auto"/>
              </w:rPr>
            </w:pPr>
          </w:p>
        </w:tc>
      </w:tr>
      <w:tr>
        <w:trPr>
          <w:trHeight w:val="163"/>
        </w:trPr>
        <w:tc>
          <w:tcPr>
            <w:tcW w:w="20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Issuance of common stock</w:t>
            </w: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rPr>
              <w:t>on exercise of stock</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101,345</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options</w:t>
            </w:r>
          </w:p>
        </w:tc>
        <w:tc>
          <w:tcPr>
            <w:tcW w:w="11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20"/>
              <w:spacing w:after="0" w:line="162" w:lineRule="exact"/>
              <w:rPr>
                <w:sz w:val="20"/>
                <w:szCs w:val="20"/>
                <w:color w:val="auto"/>
              </w:rPr>
            </w:pPr>
            <w:r>
              <w:rPr>
                <w:rFonts w:ascii="Arial" w:cs="Arial" w:eastAsia="Arial" w:hAnsi="Arial"/>
                <w:sz w:val="16"/>
                <w:szCs w:val="16"/>
                <w:color w:val="auto"/>
              </w:rPr>
              <w:t>Vesting of early exercised</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4"/>
                <w:szCs w:val="14"/>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456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ind w:left="7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215"/>
        </w:trPr>
        <w:tc>
          <w:tcPr>
            <w:tcW w:w="2000" w:type="dxa"/>
            <w:vAlign w:val="bottom"/>
          </w:tcPr>
          <w:p>
            <w:pPr>
              <w:ind w:left="180"/>
              <w:spacing w:after="0"/>
              <w:rPr>
                <w:sz w:val="20"/>
                <w:szCs w:val="20"/>
                <w:color w:val="auto"/>
              </w:rPr>
            </w:pPr>
            <w:r>
              <w:rPr>
                <w:rFonts w:ascii="Arial" w:cs="Arial" w:eastAsia="Arial" w:hAnsi="Arial"/>
                <w:sz w:val="16"/>
                <w:szCs w:val="16"/>
                <w:color w:val="auto"/>
              </w:rPr>
              <w:t>stock options</w:t>
            </w:r>
          </w:p>
        </w:tc>
        <w:tc>
          <w:tcPr>
            <w:tcW w:w="11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Issuance of restricted</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3,896</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units</w:t>
            </w:r>
          </w:p>
        </w:tc>
        <w:tc>
          <w:tcPr>
            <w:tcW w:w="11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20"/>
              <w:spacing w:after="0" w:line="162" w:lineRule="exact"/>
              <w:rPr>
                <w:sz w:val="20"/>
                <w:szCs w:val="20"/>
                <w:color w:val="auto"/>
              </w:rPr>
            </w:pPr>
            <w:r>
              <w:rPr>
                <w:rFonts w:ascii="Arial" w:cs="Arial" w:eastAsia="Arial" w:hAnsi="Arial"/>
                <w:sz w:val="16"/>
                <w:szCs w:val="16"/>
                <w:color w:val="auto"/>
              </w:rPr>
              <w:t>Repurchases of early</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(10,740)</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ind w:left="7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5"/>
        </w:trPr>
        <w:tc>
          <w:tcPr>
            <w:tcW w:w="2000" w:type="dxa"/>
            <w:vAlign w:val="bottom"/>
          </w:tcPr>
          <w:p>
            <w:pPr>
              <w:ind w:left="180"/>
              <w:spacing w:after="0"/>
              <w:rPr>
                <w:sz w:val="20"/>
                <w:szCs w:val="20"/>
                <w:color w:val="auto"/>
              </w:rPr>
            </w:pPr>
            <w:r>
              <w:rPr>
                <w:rFonts w:ascii="Arial" w:cs="Arial" w:eastAsia="Arial" w:hAnsi="Arial"/>
                <w:sz w:val="16"/>
                <w:szCs w:val="16"/>
                <w:color w:val="auto"/>
              </w:rPr>
              <w:t>exercised stock options</w:t>
            </w:r>
          </w:p>
        </w:tc>
        <w:tc>
          <w:tcPr>
            <w:tcW w:w="11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Issuance of common stock</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71,522</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1,188</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under Matching Plan</w:t>
            </w:r>
          </w:p>
        </w:tc>
        <w:tc>
          <w:tcPr>
            <w:tcW w:w="11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14,379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14,379</w:t>
            </w:r>
          </w:p>
        </w:tc>
        <w:tc>
          <w:tcPr>
            <w:tcW w:w="0" w:type="dxa"/>
            <w:vAlign w:val="bottom"/>
          </w:tcPr>
          <w:p>
            <w:pPr>
              <w:spacing w:after="0"/>
              <w:rPr>
                <w:sz w:val="1"/>
                <w:szCs w:val="1"/>
                <w:color w:val="auto"/>
              </w:rPr>
            </w:pPr>
          </w:p>
        </w:tc>
      </w:tr>
      <w:tr>
        <w:trPr>
          <w:trHeight w:val="217"/>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(7,994)</w:t>
            </w:r>
          </w:p>
        </w:tc>
        <w:tc>
          <w:tcPr>
            <w:tcW w:w="0" w:type="dxa"/>
            <w:vAlign w:val="bottom"/>
          </w:tcPr>
          <w:p>
            <w:pPr>
              <w:spacing w:after="0"/>
              <w:rPr>
                <w:sz w:val="1"/>
                <w:szCs w:val="1"/>
                <w:color w:val="auto"/>
              </w:rPr>
            </w:pPr>
          </w:p>
        </w:tc>
      </w:tr>
      <w:tr>
        <w:trPr>
          <w:trHeight w:val="209"/>
        </w:trPr>
        <w:tc>
          <w:tcPr>
            <w:tcW w:w="2000" w:type="dxa"/>
            <w:vAlign w:val="bottom"/>
          </w:tcPr>
          <w:p>
            <w:pPr>
              <w:ind w:left="20"/>
              <w:spacing w:after="0"/>
              <w:rPr>
                <w:sz w:val="20"/>
                <w:szCs w:val="20"/>
                <w:color w:val="auto"/>
              </w:rPr>
            </w:pPr>
            <w:r>
              <w:rPr>
                <w:rFonts w:ascii="Arial" w:cs="Arial" w:eastAsia="Arial" w:hAnsi="Arial"/>
                <w:sz w:val="16"/>
                <w:szCs w:val="16"/>
                <w:color w:val="auto"/>
              </w:rPr>
              <w:t>Balance at June 30, 2022</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81,773,016</w:t>
            </w:r>
          </w:p>
        </w:tc>
        <w:tc>
          <w:tcPr>
            <w:tcW w:w="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601"/>
              <w:spacing w:after="0"/>
              <w:rPr>
                <w:sz w:val="20"/>
                <w:szCs w:val="20"/>
                <w:color w:val="auto"/>
              </w:rPr>
            </w:pPr>
            <w:r>
              <w:rPr>
                <w:rFonts w:ascii="Arial" w:cs="Arial" w:eastAsia="Arial" w:hAnsi="Arial"/>
                <w:sz w:val="16"/>
                <w:szCs w:val="16"/>
                <w:color w:val="auto"/>
                <w:w w:val="8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173,961</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(81,276)</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92,691</w:t>
            </w:r>
          </w:p>
        </w:tc>
        <w:tc>
          <w:tcPr>
            <w:tcW w:w="0" w:type="dxa"/>
            <w:vAlign w:val="bottom"/>
          </w:tcPr>
          <w:p>
            <w:pPr>
              <w:spacing w:after="0"/>
              <w:rPr>
                <w:sz w:val="1"/>
                <w:szCs w:val="1"/>
                <w:color w:val="auto"/>
              </w:rPr>
            </w:pPr>
          </w:p>
        </w:tc>
      </w:tr>
      <w:tr>
        <w:trPr>
          <w:trHeight w:val="20"/>
        </w:trPr>
        <w:tc>
          <w:tcPr>
            <w:tcW w:w="20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Three months ended</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20"/>
              <w:spacing w:after="0"/>
              <w:rPr>
                <w:sz w:val="20"/>
                <w:szCs w:val="20"/>
                <w:color w:val="auto"/>
              </w:rPr>
            </w:pPr>
            <w:r>
              <w:rPr>
                <w:rFonts w:ascii="Arial" w:cs="Arial" w:eastAsia="Arial" w:hAnsi="Arial"/>
                <w:sz w:val="16"/>
                <w:szCs w:val="16"/>
                <w:b w:val="1"/>
                <w:bCs w:val="1"/>
                <w:color w:val="auto"/>
              </w:rPr>
              <w:t>June 30, 2021</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March 31, 2021</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4,203,139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45,105</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29,640,520</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01"/>
              <w:spacing w:after="0"/>
              <w:rPr>
                <w:sz w:val="20"/>
                <w:szCs w:val="20"/>
                <w:color w:val="auto"/>
              </w:rPr>
            </w:pPr>
            <w:r>
              <w:rPr>
                <w:rFonts w:ascii="Arial" w:cs="Arial" w:eastAsia="Arial" w:hAnsi="Arial"/>
                <w:sz w:val="16"/>
                <w:szCs w:val="16"/>
                <w:color w:val="auto"/>
                <w:w w:val="89"/>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(44,305)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(22,158)</w:t>
            </w:r>
          </w:p>
        </w:tc>
        <w:tc>
          <w:tcPr>
            <w:tcW w:w="0" w:type="dxa"/>
            <w:vAlign w:val="bottom"/>
          </w:tcPr>
          <w:p>
            <w:pPr>
              <w:spacing w:after="0"/>
              <w:rPr>
                <w:sz w:val="1"/>
                <w:szCs w:val="1"/>
                <w:color w:val="auto"/>
              </w:rPr>
            </w:pPr>
          </w:p>
        </w:tc>
      </w:tr>
      <w:tr>
        <w:trPr>
          <w:trHeight w:val="162"/>
        </w:trPr>
        <w:tc>
          <w:tcPr>
            <w:tcW w:w="2000" w:type="dxa"/>
            <w:vAlign w:val="bottom"/>
          </w:tcPr>
          <w:p>
            <w:pPr>
              <w:ind w:left="20"/>
              <w:spacing w:after="0" w:line="162" w:lineRule="exact"/>
              <w:rPr>
                <w:sz w:val="20"/>
                <w:szCs w:val="20"/>
                <w:color w:val="auto"/>
              </w:rPr>
            </w:pPr>
            <w:r>
              <w:rPr>
                <w:rFonts w:ascii="Arial" w:cs="Arial" w:eastAsia="Arial" w:hAnsi="Arial"/>
                <w:sz w:val="16"/>
                <w:szCs w:val="16"/>
                <w:color w:val="auto"/>
              </w:rPr>
              <w:t>Issuance of common stock</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180"/>
              <w:spacing w:after="0" w:line="162" w:lineRule="exact"/>
              <w:rPr>
                <w:sz w:val="20"/>
                <w:szCs w:val="20"/>
                <w:color w:val="auto"/>
              </w:rPr>
            </w:pPr>
            <w:r>
              <w:rPr>
                <w:rFonts w:ascii="Arial" w:cs="Arial" w:eastAsia="Arial" w:hAnsi="Arial"/>
                <w:sz w:val="16"/>
                <w:szCs w:val="16"/>
                <w:color w:val="auto"/>
              </w:rPr>
              <w:t>on exercise of stock</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5,140,000</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2,606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ind w:left="420"/>
              <w:spacing w:after="0"/>
              <w:rPr>
                <w:sz w:val="20"/>
                <w:szCs w:val="20"/>
                <w:color w:val="auto"/>
              </w:rPr>
            </w:pPr>
            <w:r>
              <w:rPr>
                <w:rFonts w:ascii="Arial" w:cs="Arial" w:eastAsia="Arial" w:hAnsi="Arial"/>
                <w:sz w:val="16"/>
                <w:szCs w:val="16"/>
                <w:color w:val="auto"/>
              </w:rPr>
              <w:t>(1,760)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846</w:t>
            </w:r>
          </w:p>
        </w:tc>
        <w:tc>
          <w:tcPr>
            <w:tcW w:w="0" w:type="dxa"/>
            <w:vAlign w:val="bottom"/>
          </w:tcPr>
          <w:p>
            <w:pPr>
              <w:spacing w:after="0"/>
              <w:rPr>
                <w:sz w:val="1"/>
                <w:szCs w:val="1"/>
                <w:color w:val="auto"/>
              </w:rPr>
            </w:pPr>
          </w:p>
        </w:tc>
      </w:tr>
      <w:tr>
        <w:trPr>
          <w:trHeight w:val="215"/>
        </w:trPr>
        <w:tc>
          <w:tcPr>
            <w:tcW w:w="2000" w:type="dxa"/>
            <w:vAlign w:val="bottom"/>
          </w:tcPr>
          <w:p>
            <w:pPr>
              <w:ind w:left="180"/>
              <w:spacing w:after="0"/>
              <w:rPr>
                <w:sz w:val="20"/>
                <w:szCs w:val="20"/>
                <w:color w:val="auto"/>
              </w:rPr>
            </w:pPr>
            <w:r>
              <w:rPr>
                <w:rFonts w:ascii="Arial" w:cs="Arial" w:eastAsia="Arial" w:hAnsi="Arial"/>
                <w:sz w:val="16"/>
                <w:szCs w:val="16"/>
                <w:color w:val="auto"/>
              </w:rPr>
              <w:t>options</w:t>
            </w:r>
          </w:p>
        </w:tc>
        <w:tc>
          <w:tcPr>
            <w:tcW w:w="11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w:t>
            </w:r>
          </w:p>
        </w:tc>
        <w:tc>
          <w:tcPr>
            <w:tcW w:w="0" w:type="dxa"/>
            <w:vAlign w:val="bottom"/>
          </w:tcPr>
          <w:p>
            <w:pPr>
              <w:spacing w:after="0"/>
              <w:rPr>
                <w:sz w:val="1"/>
                <w:szCs w:val="1"/>
                <w:color w:val="auto"/>
              </w:rPr>
            </w:pPr>
          </w:p>
        </w:tc>
      </w:tr>
      <w:tr>
        <w:trPr>
          <w:trHeight w:val="215"/>
        </w:trPr>
        <w:tc>
          <w:tcPr>
            <w:tcW w:w="20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6,631</w:t>
            </w:r>
          </w:p>
        </w:tc>
        <w:tc>
          <w:tcPr>
            <w:tcW w:w="0" w:type="dxa"/>
            <w:vAlign w:val="bottom"/>
          </w:tcPr>
          <w:p>
            <w:pPr>
              <w:spacing w:after="0"/>
              <w:rPr>
                <w:sz w:val="1"/>
                <w:szCs w:val="1"/>
                <w:color w:val="auto"/>
              </w:rPr>
            </w:pPr>
          </w:p>
        </w:tc>
      </w:tr>
      <w:tr>
        <w:trPr>
          <w:trHeight w:val="235"/>
        </w:trPr>
        <w:tc>
          <w:tcPr>
            <w:tcW w:w="2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2021</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4,203,139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45,105</w:t>
            </w:r>
          </w:p>
        </w:tc>
        <w:tc>
          <w:tcPr>
            <w:tcW w:w="10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34,780,520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ind w:right="601"/>
              <w:spacing w:after="0"/>
              <w:rPr>
                <w:sz w:val="20"/>
                <w:szCs w:val="20"/>
                <w:color w:val="auto"/>
              </w:rPr>
            </w:pPr>
            <w:r>
              <w:rPr>
                <w:rFonts w:ascii="Arial" w:cs="Arial" w:eastAsia="Arial" w:hAnsi="Arial"/>
                <w:sz w:val="16"/>
                <w:szCs w:val="16"/>
                <w:color w:val="auto"/>
                <w:w w:val="8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25,641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(1,760)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(37,674)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(13,793)</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Convertible Preferred Stock and Stockholders’ Equity (Deficit)</w:t>
      </w: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0" w:type="dxa"/>
            <w:vAlign w:val="bottom"/>
          </w:tcPr>
          <w:p>
            <w:pPr>
              <w:spacing w:after="0"/>
              <w:rPr>
                <w:sz w:val="14"/>
                <w:szCs w:val="14"/>
                <w:color w:val="auto"/>
              </w:rPr>
            </w:pPr>
          </w:p>
        </w:tc>
        <w:tc>
          <w:tcPr>
            <w:tcW w:w="212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rPr>
              <w:t>Convertible preferred stock</w:t>
            </w:r>
          </w:p>
        </w:tc>
        <w:tc>
          <w:tcPr>
            <w:tcW w:w="100" w:type="dxa"/>
            <w:vAlign w:val="bottom"/>
            <w:tcBorders>
              <w:right w:val="single" w:sz="8" w:color="auto"/>
            </w:tcBorders>
            <w:vMerge w:val="restart"/>
          </w:tcPr>
          <w:p>
            <w:pPr>
              <w:spacing w:after="0"/>
              <w:rPr>
                <w:sz w:val="14"/>
                <w:szCs w:val="14"/>
                <w:color w:val="auto"/>
              </w:rPr>
            </w:pPr>
          </w:p>
        </w:tc>
        <w:tc>
          <w:tcPr>
            <w:tcW w:w="60" w:type="dxa"/>
            <w:vAlign w:val="bottom"/>
          </w:tcPr>
          <w:p>
            <w:pPr>
              <w:spacing w:after="0"/>
              <w:rPr>
                <w:sz w:val="14"/>
                <w:szCs w:val="14"/>
                <w:color w:val="auto"/>
              </w:rPr>
            </w:pPr>
          </w:p>
        </w:tc>
        <w:tc>
          <w:tcPr>
            <w:tcW w:w="1900" w:type="dxa"/>
            <w:vAlign w:val="bottom"/>
            <w:gridSpan w:val="3"/>
            <w:vMerge w:val="restart"/>
          </w:tcPr>
          <w:p>
            <w:pPr>
              <w:jc w:val="right"/>
              <w:ind w:right="241"/>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center"/>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1"/>
        </w:trPr>
        <w:tc>
          <w:tcPr>
            <w:tcW w:w="2000" w:type="dxa"/>
            <w:vAlign w:val="bottom"/>
          </w:tcPr>
          <w:p>
            <w:pPr>
              <w:spacing w:after="0"/>
              <w:rPr>
                <w:sz w:val="10"/>
                <w:szCs w:val="10"/>
                <w:color w:val="auto"/>
              </w:rPr>
            </w:pPr>
          </w:p>
        </w:tc>
        <w:tc>
          <w:tcPr>
            <w:tcW w:w="2120" w:type="dxa"/>
            <w:vAlign w:val="bottom"/>
            <w:tcBorders>
              <w:bottom w:val="single" w:sz="8" w:color="auto"/>
            </w:tcBorders>
            <w:gridSpan w:val="4"/>
            <w:vMerge w:val="continue"/>
          </w:tcPr>
          <w:p>
            <w:pPr>
              <w:spacing w:after="0"/>
              <w:rPr>
                <w:sz w:val="10"/>
                <w:szCs w:val="10"/>
                <w:color w:val="auto"/>
              </w:rPr>
            </w:pPr>
          </w:p>
        </w:tc>
        <w:tc>
          <w:tcPr>
            <w:tcW w:w="1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900" w:type="dxa"/>
            <w:vAlign w:val="bottom"/>
            <w:tcBorders>
              <w:bottom w:val="single" w:sz="8" w:color="auto"/>
            </w:tcBorders>
            <w:gridSpan w:val="3"/>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240"/>
              <w:spacing w:after="0" w:line="121" w:lineRule="exact"/>
              <w:rPr>
                <w:sz w:val="20"/>
                <w:szCs w:val="20"/>
                <w:color w:val="auto"/>
              </w:rPr>
            </w:pPr>
            <w:r>
              <w:rPr>
                <w:rFonts w:ascii="Arial" w:cs="Arial" w:eastAsia="Arial" w:hAnsi="Arial"/>
                <w:sz w:val="13"/>
                <w:szCs w:val="13"/>
                <w:b w:val="1"/>
                <w:bCs w:val="1"/>
                <w:color w:val="auto"/>
              </w:rPr>
              <w:t>Additional</w:t>
            </w:r>
          </w:p>
        </w:tc>
        <w:tc>
          <w:tcPr>
            <w:tcW w:w="1220" w:type="dxa"/>
            <w:vAlign w:val="bottom"/>
            <w:gridSpan w:val="3"/>
          </w:tcPr>
          <w:p>
            <w:pPr>
              <w:ind w:left="80"/>
              <w:spacing w:after="0" w:line="121" w:lineRule="exact"/>
              <w:rPr>
                <w:sz w:val="20"/>
                <w:szCs w:val="20"/>
                <w:color w:val="auto"/>
              </w:rPr>
            </w:pPr>
            <w:r>
              <w:rPr>
                <w:rFonts w:ascii="Arial" w:cs="Arial" w:eastAsia="Arial" w:hAnsi="Arial"/>
                <w:sz w:val="13"/>
                <w:szCs w:val="13"/>
                <w:b w:val="1"/>
                <w:bCs w:val="1"/>
                <w:color w:val="auto"/>
              </w:rPr>
              <w:t>Subscriptions</w:t>
            </w:r>
          </w:p>
        </w:tc>
        <w:tc>
          <w:tcPr>
            <w:tcW w:w="100" w:type="dxa"/>
            <w:vAlign w:val="bottom"/>
          </w:tcPr>
          <w:p>
            <w:pPr>
              <w:spacing w:after="0"/>
              <w:rPr>
                <w:sz w:val="10"/>
                <w:szCs w:val="10"/>
                <w:color w:val="auto"/>
              </w:rPr>
            </w:pPr>
          </w:p>
        </w:tc>
        <w:tc>
          <w:tcPr>
            <w:tcW w:w="1100" w:type="dxa"/>
            <w:vAlign w:val="bottom"/>
            <w:gridSpan w:val="2"/>
          </w:tcPr>
          <w:p>
            <w:pPr>
              <w:jc w:val="center"/>
              <w:ind w:right="200"/>
              <w:spacing w:after="0" w:line="121" w:lineRule="exact"/>
              <w:rPr>
                <w:sz w:val="20"/>
                <w:szCs w:val="20"/>
                <w:color w:val="auto"/>
              </w:rPr>
            </w:pPr>
            <w:r>
              <w:rPr>
                <w:rFonts w:ascii="Arial" w:cs="Arial" w:eastAsia="Arial" w:hAnsi="Arial"/>
                <w:sz w:val="13"/>
                <w:szCs w:val="13"/>
                <w:b w:val="1"/>
                <w:bCs w:val="1"/>
                <w:color w:val="auto"/>
              </w:rPr>
              <w:t>Accumulated</w:t>
            </w:r>
          </w:p>
        </w:tc>
        <w:tc>
          <w:tcPr>
            <w:tcW w:w="1140" w:type="dxa"/>
            <w:vAlign w:val="bottom"/>
            <w:gridSpan w:val="2"/>
          </w:tcPr>
          <w:p>
            <w:pPr>
              <w:jc w:val="center"/>
              <w:spacing w:after="0" w:line="121"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7"/>
                <w:szCs w:val="17"/>
                <w:color w:val="auto"/>
              </w:rPr>
            </w:pPr>
          </w:p>
        </w:tc>
        <w:tc>
          <w:tcPr>
            <w:tcW w:w="94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7"/>
                <w:szCs w:val="17"/>
                <w:color w:val="auto"/>
              </w:rPr>
            </w:pPr>
          </w:p>
        </w:tc>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paid-in capital</w:t>
            </w:r>
          </w:p>
        </w:tc>
        <w:tc>
          <w:tcPr>
            <w:tcW w:w="160" w:type="dxa"/>
            <w:vAlign w:val="bottom"/>
          </w:tcPr>
          <w:p>
            <w:pPr>
              <w:spacing w:after="0"/>
              <w:rPr>
                <w:sz w:val="17"/>
                <w:szCs w:val="17"/>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receivable</w:t>
            </w:r>
          </w:p>
        </w:tc>
        <w:tc>
          <w:tcPr>
            <w:tcW w:w="1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deficit</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142"/>
        </w:trPr>
        <w:tc>
          <w:tcPr>
            <w:tcW w:w="200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Six months ended June</w:t>
            </w:r>
          </w:p>
        </w:tc>
        <w:tc>
          <w:tcPr>
            <w:tcW w:w="10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30, 2022</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20"/>
              <w:spacing w:after="0" w:line="162" w:lineRule="exact"/>
              <w:rPr>
                <w:sz w:val="20"/>
                <w:szCs w:val="20"/>
                <w:color w:val="auto"/>
              </w:rPr>
            </w:pPr>
            <w:r>
              <w:rPr>
                <w:rFonts w:ascii="Arial" w:cs="Arial" w:eastAsia="Arial" w:hAnsi="Arial"/>
                <w:sz w:val="16"/>
                <w:szCs w:val="16"/>
                <w:color w:val="auto"/>
              </w:rPr>
              <w:t>Balance at December 31,</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81,400,860</w:t>
            </w:r>
          </w:p>
        </w:tc>
        <w:tc>
          <w:tcPr>
            <w:tcW w:w="80" w:type="dxa"/>
            <w:vAlign w:val="bottom"/>
          </w:tcPr>
          <w:p>
            <w:pPr>
              <w:spacing w:after="0"/>
              <w:rPr>
                <w:sz w:val="14"/>
                <w:szCs w:val="14"/>
                <w:color w:val="auto"/>
              </w:rPr>
            </w:pPr>
          </w:p>
        </w:tc>
        <w:tc>
          <w:tcPr>
            <w:tcW w:w="780" w:type="dxa"/>
            <w:vAlign w:val="bottom"/>
            <w:vMerge w:val="restart"/>
          </w:tcPr>
          <w:p>
            <w:pPr>
              <w:jc w:val="right"/>
              <w:ind w:right="601"/>
              <w:spacing w:after="0"/>
              <w:rPr>
                <w:sz w:val="20"/>
                <w:szCs w:val="20"/>
                <w:color w:val="auto"/>
              </w:rPr>
            </w:pPr>
            <w:r>
              <w:rPr>
                <w:rFonts w:ascii="Arial" w:cs="Arial" w:eastAsia="Arial" w:hAnsi="Arial"/>
                <w:sz w:val="16"/>
                <w:szCs w:val="16"/>
                <w:color w:val="auto"/>
                <w:w w:val="89"/>
              </w:rPr>
              <w:t>$</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142,515</w:t>
            </w:r>
          </w:p>
        </w:tc>
        <w:tc>
          <w:tcPr>
            <w:tcW w:w="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vMerge w:val="restart"/>
          </w:tcPr>
          <w:p>
            <w:pPr>
              <w:ind w:left="74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(65,906)</w:t>
            </w:r>
          </w:p>
        </w:tc>
        <w:tc>
          <w:tcPr>
            <w:tcW w:w="80" w:type="dxa"/>
            <w:vAlign w:val="bottom"/>
          </w:tcPr>
          <w:p>
            <w:pPr>
              <w:spacing w:after="0"/>
              <w:rPr>
                <w:sz w:val="14"/>
                <w:szCs w:val="14"/>
                <w:color w:val="auto"/>
              </w:rPr>
            </w:pPr>
          </w:p>
        </w:tc>
        <w:tc>
          <w:tcPr>
            <w:tcW w:w="260" w:type="dxa"/>
            <w:vAlign w:val="bottom"/>
            <w:vMerge w:val="restart"/>
          </w:tcPr>
          <w:p>
            <w:pPr>
              <w:jc w:val="right"/>
              <w:ind w:right="63"/>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76,615</w:t>
            </w:r>
          </w:p>
        </w:tc>
        <w:tc>
          <w:tcPr>
            <w:tcW w:w="0" w:type="dxa"/>
            <w:vAlign w:val="bottom"/>
          </w:tcPr>
          <w:p>
            <w:pPr>
              <w:spacing w:after="0"/>
              <w:rPr>
                <w:sz w:val="1"/>
                <w:szCs w:val="1"/>
                <w:color w:val="auto"/>
              </w:rPr>
            </w:pPr>
          </w:p>
        </w:tc>
      </w:tr>
      <w:tr>
        <w:trPr>
          <w:trHeight w:val="215"/>
        </w:trPr>
        <w:tc>
          <w:tcPr>
            <w:tcW w:w="2000" w:type="dxa"/>
            <w:vAlign w:val="bottom"/>
          </w:tcPr>
          <w:p>
            <w:pPr>
              <w:ind w:left="20"/>
              <w:spacing w:after="0"/>
              <w:rPr>
                <w:sz w:val="20"/>
                <w:szCs w:val="20"/>
                <w:color w:val="auto"/>
              </w:rPr>
            </w:pPr>
            <w:r>
              <w:rPr>
                <w:rFonts w:ascii="Arial" w:cs="Arial" w:eastAsia="Arial" w:hAnsi="Arial"/>
                <w:sz w:val="16"/>
                <w:szCs w:val="16"/>
                <w:color w:val="auto"/>
              </w:rPr>
              <w:t>2021</w:t>
            </w:r>
          </w:p>
        </w:tc>
        <w:tc>
          <w:tcPr>
            <w:tcW w:w="112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94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Issuance of common stock</w:t>
            </w: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rPr>
              <w:t>on exercise of stock</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307,075</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options</w:t>
            </w:r>
          </w:p>
        </w:tc>
        <w:tc>
          <w:tcPr>
            <w:tcW w:w="11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20"/>
              <w:spacing w:after="0" w:line="162" w:lineRule="exact"/>
              <w:rPr>
                <w:sz w:val="20"/>
                <w:szCs w:val="20"/>
                <w:color w:val="auto"/>
              </w:rPr>
            </w:pPr>
            <w:r>
              <w:rPr>
                <w:rFonts w:ascii="Arial" w:cs="Arial" w:eastAsia="Arial" w:hAnsi="Arial"/>
                <w:sz w:val="16"/>
                <w:szCs w:val="16"/>
                <w:color w:val="auto"/>
              </w:rPr>
              <w:t>Vesting of early exercised</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4"/>
                <w:szCs w:val="14"/>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751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ind w:left="7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215"/>
        </w:trPr>
        <w:tc>
          <w:tcPr>
            <w:tcW w:w="2000" w:type="dxa"/>
            <w:vAlign w:val="bottom"/>
          </w:tcPr>
          <w:p>
            <w:pPr>
              <w:ind w:left="180"/>
              <w:spacing w:after="0"/>
              <w:rPr>
                <w:sz w:val="20"/>
                <w:szCs w:val="20"/>
                <w:color w:val="auto"/>
              </w:rPr>
            </w:pPr>
            <w:r>
              <w:rPr>
                <w:rFonts w:ascii="Arial" w:cs="Arial" w:eastAsia="Arial" w:hAnsi="Arial"/>
                <w:sz w:val="16"/>
                <w:szCs w:val="16"/>
                <w:color w:val="auto"/>
              </w:rPr>
              <w:t>stock options</w:t>
            </w:r>
          </w:p>
        </w:tc>
        <w:tc>
          <w:tcPr>
            <w:tcW w:w="11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Issuance of restricted</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6,629</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units</w:t>
            </w:r>
          </w:p>
        </w:tc>
        <w:tc>
          <w:tcPr>
            <w:tcW w:w="11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20"/>
              <w:spacing w:after="0" w:line="162" w:lineRule="exact"/>
              <w:rPr>
                <w:sz w:val="20"/>
                <w:szCs w:val="20"/>
                <w:color w:val="auto"/>
              </w:rPr>
            </w:pPr>
            <w:r>
              <w:rPr>
                <w:rFonts w:ascii="Arial" w:cs="Arial" w:eastAsia="Arial" w:hAnsi="Arial"/>
                <w:sz w:val="16"/>
                <w:szCs w:val="16"/>
                <w:color w:val="auto"/>
              </w:rPr>
              <w:t>Repurchases of early</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(13,070)</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ind w:left="7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5"/>
        </w:trPr>
        <w:tc>
          <w:tcPr>
            <w:tcW w:w="2000" w:type="dxa"/>
            <w:vAlign w:val="bottom"/>
          </w:tcPr>
          <w:p>
            <w:pPr>
              <w:ind w:left="180"/>
              <w:spacing w:after="0"/>
              <w:rPr>
                <w:sz w:val="20"/>
                <w:szCs w:val="20"/>
                <w:color w:val="auto"/>
              </w:rPr>
            </w:pPr>
            <w:r>
              <w:rPr>
                <w:rFonts w:ascii="Arial" w:cs="Arial" w:eastAsia="Arial" w:hAnsi="Arial"/>
                <w:sz w:val="16"/>
                <w:szCs w:val="16"/>
                <w:color w:val="auto"/>
              </w:rPr>
              <w:t>exercised stock options</w:t>
            </w:r>
          </w:p>
        </w:tc>
        <w:tc>
          <w:tcPr>
            <w:tcW w:w="11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Issuance of common stock</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71,522</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1,188</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under Matching Plan</w:t>
            </w:r>
          </w:p>
        </w:tc>
        <w:tc>
          <w:tcPr>
            <w:tcW w:w="11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29,046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29,046</w:t>
            </w:r>
          </w:p>
        </w:tc>
        <w:tc>
          <w:tcPr>
            <w:tcW w:w="0" w:type="dxa"/>
            <w:vAlign w:val="bottom"/>
          </w:tcPr>
          <w:p>
            <w:pPr>
              <w:spacing w:after="0"/>
              <w:rPr>
                <w:sz w:val="1"/>
                <w:szCs w:val="1"/>
                <w:color w:val="auto"/>
              </w:rPr>
            </w:pPr>
          </w:p>
        </w:tc>
      </w:tr>
      <w:tr>
        <w:trPr>
          <w:trHeight w:val="217"/>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(15,370)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(15,370)</w:t>
            </w:r>
          </w:p>
        </w:tc>
        <w:tc>
          <w:tcPr>
            <w:tcW w:w="0" w:type="dxa"/>
            <w:vAlign w:val="bottom"/>
          </w:tcPr>
          <w:p>
            <w:pPr>
              <w:spacing w:after="0"/>
              <w:rPr>
                <w:sz w:val="1"/>
                <w:szCs w:val="1"/>
                <w:color w:val="auto"/>
              </w:rPr>
            </w:pPr>
          </w:p>
        </w:tc>
      </w:tr>
      <w:tr>
        <w:trPr>
          <w:trHeight w:val="210"/>
        </w:trPr>
        <w:tc>
          <w:tcPr>
            <w:tcW w:w="2000" w:type="dxa"/>
            <w:vAlign w:val="bottom"/>
          </w:tcPr>
          <w:p>
            <w:pPr>
              <w:ind w:left="20"/>
              <w:spacing w:after="0"/>
              <w:rPr>
                <w:sz w:val="20"/>
                <w:szCs w:val="20"/>
                <w:color w:val="auto"/>
              </w:rPr>
            </w:pPr>
            <w:r>
              <w:rPr>
                <w:rFonts w:ascii="Arial" w:cs="Arial" w:eastAsia="Arial" w:hAnsi="Arial"/>
                <w:sz w:val="16"/>
                <w:szCs w:val="16"/>
                <w:color w:val="auto"/>
              </w:rPr>
              <w:t>Balance at June 30, 2022</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81,773,016</w:t>
            </w:r>
          </w:p>
        </w:tc>
        <w:tc>
          <w:tcPr>
            <w:tcW w:w="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601"/>
              <w:spacing w:after="0"/>
              <w:rPr>
                <w:sz w:val="20"/>
                <w:szCs w:val="20"/>
                <w:color w:val="auto"/>
              </w:rPr>
            </w:pPr>
            <w:r>
              <w:rPr>
                <w:rFonts w:ascii="Arial" w:cs="Arial" w:eastAsia="Arial" w:hAnsi="Arial"/>
                <w:sz w:val="16"/>
                <w:szCs w:val="16"/>
                <w:color w:val="auto"/>
                <w:w w:val="8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173,961</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(81,276)</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92,691</w:t>
            </w:r>
          </w:p>
        </w:tc>
        <w:tc>
          <w:tcPr>
            <w:tcW w:w="0" w:type="dxa"/>
            <w:vAlign w:val="bottom"/>
          </w:tcPr>
          <w:p>
            <w:pPr>
              <w:spacing w:after="0"/>
              <w:rPr>
                <w:sz w:val="1"/>
                <w:szCs w:val="1"/>
                <w:color w:val="auto"/>
              </w:rPr>
            </w:pPr>
          </w:p>
        </w:tc>
      </w:tr>
      <w:tr>
        <w:trPr>
          <w:trHeight w:val="20"/>
        </w:trPr>
        <w:tc>
          <w:tcPr>
            <w:tcW w:w="20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Six months ended June</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20"/>
              <w:spacing w:after="0"/>
              <w:rPr>
                <w:sz w:val="20"/>
                <w:szCs w:val="20"/>
                <w:color w:val="auto"/>
              </w:rPr>
            </w:pPr>
            <w:r>
              <w:rPr>
                <w:rFonts w:ascii="Arial" w:cs="Arial" w:eastAsia="Arial" w:hAnsi="Arial"/>
                <w:sz w:val="16"/>
                <w:szCs w:val="16"/>
                <w:b w:val="1"/>
                <w:bCs w:val="1"/>
                <w:color w:val="auto"/>
              </w:rPr>
              <w:t>30, 2021</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Balance at December 31,</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4,203,139</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45,105</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29,366,940</w:t>
            </w:r>
          </w:p>
        </w:tc>
        <w:tc>
          <w:tcPr>
            <w:tcW w:w="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601"/>
              <w:spacing w:after="0"/>
              <w:rPr>
                <w:sz w:val="20"/>
                <w:szCs w:val="20"/>
                <w:color w:val="auto"/>
              </w:rPr>
            </w:pPr>
            <w:r>
              <w:rPr>
                <w:rFonts w:ascii="Arial" w:cs="Arial" w:eastAsia="Arial" w:hAnsi="Arial"/>
                <w:sz w:val="16"/>
                <w:szCs w:val="16"/>
                <w:color w:val="auto"/>
                <w:w w:val="89"/>
              </w:rPr>
              <w:t>$</w:t>
            </w: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w w:val="87"/>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21,312</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vMerge w:val="restart"/>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(52,348)</w:t>
            </w:r>
          </w:p>
        </w:tc>
        <w:tc>
          <w:tcPr>
            <w:tcW w:w="8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(31,036)</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20"/>
              <w:spacing w:after="0" w:line="162" w:lineRule="exact"/>
              <w:rPr>
                <w:sz w:val="20"/>
                <w:szCs w:val="20"/>
                <w:color w:val="auto"/>
              </w:rPr>
            </w:pPr>
            <w:r>
              <w:rPr>
                <w:rFonts w:ascii="Arial" w:cs="Arial" w:eastAsia="Arial" w:hAnsi="Arial"/>
                <w:sz w:val="16"/>
                <w:szCs w:val="16"/>
                <w:color w:val="auto"/>
              </w:rPr>
              <w:t>Issuance of common stock</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180"/>
              <w:spacing w:after="0" w:line="162" w:lineRule="exact"/>
              <w:rPr>
                <w:sz w:val="20"/>
                <w:szCs w:val="20"/>
                <w:color w:val="auto"/>
              </w:rPr>
            </w:pPr>
            <w:r>
              <w:rPr>
                <w:rFonts w:ascii="Arial" w:cs="Arial" w:eastAsia="Arial" w:hAnsi="Arial"/>
                <w:sz w:val="16"/>
                <w:szCs w:val="16"/>
                <w:color w:val="auto"/>
              </w:rPr>
              <w:t>on exercise of stock</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5,413,580</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2,731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ind w:left="420"/>
              <w:spacing w:after="0"/>
              <w:rPr>
                <w:sz w:val="20"/>
                <w:szCs w:val="20"/>
                <w:color w:val="auto"/>
              </w:rPr>
            </w:pPr>
            <w:r>
              <w:rPr>
                <w:rFonts w:ascii="Arial" w:cs="Arial" w:eastAsia="Arial" w:hAnsi="Arial"/>
                <w:sz w:val="16"/>
                <w:szCs w:val="16"/>
                <w:color w:val="auto"/>
              </w:rPr>
              <w:t>(1,760)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971</w:t>
            </w:r>
          </w:p>
        </w:tc>
        <w:tc>
          <w:tcPr>
            <w:tcW w:w="0" w:type="dxa"/>
            <w:vAlign w:val="bottom"/>
          </w:tcPr>
          <w:p>
            <w:pPr>
              <w:spacing w:after="0"/>
              <w:rPr>
                <w:sz w:val="1"/>
                <w:szCs w:val="1"/>
                <w:color w:val="auto"/>
              </w:rPr>
            </w:pPr>
          </w:p>
        </w:tc>
      </w:tr>
      <w:tr>
        <w:trPr>
          <w:trHeight w:val="215"/>
        </w:trPr>
        <w:tc>
          <w:tcPr>
            <w:tcW w:w="2000" w:type="dxa"/>
            <w:vAlign w:val="bottom"/>
          </w:tcPr>
          <w:p>
            <w:pPr>
              <w:ind w:left="180"/>
              <w:spacing w:after="0"/>
              <w:rPr>
                <w:sz w:val="20"/>
                <w:szCs w:val="20"/>
                <w:color w:val="auto"/>
              </w:rPr>
            </w:pPr>
            <w:r>
              <w:rPr>
                <w:rFonts w:ascii="Arial" w:cs="Arial" w:eastAsia="Arial" w:hAnsi="Arial"/>
                <w:sz w:val="16"/>
                <w:szCs w:val="16"/>
                <w:color w:val="auto"/>
              </w:rPr>
              <w:t>options</w:t>
            </w:r>
          </w:p>
        </w:tc>
        <w:tc>
          <w:tcPr>
            <w:tcW w:w="11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1,598</w:t>
            </w:r>
          </w:p>
        </w:tc>
        <w:tc>
          <w:tcPr>
            <w:tcW w:w="0" w:type="dxa"/>
            <w:vAlign w:val="bottom"/>
          </w:tcPr>
          <w:p>
            <w:pPr>
              <w:spacing w:after="0"/>
              <w:rPr>
                <w:sz w:val="1"/>
                <w:szCs w:val="1"/>
                <w:color w:val="auto"/>
              </w:rPr>
            </w:pPr>
          </w:p>
        </w:tc>
      </w:tr>
      <w:tr>
        <w:trPr>
          <w:trHeight w:val="215"/>
        </w:trPr>
        <w:tc>
          <w:tcPr>
            <w:tcW w:w="20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14,674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14,674</w:t>
            </w:r>
          </w:p>
        </w:tc>
        <w:tc>
          <w:tcPr>
            <w:tcW w:w="0" w:type="dxa"/>
            <w:vAlign w:val="bottom"/>
          </w:tcPr>
          <w:p>
            <w:pPr>
              <w:spacing w:after="0"/>
              <w:rPr>
                <w:sz w:val="1"/>
                <w:szCs w:val="1"/>
                <w:color w:val="auto"/>
              </w:rPr>
            </w:pPr>
          </w:p>
        </w:tc>
      </w:tr>
      <w:tr>
        <w:trPr>
          <w:trHeight w:val="235"/>
        </w:trPr>
        <w:tc>
          <w:tcPr>
            <w:tcW w:w="2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2021</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4,203,139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45,105</w:t>
            </w:r>
          </w:p>
        </w:tc>
        <w:tc>
          <w:tcPr>
            <w:tcW w:w="10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34,780,520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ind w:right="601"/>
              <w:spacing w:after="0"/>
              <w:rPr>
                <w:sz w:val="20"/>
                <w:szCs w:val="20"/>
                <w:color w:val="auto"/>
              </w:rPr>
            </w:pPr>
            <w:r>
              <w:rPr>
                <w:rFonts w:ascii="Arial" w:cs="Arial" w:eastAsia="Arial" w:hAnsi="Arial"/>
                <w:sz w:val="16"/>
                <w:szCs w:val="16"/>
                <w:color w:val="auto"/>
                <w:w w:val="8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25,641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(1,760)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(37,674)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(13,793)</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jc w:val="center"/>
        <w:spacing w:after="0" w:line="233" w:lineRule="auto"/>
        <w:rPr>
          <w:sz w:val="20"/>
          <w:szCs w:val="20"/>
          <w:color w:val="auto"/>
        </w:rPr>
      </w:pPr>
      <w:r>
        <w:rPr>
          <w:rFonts w:ascii="Calibri" w:cs="Calibri" w:eastAsia="Calibri" w:hAnsi="Calibri"/>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240030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right"/>
              <w:ind w:right="157"/>
              <w:spacing w:after="0"/>
              <w:rPr>
                <w:sz w:val="20"/>
                <w:szCs w:val="20"/>
                <w:color w:val="auto"/>
              </w:rPr>
            </w:pPr>
            <w:r>
              <w:rPr>
                <w:rFonts w:ascii="Arial" w:cs="Arial" w:eastAsia="Arial" w:hAnsi="Arial"/>
                <w:sz w:val="13"/>
                <w:szCs w:val="13"/>
                <w:b w:val="1"/>
                <w:bCs w:val="1"/>
                <w:color w:val="auto"/>
              </w:rPr>
              <w:t>Six months ended June 30,</w:t>
            </w:r>
          </w:p>
        </w:tc>
        <w:tc>
          <w:tcPr>
            <w:tcW w:w="1840" w:type="dxa"/>
            <w:vAlign w:val="bottom"/>
            <w:tcBorders>
              <w:bottom w:val="single" w:sz="8" w:color="auto"/>
            </w:tcBorders>
          </w:tcPr>
          <w:p>
            <w:pPr>
              <w:spacing w:after="0"/>
              <w:rPr>
                <w:sz w:val="15"/>
                <w:szCs w:val="15"/>
                <w:color w:val="auto"/>
              </w:rPr>
            </w:pPr>
          </w:p>
        </w:tc>
      </w:tr>
      <w:tr>
        <w:trPr>
          <w:trHeight w:val="169"/>
        </w:trPr>
        <w:tc>
          <w:tcPr>
            <w:tcW w:w="5520" w:type="dxa"/>
            <w:vAlign w:val="bottom"/>
          </w:tcPr>
          <w:p>
            <w:pPr>
              <w:spacing w:after="0"/>
              <w:rPr>
                <w:sz w:val="14"/>
                <w:szCs w:val="14"/>
                <w:color w:val="auto"/>
              </w:rPr>
            </w:pPr>
          </w:p>
        </w:tc>
        <w:tc>
          <w:tcPr>
            <w:tcW w:w="17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2022</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1277"/>
              <w:spacing w:after="0"/>
              <w:rPr>
                <w:sz w:val="20"/>
                <w:szCs w:val="20"/>
                <w:color w:val="auto"/>
              </w:rPr>
            </w:pPr>
            <w:r>
              <w:rPr>
                <w:rFonts w:ascii="Arial" w:cs="Arial" w:eastAsia="Arial" w:hAnsi="Arial"/>
                <w:sz w:val="13"/>
                <w:szCs w:val="13"/>
                <w:b w:val="1"/>
                <w:bCs w:val="1"/>
                <w:color w:val="auto"/>
              </w:rPr>
              <w:t>2021</w:t>
            </w:r>
          </w:p>
        </w:tc>
      </w:tr>
      <w:tr>
        <w:trPr>
          <w:trHeight w:val="153"/>
        </w:trPr>
        <w:tc>
          <w:tcPr>
            <w:tcW w:w="5520" w:type="dxa"/>
            <w:vAlign w:val="bottom"/>
          </w:tcPr>
          <w:p>
            <w:pPr>
              <w:ind w:left="20"/>
              <w:spacing w:after="0" w:line="146" w:lineRule="exact"/>
              <w:rPr>
                <w:sz w:val="20"/>
                <w:szCs w:val="20"/>
                <w:color w:val="auto"/>
              </w:rPr>
            </w:pPr>
            <w:r>
              <w:rPr>
                <w:rFonts w:ascii="Arial" w:cs="Arial" w:eastAsia="Arial" w:hAnsi="Arial"/>
                <w:sz w:val="13"/>
                <w:szCs w:val="13"/>
                <w:color w:val="auto"/>
              </w:rPr>
              <w:t>Cash flows from operating activities:</w:t>
            </w:r>
          </w:p>
        </w:tc>
        <w:tc>
          <w:tcPr>
            <w:tcW w:w="1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182"/>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income</w:t>
            </w:r>
          </w:p>
        </w:tc>
        <w:tc>
          <w:tcPr>
            <w:tcW w:w="1760" w:type="dxa"/>
            <w:vAlign w:val="bottom"/>
            <w:shd w:val="clear" w:color="auto" w:fill="CCEEFF"/>
          </w:tcPr>
          <w:p>
            <w:pPr>
              <w:jc w:val="right"/>
              <w:ind w:right="161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(15,370)</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57"/>
              <w:spacing w:after="0"/>
              <w:rPr>
                <w:sz w:val="20"/>
                <w:szCs w:val="20"/>
                <w:color w:val="auto"/>
              </w:rPr>
            </w:pPr>
            <w:r>
              <w:rPr>
                <w:rFonts w:ascii="Arial" w:cs="Arial" w:eastAsia="Arial" w:hAnsi="Arial"/>
                <w:sz w:val="13"/>
                <w:szCs w:val="13"/>
                <w:color w:val="auto"/>
                <w:w w:val="82"/>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14,674</w:t>
            </w:r>
          </w:p>
        </w:tc>
      </w:tr>
      <w:tr>
        <w:trPr>
          <w:trHeight w:val="171"/>
        </w:trPr>
        <w:tc>
          <w:tcPr>
            <w:tcW w:w="5520" w:type="dxa"/>
            <w:vAlign w:val="bottom"/>
          </w:tcPr>
          <w:p>
            <w:pPr>
              <w:ind w:left="20"/>
              <w:spacing w:after="0"/>
              <w:rPr>
                <w:sz w:val="20"/>
                <w:szCs w:val="20"/>
                <w:color w:val="auto"/>
              </w:rPr>
            </w:pPr>
            <w:r>
              <w:rPr>
                <w:rFonts w:ascii="Arial" w:cs="Arial" w:eastAsia="Arial" w:hAnsi="Arial"/>
                <w:sz w:val="13"/>
                <w:szCs w:val="13"/>
                <w:color w:val="auto"/>
              </w:rPr>
              <w:t>Adjustments to reconcile net (loss) income to net cash provided by operating activities:</w:t>
            </w: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80"/>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7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2,735</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2,294</w:t>
            </w:r>
          </w:p>
        </w:tc>
      </w:tr>
      <w:tr>
        <w:trPr>
          <w:trHeight w:val="171"/>
        </w:trPr>
        <w:tc>
          <w:tcPr>
            <w:tcW w:w="5520" w:type="dxa"/>
            <w:vAlign w:val="bottom"/>
          </w:tcPr>
          <w:p>
            <w:pPr>
              <w:ind w:left="20"/>
              <w:spacing w:after="0"/>
              <w:rPr>
                <w:sz w:val="20"/>
                <w:szCs w:val="20"/>
                <w:color w:val="auto"/>
              </w:rPr>
            </w:pPr>
            <w:r>
              <w:rPr>
                <w:rFonts w:ascii="Arial" w:cs="Arial" w:eastAsia="Arial" w:hAnsi="Arial"/>
                <w:sz w:val="13"/>
                <w:szCs w:val="13"/>
                <w:color w:val="auto"/>
              </w:rPr>
              <w:t>Reduction of operating lease right-of-use assets</w:t>
            </w:r>
          </w:p>
        </w:tc>
        <w:tc>
          <w:tcPr>
            <w:tcW w:w="17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358</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365</w:t>
            </w:r>
          </w:p>
        </w:tc>
      </w:tr>
      <w:tr>
        <w:trPr>
          <w:trHeight w:val="180"/>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on impairment, receivables and sale or disposal of equipment</w:t>
            </w:r>
          </w:p>
        </w:tc>
        <w:tc>
          <w:tcPr>
            <w:tcW w:w="17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r>
      <w:tr>
        <w:trPr>
          <w:trHeight w:val="171"/>
        </w:trPr>
        <w:tc>
          <w:tcPr>
            <w:tcW w:w="552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17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28,428</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1,598</w:t>
            </w:r>
          </w:p>
        </w:tc>
      </w:tr>
      <w:tr>
        <w:trPr>
          <w:trHeight w:val="180"/>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original issuance discount and debt issuance costs</w:t>
            </w:r>
          </w:p>
        </w:tc>
        <w:tc>
          <w:tcPr>
            <w:tcW w:w="17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r>
      <w:tr>
        <w:trPr>
          <w:trHeight w:val="171"/>
        </w:trPr>
        <w:tc>
          <w:tcPr>
            <w:tcW w:w="5520" w:type="dxa"/>
            <w:vAlign w:val="bottom"/>
          </w:tcPr>
          <w:p>
            <w:pPr>
              <w:ind w:left="20"/>
              <w:spacing w:after="0"/>
              <w:rPr>
                <w:sz w:val="20"/>
                <w:szCs w:val="20"/>
                <w:color w:val="auto"/>
              </w:rPr>
            </w:pPr>
            <w:r>
              <w:rPr>
                <w:rFonts w:ascii="Arial" w:cs="Arial" w:eastAsia="Arial" w:hAnsi="Arial"/>
                <w:sz w:val="13"/>
                <w:szCs w:val="13"/>
                <w:color w:val="auto"/>
              </w:rPr>
              <w:t>Deferred tax assets</w:t>
            </w:r>
          </w:p>
        </w:tc>
        <w:tc>
          <w:tcPr>
            <w:tcW w:w="17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(319)</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Changes in assets and liabilities:</w:t>
            </w:r>
          </w:p>
        </w:tc>
        <w:tc>
          <w:tcPr>
            <w:tcW w:w="17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r>
      <w:tr>
        <w:trPr>
          <w:trHeight w:val="171"/>
        </w:trPr>
        <w:tc>
          <w:tcPr>
            <w:tcW w:w="5520" w:type="dxa"/>
            <w:vAlign w:val="bottom"/>
          </w:tcPr>
          <w:p>
            <w:pPr>
              <w:ind w:left="140"/>
              <w:spacing w:after="0"/>
              <w:rPr>
                <w:sz w:val="20"/>
                <w:szCs w:val="20"/>
                <w:color w:val="auto"/>
              </w:rPr>
            </w:pPr>
            <w:r>
              <w:rPr>
                <w:rFonts w:ascii="Arial" w:cs="Arial" w:eastAsia="Arial" w:hAnsi="Arial"/>
                <w:sz w:val="13"/>
                <w:szCs w:val="13"/>
                <w:color w:val="auto"/>
              </w:rPr>
              <w:t>Accounts receivable, net</w:t>
            </w:r>
          </w:p>
        </w:tc>
        <w:tc>
          <w:tcPr>
            <w:tcW w:w="17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(906)</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(3,513)</w:t>
            </w:r>
          </w:p>
        </w:tc>
      </w:tr>
      <w:tr>
        <w:trPr>
          <w:trHeight w:val="180"/>
        </w:trPr>
        <w:tc>
          <w:tcPr>
            <w:tcW w:w="5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Settlement assets</w:t>
            </w:r>
          </w:p>
        </w:tc>
        <w:tc>
          <w:tcPr>
            <w:tcW w:w="17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(8,999)</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(2,996)</w:t>
            </w:r>
          </w:p>
        </w:tc>
      </w:tr>
      <w:tr>
        <w:trPr>
          <w:trHeight w:val="171"/>
        </w:trPr>
        <w:tc>
          <w:tcPr>
            <w:tcW w:w="5520" w:type="dxa"/>
            <w:vAlign w:val="bottom"/>
          </w:tcPr>
          <w:p>
            <w:pPr>
              <w:ind w:left="140"/>
              <w:spacing w:after="0"/>
              <w:rPr>
                <w:sz w:val="20"/>
                <w:szCs w:val="20"/>
                <w:color w:val="auto"/>
              </w:rPr>
            </w:pPr>
            <w:r>
              <w:rPr>
                <w:rFonts w:ascii="Arial" w:cs="Arial" w:eastAsia="Arial" w:hAnsi="Arial"/>
                <w:sz w:val="13"/>
                <w:szCs w:val="13"/>
                <w:color w:val="auto"/>
              </w:rPr>
              <w:t>Prepaid expenses</w:t>
            </w:r>
          </w:p>
        </w:tc>
        <w:tc>
          <w:tcPr>
            <w:tcW w:w="17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2,006</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(1,542)</w:t>
            </w:r>
          </w:p>
        </w:tc>
      </w:tr>
      <w:tr>
        <w:trPr>
          <w:trHeight w:val="180"/>
        </w:trPr>
        <w:tc>
          <w:tcPr>
            <w:tcW w:w="5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Related party loan receivable</w:t>
            </w:r>
          </w:p>
        </w:tc>
        <w:tc>
          <w:tcPr>
            <w:tcW w:w="17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w:t>
            </w:r>
          </w:p>
        </w:tc>
      </w:tr>
      <w:tr>
        <w:trPr>
          <w:trHeight w:val="171"/>
        </w:trPr>
        <w:tc>
          <w:tcPr>
            <w:tcW w:w="552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17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1,193</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855</w:t>
            </w:r>
          </w:p>
        </w:tc>
      </w:tr>
      <w:tr>
        <w:trPr>
          <w:trHeight w:val="180"/>
        </w:trPr>
        <w:tc>
          <w:tcPr>
            <w:tcW w:w="5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assets</w:t>
            </w:r>
          </w:p>
        </w:tc>
        <w:tc>
          <w:tcPr>
            <w:tcW w:w="17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171"/>
        </w:trPr>
        <w:tc>
          <w:tcPr>
            <w:tcW w:w="5520" w:type="dxa"/>
            <w:vAlign w:val="bottom"/>
          </w:tcPr>
          <w:p>
            <w:pPr>
              <w:ind w:left="140"/>
              <w:spacing w:after="0"/>
              <w:rPr>
                <w:sz w:val="20"/>
                <w:szCs w:val="20"/>
                <w:color w:val="auto"/>
              </w:rPr>
            </w:pPr>
            <w:r>
              <w:rPr>
                <w:rFonts w:ascii="Arial" w:cs="Arial" w:eastAsia="Arial" w:hAnsi="Arial"/>
                <w:sz w:val="13"/>
                <w:szCs w:val="13"/>
                <w:color w:val="auto"/>
              </w:rPr>
              <w:t>Accounts payable</w:t>
            </w:r>
          </w:p>
        </w:tc>
        <w:tc>
          <w:tcPr>
            <w:tcW w:w="17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(1,583)</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(1,335)</w:t>
            </w:r>
          </w:p>
        </w:tc>
      </w:tr>
      <w:tr>
        <w:trPr>
          <w:trHeight w:val="180"/>
        </w:trPr>
        <w:tc>
          <w:tcPr>
            <w:tcW w:w="5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expenses and other liabilities</w:t>
            </w:r>
          </w:p>
        </w:tc>
        <w:tc>
          <w:tcPr>
            <w:tcW w:w="17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(1,366)</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6,768</w:t>
            </w:r>
          </w:p>
        </w:tc>
      </w:tr>
      <w:tr>
        <w:trPr>
          <w:trHeight w:val="171"/>
        </w:trPr>
        <w:tc>
          <w:tcPr>
            <w:tcW w:w="5520" w:type="dxa"/>
            <w:vAlign w:val="bottom"/>
          </w:tcPr>
          <w:p>
            <w:pPr>
              <w:ind w:left="140"/>
              <w:spacing w:after="0"/>
              <w:rPr>
                <w:sz w:val="20"/>
                <w:szCs w:val="20"/>
                <w:color w:val="auto"/>
              </w:rPr>
            </w:pPr>
            <w:r>
              <w:rPr>
                <w:rFonts w:ascii="Arial" w:cs="Arial" w:eastAsia="Arial" w:hAnsi="Arial"/>
                <w:sz w:val="13"/>
                <w:szCs w:val="13"/>
                <w:color w:val="auto"/>
              </w:rPr>
              <w:t>Operating lease liabilities</w:t>
            </w:r>
          </w:p>
        </w:tc>
        <w:tc>
          <w:tcPr>
            <w:tcW w:w="17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(404)</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(406)</w:t>
            </w:r>
          </w:p>
        </w:tc>
      </w:tr>
      <w:tr>
        <w:trPr>
          <w:trHeight w:val="180"/>
        </w:trPr>
        <w:tc>
          <w:tcPr>
            <w:tcW w:w="5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Settlement liabilities</w:t>
            </w:r>
          </w:p>
        </w:tc>
        <w:tc>
          <w:tcPr>
            <w:tcW w:w="17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19,910</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7,101</w:t>
            </w:r>
          </w:p>
        </w:tc>
      </w:tr>
      <w:tr>
        <w:trPr>
          <w:trHeight w:val="171"/>
        </w:trPr>
        <w:tc>
          <w:tcPr>
            <w:tcW w:w="55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liabilities</w:t>
            </w:r>
          </w:p>
        </w:tc>
        <w:tc>
          <w:tcPr>
            <w:tcW w:w="17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963</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472</w:t>
            </w:r>
          </w:p>
        </w:tc>
      </w:tr>
      <w:tr>
        <w:trPr>
          <w:trHeight w:val="174"/>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17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27,158</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24,213</w:t>
            </w:r>
          </w:p>
        </w:tc>
      </w:tr>
      <w:tr>
        <w:trPr>
          <w:trHeight w:val="151"/>
        </w:trPr>
        <w:tc>
          <w:tcPr>
            <w:tcW w:w="5520" w:type="dxa"/>
            <w:vAlign w:val="bottom"/>
          </w:tcPr>
          <w:p>
            <w:pPr>
              <w:ind w:left="20"/>
              <w:spacing w:after="0" w:line="146" w:lineRule="exact"/>
              <w:rPr>
                <w:sz w:val="20"/>
                <w:szCs w:val="20"/>
                <w:color w:val="auto"/>
              </w:rPr>
            </w:pPr>
            <w:r>
              <w:rPr>
                <w:rFonts w:ascii="Arial" w:cs="Arial" w:eastAsia="Arial" w:hAnsi="Arial"/>
                <w:sz w:val="13"/>
                <w:szCs w:val="13"/>
                <w:color w:val="auto"/>
              </w:rPr>
              <w:t>Cash flows from investing activities:</w:t>
            </w:r>
          </w:p>
        </w:tc>
        <w:tc>
          <w:tcPr>
            <w:tcW w:w="1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180"/>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property and equipment</w:t>
            </w:r>
          </w:p>
        </w:tc>
        <w:tc>
          <w:tcPr>
            <w:tcW w:w="17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(1,940)</w:t>
            </w:r>
          </w:p>
        </w:tc>
      </w:tr>
      <w:tr>
        <w:trPr>
          <w:trHeight w:val="171"/>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Software development costs</w:t>
            </w:r>
          </w:p>
        </w:tc>
        <w:tc>
          <w:tcPr>
            <w:tcW w:w="17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(468)</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(1,353)</w:t>
            </w:r>
          </w:p>
        </w:tc>
      </w:tr>
      <w:tr>
        <w:trPr>
          <w:trHeight w:val="174"/>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by investing activities</w:t>
            </w:r>
          </w:p>
        </w:tc>
        <w:tc>
          <w:tcPr>
            <w:tcW w:w="17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(735)</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(3,293)</w:t>
            </w:r>
          </w:p>
        </w:tc>
      </w:tr>
      <w:tr>
        <w:trPr>
          <w:trHeight w:val="151"/>
        </w:trPr>
        <w:tc>
          <w:tcPr>
            <w:tcW w:w="5520" w:type="dxa"/>
            <w:vAlign w:val="bottom"/>
          </w:tcPr>
          <w:p>
            <w:pPr>
              <w:ind w:left="20"/>
              <w:spacing w:after="0" w:line="146" w:lineRule="exact"/>
              <w:rPr>
                <w:sz w:val="20"/>
                <w:szCs w:val="20"/>
                <w:color w:val="auto"/>
              </w:rPr>
            </w:pPr>
            <w:r>
              <w:rPr>
                <w:rFonts w:ascii="Arial" w:cs="Arial" w:eastAsia="Arial" w:hAnsi="Arial"/>
                <w:sz w:val="13"/>
                <w:szCs w:val="13"/>
                <w:color w:val="auto"/>
              </w:rPr>
              <w:t>Cash flows from financing activities:</w:t>
            </w:r>
          </w:p>
        </w:tc>
        <w:tc>
          <w:tcPr>
            <w:tcW w:w="1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180"/>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Principal payments of finance leases</w:t>
            </w:r>
          </w:p>
        </w:tc>
        <w:tc>
          <w:tcPr>
            <w:tcW w:w="17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w:t>
            </w:r>
          </w:p>
        </w:tc>
      </w:tr>
      <w:tr>
        <w:trPr>
          <w:trHeight w:val="171"/>
        </w:trPr>
        <w:tc>
          <w:tcPr>
            <w:tcW w:w="5520" w:type="dxa"/>
            <w:vAlign w:val="bottom"/>
          </w:tcPr>
          <w:p>
            <w:pPr>
              <w:ind w:left="20"/>
              <w:spacing w:after="0"/>
              <w:rPr>
                <w:sz w:val="20"/>
                <w:szCs w:val="20"/>
                <w:color w:val="auto"/>
              </w:rPr>
            </w:pPr>
            <w:r>
              <w:rPr>
                <w:rFonts w:ascii="Arial" w:cs="Arial" w:eastAsia="Arial" w:hAnsi="Arial"/>
                <w:sz w:val="13"/>
                <w:szCs w:val="13"/>
                <w:color w:val="auto"/>
              </w:rPr>
              <w:t>Principal payments of term loan</w:t>
            </w:r>
          </w:p>
        </w:tc>
        <w:tc>
          <w:tcPr>
            <w:tcW w:w="17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(297)</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(1,231)</w:t>
            </w:r>
          </w:p>
        </w:tc>
      </w:tr>
      <w:tr>
        <w:trPr>
          <w:trHeight w:val="180"/>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Repurchases of early exercised stock options</w:t>
            </w:r>
          </w:p>
        </w:tc>
        <w:tc>
          <w:tcPr>
            <w:tcW w:w="17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5520" w:type="dxa"/>
            <w:vAlign w:val="bottom"/>
          </w:tcPr>
          <w:p>
            <w:pPr>
              <w:ind w:left="20"/>
              <w:spacing w:after="0"/>
              <w:rPr>
                <w:sz w:val="20"/>
                <w:szCs w:val="20"/>
                <w:color w:val="auto"/>
              </w:rPr>
            </w:pPr>
            <w:r>
              <w:rPr>
                <w:rFonts w:ascii="Arial" w:cs="Arial" w:eastAsia="Arial" w:hAnsi="Arial"/>
                <w:sz w:val="13"/>
                <w:szCs w:val="13"/>
                <w:color w:val="auto"/>
              </w:rPr>
              <w:t>Proceeds from common stock purchased under Matching Plan</w:t>
            </w:r>
          </w:p>
        </w:tc>
        <w:tc>
          <w:tcPr>
            <w:tcW w:w="17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1,188</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Payments of deferred offering costs</w:t>
            </w:r>
          </w:p>
        </w:tc>
        <w:tc>
          <w:tcPr>
            <w:tcW w:w="17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(3,343)</w:t>
            </w:r>
          </w:p>
        </w:tc>
      </w:tr>
      <w:tr>
        <w:trPr>
          <w:trHeight w:val="171"/>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Proceeds from issuance of common stock on exercise of stock options</w:t>
            </w:r>
          </w:p>
        </w:tc>
        <w:tc>
          <w:tcPr>
            <w:tcW w:w="17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519</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971</w:t>
            </w:r>
          </w:p>
        </w:tc>
      </w:tr>
      <w:tr>
        <w:trPr>
          <w:trHeight w:val="174"/>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(used) by financing activities</w:t>
            </w:r>
          </w:p>
        </w:tc>
        <w:tc>
          <w:tcPr>
            <w:tcW w:w="17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996</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(3,988)</w:t>
            </w:r>
          </w:p>
        </w:tc>
      </w:tr>
      <w:tr>
        <w:trPr>
          <w:trHeight w:val="164"/>
        </w:trPr>
        <w:tc>
          <w:tcPr>
            <w:tcW w:w="5520" w:type="dxa"/>
            <w:vAlign w:val="bottom"/>
          </w:tcPr>
          <w:p>
            <w:pPr>
              <w:ind w:left="20"/>
              <w:spacing w:after="0"/>
              <w:rPr>
                <w:sz w:val="20"/>
                <w:szCs w:val="20"/>
                <w:color w:val="auto"/>
              </w:rPr>
            </w:pPr>
            <w:r>
              <w:rPr>
                <w:rFonts w:ascii="Arial" w:cs="Arial" w:eastAsia="Arial" w:hAnsi="Arial"/>
                <w:sz w:val="13"/>
                <w:szCs w:val="13"/>
                <w:color w:val="auto"/>
              </w:rPr>
              <w:t>Net increase in cash and cash equivalents and restricted cash</w:t>
            </w:r>
          </w:p>
        </w:tc>
        <w:tc>
          <w:tcPr>
            <w:tcW w:w="17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27,419</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16,932</w:t>
            </w:r>
          </w:p>
        </w:tc>
      </w:tr>
      <w:tr>
        <w:trPr>
          <w:trHeight w:val="175"/>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and restricted cash, beginning of period</w:t>
            </w:r>
          </w:p>
        </w:tc>
        <w:tc>
          <w:tcPr>
            <w:tcW w:w="17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125,315</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46,878</w:t>
            </w:r>
          </w:p>
        </w:tc>
      </w:tr>
      <w:tr>
        <w:trPr>
          <w:trHeight w:val="174"/>
        </w:trPr>
        <w:tc>
          <w:tcPr>
            <w:tcW w:w="5520" w:type="dxa"/>
            <w:vAlign w:val="bottom"/>
          </w:tcPr>
          <w:p>
            <w:pPr>
              <w:ind w:left="20"/>
              <w:spacing w:after="0"/>
              <w:rPr>
                <w:sz w:val="20"/>
                <w:szCs w:val="20"/>
                <w:color w:val="auto"/>
              </w:rPr>
            </w:pPr>
            <w:r>
              <w:rPr>
                <w:rFonts w:ascii="Arial" w:cs="Arial" w:eastAsia="Arial" w:hAnsi="Arial"/>
                <w:sz w:val="13"/>
                <w:szCs w:val="13"/>
                <w:color w:val="auto"/>
              </w:rPr>
              <w:t>Cash and cash equivalents and restricted cash, end of period</w:t>
            </w:r>
          </w:p>
        </w:tc>
        <w:tc>
          <w:tcPr>
            <w:tcW w:w="1760" w:type="dxa"/>
            <w:vAlign w:val="bottom"/>
            <w:tcBorders>
              <w:bottom w:val="single" w:sz="8" w:color="auto"/>
            </w:tcBorders>
          </w:tcPr>
          <w:p>
            <w:pPr>
              <w:jc w:val="right"/>
              <w:ind w:right="161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152,734</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ind w:right="957"/>
              <w:spacing w:after="0"/>
              <w:rPr>
                <w:sz w:val="20"/>
                <w:szCs w:val="20"/>
                <w:color w:val="auto"/>
              </w:rPr>
            </w:pPr>
            <w:r>
              <w:rPr>
                <w:rFonts w:ascii="Arial" w:cs="Arial" w:eastAsia="Arial" w:hAnsi="Arial"/>
                <w:sz w:val="13"/>
                <w:szCs w:val="13"/>
                <w:color w:val="auto"/>
                <w:w w:val="82"/>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63,810</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43"/>
        </w:trPr>
        <w:tc>
          <w:tcPr>
            <w:tcW w:w="552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color w:val="auto"/>
              </w:rPr>
              <w:t>Supplemental disclosure of cash flow information:</w:t>
            </w:r>
          </w:p>
        </w:tc>
        <w:tc>
          <w:tcPr>
            <w:tcW w:w="17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r>
      <w:tr>
        <w:trPr>
          <w:trHeight w:val="171"/>
        </w:trPr>
        <w:tc>
          <w:tcPr>
            <w:tcW w:w="5520" w:type="dxa"/>
            <w:vAlign w:val="bottom"/>
          </w:tcPr>
          <w:p>
            <w:pPr>
              <w:ind w:left="20"/>
              <w:spacing w:after="0"/>
              <w:rPr>
                <w:sz w:val="20"/>
                <w:szCs w:val="20"/>
                <w:color w:val="auto"/>
              </w:rPr>
            </w:pPr>
            <w:r>
              <w:rPr>
                <w:rFonts w:ascii="Arial" w:cs="Arial" w:eastAsia="Arial" w:hAnsi="Arial"/>
                <w:sz w:val="13"/>
                <w:szCs w:val="13"/>
                <w:color w:val="auto"/>
              </w:rPr>
              <w:t>Cash paid for interest</w:t>
            </w:r>
          </w:p>
        </w:tc>
        <w:tc>
          <w:tcPr>
            <w:tcW w:w="1760" w:type="dxa"/>
            <w:vAlign w:val="bottom"/>
          </w:tcPr>
          <w:p>
            <w:pPr>
              <w:jc w:val="right"/>
              <w:ind w:right="161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1,750</w:t>
            </w:r>
          </w:p>
        </w:tc>
        <w:tc>
          <w:tcPr>
            <w:tcW w:w="100" w:type="dxa"/>
            <w:vAlign w:val="bottom"/>
          </w:tcPr>
          <w:p>
            <w:pPr>
              <w:spacing w:after="0"/>
              <w:rPr>
                <w:sz w:val="14"/>
                <w:szCs w:val="14"/>
                <w:color w:val="auto"/>
              </w:rPr>
            </w:pPr>
          </w:p>
        </w:tc>
        <w:tc>
          <w:tcPr>
            <w:tcW w:w="1100" w:type="dxa"/>
            <w:vAlign w:val="bottom"/>
          </w:tcPr>
          <w:p>
            <w:pPr>
              <w:jc w:val="right"/>
              <w:ind w:right="957"/>
              <w:spacing w:after="0"/>
              <w:rPr>
                <w:sz w:val="20"/>
                <w:szCs w:val="20"/>
                <w:color w:val="auto"/>
              </w:rPr>
            </w:pPr>
            <w:r>
              <w:rPr>
                <w:rFonts w:ascii="Arial" w:cs="Arial" w:eastAsia="Arial" w:hAnsi="Arial"/>
                <w:sz w:val="13"/>
                <w:szCs w:val="13"/>
                <w:color w:val="auto"/>
                <w:w w:val="82"/>
              </w:rPr>
              <w:t>$</w:t>
            </w:r>
          </w:p>
        </w:tc>
        <w:tc>
          <w:tcPr>
            <w:tcW w:w="1840" w:type="dxa"/>
            <w:vAlign w:val="bottom"/>
          </w:tcPr>
          <w:p>
            <w:pPr>
              <w:jc w:val="right"/>
              <w:spacing w:after="0"/>
              <w:rPr>
                <w:sz w:val="20"/>
                <w:szCs w:val="20"/>
                <w:color w:val="auto"/>
              </w:rPr>
            </w:pPr>
            <w:r>
              <w:rPr>
                <w:rFonts w:ascii="Arial" w:cs="Arial" w:eastAsia="Arial" w:hAnsi="Arial"/>
                <w:sz w:val="13"/>
                <w:szCs w:val="13"/>
                <w:color w:val="auto"/>
              </w:rPr>
              <w:t>1,445</w:t>
            </w:r>
          </w:p>
        </w:tc>
      </w:tr>
      <w:tr>
        <w:trPr>
          <w:trHeight w:val="180"/>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paid for income taxes</w:t>
            </w:r>
          </w:p>
        </w:tc>
        <w:tc>
          <w:tcPr>
            <w:tcW w:w="1760" w:type="dxa"/>
            <w:vAlign w:val="bottom"/>
            <w:shd w:val="clear" w:color="auto" w:fill="CCEEFF"/>
          </w:tcPr>
          <w:p>
            <w:pPr>
              <w:jc w:val="right"/>
              <w:ind w:right="161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606</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57"/>
              <w:spacing w:after="0"/>
              <w:rPr>
                <w:sz w:val="20"/>
                <w:szCs w:val="20"/>
                <w:color w:val="auto"/>
              </w:rPr>
            </w:pPr>
            <w:r>
              <w:rPr>
                <w:rFonts w:ascii="Arial" w:cs="Arial" w:eastAsia="Arial" w:hAnsi="Arial"/>
                <w:sz w:val="13"/>
                <w:szCs w:val="13"/>
                <w:color w:val="auto"/>
                <w:w w:val="82"/>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5,122</w:t>
            </w:r>
          </w:p>
        </w:tc>
      </w:tr>
      <w:tr>
        <w:trPr>
          <w:trHeight w:val="171"/>
        </w:trPr>
        <w:tc>
          <w:tcPr>
            <w:tcW w:w="5520" w:type="dxa"/>
            <w:vAlign w:val="bottom"/>
          </w:tcPr>
          <w:p>
            <w:pPr>
              <w:ind w:left="20"/>
              <w:spacing w:after="0"/>
              <w:rPr>
                <w:sz w:val="20"/>
                <w:szCs w:val="20"/>
                <w:color w:val="auto"/>
              </w:rPr>
            </w:pPr>
            <w:r>
              <w:rPr>
                <w:rFonts w:ascii="Arial" w:cs="Arial" w:eastAsia="Arial" w:hAnsi="Arial"/>
                <w:sz w:val="13"/>
                <w:szCs w:val="13"/>
                <w:color w:val="auto"/>
              </w:rPr>
              <w:t>Noncash investing and financing items:</w:t>
            </w: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80"/>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deferred offering costs</w:t>
            </w:r>
          </w:p>
        </w:tc>
        <w:tc>
          <w:tcPr>
            <w:tcW w:w="1760" w:type="dxa"/>
            <w:vAlign w:val="bottom"/>
            <w:shd w:val="clear" w:color="auto" w:fill="CCEEFF"/>
          </w:tcPr>
          <w:p>
            <w:pPr>
              <w:jc w:val="right"/>
              <w:ind w:right="1617"/>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957"/>
              <w:spacing w:after="0"/>
              <w:rPr>
                <w:sz w:val="20"/>
                <w:szCs w:val="20"/>
                <w:color w:val="auto"/>
              </w:rPr>
            </w:pPr>
            <w:r>
              <w:rPr>
                <w:rFonts w:ascii="Arial" w:cs="Arial" w:eastAsia="Arial" w:hAnsi="Arial"/>
                <w:sz w:val="13"/>
                <w:szCs w:val="13"/>
                <w:color w:val="auto"/>
                <w:w w:val="82"/>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821</w:t>
            </w:r>
          </w:p>
        </w:tc>
      </w:tr>
      <w:tr>
        <w:trPr>
          <w:trHeight w:val="122"/>
        </w:trPr>
        <w:tc>
          <w:tcPr>
            <w:tcW w:w="5520" w:type="dxa"/>
            <w:vAlign w:val="bottom"/>
          </w:tcPr>
          <w:p>
            <w:pPr>
              <w:ind w:left="20"/>
              <w:spacing w:after="0" w:line="122" w:lineRule="exact"/>
              <w:rPr>
                <w:sz w:val="20"/>
                <w:szCs w:val="20"/>
                <w:color w:val="auto"/>
              </w:rPr>
            </w:pPr>
            <w:r>
              <w:rPr>
                <w:rFonts w:ascii="Arial" w:cs="Arial" w:eastAsia="Arial" w:hAnsi="Arial"/>
                <w:sz w:val="13"/>
                <w:szCs w:val="13"/>
                <w:color w:val="auto"/>
              </w:rPr>
              <w:t>Reconciliation of cash, cash equivalents and restricted cash to the condensed consolidated</w:t>
            </w:r>
          </w:p>
        </w:tc>
        <w:tc>
          <w:tcPr>
            <w:tcW w:w="1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40" w:type="dxa"/>
            <w:vAlign w:val="bottom"/>
          </w:tcPr>
          <w:p>
            <w:pPr>
              <w:spacing w:after="0"/>
              <w:rPr>
                <w:sz w:val="10"/>
                <w:szCs w:val="10"/>
                <w:color w:val="auto"/>
              </w:rPr>
            </w:pPr>
          </w:p>
        </w:tc>
      </w:tr>
      <w:tr>
        <w:trPr>
          <w:trHeight w:val="166"/>
        </w:trPr>
        <w:tc>
          <w:tcPr>
            <w:tcW w:w="5520" w:type="dxa"/>
            <w:vAlign w:val="bottom"/>
          </w:tcPr>
          <w:p>
            <w:pPr>
              <w:ind w:left="180"/>
              <w:spacing w:after="0"/>
              <w:rPr>
                <w:sz w:val="20"/>
                <w:szCs w:val="20"/>
                <w:color w:val="auto"/>
              </w:rPr>
            </w:pPr>
            <w:r>
              <w:rPr>
                <w:rFonts w:ascii="Arial" w:cs="Arial" w:eastAsia="Arial" w:hAnsi="Arial"/>
                <w:sz w:val="13"/>
                <w:szCs w:val="13"/>
                <w:color w:val="auto"/>
              </w:rPr>
              <w:t>balance sheets</w:t>
            </w:r>
          </w:p>
        </w:tc>
        <w:tc>
          <w:tcPr>
            <w:tcW w:w="1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3"/>
        </w:trPr>
        <w:tc>
          <w:tcPr>
            <w:tcW w:w="5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175"/>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1760" w:type="dxa"/>
            <w:vAlign w:val="bottom"/>
            <w:shd w:val="clear" w:color="auto" w:fill="CCEEFF"/>
          </w:tcPr>
          <w:p>
            <w:pPr>
              <w:jc w:val="right"/>
              <w:ind w:right="161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105,537</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57"/>
              <w:spacing w:after="0"/>
              <w:rPr>
                <w:sz w:val="20"/>
                <w:szCs w:val="20"/>
                <w:color w:val="auto"/>
              </w:rPr>
            </w:pPr>
            <w:r>
              <w:rPr>
                <w:rFonts w:ascii="Arial" w:cs="Arial" w:eastAsia="Arial" w:hAnsi="Arial"/>
                <w:sz w:val="13"/>
                <w:szCs w:val="13"/>
                <w:color w:val="auto"/>
                <w:w w:val="82"/>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45,429</w:t>
            </w:r>
          </w:p>
        </w:tc>
      </w:tr>
      <w:tr>
        <w:trPr>
          <w:trHeight w:val="171"/>
        </w:trPr>
        <w:tc>
          <w:tcPr>
            <w:tcW w:w="5520" w:type="dxa"/>
            <w:vAlign w:val="bottom"/>
          </w:tcPr>
          <w:p>
            <w:pPr>
              <w:ind w:left="20"/>
              <w:spacing w:after="0"/>
              <w:rPr>
                <w:sz w:val="20"/>
                <w:szCs w:val="20"/>
                <w:color w:val="auto"/>
              </w:rPr>
            </w:pPr>
            <w:r>
              <w:rPr>
                <w:rFonts w:ascii="Arial" w:cs="Arial" w:eastAsia="Arial" w:hAnsi="Arial"/>
                <w:sz w:val="13"/>
                <w:szCs w:val="13"/>
                <w:color w:val="auto"/>
              </w:rPr>
              <w:t>Restricted cash included in other current assets</w:t>
            </w:r>
          </w:p>
        </w:tc>
        <w:tc>
          <w:tcPr>
            <w:tcW w:w="17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16,077</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3,652</w:t>
            </w:r>
          </w:p>
        </w:tc>
      </w:tr>
      <w:tr>
        <w:trPr>
          <w:trHeight w:val="180"/>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cash included in other assets</w:t>
            </w:r>
          </w:p>
        </w:tc>
        <w:tc>
          <w:tcPr>
            <w:tcW w:w="17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r>
      <w:tr>
        <w:trPr>
          <w:trHeight w:val="171"/>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Restricted cash included in settlement assets</w:t>
            </w:r>
          </w:p>
        </w:tc>
        <w:tc>
          <w:tcPr>
            <w:tcW w:w="17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31,120</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14,680</w:t>
            </w:r>
          </w:p>
        </w:tc>
      </w:tr>
      <w:tr>
        <w:trPr>
          <w:trHeight w:val="19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cash, cash equivalents and restricted cash</w:t>
            </w:r>
          </w:p>
        </w:tc>
        <w:tc>
          <w:tcPr>
            <w:tcW w:w="1760" w:type="dxa"/>
            <w:vAlign w:val="bottom"/>
            <w:tcBorders>
              <w:bottom w:val="single" w:sz="8" w:color="auto"/>
            </w:tcBorders>
            <w:shd w:val="clear" w:color="auto" w:fill="CCEEFF"/>
          </w:tcPr>
          <w:p>
            <w:pPr>
              <w:jc w:val="right"/>
              <w:ind w:right="161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152,734</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57"/>
              <w:spacing w:after="0"/>
              <w:rPr>
                <w:sz w:val="20"/>
                <w:szCs w:val="20"/>
                <w:color w:val="auto"/>
              </w:rPr>
            </w:pPr>
            <w:r>
              <w:rPr>
                <w:rFonts w:ascii="Arial" w:cs="Arial" w:eastAsia="Arial" w:hAnsi="Arial"/>
                <w:sz w:val="13"/>
                <w:szCs w:val="13"/>
                <w:color w:val="auto"/>
                <w:w w:val="82"/>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63,810</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9"/>
          <w:szCs w:val="29"/>
          <w:color w:val="auto"/>
        </w:rPr>
        <w:t>NOTE 1 – GENERAL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Business</w:t>
      </w:r>
    </w:p>
    <w:p>
      <w:pPr>
        <w:spacing w:after="0" w:line="15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Expensify, Inc. ("Expensify") was incorporated in Delaware on April 29, 2009. Expensify offers a comprehensive expense management platform that integrates with a variety of third-party accounting applications, including QuickBooks Desktop, QuickBooks Online, Xero, NetSuite, Intacct, Sage, Microsoft Dynamics, MYOB and others. Expensify's product simplifies the way that employees and vendors manage and submit expense receipts and bills and provides efficiencies to companies for the payment of those bills. Expensify delivers its services over the internet to corporations and individuals under a license arrangement and offers unique pricing options for small and midsized businesses and enterprises on a per-active-member basis.</w:t>
      </w:r>
    </w:p>
    <w:p>
      <w:pPr>
        <w:spacing w:after="0" w:line="115"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Expensify also offers an Expensify card ("Expensify Card"), which is primarily distributed to large corporate customers in the United States ("U.S.") that subsequently distribute the card to their employees for business use. The Expensify Card allows customers to have real-time control over their employees' spending and compliance with spending limits in addition to eReceipt reporting on purchases made.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accompanying condensed consolidated financial statements include the accounts of Expensify and its wholly-owned subsidiaries (the "Company") and have been prepared in accordance with United States generally accepted accounting principles ("GAAP") and the applicable rules and regulations of the Securities and Exchange Commission ("SEC") for interim reporting in conformity with the instructions to Form 10-Q and Article 10 of Regulation S-X. Certain information and footnote disclosures normally included in financial statements presented in accordance with GAAP have been condensed or omitted pursuant to such SEC rules. These condensed consolidated financial statements should be read in conjunction with the consolidated financial statements and notes thereto included in the Annual Report on Form 10-K for the year ended December 31, 2021 ("2021 Annual Report").</w:t>
      </w:r>
    </w:p>
    <w:p>
      <w:pPr>
        <w:spacing w:after="0" w:line="11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All intercompany transactions and balances have been eliminated in consolidation. In the opinion of management, the accompanying condensed consolidated financial statements reflect all normal and recurring adjustments that are necessary for the fair presentation of the Company's financial position, results of operations, equity, and cash flows for the periods presented.</w:t>
      </w:r>
    </w:p>
    <w:p>
      <w:pPr>
        <w:spacing w:after="0" w:line="9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Results of operations for the three and six months ended June 30, 2022 are not necessarily indicative of the results that may be expected for the year ending December 31, 2022 or for any other future annual or interim period.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158"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On October 27, 2021, the Company effected a ten-for-one stock split of its common stock. All share and per share information has been retroactively adjusted to reflect the stock split for all prior periods presented.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at the date of the condensed consolidated financial statements and the reported amounts of revenues and expenses during the reporting period. Estimates and judgments are based on historical experience, forecasted events and various other assumptions that the Company believes to be reasonable under the circumstances. Estimates and judgments are evaluated on an ongoing basis.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Actual results could differ from those estimates. Changes in estimates are recorded in the period in which they become known.</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Significant estimates and assumptions by management affect the Company’s revenues, classification of employee and employee-related expenses, the useful lives and recoverability of long-lived assets, income taxes, capitalization of internal-use software costs, and stock-based compensation.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Updates to Significant Accounting Policies</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Company’s significant accounting policies are discussed in Note 2 of the 2021 Annual Report. Since the date of the 2021 Annual Report, there have been no material changes to the Company's significant accounting policies, including the status of recent accounting pronouncements adopted, other than those detailed below.</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5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Restricted cash includes amounts deposited with a commercial bank required as collateral for corporate credit cards issued by the respective commercial bank in the U.S. and United Kingdom, cash in transit for funds held for customers to the Company's Payment Processor, Expensify Card collateral for funds held for customers, cash held by Expensify.org for social justice and equity efforts of Expensify.org, cash held on behalf of service providers to be used towards service provider share purchases at the end of the Matching Plan (as defined in Note</w:t>
      </w:r>
    </w:p>
    <w:p>
      <w:pPr>
        <w:spacing w:after="0" w:line="2" w:lineRule="exact"/>
        <w:rPr>
          <w:sz w:val="20"/>
          <w:szCs w:val="20"/>
          <w:color w:val="auto"/>
        </w:rPr>
      </w:pPr>
    </w:p>
    <w:p>
      <w:pPr>
        <w:ind w:right="720" w:firstLine="8"/>
        <w:spacing w:after="0" w:line="266" w:lineRule="auto"/>
        <w:tabs>
          <w:tab w:leader="none" w:pos="210" w:val="left"/>
        </w:tabs>
        <w:numPr>
          <w:ilvl w:val="0"/>
          <w:numId w:val="5"/>
        </w:numPr>
        <w:rPr>
          <w:rFonts w:ascii="Arial" w:cs="Arial" w:eastAsia="Arial" w:hAnsi="Arial"/>
          <w:sz w:val="18"/>
          <w:szCs w:val="18"/>
          <w:color w:val="auto"/>
        </w:rPr>
      </w:pPr>
      <w:r>
        <w:rPr>
          <w:rFonts w:ascii="Arial" w:cs="Arial" w:eastAsia="Arial" w:hAnsi="Arial"/>
          <w:sz w:val="18"/>
          <w:szCs w:val="18"/>
          <w:color w:val="auto"/>
        </w:rPr>
        <w:t>offering period, and settlement assets for funds held for customers that are deposited into a commercial bank account held by the Company for the benefit of the customers until remitted to the customers' members.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June 2016, the Financial Accounting Standards Board issued Accounting Standards Update ("ASU") No. 2016-13, </w:t>
      </w:r>
      <w:r>
        <w:rPr>
          <w:rFonts w:ascii="Arial" w:cs="Arial" w:eastAsia="Arial" w:hAnsi="Arial"/>
          <w:sz w:val="18"/>
          <w:szCs w:val="18"/>
          <w:i w:val="1"/>
          <w:iCs w:val="1"/>
          <w:color w:val="auto"/>
        </w:rPr>
        <w:t>Financial Instruments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Credit Losses </w:t>
      </w:r>
      <w:r>
        <w:rPr>
          <w:rFonts w:ascii="Arial" w:cs="Arial" w:eastAsia="Arial" w:hAnsi="Arial"/>
          <w:sz w:val="18"/>
          <w:szCs w:val="18"/>
          <w:color w:val="auto"/>
        </w:rPr>
        <w:t>(Topic 326)</w:t>
      </w:r>
      <w:r>
        <w:rPr>
          <w:rFonts w:ascii="Arial" w:cs="Arial" w:eastAsia="Arial" w:hAnsi="Arial"/>
          <w:sz w:val="18"/>
          <w:szCs w:val="18"/>
          <w:i w:val="1"/>
          <w:iCs w:val="1"/>
          <w:color w:val="auto"/>
        </w:rPr>
        <w:t xml:space="preserve"> Measurement of Credit Losses on Financial Instruments</w:t>
      </w:r>
      <w:r>
        <w:rPr>
          <w:rFonts w:ascii="Arial" w:cs="Arial" w:eastAsia="Arial" w:hAnsi="Arial"/>
          <w:sz w:val="18"/>
          <w:szCs w:val="18"/>
          <w:color w:val="auto"/>
        </w:rPr>
        <w:t>, which requires an impairment model (known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expected credit loss or "CECL Model") that is based on expected rather than incurred losses, with an anticipated result of more timely loss recognition. The CECL Model requires measurement of expected credit losses not only based on historical experience and current conditions, but also by including reasonable and supportable forecasts incorporating forward-looking information. As the Company will no longer qualify as an emerging growth company, as defined in the Jumpstart Our Business Startups Act of 2012, as of December 31, 2022, the guidance will be effective for the Company beginning with the annual reporting period ended December 31, 2022 and interim periods presented therein. The Company is in the process of determining key accounting interpretations, data requirements and necessary changes to credit loss estimation methods, processes and systems and the impact to the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right="2140"/>
        <w:spacing w:after="0" w:line="286" w:lineRule="auto"/>
        <w:rPr>
          <w:sz w:val="20"/>
          <w:szCs w:val="20"/>
          <w:color w:val="auto"/>
        </w:rPr>
      </w:pPr>
      <w:r>
        <w:rPr>
          <w:rFonts w:ascii="Arial" w:cs="Arial" w:eastAsia="Arial" w:hAnsi="Arial"/>
          <w:sz w:val="29"/>
          <w:szCs w:val="29"/>
          <w:color w:val="auto"/>
        </w:rPr>
        <w:t>NOTE 2 - REVENUE AND CERTAIN STATEMENTS OF OPERATIONS COMPONENTS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Revenue by geographic region, based on user address, was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top w:val="single" w:sz="8" w:color="auto"/>
            </w:tcBorders>
          </w:tcPr>
          <w:p>
            <w:pPr>
              <w:spacing w:after="0"/>
              <w:rPr>
                <w:sz w:val="19"/>
                <w:szCs w:val="19"/>
                <w:color w:val="auto"/>
              </w:rPr>
            </w:pPr>
          </w:p>
        </w:tc>
        <w:tc>
          <w:tcPr>
            <w:tcW w:w="2860" w:type="dxa"/>
            <w:vAlign w:val="bottom"/>
            <w:tcBorders>
              <w:top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6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r>
      <w:tr>
        <w:trPr>
          <w:trHeight w:val="224"/>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57,912</w:t>
            </w:r>
          </w:p>
        </w:tc>
      </w:tr>
      <w:tr>
        <w:trPr>
          <w:trHeight w:val="229"/>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locations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7,112</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65,024</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No individual customer represented more than 10% of the Company’s total revenue during the three and six months ended June 30, 2022 and 2021.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Cashback Rewards</w:t>
      </w:r>
    </w:p>
    <w:p>
      <w:pPr>
        <w:spacing w:after="0" w:line="1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offers a cashback rewards program to all customers based on volume of Expensify Card transactions and SaaS subscription tier. Cashback rewards are earned on a monthly basis and paid out the following month. The Company considers the cashback payments to customers as consideration payable to a customer and is recorded as contra revenue within Revenue on the condensed consolidated statements of operations. Cashback rewards for the three months and six months ended June 30, 2022 was $0.7 million and $1.2 million, respectively. There were no cashback rewards for the three months and six months ended June 30,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From a Vendor, net</w:t>
      </w:r>
    </w:p>
    <w:p>
      <w:pPr>
        <w:spacing w:after="0" w:line="144"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The Company receives consideration from a vendor for monetizing Expensify Card activities. This consideration, net of credit card processing fees paid to the vendor, is included as a reduction to Cost of revenue, net within the condensed consolidated statements of operations. Consideration from a vendor, net for the three months ended June 30, 2022 and 2021 was $1.5 million and $0.7 million, respectively. Consideration from a vendor, net for the six months ended June 30, 2022 and 2021 was $2.7 million and $1.1 million, respectively.</w:t>
      </w:r>
    </w:p>
    <w:p>
      <w:pPr>
        <w:spacing w:after="0" w:line="98" w:lineRule="exact"/>
        <w:rPr>
          <w:sz w:val="20"/>
          <w:szCs w:val="20"/>
          <w:color w:val="auto"/>
        </w:rPr>
      </w:pPr>
    </w:p>
    <w:p>
      <w:pPr>
        <w:spacing w:after="0"/>
        <w:rPr>
          <w:sz w:val="20"/>
          <w:szCs w:val="20"/>
          <w:color w:val="auto"/>
        </w:rPr>
      </w:pPr>
      <w:r>
        <w:rPr>
          <w:rFonts w:ascii="Arial" w:cs="Arial" w:eastAsia="Arial" w:hAnsi="Arial"/>
          <w:sz w:val="29"/>
          <w:szCs w:val="29"/>
          <w:color w:val="auto"/>
        </w:rPr>
        <w:t>NOTE 3 - CERTAIN BALANCE SHEET COMPONENTS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consisted of the following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9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Expensify.org restricted cash</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Expensify Card posted collateral for funds held for customers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5,115</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in transit for funds held for customers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 Payments LLC restricted cash</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Income tax receivable</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5,412</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Matching plan escrow</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Capitalized software, net consisted of the following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9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r>
      <w:tr>
        <w:trPr>
          <w:trHeight w:val="224"/>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10,966</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6,359</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Amortization expense related to capitalized software development costs is recorded in Cost of revenue, net on the condensed consolidated statements of operations. Amortization expense was $0.7 million and $0.4 million for the three months ended June 30, 2022 and 2021, respectively. Amortization expense was $1.3 million and $0.8 million for the six months ended June 30, 2022 and 2021,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9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equipment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1,462</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Commercial building</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6,493</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property and equipment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21,914</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(5,984)</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properly and equipment,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Depreciation expense related to property and equipment is recorded in General and administrative on the condensed consolidated statements of operations. Depreciation expense related to property and equipment for the three months ended June 30, 2022 and 2021 was $0.5 million and $0.5 million, respectively. Depreciation expense related to property and equipment for the six months ended June 30, 2022 and 2021 was $1.0 million and $1.1 million, respectively.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Liabilities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liabilities consisted of the following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9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 reports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Partner payouts and advertising fees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Hosting and license fees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Credit card processing fees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Sales, payroll and other taxes payable</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4,936</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Cashback rewards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Interest payable</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783</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common stock liability for early stock option exercises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Matching plan payroll liability</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11,046</w:t>
            </w:r>
          </w:p>
        </w:tc>
      </w:tr>
      <w:tr>
        <w:trPr>
          <w:trHeight w:val="20"/>
        </w:trPr>
        <w:tc>
          <w:tcPr>
            <w:tcW w:w="7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
        </w:trPr>
        <w:tc>
          <w:tcPr>
            <w:tcW w:w="7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29"/>
          <w:szCs w:val="29"/>
          <w:color w:val="auto"/>
        </w:rPr>
        <w:t>NOTE 4 - COMMITMENTS AND CONTINGENCIES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and Operating Lease Arrangements</w:t>
      </w:r>
    </w:p>
    <w:p>
      <w:pPr>
        <w:spacing w:after="0" w:line="15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Company did not enter into any additional operating lease agreements or finance lease agreements to finance the acquisition of new property and equipment during the six months ended June 30, 2022 and 2021.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 reflected in the condensed consolidated statements of operations were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Borders>
              <w:top w:val="single" w:sz="8" w:color="auto"/>
            </w:tcBorders>
          </w:tcPr>
          <w:p>
            <w:pPr>
              <w:spacing w:after="0"/>
              <w:rPr>
                <w:sz w:val="19"/>
                <w:szCs w:val="19"/>
                <w:color w:val="auto"/>
              </w:rPr>
            </w:pPr>
          </w:p>
        </w:tc>
        <w:tc>
          <w:tcPr>
            <w:tcW w:w="2720" w:type="dxa"/>
            <w:vAlign w:val="bottom"/>
            <w:tcBorders>
              <w:top w:val="single" w:sz="8" w:color="auto"/>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2840" w:type="dxa"/>
            <w:vAlign w:val="bottom"/>
            <w:tcBorders>
              <w:top w:val="single" w:sz="8" w:color="auto"/>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7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4740" w:type="dxa"/>
            <w:vAlign w:val="bottom"/>
          </w:tcPr>
          <w:p>
            <w:pPr>
              <w:ind w:left="140"/>
              <w:spacing w:after="0"/>
              <w:rPr>
                <w:sz w:val="20"/>
                <w:szCs w:val="20"/>
                <w:color w:val="auto"/>
              </w:rPr>
            </w:pPr>
            <w:r>
              <w:rPr>
                <w:rFonts w:ascii="Arial" w:cs="Arial" w:eastAsia="Arial" w:hAnsi="Arial"/>
                <w:sz w:val="18"/>
                <w:szCs w:val="18"/>
                <w:color w:val="auto"/>
              </w:rPr>
              <w:t>Amortization of ROU assets</w:t>
            </w:r>
          </w:p>
        </w:tc>
        <w:tc>
          <w:tcPr>
            <w:tcW w:w="1060" w:type="dxa"/>
            <w:vAlign w:val="bottom"/>
          </w:tcPr>
          <w:p>
            <w:pPr>
              <w:jc w:val="right"/>
              <w:ind w:right="859"/>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lease liabilities</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finance lease cost</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106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r>
      <w:tr>
        <w:trPr>
          <w:trHeight w:val="20"/>
        </w:trPr>
        <w:tc>
          <w:tcPr>
            <w:tcW w:w="4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leases was as follows (in thousands, except as noted within):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ROU asset (included within Lease right-of-use assets)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Operating lease ROU asset (included within Lease right-of-use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460" w:type="dxa"/>
            <w:vAlign w:val="bottom"/>
          </w:tcPr>
          <w:p>
            <w:pPr>
              <w:jc w:val="right"/>
              <w:ind w:right="153"/>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r>
        <w:trPr>
          <w:trHeight w:val="239"/>
        </w:trPr>
        <w:tc>
          <w:tcPr>
            <w:tcW w:w="772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5.25 %</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5.30 %</w:t>
            </w:r>
          </w:p>
        </w:tc>
        <w:tc>
          <w:tcPr>
            <w:tcW w:w="0" w:type="dxa"/>
            <w:vAlign w:val="bottom"/>
          </w:tcPr>
          <w:p>
            <w:pPr>
              <w:spacing w:after="0"/>
              <w:rPr>
                <w:sz w:val="1"/>
                <w:szCs w:val="1"/>
                <w:color w:val="auto"/>
              </w:rPr>
            </w:pPr>
          </w:p>
        </w:tc>
      </w:tr>
      <w:tr>
        <w:trPr>
          <w:trHeight w:val="45"/>
        </w:trPr>
        <w:tc>
          <w:tcPr>
            <w:tcW w:w="77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43"/>
        </w:trPr>
        <w:tc>
          <w:tcPr>
            <w:tcW w:w="772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 (in thousands):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7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6"/>
          </w:tcPr>
          <w:p>
            <w:pPr>
              <w:jc w:val="right"/>
              <w:ind w:right="61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cash flows from finance leases</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9"/>
        </w:trPr>
        <w:tc>
          <w:tcPr>
            <w:tcW w:w="7720" w:type="dxa"/>
            <w:vAlign w:val="bottom"/>
          </w:tcPr>
          <w:p>
            <w:pPr>
              <w:ind w:left="260"/>
              <w:spacing w:after="0"/>
              <w:rPr>
                <w:sz w:val="20"/>
                <w:szCs w:val="20"/>
                <w:color w:val="auto"/>
              </w:rPr>
            </w:pPr>
            <w:r>
              <w:rPr>
                <w:rFonts w:ascii="Arial" w:cs="Arial" w:eastAsia="Arial" w:hAnsi="Arial"/>
                <w:sz w:val="18"/>
                <w:szCs w:val="18"/>
                <w:color w:val="auto"/>
              </w:rPr>
              <w:t>Financing cash flows from finance leases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45"/>
        </w:trPr>
        <w:tc>
          <w:tcPr>
            <w:tcW w:w="77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43"/>
        </w:trPr>
        <w:tc>
          <w:tcPr>
            <w:tcW w:w="7720" w:type="dxa"/>
            <w:vAlign w:val="bottom"/>
          </w:tcPr>
          <w:p>
            <w:pPr>
              <w:spacing w:after="0"/>
              <w:rPr>
                <w:sz w:val="20"/>
                <w:szCs w:val="20"/>
                <w:color w:val="auto"/>
              </w:rPr>
            </w:pPr>
            <w:r>
              <w:rPr>
                <w:rFonts w:ascii="Arial" w:cs="Arial" w:eastAsia="Arial" w:hAnsi="Arial"/>
                <w:sz w:val="18"/>
                <w:szCs w:val="18"/>
                <w:color w:val="auto"/>
              </w:rPr>
              <w:t>Maturities of lease liabilities as of June 30, 2022 were as follows (in thousands):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7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 the year ending:</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rPr>
              <w:t>Finance leases</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b w:val="1"/>
                <w:bCs w:val="1"/>
                <w:color w:val="auto"/>
              </w:rPr>
              <w:t>Operating leases</w:t>
            </w:r>
          </w:p>
        </w:tc>
        <w:tc>
          <w:tcPr>
            <w:tcW w:w="0" w:type="dxa"/>
            <w:vAlign w:val="bottom"/>
          </w:tcPr>
          <w:p>
            <w:pPr>
              <w:spacing w:after="0"/>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476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lease payments</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30"/>
        </w:trPr>
        <w:tc>
          <w:tcPr>
            <w:tcW w:w="7720" w:type="dxa"/>
            <w:vAlign w:val="bottom"/>
          </w:tcPr>
          <w:p>
            <w:pPr>
              <w:ind w:left="240"/>
              <w:spacing w:after="0"/>
              <w:rPr>
                <w:sz w:val="20"/>
                <w:szCs w:val="20"/>
                <w:color w:val="auto"/>
              </w:rPr>
            </w:pPr>
            <w:r>
              <w:rPr>
                <w:rFonts w:ascii="Arial" w:cs="Arial" w:eastAsia="Arial" w:hAnsi="Arial"/>
                <w:sz w:val="18"/>
                <w:szCs w:val="18"/>
                <w:color w:val="auto"/>
              </w:rPr>
              <w:t>Less: imputed interest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lease liabilities, current</w:t>
            </w: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Lease liabilities, non-current</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68</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Amortizing Term Mortgage</w:t>
      </w:r>
    </w:p>
    <w:p>
      <w:pPr>
        <w:spacing w:after="0" w:line="15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August 2019, the Company entered into an $8.3 million amortizing term mortgage agreement with Canadian Imperial Bank of Commerce ("CIBC") for the Company's commercial building located in Portland, Oregon. The agreement requires interest and principal payments be made each month over a 30-year period. Interest accrues at a fixed rate of 5.00% per year until August 2024, at which point the interest rate changes to the Wall Street Journal Prime Rate less 0.25% for the remaining term of the mortgage. The borrowings are secured by the building. The outstanding balance of the amortizing term mortgage was $7.9 million and $8.0 million as of June 30,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Amended Term Loan</w:t>
      </w:r>
    </w:p>
    <w:p>
      <w:pPr>
        <w:spacing w:after="0" w:line="158"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In September 2021, the Company amended and restated its loan and security agreement with CIBC (the "2021 Amended Term Loan") to refinance the existing non-amortizing and amortizing term loans, establish a single term loan of up to $75.0 million, consisting of a</w:t>
      </w:r>
    </w:p>
    <w:p>
      <w:pPr>
        <w:spacing w:after="0" w:line="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$45.0 million initial term loan effective immediately with an option to enter into an additional $30.0 million delayed term loan, and increase the monthly revolving line of credit to $25.0 million. The term loan and revolving line of credit mature in September 2026 and September 2024, respectively. Approximately $23.5 million of the loan proceeds were used to immediately repay the remaining balances under the amortizing and non-amortizing term loans at the time of the amendment, as well as commitment fees and other debt issuance costs associated with the amendment. The remaining proceeds from the initial term loan were utilized to fund the Company's normal business operations.</w:t>
      </w:r>
    </w:p>
    <w:p>
      <w:pPr>
        <w:spacing w:after="0" w:line="8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Under the 2021 Amended Term Loan, the initial term loan of $45.0 million is payable over a 60 month period with principal and accrued interest payments due each quarter, commencing on September 30, 2021. The 2021 Amended Term Loan amortizes in equal quarterly installments of $0.1 million through September 30, 2024, $0.2 million beginning October 1, 2024 and $0.6 million beginning October 1, 2025, with any remaining principal balance due and payable on maturity. The amounts borrowed bear interest at the bank’s reference rate plus</w:t>
      </w:r>
    </w:p>
    <w:p>
      <w:pPr>
        <w:spacing w:after="0" w:line="2"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2.25% (7.00% as of June 30, 2022) beginning on September 30, 2021 and continuing on a quarterly basis through maturity of the term loan. The borrowings are secured by substantially all the Company’s assets. As of June 30, 2022 and December 31, 2021, the outstanding balance of the 2021 Amended Term Loan was $44.7 million and $44.9 million,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Monthly Revolving Line of Credit</w:t>
      </w:r>
    </w:p>
    <w:p>
      <w:pPr>
        <w:spacing w:after="0" w:line="15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line of credit agreement, as amended with the 2021 Amended Term Loan, provides borrowings up to $25.0 million. Borrowings under the line of credit bear interest at CIBC’s reference rate plus 1.00% (5.75% as of June 30, 2022) and are secured by substantially all of the Company’s assets. As of June 30, 2022 and December 31, 2021, there were $15.0 million of borrowings under the line of credit and $10.0 million of capacity available for borrowings.</w:t>
      </w:r>
    </w:p>
    <w:p>
      <w:pPr>
        <w:spacing w:after="0" w:line="9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In connection with the amortizing term mortgage and the 2021 Amended Term Loan, the Company recorded an immaterial amount of debt issuance costs and the 2021 Amended Term Loan was subject to an original issuance discount. These amounts are being amortized to interest expense over the term of the respective agreements using the effective interest method. As of June 30, 2022 and December 31, 2021, unamortized original issuance discount and debt issuance costs remaining were $0.3 million and $0.2 million,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Future aggregate annual principal payments on long-term debt as of June 30, 2022 is expected to be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9660" w:type="dxa"/>
            <w:vAlign w:val="bottom"/>
          </w:tcPr>
          <w:p>
            <w:pPr>
              <w:ind w:left="20"/>
              <w:spacing w:after="0"/>
              <w:rPr>
                <w:sz w:val="20"/>
                <w:szCs w:val="20"/>
                <w:color w:val="auto"/>
              </w:rPr>
            </w:pPr>
            <w:r>
              <w:rPr>
                <w:rFonts w:ascii="Arial" w:cs="Arial" w:eastAsia="Arial" w:hAnsi="Arial"/>
                <w:sz w:val="18"/>
                <w:szCs w:val="18"/>
                <w:b w:val="1"/>
                <w:bCs w:val="1"/>
                <w:color w:val="auto"/>
              </w:rPr>
              <w:t>For the year ending:</w:t>
            </w:r>
          </w:p>
        </w:tc>
        <w:tc>
          <w:tcPr>
            <w:tcW w:w="5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37"/>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2023</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2025</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1,397</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42,355</w:t>
            </w:r>
          </w:p>
        </w:tc>
      </w:tr>
      <w:tr>
        <w:trPr>
          <w:trHeight w:val="236"/>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7,191</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principal payments</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52,548</w:t>
            </w:r>
          </w:p>
        </w:tc>
      </w:tr>
      <w:tr>
        <w:trPr>
          <w:trHeight w:val="229"/>
        </w:trPr>
        <w:tc>
          <w:tcPr>
            <w:tcW w:w="9660" w:type="dxa"/>
            <w:vAlign w:val="bottom"/>
          </w:tcPr>
          <w:p>
            <w:pPr>
              <w:ind w:left="240"/>
              <w:spacing w:after="0"/>
              <w:rPr>
                <w:sz w:val="20"/>
                <w:szCs w:val="20"/>
                <w:color w:val="auto"/>
              </w:rPr>
            </w:pPr>
            <w:r>
              <w:rPr>
                <w:rFonts w:ascii="Arial" w:cs="Arial" w:eastAsia="Arial" w:hAnsi="Arial"/>
                <w:sz w:val="18"/>
                <w:szCs w:val="18"/>
                <w:color w:val="auto"/>
              </w:rPr>
              <w:t>Less: unamortized original issuance discount and debt issuance costs</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30"/>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current portion, net of unamortized original issuance discount and debt issuance costs</w:t>
            </w: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r>
      <w:tr>
        <w:trPr>
          <w:trHeight w:val="223"/>
        </w:trPr>
        <w:tc>
          <w:tcPr>
            <w:tcW w:w="9660" w:type="dxa"/>
            <w:vAlign w:val="bottom"/>
          </w:tcPr>
          <w:p>
            <w:pPr>
              <w:ind w:left="20"/>
              <w:spacing w:after="0"/>
              <w:rPr>
                <w:sz w:val="20"/>
                <w:szCs w:val="20"/>
                <w:color w:val="auto"/>
              </w:rPr>
            </w:pPr>
            <w:r>
              <w:rPr>
                <w:rFonts w:ascii="Arial" w:cs="Arial" w:eastAsia="Arial" w:hAnsi="Arial"/>
                <w:sz w:val="18"/>
                <w:szCs w:val="18"/>
                <w:color w:val="auto"/>
              </w:rPr>
              <w:t>Long-term debt, net of unamortized original issuance discount and debt issuance costs</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51,710</w:t>
            </w:r>
          </w:p>
        </w:tc>
      </w:tr>
      <w:tr>
        <w:trPr>
          <w:trHeight w:val="46"/>
        </w:trPr>
        <w:tc>
          <w:tcPr>
            <w:tcW w:w="966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0"/>
        </w:trPr>
        <w:tc>
          <w:tcPr>
            <w:tcW w:w="9660" w:type="dxa"/>
            <w:vAlign w:val="bottom"/>
            <w:tcBorders>
              <w:top w:val="single" w:sz="8" w:color="CCEEFF"/>
            </w:tcBorders>
            <w:shd w:val="clear" w:color="auto" w:fill="000000"/>
          </w:tcPr>
          <w:p>
            <w:pPr>
              <w:spacing w:after="0" w:line="20" w:lineRule="exact"/>
              <w:rPr>
                <w:sz w:val="1"/>
                <w:szCs w:val="1"/>
                <w:color w:val="auto"/>
              </w:rPr>
            </w:pPr>
          </w:p>
        </w:tc>
        <w:tc>
          <w:tcPr>
            <w:tcW w:w="540" w:type="dxa"/>
            <w:vAlign w:val="bottom"/>
            <w:tcBorders>
              <w:top w:val="single" w:sz="8" w:color="CCEEFF"/>
            </w:tcBorders>
            <w:shd w:val="clear" w:color="auto" w:fill="000000"/>
          </w:tcPr>
          <w:p>
            <w:pPr>
              <w:spacing w:after="0" w:line="20" w:lineRule="exact"/>
              <w:rPr>
                <w:sz w:val="1"/>
                <w:szCs w:val="1"/>
                <w:color w:val="auto"/>
              </w:rPr>
            </w:pPr>
          </w:p>
        </w:tc>
        <w:tc>
          <w:tcPr>
            <w:tcW w:w="1040" w:type="dxa"/>
            <w:vAlign w:val="bottom"/>
            <w:tcBorders>
              <w:top w:val="single" w:sz="8" w:color="CCEEFF"/>
            </w:tcBorders>
            <w:shd w:val="clear" w:color="auto" w:fill="000000"/>
          </w:tcPr>
          <w:p>
            <w:pPr>
              <w:spacing w:after="0" w:line="20" w:lineRule="exact"/>
              <w:rPr>
                <w:sz w:val="1"/>
                <w:szCs w:val="1"/>
                <w:color w:val="auto"/>
              </w:rPr>
            </w:pPr>
          </w:p>
        </w:tc>
      </w:tr>
    </w:tbl>
    <w:p>
      <w:pPr>
        <w:spacing w:after="0" w:line="22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As of June 30, 2022, the Company was not in compliance with all debt covenants, specifically the covenant restricting the amount of transfers for donations to Expensify.org during the period, but obtained a waiver from CIBC. The Company does not believe non-compliance with this covenant had any material impact on the Company or its operations. The Company expects to be in compliance with all debt covenants by the end of the fiscal quarter ended September 30, 2022.</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Plans</w:t>
      </w:r>
    </w:p>
    <w:p>
      <w:pPr>
        <w:spacing w:after="0" w:line="15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sponsors a U.S. 401(k) defined contribution plan for all eligible employees who elect to participate. The Company is permitted to make discretionary profit sharing and 401(k) matching contributions as defined in the plan and as approved by the Board of Directors. Effective January 1, 2018, the Company matches up to 4.50% of each eligible participant’s 401(k) contribution. The Company’s actual contribution may be reduced by certain available forfeitures, if any, during the plan year. No discretionary profit-sharing contributions were made during the three and six months ended June 30, 2022 and 2021. The Company’s 401(k) matching contributions for the three months ended June 30, 2022 and 2021 were $0.2 million and $0.2 million, respectively. The Company’s 401(k) matching contributions for the six months ended June 30, 2022 and 2021 were $0.4 million and $0.4 million,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14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From time to time in the normal course of business, the Company may be involved in claims, proceedings and litigation. In the case of any litigation, the Company records a provision for a liability when management believes that it is both probable that a liability has been incurred, and the amount of the loss can be reasonably estimated. The Company reviews such provisions at least quarterly and adjusts such provisions to reflect the impact of negotiations, settlements, rulings, advice of legal counsel and other information and events pertaining to a particular case.</w:t>
      </w:r>
    </w:p>
    <w:p>
      <w:pPr>
        <w:spacing w:after="0" w:line="11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As of June 30, 2022, there were no legal contingency matters, either individually or in aggregate, that would have a material adverse effect on the Company’s financial position, results of operations or cash flows.</w:t>
      </w:r>
    </w:p>
    <w:p>
      <w:pPr>
        <w:spacing w:after="0" w:line="72" w:lineRule="exact"/>
        <w:rPr>
          <w:sz w:val="20"/>
          <w:szCs w:val="20"/>
          <w:color w:val="auto"/>
        </w:rPr>
      </w:pPr>
    </w:p>
    <w:p>
      <w:pPr>
        <w:spacing w:after="0"/>
        <w:rPr>
          <w:sz w:val="20"/>
          <w:szCs w:val="20"/>
          <w:color w:val="auto"/>
        </w:rPr>
      </w:pPr>
      <w:r>
        <w:rPr>
          <w:rFonts w:ascii="Arial" w:cs="Arial" w:eastAsia="Arial" w:hAnsi="Arial"/>
          <w:sz w:val="29"/>
          <w:szCs w:val="29"/>
          <w:color w:val="auto"/>
        </w:rPr>
        <w:t>NOTE 5 - STOCK INCENTIVE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and 2019 Stock Plans</w:t>
      </w:r>
    </w:p>
    <w:p>
      <w:pPr>
        <w:spacing w:after="0" w:line="15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2009, the Board of Directors approved the 2009 Stock Plan ("2009 Stock Plan"). As amended in 2015, the 2009 Stock Plan permitted the Company to grant up to 16,495,150 shares of common stock. In January 2018, the Company increased the number of shares of common stock reserved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2009 Stock Plan by 535,130 shares, from 16,495,150 shares to 17,030,280. In April 2019, the Board of Directors approved the adoption of the 2019 Stock Plan ("2019 Stock Plan", and together with the 2009 Stock Plan, "Stock Plans"). The 2019 Stock Plan permitted the Company to grant up to 8,173,970 additional shares, increasing the overall common stock reserved for grant under the Stock Plans to 25,204,250 shares. In September 2021, under the 2019 Stock Plan, the Board of Directors approved the grant of 8,679,380 restricted stock units under the 2019 Stock Plan, which covered of an aggregate of 4,339,690 shares of each of Class A and LT50 common stock effective immediately prior to the effectiveness of the Company's IPO Registration Statement on Form S-1 (the "IPO Registration Statement") on November 9, 2021. On November 9, 2021, the Board of Directors amended and restated the 2019 Stock Plan to, among other things, increase the common stock reserved for issuance under the 2019 Stock Plan to an aggregate of 16,856,770 shares of Class A and LT50 common stock.</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Following the completion of the initial public offering of the Company’s Class A common stock (the "IPO"), the Company did not and does not intend to make any further grants under the Stock Plans. However, the Stock Plans will continue to govern the terms and conditions of the outstanding awards granted under the Stock Plans.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common stock underlying outstanding stock-based awards granted under the 2019 Stock Plan, an equal number of shares of Class A common stock will become available for grant under the 2021 Incentive Award Plan ("2021 Plan") and the Company's 2021 Stock Purchase and Matching Plan ("Matching Plan" and together with the 2021 Plan, "2021 Incentive Plans").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Incentive Plans</w:t>
      </w:r>
    </w:p>
    <w:p>
      <w:pPr>
        <w:spacing w:after="0" w:line="15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November 2021, the Board of Directors adopted, and its stockholders approved, the 2021 Incentive Plans, which both became effective immediately before the effectiveness of the IPO Registration Statement and use a combined share reserve. Under the 2021 Incentive Plans, 12,453,532 shares of Class A common stock were initially reserved for issuance pursuant to a variety of stock-based awards, including incentive stock options, nonqualified stock options, stock appreciation rights ("SARs"), restricted stock awards ("RSAs"), restricted stock units ("RSUs"), and other forms of equity and cash compensation under the 2021 Plan and purchase rights and matching awards under the Matching Plan. The number of shares initially reserved for issuance or transfer pursuant to awards under the 2021 Incentive Plans will be increased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common stock underlying outstanding stock-based awards granted under the 2019 Stock Plan. The number of shares of Class A common stock reserved for issuance under the 2021 Incentive Plans as of June 30, 2022 and December 31, 2021 was 17,336,972 shares and 12,453,532 shares, respectively. The number of shares will automatically increase each subsequent January 1 through January 1, 2031, by the lesser of (A) 6% of the aggregate number of shares of all classes of common stock outstanding on the immediately preceding calendar year, or (B) such lesser number of shares as determined by the Company’s board of directors or compensation committee; provided, however, that no more than 87,576,990 shares of Class A common stock may be issued upon the exercise of incentive stock options.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Matching Plan</w:t>
      </w:r>
    </w:p>
    <w:p>
      <w:pPr>
        <w:spacing w:after="0" w:line="144"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Matching Plan operates using consecutive three month offering periods that commenced on March 15, 2022. Employees, consultants and directors ("Service Providers") of the Company can participate in the Matching Plan by electing to contribute compensation through payroll deductions or from fee payments or may be granted discretionary awards under the Matching Plan. On the last day of the offering period the contributions made during the offering period are used to purchase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price at which Class A common stock is purchased under the Matching Plan equals the average of the high and low trading price of a share of Class A common stock as of the last trading day of the offering period. At the end of each offering period, the Company may provide a discretionary match up to 1/10 of a share of Class A common stock for each share of Class A common stock purchased by or issued to a service provider under the Matching Plan that is retained through the end of the applicable offering period. No fractional shares will be issued by the Company. The Company will round to the nearest full share for shares purchased by a service provider as well as any matched shares issued to a service provider under the Matching Plan. The match rate applicable to each offering period shall be limited to 1.50% of the shares of any class of capital stock outstanding as of the exercise date applicable to such offering period. The Company estimates the fair value of matched shares provided under the Matching Plan using the Black-Scholes option-pricing model on the date of grant. The Company recognizes stock-based compensation expense related to the matched shares pursuant to its Matching Plan on a straight-line basis over the applicable three month offering period.</w:t>
      </w:r>
    </w:p>
    <w:p>
      <w:pPr>
        <w:spacing w:after="0" w:line="118"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Service Providers who participated in the Matching Plan for the offering period ended June 14, 2022 purchased a total of 67,946 Class A common shares, based on a purchase price of $17.42, resulting in gross cash proceeds to the Company of $1.2 million.</w:t>
      </w:r>
    </w:p>
    <w:p>
      <w:pPr>
        <w:spacing w:after="0" w:line="85"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For the offering period ended June 14, 2022, the Company elected to match each share of Class A common stock purchased by or issued under the Matching Plan with 1/20 of a share of Class A common stock. During the six months ended June 30, 2022, the Company granted 3,576 shares of Class A common stock under the Matching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5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September 24, 2021, under the 2019 Stock Plan, the Company approved the grant of RSUs to Service Providers covering Class A and LT50 common stock effective November 9, 2021, the date the Company amended its Certificate of Incorporation, to include, among other things, LT50 common stock. RSUs granted to Service Providers on November 9, 2021 that were approved in September 2021 vest upon the satisfaction of both a performance and service condition. The performance condition was satisfied immediately prior to the effectiveness of the IPO Registration Statement. The service condition is satisfied over eight years with 1/8 of the grant vesting on September 15, 2022 and quarterly vesting of 1/32 of the grant every December 15, March 15, June 15 and September 15 (each, a "Specified Quarterly Date") thereafter until fully vested, in each case subject to continued service to the Company. All RSUs granted to Service Providers after the IPO, under the 2021 Plan, have a service condition only, which is satisfied over eight years from the vesting commencement date corresponding to one of the Specified Quarterly Dates nearest the date of grant, with 1/8 of each grant vesting on the first anniversary of the vesting commencement date and 1/32 of each grant vesting in equal quarterly installments thereafter until fully vested, in each case, subject to continued service to the Company.</w:t>
      </w:r>
    </w:p>
    <w:p>
      <w:pPr>
        <w:spacing w:after="0" w:line="115"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Pursuant to the Company's Non-Employee Director Compensation Program, which was adopted under the 2021 Incentive Plans, the Company granted 20,163 RSUs covering shares of Class A common stock for the six months ended June 30, 2022. A total of 4,629 RSUs covering shares of Class A common stock vested during the six months ended June 30, 2022 related to previously granted RSU awards as the quarterly service conditions were satisfied. There were no RSUs granted under this program during the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2022, RSU activity for Service Providers and non-employee directors was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Weighted</w:t>
            </w:r>
          </w:p>
        </w:tc>
      </w:tr>
      <w:tr>
        <w:trPr>
          <w:trHeight w:val="139"/>
        </w:trPr>
        <w:tc>
          <w:tcPr>
            <w:tcW w:w="7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38"/>
              <w:spacing w:after="0" w:line="139" w:lineRule="exact"/>
              <w:rPr>
                <w:sz w:val="20"/>
                <w:szCs w:val="20"/>
                <w:color w:val="auto"/>
              </w:rPr>
            </w:pPr>
            <w:r>
              <w:rPr>
                <w:rFonts w:ascii="Arial" w:cs="Arial" w:eastAsia="Arial" w:hAnsi="Arial"/>
                <w:sz w:val="14"/>
                <w:szCs w:val="14"/>
                <w:b w:val="1"/>
                <w:bCs w:val="1"/>
                <w:color w:val="auto"/>
              </w:rPr>
              <w:t>average grant</w:t>
            </w:r>
          </w:p>
        </w:tc>
      </w:tr>
      <w:tr>
        <w:trPr>
          <w:trHeight w:val="158"/>
        </w:trPr>
        <w:tc>
          <w:tcPr>
            <w:tcW w:w="7440" w:type="dxa"/>
            <w:vAlign w:val="bottom"/>
          </w:tcPr>
          <w:p>
            <w:pPr>
              <w:spacing w:after="0"/>
              <w:rPr>
                <w:sz w:val="13"/>
                <w:szCs w:val="13"/>
                <w:color w:val="auto"/>
              </w:rPr>
            </w:pPr>
          </w:p>
        </w:tc>
        <w:tc>
          <w:tcPr>
            <w:tcW w:w="13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rPr>
              <w:t>Class A</w:t>
            </w:r>
          </w:p>
        </w:tc>
        <w:tc>
          <w:tcPr>
            <w:tcW w:w="12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rPr>
              <w:t>LT50 Common</w:t>
            </w:r>
          </w:p>
        </w:tc>
        <w:tc>
          <w:tcPr>
            <w:tcW w:w="120" w:type="dxa"/>
            <w:vAlign w:val="bottom"/>
          </w:tcPr>
          <w:p>
            <w:pPr>
              <w:spacing w:after="0"/>
              <w:rPr>
                <w:sz w:val="13"/>
                <w:szCs w:val="13"/>
                <w:color w:val="auto"/>
              </w:rPr>
            </w:pPr>
          </w:p>
        </w:tc>
        <w:tc>
          <w:tcPr>
            <w:tcW w:w="1100" w:type="dxa"/>
            <w:vAlign w:val="bottom"/>
          </w:tcPr>
          <w:p>
            <w:pPr>
              <w:jc w:val="center"/>
              <w:ind w:right="58"/>
              <w:spacing w:after="0" w:line="158" w:lineRule="exact"/>
              <w:rPr>
                <w:sz w:val="20"/>
                <w:szCs w:val="20"/>
                <w:color w:val="auto"/>
              </w:rPr>
            </w:pPr>
            <w:r>
              <w:rPr>
                <w:rFonts w:ascii="Arial" w:cs="Arial" w:eastAsia="Arial" w:hAnsi="Arial"/>
                <w:sz w:val="14"/>
                <w:szCs w:val="14"/>
                <w:b w:val="1"/>
                <w:bCs w:val="1"/>
                <w:color w:val="auto"/>
              </w:rPr>
              <w:t>date fair value</w:t>
            </w:r>
          </w:p>
        </w:tc>
      </w:tr>
      <w:tr>
        <w:trPr>
          <w:trHeight w:val="189"/>
        </w:trPr>
        <w:tc>
          <w:tcPr>
            <w:tcW w:w="7440" w:type="dxa"/>
            <w:vAlign w:val="bottom"/>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Common Stock</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Stock</w:t>
            </w:r>
          </w:p>
        </w:tc>
        <w:tc>
          <w:tcPr>
            <w:tcW w:w="120" w:type="dxa"/>
            <w:vAlign w:val="bottom"/>
          </w:tcPr>
          <w:p>
            <w:pPr>
              <w:spacing w:after="0"/>
              <w:rPr>
                <w:sz w:val="16"/>
                <w:szCs w:val="16"/>
                <w:color w:val="auto"/>
              </w:rPr>
            </w:pPr>
          </w:p>
        </w:tc>
        <w:tc>
          <w:tcPr>
            <w:tcW w:w="1100" w:type="dxa"/>
            <w:vAlign w:val="bottom"/>
          </w:tcPr>
          <w:p>
            <w:pPr>
              <w:jc w:val="center"/>
              <w:ind w:right="58"/>
              <w:spacing w:after="0"/>
              <w:rPr>
                <w:sz w:val="20"/>
                <w:szCs w:val="20"/>
                <w:color w:val="auto"/>
              </w:rPr>
            </w:pPr>
            <w:r>
              <w:rPr>
                <w:rFonts w:ascii="Arial" w:cs="Arial" w:eastAsia="Arial" w:hAnsi="Arial"/>
                <w:sz w:val="14"/>
                <w:szCs w:val="14"/>
                <w:b w:val="1"/>
                <w:bCs w:val="1"/>
                <w:color w:val="auto"/>
              </w:rPr>
              <w:t>per share</w:t>
            </w:r>
          </w:p>
        </w:tc>
      </w:tr>
      <w:tr>
        <w:trPr>
          <w:trHeight w:val="223"/>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4,329,530</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4,301,750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r>
      <w:tr>
        <w:trPr>
          <w:trHeight w:val="229"/>
        </w:trPr>
        <w:tc>
          <w:tcPr>
            <w:tcW w:w="7440" w:type="dxa"/>
            <w:vAlign w:val="bottom"/>
          </w:tcPr>
          <w:p>
            <w:pPr>
              <w:ind w:left="240"/>
              <w:spacing w:after="0"/>
              <w:rPr>
                <w:sz w:val="20"/>
                <w:szCs w:val="20"/>
                <w:color w:val="auto"/>
              </w:rPr>
            </w:pPr>
            <w:r>
              <w:rPr>
                <w:rFonts w:ascii="Arial" w:cs="Arial" w:eastAsia="Arial" w:hAnsi="Arial"/>
                <w:sz w:val="18"/>
                <w:szCs w:val="18"/>
                <w:color w:val="auto"/>
              </w:rPr>
              <w:t>RSUs 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63,223</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18.21</w:t>
            </w:r>
          </w:p>
        </w:tc>
      </w:tr>
      <w:tr>
        <w:trPr>
          <w:trHeight w:val="229"/>
        </w:trPr>
        <w:tc>
          <w:tcPr>
            <w:tcW w:w="7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RSUs vested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w:t>
            </w:r>
          </w:p>
        </w:tc>
      </w:tr>
      <w:tr>
        <w:trPr>
          <w:trHeight w:val="230"/>
        </w:trPr>
        <w:tc>
          <w:tcPr>
            <w:tcW w:w="74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RSUs cancelled/forfeited/expired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(181,941)</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(181,941)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37.14</w:t>
            </w:r>
          </w:p>
        </w:tc>
      </w:tr>
      <w:tr>
        <w:trPr>
          <w:trHeight w:val="248"/>
        </w:trPr>
        <w:tc>
          <w:tcPr>
            <w:tcW w:w="7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Outstanding at June 30, 2022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4,206,183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4,119,809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As of June 30, 2022, there was $242.6 million of unamortized stock-based compensation cost related to unvested RSUs, which is expected to be recognized over the remaining weighted average life of 6.62 years. As of December 31, 2021, there was $282.0 million of unamortized stock-based compensation cost related to unvested RSUs, which is expected to be recognized over the remaining weighted average life of 6.92 years.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4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Stock Plans and the 2021 Plan provide for the grant of incentive and nonstatutory stock options to employees, non-employee directors and consultants of the Company. Under the Stock Plans and the 2021 Plan, the exercise price of incentive stock options must be equal to at least 110% of the fair market value of the common stock on the grant date for a “ten-percent holder” or 100% of the fair market value of the common stock on the grant date for any other participant. The exercise price of nonstatutory options granted must be equal to at least 100% of the fair market value of the Company’s common stock on the date of grant.</w:t>
      </w:r>
    </w:p>
    <w:p>
      <w:pPr>
        <w:spacing w:after="0" w:line="112"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Company has only granted options under the Stock Plans. Options typically vest over four years and are exercisable at any time after the grant date, provided that Service Providers exercising unvested options receive restricted common stock that is subject to repurchase at the original exercise price upon termination of service. The repurchase right lapses in accordance with the vesting schedule of the exercised option. Early exercises of options prior to vesting are not deemed to be substantive exercises for accounting purposes and accordingly, amounts received for early exercises of unvested options are recorded as a liability. These repurchase terms are considered to be a forfeiture provision and do not result in variable accounting. During the six months ended June 30, 2022, the Company repurchased an immaterial amount of exercised restricted common stock. There were no repurchases of common stock during the six months ended June 30, 2021.</w:t>
      </w:r>
    </w:p>
    <w:p>
      <w:pPr>
        <w:spacing w:after="0" w:line="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June 30, 2022 and December 31, 2021, there were 1,096,140 and 1,437,760 shares subject to repurchase, respectively, related to unvested stock options that had been early exercised. As of June 30, 2022 and December 31, 2021, the Company recorded a liability related to shares subject to repurchase of $1.8 million and $2.4 million, respectively, which is included within Accrued expenses and other liabilities in the accompanying condensed consolidated balance sheets. These amounts are reclassified to common stock and additional paid in capital as the underlying shares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was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4"/>
        </w:trPr>
        <w:tc>
          <w:tcPr>
            <w:tcW w:w="67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4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14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exercise price per</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contractual life</w:t>
            </w:r>
          </w:p>
        </w:tc>
        <w:tc>
          <w:tcPr>
            <w:tcW w:w="0" w:type="dxa"/>
            <w:vAlign w:val="bottom"/>
          </w:tcPr>
          <w:p>
            <w:pPr>
              <w:spacing w:after="0"/>
              <w:rPr>
                <w:sz w:val="1"/>
                <w:szCs w:val="1"/>
                <w:color w:val="auto"/>
              </w:rPr>
            </w:pPr>
          </w:p>
        </w:tc>
      </w:tr>
      <w:tr>
        <w:trPr>
          <w:trHeight w:val="189"/>
        </w:trPr>
        <w:tc>
          <w:tcPr>
            <w:tcW w:w="67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ind w:left="404"/>
              <w:spacing w:after="0"/>
              <w:rPr>
                <w:sz w:val="20"/>
                <w:szCs w:val="20"/>
                <w:color w:val="auto"/>
              </w:rPr>
            </w:pPr>
            <w:r>
              <w:rPr>
                <w:rFonts w:ascii="Arial" w:cs="Arial" w:eastAsia="Arial" w:hAnsi="Arial"/>
                <w:sz w:val="14"/>
                <w:szCs w:val="14"/>
                <w:b w:val="1"/>
                <w:bCs w:val="1"/>
                <w:color w:val="auto"/>
              </w:rPr>
              <w:t>share</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Outstanding at December 31, 2021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7,193,193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84"/>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30"/>
        </w:trPr>
        <w:tc>
          <w:tcPr>
            <w:tcW w:w="670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784"/>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(307,075)</w:t>
            </w:r>
          </w:p>
        </w:tc>
        <w:tc>
          <w:tcPr>
            <w:tcW w:w="1080" w:type="dxa"/>
            <w:vAlign w:val="bottom"/>
            <w:gridSpan w:val="2"/>
            <w:shd w:val="clear" w:color="auto" w:fill="CCEEFF"/>
          </w:tcPr>
          <w:p>
            <w:pPr>
              <w:jc w:val="right"/>
              <w:ind w:right="78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Options cancelled/forfeited/expired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(324,324)</w:t>
            </w:r>
          </w:p>
        </w:tc>
        <w:tc>
          <w:tcPr>
            <w:tcW w:w="1080" w:type="dxa"/>
            <w:vAlign w:val="bottom"/>
            <w:tcBorders>
              <w:bottom w:val="single" w:sz="8" w:color="CCEEFF"/>
            </w:tcBorders>
            <w:gridSpan w:val="2"/>
          </w:tcPr>
          <w:p>
            <w:pPr>
              <w:jc w:val="right"/>
              <w:ind w:right="78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Outstanding at June 30,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6,561,794</w:t>
            </w:r>
          </w:p>
        </w:tc>
        <w:tc>
          <w:tcPr>
            <w:tcW w:w="1080" w:type="dxa"/>
            <w:vAlign w:val="bottom"/>
            <w:tcBorders>
              <w:bottom w:val="single" w:sz="8" w:color="CCEEFF"/>
            </w:tcBorders>
            <w:gridSpan w:val="2"/>
            <w:shd w:val="clear" w:color="auto" w:fill="CCEEFF"/>
          </w:tcPr>
          <w:p>
            <w:pPr>
              <w:jc w:val="right"/>
              <w:ind w:right="78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Exercisable at June 30, 2022</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CCEEFF"/>
            </w:tcBorders>
            <w:gridSpan w:val="2"/>
            <w:vMerge w:val="restart"/>
          </w:tcPr>
          <w:p>
            <w:pPr>
              <w:jc w:val="right"/>
              <w:ind w:right="784"/>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line="20" w:lineRule="exact"/>
              <w:rPr>
                <w:sz w:val="1"/>
                <w:szCs w:val="1"/>
                <w:color w:val="auto"/>
              </w:rPr>
            </w:pPr>
          </w:p>
        </w:tc>
      </w:tr>
      <w:tr>
        <w:trPr>
          <w:trHeight w:val="213"/>
        </w:trPr>
        <w:tc>
          <w:tcPr>
            <w:tcW w:w="6700" w:type="dxa"/>
            <w:vAlign w:val="bottom"/>
            <w:vMerge w:val="continue"/>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6,346,904</w:t>
            </w:r>
          </w:p>
        </w:tc>
        <w:tc>
          <w:tcPr>
            <w:tcW w:w="108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total pretax intrinsic value of options exercised during the six months ended June 30, 2022 and 2021 was $7.8 million and $ 59.9 million, respectively. The total pretax intrinsic value of options outstanding at June 30, 2022 and December 31, 2021 was $ 104.4 million and $302.8 million, respectively. The intrinsic value is the difference between the estimated fair market value of the Company’s common stock at the date of exercise and the exercise price for in-the-money options. No options were granted during the six months ended June 30, 2022. The weighted average grant date fair value of options granted during the six months ended June 30, 2021 was $4.85.</w:t>
      </w:r>
    </w:p>
    <w:p>
      <w:pPr>
        <w:spacing w:after="0" w:line="9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As of June 30, 2022, there was $10.5 million of unrecognized stock-based compensation cost related to unvested stock options, which is expected to be recognized over a weighted average period of 1.45 years. As of December 31, 2021, there was $13.2 million of unrecognized stock-based compensation cost related to unvested stock options, which is expected to be recognized over a weighted average period of 1.70 years.</w:t>
      </w:r>
    </w:p>
    <w:p>
      <w:pPr>
        <w:spacing w:after="0" w:line="10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Cash received from option exercises and purchases of shares under the Stock Plans for the six months ended June 30, 2022 and 2021 was $0.5 million and $2.7 million,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44"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The following table summarizes the stock-based compensation expense recognized for options granted under the 2009 Stock Plan, options and RSUs granted under the 2019 Stock Plan, RSUs granted under the 2021 Plan and matching shares issued under the Matching Plan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2360" w:type="dxa"/>
            <w:vAlign w:val="bottom"/>
            <w:tcBorders>
              <w:top w:val="single" w:sz="8" w:color="auto"/>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2840" w:type="dxa"/>
            <w:vAlign w:val="bottom"/>
            <w:tcBorders>
              <w:top w:val="single" w:sz="8" w:color="auto"/>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7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r>
      <w:tr>
        <w:trPr>
          <w:trHeight w:val="224"/>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Matching shares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14,048</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28,428</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1,598</w:t>
            </w:r>
          </w:p>
        </w:tc>
      </w:tr>
      <w:tr>
        <w:trPr>
          <w:trHeight w:val="20"/>
        </w:trPr>
        <w:tc>
          <w:tcPr>
            <w:tcW w:w="4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
        </w:trPr>
        <w:tc>
          <w:tcPr>
            <w:tcW w:w="4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Stock-based compensation expense is allocated based on the cost center to which the award holder spent time during the reported periods. Stock-based compensation is included in the following components of expenses on the accompanying condensed consolidated statements of operations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2380" w:type="dxa"/>
            <w:vAlign w:val="bottom"/>
            <w:tcBorders>
              <w:top w:val="single" w:sz="8" w:color="auto"/>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2860" w:type="dxa"/>
            <w:vAlign w:val="bottom"/>
            <w:tcBorders>
              <w:top w:val="single" w:sz="8" w:color="auto"/>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7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60"/>
        <w:spacing w:after="0" w:line="287" w:lineRule="auto"/>
        <w:rPr>
          <w:sz w:val="20"/>
          <w:szCs w:val="20"/>
          <w:color w:val="auto"/>
        </w:rPr>
      </w:pPr>
      <w:r>
        <w:rPr>
          <w:rFonts w:ascii="Arial" w:cs="Arial" w:eastAsia="Arial" w:hAnsi="Arial"/>
          <w:sz w:val="18"/>
          <w:szCs w:val="18"/>
          <w:color w:val="auto"/>
        </w:rPr>
        <w:t>Stock-based compensation expense capitalized as internally developed software costs was $ 0.3 million and $0.6 million for the three and six months ended June 30, 2022, respectively. These amounts were immaterial for the three and six months ended June 30, 2021.</w:t>
      </w:r>
    </w:p>
    <w:p>
      <w:pPr>
        <w:spacing w:after="0" w:line="72" w:lineRule="exact"/>
        <w:rPr>
          <w:sz w:val="20"/>
          <w:szCs w:val="20"/>
          <w:color w:val="auto"/>
        </w:rPr>
      </w:pPr>
    </w:p>
    <w:p>
      <w:pPr>
        <w:spacing w:after="0"/>
        <w:rPr>
          <w:sz w:val="20"/>
          <w:szCs w:val="20"/>
          <w:color w:val="auto"/>
        </w:rPr>
      </w:pPr>
      <w:r>
        <w:rPr>
          <w:rFonts w:ascii="Arial" w:cs="Arial" w:eastAsia="Arial" w:hAnsi="Arial"/>
          <w:sz w:val="29"/>
          <w:szCs w:val="29"/>
          <w:color w:val="auto"/>
        </w:rPr>
        <w:t>NOTE 6 - INCOME TAXES</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the three and six months ended June 30, 2022, the Company prepared its interim tax provision by applying a year-to-date effective tax rate. For the three and six months ended June 30, 2021, the Company prepared its interim tax provision by applying an annual effective tax rate. Use of the actual year-to-date effective tax rate commenced during the three months ended September 30, 2021 and the Company believes that continuing to use the actual year-to-date effective tax rate going forward results in the best estimate of the annual effective tax rate.</w:t>
      </w:r>
    </w:p>
    <w:p>
      <w:pPr>
        <w:spacing w:after="0" w:line="112"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For the three months ended June 30, 2022 and 2021, the Company recorded a provision for income taxes of $2.1 million and $0.1 million, respectively, which resulted in effective tax rates of (34.8)% and 1.5%, respectively.</w:t>
      </w:r>
    </w:p>
    <w:p>
      <w:pPr>
        <w:spacing w:after="0" w:line="8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For the six months ended June 30, 2022 and 2021, the Company recorded a provision for income taxes of $3.7 million and $2.9 million, respectively, which resulted in effective tax rates of (31.7)% and 16.3%, respectively.</w:t>
      </w:r>
    </w:p>
    <w:p>
      <w:pPr>
        <w:spacing w:after="0" w:line="7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principal reasons for the difference between the statutory rate and the effective rate for 2022 were the effects of the change in the valuation allowance. The principal reasons for the difference between the statutory rate and the effective rate for 2021 were the effects of state taxes and stock-based compensation resulting from incentive stock options granted during the period.</w:t>
      </w:r>
    </w:p>
    <w:p>
      <w:pPr>
        <w:spacing w:after="0" w:line="10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The Company follows the provisions of Accounting Standards Codification ("ASC") 740-10,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ASC 740-10 prescribes a comprehensive model for the recognition, measurement, presentation and disclosure in financial statements of uncertain tax positions that have been taken or expected to be taken on a tax return. As of June 30, 2022 and December 31, 2021, the Company recorded an uncertain tax position liability, exclusive of interest and penalties, of $1.1 million and $0.2 million respectively, within Other liabilities on the condensed consolidated balance sheets.</w:t>
      </w:r>
    </w:p>
    <w:p>
      <w:pPr>
        <w:spacing w:after="0" w:line="112"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Company is subject to income taxes in U.S. federal and various state, local and foreign jurisdictions. The tax years ended December 2012 to December 2020 remain open to examination due to the carryover of unused net operating losses or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9"/>
          <w:szCs w:val="29"/>
          <w:color w:val="auto"/>
        </w:rPr>
        <w:t>NOTE 7 - NET (LOSS) INCOME PER SHARE</w:t>
      </w:r>
    </w:p>
    <w:p>
      <w:pPr>
        <w:spacing w:after="0" w:line="179"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following table sets forth the computation of basic and diluted net (loss) income per share (in thousands, except share and per share data):</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11"/>
        </w:trPr>
        <w:tc>
          <w:tcPr>
            <w:tcW w:w="46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color w:val="auto"/>
              </w:rPr>
              <w:t>Net (loss)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(7,994)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6,631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(15,370)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14,674</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Less: income allocated to participating securities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(9,426)</w:t>
            </w:r>
          </w:p>
        </w:tc>
        <w:tc>
          <w:tcPr>
            <w:tcW w:w="0" w:type="dxa"/>
            <w:vAlign w:val="bottom"/>
          </w:tcPr>
          <w:p>
            <w:pPr>
              <w:spacing w:after="0"/>
              <w:rPr>
                <w:sz w:val="1"/>
                <w:szCs w:val="1"/>
                <w:color w:val="auto"/>
              </w:rPr>
            </w:pPr>
          </w:p>
        </w:tc>
      </w:tr>
      <w:tr>
        <w:trPr>
          <w:trHeight w:val="164"/>
        </w:trPr>
        <w:tc>
          <w:tcPr>
            <w:tcW w:w="4680" w:type="dxa"/>
            <w:vAlign w:val="bottom"/>
          </w:tcPr>
          <w:p>
            <w:pPr>
              <w:ind w:left="300"/>
              <w:spacing w:after="0" w:line="164" w:lineRule="exact"/>
              <w:rPr>
                <w:sz w:val="20"/>
                <w:szCs w:val="20"/>
                <w:color w:val="auto"/>
              </w:rPr>
            </w:pPr>
            <w:r>
              <w:rPr>
                <w:rFonts w:ascii="Arial" w:cs="Arial" w:eastAsia="Arial" w:hAnsi="Arial"/>
                <w:sz w:val="18"/>
                <w:szCs w:val="18"/>
                <w:color w:val="auto"/>
              </w:rPr>
              <w:t>Net (loss) income attributable to Class A, LT10 and</w:t>
            </w: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(7,994)</w:t>
            </w:r>
          </w:p>
        </w:tc>
        <w:tc>
          <w:tcPr>
            <w:tcW w:w="100" w:type="dxa"/>
            <w:vAlign w:val="bottom"/>
          </w:tcPr>
          <w:p>
            <w:pPr>
              <w:spacing w:after="0"/>
              <w:rPr>
                <w:sz w:val="14"/>
                <w:szCs w:val="14"/>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1,925</w:t>
            </w:r>
          </w:p>
        </w:tc>
        <w:tc>
          <w:tcPr>
            <w:tcW w:w="100" w:type="dxa"/>
            <w:vAlign w:val="bottom"/>
          </w:tcPr>
          <w:p>
            <w:pPr>
              <w:spacing w:after="0"/>
              <w:rPr>
                <w:sz w:val="14"/>
                <w:szCs w:val="14"/>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(15,370)</w:t>
            </w:r>
          </w:p>
        </w:tc>
        <w:tc>
          <w:tcPr>
            <w:tcW w:w="100" w:type="dxa"/>
            <w:vAlign w:val="bottom"/>
          </w:tcPr>
          <w:p>
            <w:pPr>
              <w:spacing w:after="0"/>
              <w:rPr>
                <w:sz w:val="14"/>
                <w:szCs w:val="14"/>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13"/>
        </w:trPr>
        <w:tc>
          <w:tcPr>
            <w:tcW w:w="4680" w:type="dxa"/>
            <w:vAlign w:val="bottom"/>
          </w:tcPr>
          <w:p>
            <w:pPr>
              <w:ind w:left="460"/>
              <w:spacing w:after="0"/>
              <w:rPr>
                <w:sz w:val="20"/>
                <w:szCs w:val="20"/>
                <w:color w:val="auto"/>
              </w:rPr>
            </w:pPr>
            <w:r>
              <w:rPr>
                <w:rFonts w:ascii="Arial" w:cs="Arial" w:eastAsia="Arial" w:hAnsi="Arial"/>
                <w:sz w:val="18"/>
                <w:szCs w:val="18"/>
                <w:color w:val="auto"/>
              </w:rPr>
              <w:t>LT50 common stockholders, basic and diluted</w:t>
            </w:r>
          </w:p>
        </w:tc>
        <w:tc>
          <w:tcPr>
            <w:tcW w:w="3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680" w:type="dxa"/>
            <w:vAlign w:val="bottom"/>
          </w:tcPr>
          <w:p>
            <w:pPr>
              <w:ind w:left="20"/>
              <w:spacing w:after="0" w:line="183" w:lineRule="exact"/>
              <w:rPr>
                <w:sz w:val="20"/>
                <w:szCs w:val="20"/>
                <w:color w:val="auto"/>
              </w:rPr>
            </w:pPr>
            <w:r>
              <w:rPr>
                <w:rFonts w:ascii="Arial" w:cs="Arial" w:eastAsia="Arial" w:hAnsi="Arial"/>
                <w:sz w:val="18"/>
                <w:szCs w:val="18"/>
                <w:color w:val="auto"/>
              </w:rPr>
              <w:t>Weighted-average shares of common stock used to</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80" w:type="dxa"/>
            <w:vAlign w:val="bottom"/>
          </w:tcPr>
          <w:p>
            <w:pPr>
              <w:ind w:left="180"/>
              <w:spacing w:after="0" w:line="181" w:lineRule="exact"/>
              <w:rPr>
                <w:sz w:val="20"/>
                <w:szCs w:val="20"/>
                <w:color w:val="auto"/>
              </w:rPr>
            </w:pPr>
            <w:r>
              <w:rPr>
                <w:rFonts w:ascii="Arial" w:cs="Arial" w:eastAsia="Arial" w:hAnsi="Arial"/>
                <w:sz w:val="18"/>
                <w:szCs w:val="18"/>
                <w:color w:val="auto"/>
              </w:rPr>
              <w:t>compute net (loss) income per share attributable to</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80,473,097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29,836,295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80,311,053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29,680,220</w:t>
            </w:r>
          </w:p>
        </w:tc>
        <w:tc>
          <w:tcPr>
            <w:tcW w:w="0" w:type="dxa"/>
            <w:vAlign w:val="bottom"/>
          </w:tcPr>
          <w:p>
            <w:pPr>
              <w:spacing w:after="0"/>
              <w:rPr>
                <w:sz w:val="1"/>
                <w:szCs w:val="1"/>
                <w:color w:val="auto"/>
              </w:rPr>
            </w:pPr>
          </w:p>
        </w:tc>
      </w:tr>
      <w:tr>
        <w:trPr>
          <w:trHeight w:val="230"/>
        </w:trPr>
        <w:tc>
          <w:tcPr>
            <w:tcW w:w="4680" w:type="dxa"/>
            <w:vAlign w:val="bottom"/>
          </w:tcPr>
          <w:p>
            <w:pPr>
              <w:ind w:left="180"/>
              <w:spacing w:after="0"/>
              <w:rPr>
                <w:sz w:val="20"/>
                <w:szCs w:val="20"/>
                <w:color w:val="auto"/>
              </w:rPr>
            </w:pPr>
            <w:r>
              <w:rPr>
                <w:rFonts w:ascii="Arial" w:cs="Arial" w:eastAsia="Arial" w:hAnsi="Arial"/>
                <w:sz w:val="18"/>
                <w:szCs w:val="18"/>
                <w:color w:val="auto"/>
              </w:rPr>
              <w:t>common stockholders, basic</w:t>
            </w: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warrants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421,300</w:t>
            </w:r>
          </w:p>
        </w:tc>
        <w:tc>
          <w:tcPr>
            <w:tcW w:w="0" w:type="dxa"/>
            <w:vAlign w:val="bottom"/>
          </w:tcPr>
          <w:p>
            <w:pPr>
              <w:spacing w:after="0"/>
              <w:rPr>
                <w:sz w:val="1"/>
                <w:szCs w:val="1"/>
                <w:color w:val="auto"/>
              </w:rPr>
            </w:pPr>
          </w:p>
        </w:tc>
      </w:tr>
      <w:tr>
        <w:trPr>
          <w:trHeight w:val="229"/>
        </w:trPr>
        <w:tc>
          <w:tcPr>
            <w:tcW w:w="4680" w:type="dxa"/>
            <w:vAlign w:val="bottom"/>
          </w:tcPr>
          <w:p>
            <w:pPr>
              <w:ind w:left="180"/>
              <w:spacing w:after="0"/>
              <w:rPr>
                <w:sz w:val="20"/>
                <w:szCs w:val="20"/>
                <w:color w:val="auto"/>
              </w:rPr>
            </w:pPr>
            <w:r>
              <w:rPr>
                <w:rFonts w:ascii="Arial" w:cs="Arial" w:eastAsia="Arial" w:hAnsi="Arial"/>
                <w:sz w:val="18"/>
                <w:szCs w:val="18"/>
                <w:color w:val="auto"/>
              </w:rPr>
              <w:t>Dilutive effect of weighted average stock options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11,082,916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11,114,900</w:t>
            </w:r>
          </w:p>
        </w:tc>
        <w:tc>
          <w:tcPr>
            <w:tcW w:w="0" w:type="dxa"/>
            <w:vAlign w:val="bottom"/>
          </w:tcPr>
          <w:p>
            <w:pPr>
              <w:spacing w:after="0"/>
              <w:rPr>
                <w:sz w:val="1"/>
                <w:szCs w:val="1"/>
                <w:color w:val="auto"/>
              </w:rPr>
            </w:pPr>
          </w:p>
        </w:tc>
      </w:tr>
      <w:tr>
        <w:trPr>
          <w:trHeight w:val="164"/>
        </w:trPr>
        <w:tc>
          <w:tcPr>
            <w:tcW w:w="4680" w:type="dxa"/>
            <w:vAlign w:val="bottom"/>
            <w:tcBorders>
              <w:top w:val="single" w:sz="8" w:color="CCEEFF"/>
            </w:tcBorders>
            <w:shd w:val="clear" w:color="auto" w:fill="CCEEFF"/>
          </w:tcPr>
          <w:p>
            <w:pPr>
              <w:ind w:left="20"/>
              <w:spacing w:after="0" w:line="164" w:lineRule="exact"/>
              <w:rPr>
                <w:sz w:val="20"/>
                <w:szCs w:val="20"/>
                <w:color w:val="auto"/>
              </w:rPr>
            </w:pPr>
            <w:r>
              <w:rPr>
                <w:rFonts w:ascii="Arial" w:cs="Arial" w:eastAsia="Arial" w:hAnsi="Arial"/>
                <w:sz w:val="18"/>
                <w:szCs w:val="18"/>
                <w:color w:val="auto"/>
              </w:rPr>
              <w:t>Weighted-average shares of common stock used to</w:t>
            </w: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680" w:type="dxa"/>
            <w:vAlign w:val="bottom"/>
            <w:shd w:val="clear" w:color="auto" w:fill="CCEEFF"/>
          </w:tcPr>
          <w:p>
            <w:pPr>
              <w:ind w:left="180"/>
              <w:spacing w:after="0" w:line="181" w:lineRule="exact"/>
              <w:rPr>
                <w:sz w:val="20"/>
                <w:szCs w:val="20"/>
                <w:color w:val="auto"/>
              </w:rPr>
            </w:pPr>
            <w:r>
              <w:rPr>
                <w:rFonts w:ascii="Arial" w:cs="Arial" w:eastAsia="Arial" w:hAnsi="Arial"/>
                <w:sz w:val="18"/>
                <w:szCs w:val="18"/>
                <w:color w:val="auto"/>
              </w:rPr>
              <w:t>compute net (loss) income per share attributable to</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80,473,097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41,341,330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80,311,053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41,216,420</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common stockholders, diluted</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68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Net (loss) income per share attributable to Class A, LT10</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28"/>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LT50 common stockholders, basic</w:t>
            </w: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line="170" w:lineRule="exact"/>
              <w:rPr>
                <w:sz w:val="20"/>
                <w:szCs w:val="20"/>
                <w:color w:val="auto"/>
              </w:rPr>
            </w:pPr>
            <w:r>
              <w:rPr>
                <w:rFonts w:ascii="Arial" w:cs="Arial" w:eastAsia="Arial" w:hAnsi="Arial"/>
                <w:sz w:val="18"/>
                <w:szCs w:val="18"/>
                <w:color w:val="auto"/>
              </w:rPr>
              <w:t>Net (loss) income per share attributable to Class A, LT10</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680" w:type="dxa"/>
            <w:vAlign w:val="bottom"/>
            <w:vMerge w:val="continue"/>
          </w:tcPr>
          <w:p>
            <w:pPr>
              <w:spacing w:after="0"/>
              <w:rPr>
                <w:sz w:val="11"/>
                <w:szCs w:val="11"/>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1"/>
                <w:szCs w:val="11"/>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1"/>
                <w:szCs w:val="11"/>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1"/>
                <w:szCs w:val="11"/>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3"/>
        </w:trPr>
        <w:tc>
          <w:tcPr>
            <w:tcW w:w="4680" w:type="dxa"/>
            <w:vAlign w:val="bottom"/>
          </w:tcPr>
          <w:p>
            <w:pPr>
              <w:ind w:left="180"/>
              <w:spacing w:after="0"/>
              <w:rPr>
                <w:sz w:val="20"/>
                <w:szCs w:val="20"/>
                <w:color w:val="auto"/>
              </w:rPr>
            </w:pPr>
            <w:r>
              <w:rPr>
                <w:rFonts w:ascii="Arial" w:cs="Arial" w:eastAsia="Arial" w:hAnsi="Arial"/>
                <w:sz w:val="18"/>
                <w:szCs w:val="18"/>
                <w:color w:val="auto"/>
              </w:rPr>
              <w:t>and LT50 common stockholders, diluted</w:t>
            </w:r>
          </w:p>
        </w:tc>
        <w:tc>
          <w:tcPr>
            <w:tcW w:w="3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rights, including the liquidation and dividend rights, of the holders of Class A, LT10 and LT50 common stock are identical, except with respect to voting, conversion and transfer rights. Each share of Class A common stock is entitled to one vote per share, each share of LT10 common stock is entitled to 10 votes per share and each share of LT50 common stock is entitled to 50 votes per share. Each share of LT10 and LT50 common stock is convertible into one share of Class A common stock voluntarily at the option of the holder after the satisfaction of certain requirements, which includes a 10 month notice period for LT10 common stock and a 50 month notice period for LT50 common stock to convert to Class A common stock, or automatically upon certain events. The Class A common stock has no conversion rights. As the liquidation and dividend rights are identical for Class A, LT10 and LT50 common stock, the undistributed earnings are allocated on a proportional basis based on the number of weighted-average shares within each class of common stock during the period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resulting net (loss) income per share attributable to common stockholders will be the same for the Class A, LT10 and LT50 common stock on an individual or combined basis.</w:t>
      </w:r>
    </w:p>
    <w:p>
      <w:pPr>
        <w:spacing w:after="0" w:line="8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following potentially dilutive shares were not included in the calculation of diluted shares outstanding as the effect would have been anti-dilutive: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00" w:type="dxa"/>
            <w:vAlign w:val="bottom"/>
            <w:tcBorders>
              <w:top w:val="single" w:sz="8" w:color="auto"/>
            </w:tcBorders>
          </w:tcPr>
          <w:p>
            <w:pPr>
              <w:spacing w:after="0"/>
              <w:rPr>
                <w:sz w:val="21"/>
                <w:szCs w:val="21"/>
                <w:color w:val="auto"/>
              </w:rPr>
            </w:pPr>
          </w:p>
        </w:tc>
        <w:tc>
          <w:tcPr>
            <w:tcW w:w="3320" w:type="dxa"/>
            <w:vAlign w:val="bottom"/>
            <w:tcBorders>
              <w:top w:val="single" w:sz="8" w:color="auto"/>
            </w:tcBorders>
            <w:gridSpan w:val="4"/>
          </w:tcPr>
          <w:p>
            <w:pPr>
              <w:ind w:left="460"/>
              <w:spacing w:after="0"/>
              <w:rPr>
                <w:sz w:val="20"/>
                <w:szCs w:val="20"/>
                <w:color w:val="auto"/>
              </w:rPr>
            </w:pPr>
            <w:r>
              <w:rPr>
                <w:rFonts w:ascii="Arial" w:cs="Arial" w:eastAsia="Arial" w:hAnsi="Arial"/>
                <w:sz w:val="16"/>
                <w:szCs w:val="16"/>
                <w:b w:val="1"/>
                <w:bCs w:val="1"/>
                <w:color w:val="auto"/>
              </w:rPr>
              <w:t>Three months ended June 30,</w:t>
            </w:r>
          </w:p>
        </w:tc>
        <w:tc>
          <w:tcPr>
            <w:tcW w:w="3220" w:type="dxa"/>
            <w:vAlign w:val="bottom"/>
            <w:tcBorders>
              <w:top w:val="single" w:sz="8" w:color="auto"/>
            </w:tcBorders>
            <w:gridSpan w:val="3"/>
          </w:tcPr>
          <w:p>
            <w:pPr>
              <w:jc w:val="right"/>
              <w:ind w:right="472"/>
              <w:spacing w:after="0"/>
              <w:rPr>
                <w:sz w:val="20"/>
                <w:szCs w:val="20"/>
                <w:color w:val="auto"/>
              </w:rPr>
            </w:pPr>
            <w:r>
              <w:rPr>
                <w:rFonts w:ascii="Arial" w:cs="Arial" w:eastAsia="Arial" w:hAnsi="Arial"/>
                <w:sz w:val="16"/>
                <w:szCs w:val="16"/>
                <w:b w:val="1"/>
                <w:bCs w:val="1"/>
                <w:color w:val="auto"/>
              </w:rPr>
              <w:t>Six months ended June 30,</w:t>
            </w:r>
          </w:p>
        </w:tc>
      </w:tr>
      <w:tr>
        <w:trPr>
          <w:trHeight w:val="209"/>
        </w:trPr>
        <w:tc>
          <w:tcPr>
            <w:tcW w:w="4700" w:type="dxa"/>
            <w:vAlign w:val="bottom"/>
            <w:tcBorders>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stock options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5,418,741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6,065,482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Matching shares</w:t>
            </w:r>
          </w:p>
        </w:tc>
        <w:tc>
          <w:tcPr>
            <w:tcW w:w="1560" w:type="dxa"/>
            <w:vAlign w:val="bottom"/>
          </w:tcPr>
          <w:p>
            <w:pPr>
              <w:jc w:val="right"/>
              <w:spacing w:after="0"/>
              <w:rPr>
                <w:sz w:val="20"/>
                <w:szCs w:val="20"/>
                <w:color w:val="auto"/>
              </w:rPr>
            </w:pPr>
            <w:r>
              <w:rPr>
                <w:rFonts w:ascii="Arial" w:cs="Arial" w:eastAsia="Arial" w:hAnsi="Arial"/>
                <w:sz w:val="18"/>
                <w:szCs w:val="18"/>
                <w:color w:val="auto"/>
              </w:rPr>
              <w:t>6,220</w:t>
            </w:r>
          </w:p>
        </w:tc>
        <w:tc>
          <w:tcPr>
            <w:tcW w:w="1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6,748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42,031,390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42,031,390</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5,424,961</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42,031,390</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6,072,230</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42,031,390</w:t>
            </w:r>
          </w:p>
        </w:tc>
      </w:tr>
      <w:tr>
        <w:trPr>
          <w:trHeight w:val="20"/>
        </w:trPr>
        <w:tc>
          <w:tcPr>
            <w:tcW w:w="4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
        </w:trPr>
        <w:tc>
          <w:tcPr>
            <w:tcW w:w="47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29"/>
          <w:szCs w:val="29"/>
          <w:color w:val="auto"/>
        </w:rPr>
        <w:t>NOTE 8 - EQUITY</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May 10, 2022, the Executive Committee of our Board of Directors approved a share repurchase program with authorization to purchase up to $ 50 million of shares of Class A common stock ("2022 Share Repurchase Program"). The Company may repurchase shares from time to time through open market purchases, in privately negotiated transactions or by other means, including the use of trading plans intended to qualify under Rule 10b5-1 of the Securities Exchange Act of 1934 (the "Exchange Act"), in accordance with applicable securities laws and other restrictions. The actual timing, manner, price and total amount of future repurchases will depend on a variety of factors, including business, economic and market conditions, corporate and regulatory requirements, prevailing stock prices, restrictions under the terms of loan agreements and other considerations. The 2022 Share Repurchase Program does not obligate the Company to acquire any particular amount of Class A common stock, and the program may be suspended or terminated at any time by the Company at any time at its discretion without prior notice.</w:t>
      </w:r>
    </w:p>
    <w:p>
      <w:pPr>
        <w:spacing w:after="0" w:line="113"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During the three and six months ended June 30, 2022, the Company did not repurchase any shares of Class A common stock under the 2022 Share Repurchase Program.</w:t>
      </w:r>
    </w:p>
    <w:p>
      <w:pPr>
        <w:spacing w:after="0" w:line="59" w:lineRule="exact"/>
        <w:rPr>
          <w:sz w:val="20"/>
          <w:szCs w:val="20"/>
          <w:color w:val="auto"/>
        </w:rPr>
      </w:pPr>
    </w:p>
    <w:p>
      <w:pPr>
        <w:spacing w:after="0"/>
        <w:rPr>
          <w:sz w:val="20"/>
          <w:szCs w:val="20"/>
          <w:color w:val="auto"/>
        </w:rPr>
      </w:pPr>
      <w:r>
        <w:rPr>
          <w:rFonts w:ascii="Arial" w:cs="Arial" w:eastAsia="Arial" w:hAnsi="Arial"/>
          <w:sz w:val="29"/>
          <w:szCs w:val="29"/>
          <w:color w:val="auto"/>
        </w:rPr>
        <w:t>NOTE 9 - RELATED PARTY TRANSACTIONS</w:t>
      </w:r>
    </w:p>
    <w:p>
      <w:pPr>
        <w:spacing w:after="0" w:line="16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During the six months ended June 30, 2022, Expensify, Inc. contributed $1.9 million to its wholly-owned subsidiary, Expensify.org, a nonprofit benefit organization established by the Company. There was an immaterial amount of contributions from Expensify, Inc. to Expensify.org during the six months ended June 30, 2021. There were $0.3 million in commitments from Expensify, Inc. that remained open for contribution as of June 30, 2022.</w:t>
      </w:r>
    </w:p>
    <w:p>
      <w:pPr>
        <w:spacing w:after="0" w:line="109"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There are no other significant related party transactions for the Company as of June 30, 2022, except as noted elsewhere in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20"/>
        <w:spacing w:after="0" w:line="276" w:lineRule="auto"/>
        <w:rPr>
          <w:sz w:val="20"/>
          <w:szCs w:val="20"/>
          <w:color w:val="auto"/>
        </w:rPr>
      </w:pPr>
      <w:r>
        <w:rPr>
          <w:rFonts w:ascii="Arial" w:cs="Arial" w:eastAsia="Arial" w:hAnsi="Arial"/>
          <w:sz w:val="29"/>
          <w:szCs w:val="29"/>
          <w:color w:val="auto"/>
        </w:rPr>
        <w:t>Item 2. Management's Discussion and Analysis of Financial Condition and Results of Operations</w:t>
      </w:r>
    </w:p>
    <w:p>
      <w:pPr>
        <w:spacing w:after="0" w:line="8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included elsewhere in this Quarterly Report on Form 10-Q and with our audited consolidated financial statements included in our Annual Report on Form 10-K for the year ended December 31, 2021 ("2021 Annual Report"). This discussion contains forward-looking statements based upon current plans, expectations and beliefs involving risks and uncertainties. Our actual results could differ materially from those anticipated in these forward-looking statements as a result of various factors, including those set forth under Part I, Item 1A. “Risk Factors” in our 2021 Annual Report and included elsewhere in this Quarterly Report on Form 10-Q. See “Special Note Regarding Forward-Looking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10 million members to our community and processed and automated over 1.2 billion expense transactions on our platform as of June 30, 2022, freeing people to spend less time managing expenses and more time doing the things they love. For the quarter ended June 30, 2022, an average of 754,000 paid members across 200 countries and territories used Expensify to make money easy.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5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business and the operations of our customers, the majority of which are small and medium businesses (“SMBs”), have been disrupted by the COVID-19 pandemic. For example, after a steady increase in paid members over multiple years, the average number of paid members on our platform declined in 2020. However, while the full lasting impact of the COVID-19 pandemic on the global economy and SMBs in particular remains uncertain, we have seen our average paid members increase to levels that surpass those of March 2020 when the pandemic began as economies have reopened and business travel resumed.</w:t>
      </w:r>
    </w:p>
    <w:p>
      <w:pPr>
        <w:spacing w:after="0" w:line="112"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See the section titled “Risk Factors” in our 2021 Annual Report for further discussion of the possible impact of the COVID-19 pandemic on our business.</w:t>
      </w:r>
    </w:p>
    <w:p>
      <w:pPr>
        <w:spacing w:after="0" w:line="59" w:lineRule="exact"/>
        <w:rPr>
          <w:sz w:val="20"/>
          <w:szCs w:val="20"/>
          <w:color w:val="auto"/>
        </w:rPr>
      </w:pPr>
    </w:p>
    <w:p>
      <w:pPr>
        <w:spacing w:after="0"/>
        <w:rPr>
          <w:sz w:val="20"/>
          <w:szCs w:val="20"/>
          <w:color w:val="auto"/>
        </w:rPr>
      </w:pPr>
      <w:r>
        <w:rPr>
          <w:rFonts w:ascii="Arial" w:cs="Arial" w:eastAsia="Arial" w:hAnsi="Arial"/>
          <w:sz w:val="29"/>
          <w:szCs w:val="29"/>
          <w:color w:val="auto"/>
        </w:rPr>
        <w:t>Key Business Metrics and Non-GAAP Financial Measures</w:t>
      </w:r>
    </w:p>
    <w:p>
      <w:pPr>
        <w:spacing w:after="0" w:line="17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regularly review the following key business metrics and non-United States generally accepted accounting principles ("GAAP") financial measures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our financial information presented in accordance with GAAP, and may be different from similarly titled metrics or measures presented by other companies.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Paid Members</w:t>
      </w:r>
    </w:p>
    <w:p>
      <w:pPr>
        <w:spacing w:after="0" w:line="15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believe that our ability to increase the number of paid members on our platform will drive our success as a business. Companies pay for subscriptions on behalf of employees and contractors who use the platform, whom we refer to as paid members. We define paid members as the average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of users (employees, contractors, volunteers, team members, etc.) who are billed on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or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plans during any particular quarter.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SMBs or sole proprietors with only one employee, the business owner may also be the only paid member.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While the resulting impact of the COVID-19 pandemic on paid members remains uncertain, we continue to see improvement.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average number of paid members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56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Paid members</w:t>
            </w:r>
          </w:p>
        </w:tc>
      </w:tr>
      <w:tr>
        <w:trPr>
          <w:trHeight w:val="224"/>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30, 2022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r>
      <w:tr>
        <w:trPr>
          <w:trHeight w:val="239"/>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June 30, 2021</w:t>
            </w:r>
          </w:p>
        </w:tc>
        <w:tc>
          <w:tcPr>
            <w:tcW w:w="1560" w:type="dxa"/>
            <w:vAlign w:val="bottom"/>
          </w:tcPr>
          <w:p>
            <w:pPr>
              <w:jc w:val="right"/>
              <w:spacing w:after="0"/>
              <w:rPr>
                <w:sz w:val="20"/>
                <w:szCs w:val="20"/>
                <w:color w:val="auto"/>
              </w:rPr>
            </w:pPr>
            <w:r>
              <w:rPr>
                <w:rFonts w:ascii="Arial" w:cs="Arial" w:eastAsia="Arial" w:hAnsi="Arial"/>
                <w:sz w:val="18"/>
                <w:szCs w:val="18"/>
                <w:color w:val="auto"/>
              </w:rPr>
              <w:t>639</w:t>
            </w:r>
          </w:p>
        </w:tc>
      </w:tr>
      <w:tr>
        <w:trPr>
          <w:trHeight w:val="45"/>
        </w:trPr>
        <w:tc>
          <w:tcPr>
            <w:tcW w:w="9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Non-GAAP Financial Measures</w:t>
      </w:r>
    </w:p>
    <w:p>
      <w:pPr>
        <w:spacing w:after="0" w:line="14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define adjusted EBITDA as net income from operations excluding the provision for income taxes, interest and other expenses, net, depreciation and amortization and stock-based compensation. We define adjusted EBITDA margin as adjusted EBITDA divided by total revenue for the same period. We are focused on profitable growth and we consider adjusted EBITDA to be an important measure because it helps illustrate underlying trends in our business that could otherwise be masked by the effect of the income or expenses that are not indicative of the core operating performance of our business.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100" w:type="dxa"/>
            <w:vAlign w:val="bottom"/>
            <w:tcBorders>
              <w:top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32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r>
      <w:tr>
        <w:trPr>
          <w:trHeight w:val="196"/>
        </w:trPr>
        <w:tc>
          <w:tcPr>
            <w:tcW w:w="4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0" w:type="dxa"/>
            <w:vAlign w:val="bottom"/>
            <w:gridSpan w:val="5"/>
          </w:tcPr>
          <w:p>
            <w:pPr>
              <w:ind w:left="200"/>
              <w:spacing w:after="0"/>
              <w:rPr>
                <w:sz w:val="20"/>
                <w:szCs w:val="20"/>
                <w:color w:val="auto"/>
              </w:rPr>
            </w:pPr>
            <w:r>
              <w:rPr>
                <w:rFonts w:ascii="Arial" w:cs="Arial" w:eastAsia="Arial" w:hAnsi="Arial"/>
                <w:sz w:val="14"/>
                <w:szCs w:val="14"/>
                <w:b w:val="1"/>
                <w:bCs w:val="1"/>
                <w:color w:val="auto"/>
              </w:rPr>
              <w:t>(in thousands, except percentages)</w:t>
            </w: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rPr>
              <w:t>11,656</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9,510</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rPr>
              <w:t>22,346</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22,933</w:t>
            </w: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35 %</w:t>
            </w:r>
          </w:p>
        </w:tc>
      </w:tr>
      <w:tr>
        <w:trPr>
          <w:trHeight w:val="21"/>
        </w:trPr>
        <w:tc>
          <w:tcPr>
            <w:tcW w:w="4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and Non-GAAP Net Income Margin</w:t>
      </w:r>
    </w:p>
    <w:p>
      <w:pPr>
        <w:spacing w:after="0" w:line="14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define non-GAAP net income as net (loss) income from operations in accordance with GAAP excluding stock-based compensation and bonus costs related to our initial public offering ("IPO"), which we consider to be the discretionary cash bonuses paid to our employees during 2021. Refer to Part II, Item 7. "Management's Discussion and Analysis of Financial Conditions and Results of Operations—Liquidity and Capital Resources" in our 2021 Annual Report for further detail over the discretionary cash bonuses paid to employees in 2021. We define non-GAAP net income margin as non-GAAP net income divided by total revenue for the same period. We are focused on profitable growth and we consider non-GAAP net income to be an important measure because it helps illustrate underlying trends in our business that could otherwise be masked by the effect of stock-based compensation and the one-time IPO-related discretionary cash bonus costs. Both expenses are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considered indicative of the core operating performance of our business. IPO-related bonus costs impacted the second, third and fourth fiscal quarters of 2021, but are not expected to impact future periods beginning with the first quarter of 2022.</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100" w:type="dxa"/>
            <w:vAlign w:val="bottom"/>
            <w:tcBorders>
              <w:top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32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r>
      <w:tr>
        <w:trPr>
          <w:trHeight w:val="196"/>
        </w:trPr>
        <w:tc>
          <w:tcPr>
            <w:tcW w:w="4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0" w:type="dxa"/>
            <w:vAlign w:val="bottom"/>
            <w:gridSpan w:val="5"/>
          </w:tcPr>
          <w:p>
            <w:pPr>
              <w:ind w:left="200"/>
              <w:spacing w:after="0"/>
              <w:rPr>
                <w:sz w:val="20"/>
                <w:szCs w:val="20"/>
                <w:color w:val="auto"/>
              </w:rPr>
            </w:pPr>
            <w:r>
              <w:rPr>
                <w:rFonts w:ascii="Arial" w:cs="Arial" w:eastAsia="Arial" w:hAnsi="Arial"/>
                <w:sz w:val="14"/>
                <w:szCs w:val="14"/>
                <w:b w:val="1"/>
                <w:bCs w:val="1"/>
                <w:color w:val="auto"/>
              </w:rPr>
              <w:t>(in thousands, except percentages)</w:t>
            </w: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rPr>
              <w:t>6,054</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15,458</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rPr>
              <w:t>13,058</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24,211</w:t>
            </w: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Non-GAAP net income margin</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37 %</w:t>
            </w:r>
          </w:p>
        </w:tc>
      </w:tr>
      <w:tr>
        <w:trPr>
          <w:trHeight w:val="20"/>
        </w:trPr>
        <w:tc>
          <w:tcPr>
            <w:tcW w:w="4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
        </w:trPr>
        <w:tc>
          <w:tcPr>
            <w:tcW w:w="4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reconcile the most directly comparable GAAP financial measure to each of these non-GAAP financial measures.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340" w:type="dxa"/>
            <w:vAlign w:val="bottom"/>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r>
      <w:tr>
        <w:trPr>
          <w:trHeight w:val="196"/>
        </w:trPr>
        <w:tc>
          <w:tcPr>
            <w:tcW w:w="4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80" w:type="dxa"/>
            <w:vAlign w:val="bottom"/>
            <w:gridSpan w:val="5"/>
          </w:tcPr>
          <w:p>
            <w:pPr>
              <w:ind w:left="180"/>
              <w:spacing w:after="0"/>
              <w:rPr>
                <w:sz w:val="20"/>
                <w:szCs w:val="20"/>
                <w:color w:val="auto"/>
              </w:rPr>
            </w:pPr>
            <w:r>
              <w:rPr>
                <w:rFonts w:ascii="Arial" w:cs="Arial" w:eastAsia="Arial" w:hAnsi="Arial"/>
                <w:sz w:val="14"/>
                <w:szCs w:val="14"/>
                <w:b w:val="1"/>
                <w:bCs w:val="1"/>
                <w:color w:val="auto"/>
              </w:rPr>
              <w:t>(in thousands, except percentages)</w:t>
            </w: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1"/>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(7,994)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6,631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(15,370)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14,674</w:t>
            </w: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Net (loss) income margin</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52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2,065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3,697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2,861</w:t>
            </w: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expenses, net</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1,955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2,856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1,506</w:t>
            </w: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2,735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2,294</w:t>
            </w: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14,048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28,428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1,598</w:t>
            </w:r>
          </w:p>
        </w:tc>
      </w:tr>
      <w:tr>
        <w:trPr>
          <w:trHeight w:val="223"/>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Adjusted EBITDA</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11,656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9,510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22,346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22,933</w:t>
            </w: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5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0"/>
        </w:trPr>
        <w:tc>
          <w:tcPr>
            <w:tcW w:w="486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424"/>
        </w:trPr>
        <w:tc>
          <w:tcPr>
            <w:tcW w:w="4860" w:type="dxa"/>
            <w:vAlign w:val="bottom"/>
            <w:gridSpan w:val="2"/>
          </w:tcPr>
          <w:p>
            <w:pPr>
              <w:spacing w:after="0"/>
              <w:rPr>
                <w:sz w:val="20"/>
                <w:szCs w:val="20"/>
                <w:color w:val="auto"/>
              </w:rPr>
            </w:pPr>
            <w:r>
              <w:rPr>
                <w:rFonts w:ascii="Arial" w:cs="Arial" w:eastAsia="Arial" w:hAnsi="Arial"/>
                <w:sz w:val="18"/>
                <w:szCs w:val="18"/>
                <w:i w:val="1"/>
                <w:iCs w:val="1"/>
                <w:color w:val="auto"/>
              </w:rPr>
              <w:t>Non-GAAP Net Income and Non-GAAP Net Income Margin</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9"/>
        </w:trPr>
        <w:tc>
          <w:tcPr>
            <w:tcW w:w="43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5"/>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4"/>
          </w:tcPr>
          <w:p>
            <w:pPr>
              <w:spacing w:after="0"/>
              <w:rPr>
                <w:sz w:val="15"/>
                <w:szCs w:val="15"/>
                <w:color w:val="auto"/>
              </w:rPr>
            </w:pPr>
          </w:p>
        </w:tc>
      </w:tr>
      <w:tr>
        <w:trPr>
          <w:trHeight w:val="201"/>
        </w:trPr>
        <w:tc>
          <w:tcPr>
            <w:tcW w:w="4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7"/>
                <w:szCs w:val="17"/>
                <w:color w:val="auto"/>
              </w:rPr>
            </w:pPr>
          </w:p>
        </w:tc>
        <w:tc>
          <w:tcPr>
            <w:tcW w:w="302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340" w:type="dxa"/>
            <w:vAlign w:val="bottom"/>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r>
      <w:tr>
        <w:trPr>
          <w:trHeight w:val="196"/>
        </w:trPr>
        <w:tc>
          <w:tcPr>
            <w:tcW w:w="4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80" w:type="dxa"/>
            <w:vAlign w:val="bottom"/>
            <w:gridSpan w:val="5"/>
          </w:tcPr>
          <w:p>
            <w:pPr>
              <w:ind w:left="180"/>
              <w:spacing w:after="0"/>
              <w:rPr>
                <w:sz w:val="20"/>
                <w:szCs w:val="20"/>
                <w:color w:val="auto"/>
              </w:rPr>
            </w:pPr>
            <w:r>
              <w:rPr>
                <w:rFonts w:ascii="Arial" w:cs="Arial" w:eastAsia="Arial" w:hAnsi="Arial"/>
                <w:sz w:val="14"/>
                <w:szCs w:val="14"/>
                <w:b w:val="1"/>
                <w:bCs w:val="1"/>
                <w:color w:val="auto"/>
              </w:rPr>
              <w:t>(in thousands, except percentages)</w:t>
            </w: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(7,994)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6,631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(15,370)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14,674</w:t>
            </w: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Net (loss) income margin</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52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14,048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28,428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1,598</w:t>
            </w: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IPO-related bonus expense</w:t>
            </w:r>
          </w:p>
        </w:tc>
        <w:tc>
          <w:tcPr>
            <w:tcW w:w="5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7,939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7,939</w:t>
            </w:r>
          </w:p>
        </w:tc>
      </w:tr>
      <w:tr>
        <w:trPr>
          <w:trHeight w:val="223"/>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Non-GAAP net income</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8"/>
                <w:szCs w:val="18"/>
                <w:color w:val="auto"/>
              </w:rPr>
              <w:t>6,054</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8"/>
                <w:szCs w:val="18"/>
                <w:color w:val="auto"/>
              </w:rPr>
              <w:t>15,458</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8"/>
                <w:szCs w:val="18"/>
                <w:color w:val="auto"/>
              </w:rPr>
              <w:t>13,058</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24,211</w:t>
            </w: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 margin</w:t>
            </w:r>
          </w:p>
        </w:tc>
        <w:tc>
          <w:tcPr>
            <w:tcW w:w="5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29"/>
          <w:szCs w:val="29"/>
          <w:color w:val="auto"/>
        </w:rPr>
        <w:t>Components of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5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generate revenue from subscription fees based on the usage of our expense reporting cloud-based platform under arrangements paid monthly in arrears that are either month-to-month that can be terminated by either party without penalty at any time or annual arrangements based on a minimum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number of monthly members. Annual subscription customers who wish to terminate their contracts before the end of the term are required to pay the remaining obligation in full plus any fees or penalties set forth in the agreement. In May 2020, we updated our terms of service whereby annual contracts became non-cancelable. We charge our customers subscription fees for access to our platform based on the number of monthly active members and level of service. The contractual price is based on either negotiated fees or rates published on our website. We generate most of our revenue from customers who have a credit card or debit card on file with us that is automatically charged each month. Virtually all of our customers have a standard terms of service contract, with the few exceptions on bespoke service contracts.</w:t>
      </w:r>
    </w:p>
    <w:p>
      <w:pPr>
        <w:spacing w:after="0" w:line="10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contracts with our customers include two performance obligations: access to the hosted software service, inclusive of all features available within the platform, and the related customer support. We account for the platform access and the support as a combined performance obligation because they have the same pattern of transfer over the same period and are therefore delivered concurrently. We satisfy our performance obligation over time each month as we provide platform access and support services to customers and as such recognize revenue over time. We recognize revenue net of applicable taxes imposed on the related transaction.</w:t>
      </w:r>
    </w:p>
    <w:p>
      <w:pPr>
        <w:spacing w:after="0" w:line="1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began offering a cashback rewards program to all customers based on volume of Expensify Card transactions and software as a service ("SaaS") subscription tier in August 2021. Cashback rewards are earned on a monthly basis and are paid out the following month. We consider our cashback payments to customers as consideration payable to a customer, and the payments are recorded as contra revenue within Revenue on the condensed consolidated statements of operations. We also record a cashback rewards liability that represents the consideration payable to customers for earned cashback rewards. The cashback rewards fluctuate over time as customers meet eligibility requirements in conjunction with the applicable SaaS subscription tier of each customer and the timing of payments made to customers.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Net</w:t>
      </w:r>
    </w:p>
    <w:p>
      <w:pPr>
        <w:spacing w:after="0" w:line="14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Cost of revenue, net primarily consists of expenses related to hosting our service, including the costs of data center capacity, credit card processing fees, third-party software license fees, outsourcing costs to support customer service and outsourcing costs to support and process our patented scanning technology SmartScan, net of consideration from a vendor. Additional costs include amortization expense on capitalized software development costs and personnel-related expenses, including stock-based compensation and employee costs attributable to supporting our customers and maintenance of our platform.</w:t>
      </w:r>
    </w:p>
    <w:p>
      <w:pPr>
        <w:spacing w:after="0" w:line="11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Consideration from a vendor is related to the Expensify Card. We use a third-party vendor to issue Expensify Cards and process the related transactions. When purchases are made with the Expensify Card, a fee is charged by the card network to the merchant (also known as "interchange"). The vendor is contractually entitled to the interchange through its relationships with the card network and card issuing bank. The vendor keeps a portion of the interchange for their services, and our agreement with the vendor results in us receiving the remainder of the interchange less the amount retained by the vendor (our remainder portion, "Expensify interchange amount"). The vendor also charges us fees ("vendor fees") for the services it provides to us. Due to the nature of the vendor agreement, we do not record the Expensify interchange amount as revenue. Instead, the net of the Expensify interchange amount and vendor fees are paid to us, and we record it as "Consideration from a vendor, net,"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contra-expense in Cost of revenue, net. The following summarizes these various amounts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Borders>
              <w:top w:val="single" w:sz="8" w:color="auto"/>
            </w:tcBorders>
          </w:tcPr>
          <w:p>
            <w:pPr>
              <w:spacing w:after="0"/>
              <w:rPr>
                <w:sz w:val="19"/>
                <w:szCs w:val="19"/>
                <w:color w:val="auto"/>
              </w:rPr>
            </w:pPr>
          </w:p>
        </w:tc>
        <w:tc>
          <w:tcPr>
            <w:tcW w:w="2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2700" w:type="dxa"/>
            <w:vAlign w:val="bottom"/>
            <w:tcBorders>
              <w:top w:val="single" w:sz="8" w:color="auto"/>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70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r>
      <w:tr>
        <w:trPr>
          <w:trHeight w:val="196"/>
        </w:trPr>
        <w:tc>
          <w:tcPr>
            <w:tcW w:w="4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 interchange amount</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Vendor fees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Consideration from a vendor, net</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Research and development expenses consist primarily of personnel-related expenses, including stock-based compensation, incurred related to the planning and preliminary project stage and post-implementation stage of new products or enhancing existing products or services. We capitalize certain software development costs that are attributable to developing or adding significant functionality to our internal-use software during the application development stage of the projects. All research and development expenses, excluding capitalized software development costs, are expensed as incurred.</w:t>
      </w:r>
    </w:p>
    <w:p>
      <w:pPr>
        <w:spacing w:after="0" w:line="11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believe delivering new functionality is critical to attract new customers and expand our relationships with existing customers. We expect to continue to make investments in and expand our product and service offerings to enhance our customers’ experience and satisfaction and to attract new customers. We expect research and development expenses will increase as we expand our research and development team to develop new products and product enhancements.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56"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Sales and marketing expenses primarily consist of personnel-related expenses, including stock-based compensation, advertising expenses, branding and public relations expenses and referral fees for strategic partners and other benefits that we provide to our referral and affiliate partners. We expect sales and marketing expenses will increase as we expand our sales efforts to pursue our market opportunity.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4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General and administrative expenses primarily consist of personnel-related expenses, including stock-based compensation, for any employee time allocated to administrative functions, including finance and accounting, legal and human resources. In addition to personnel-related expenses, general and administrative expenses consist of rent, utilities, depreciation on property and equipment, amortization of operating and finance lease right-of-use assets and external professional services, including accounting, audit, tax, finance, legal and compliance, human resources and information technology. We expect that general and administrative expenses will continue to increase as we scale our business and as we incur additional costs associated with being a publicly traded company, including legal, audit, business insurance and consulting fees.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Expenses, Net</w:t>
      </w:r>
    </w:p>
    <w:p>
      <w:pPr>
        <w:spacing w:after="0" w:line="156"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Interest and other expenses, net, consist primarily of interest paid under our credit facilities with Canadian Imperial Bank of Commerce ("CIBC"). It also includes realized gains and losses on foreign currency transactions and foreign currency remeasurement.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5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Income taxes primarily consist of income taxes in the United States, United Kingdom, Australia, Netherlands and Canada, as well as states in the United States in which we do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9"/>
          <w:szCs w:val="29"/>
          <w:color w:val="auto"/>
        </w:rPr>
        <w:t>Results of Operations</w:t>
      </w:r>
    </w:p>
    <w:p>
      <w:pPr>
        <w:spacing w:after="0" w:line="166"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results of operations presented below should be reviewed in conjunction with the condensed consolidated financial statements and notes included elsewhere in this Quarterly Report on Form 10-Q.</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80" w:type="dxa"/>
            <w:vAlign w:val="bottom"/>
            <w:gridSpan w:val="5"/>
          </w:tcPr>
          <w:p>
            <w:pPr>
              <w:ind w:left="100"/>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83,532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65,024</w:t>
            </w: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of revenue, net</w:t>
            </w:r>
            <w:r>
              <w:rPr>
                <w:rFonts w:ascii="Arial" w:cs="Arial" w:eastAsia="Arial" w:hAnsi="Arial"/>
                <w:sz w:val="23"/>
                <w:szCs w:val="23"/>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15,571</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49,453</w:t>
            </w:r>
          </w:p>
        </w:tc>
        <w:tc>
          <w:tcPr>
            <w:tcW w:w="0" w:type="dxa"/>
            <w:vAlign w:val="bottom"/>
          </w:tcPr>
          <w:p>
            <w:pPr>
              <w:spacing w:after="0"/>
              <w:rPr>
                <w:sz w:val="1"/>
                <w:szCs w:val="1"/>
                <w:color w:val="auto"/>
              </w:rPr>
            </w:pPr>
          </w:p>
        </w:tc>
      </w:tr>
      <w:tr>
        <w:trPr>
          <w:trHeight w:val="209"/>
        </w:trPr>
        <w:tc>
          <w:tcPr>
            <w:tcW w:w="46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30"/>
        </w:trPr>
        <w:tc>
          <w:tcPr>
            <w:tcW w:w="4680" w:type="dxa"/>
            <w:vAlign w:val="bottom"/>
          </w:tcPr>
          <w:p>
            <w:pPr>
              <w:ind w:left="24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29,438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17,494</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6,947</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31,260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30,412</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from operations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19,041</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expenses,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17,535</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14,674</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income allocated to participating securities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(9,426)</w:t>
            </w:r>
          </w:p>
        </w:tc>
        <w:tc>
          <w:tcPr>
            <w:tcW w:w="0" w:type="dxa"/>
            <w:vAlign w:val="bottom"/>
          </w:tcPr>
          <w:p>
            <w:pPr>
              <w:spacing w:after="0"/>
              <w:rPr>
                <w:sz w:val="1"/>
                <w:szCs w:val="1"/>
                <w:color w:val="auto"/>
              </w:rPr>
            </w:pPr>
          </w:p>
        </w:tc>
      </w:tr>
      <w:tr>
        <w:trPr>
          <w:trHeight w:val="164"/>
        </w:trPr>
        <w:tc>
          <w:tcPr>
            <w:tcW w:w="4680" w:type="dxa"/>
            <w:vAlign w:val="bottom"/>
          </w:tcPr>
          <w:p>
            <w:pPr>
              <w:ind w:left="20"/>
              <w:spacing w:after="0" w:line="163" w:lineRule="exact"/>
              <w:rPr>
                <w:sz w:val="20"/>
                <w:szCs w:val="20"/>
                <w:color w:val="auto"/>
              </w:rPr>
            </w:pPr>
            <w:r>
              <w:rPr>
                <w:rFonts w:ascii="Arial" w:cs="Arial" w:eastAsia="Arial" w:hAnsi="Arial"/>
                <w:sz w:val="18"/>
                <w:szCs w:val="18"/>
                <w:color w:val="auto"/>
              </w:rPr>
              <w:t>Net (loss) income attributable to Class A, LT10 and LT50</w:t>
            </w: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(7,994)</w:t>
            </w:r>
          </w:p>
        </w:tc>
        <w:tc>
          <w:tcPr>
            <w:tcW w:w="100" w:type="dxa"/>
            <w:vAlign w:val="bottom"/>
          </w:tcPr>
          <w:p>
            <w:pPr>
              <w:spacing w:after="0"/>
              <w:rPr>
                <w:sz w:val="14"/>
                <w:szCs w:val="14"/>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1,925</w:t>
            </w:r>
          </w:p>
        </w:tc>
        <w:tc>
          <w:tcPr>
            <w:tcW w:w="100" w:type="dxa"/>
            <w:vAlign w:val="bottom"/>
          </w:tcPr>
          <w:p>
            <w:pPr>
              <w:spacing w:after="0"/>
              <w:rPr>
                <w:sz w:val="14"/>
                <w:szCs w:val="14"/>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(15,370)</w:t>
            </w:r>
          </w:p>
        </w:tc>
        <w:tc>
          <w:tcPr>
            <w:tcW w:w="100" w:type="dxa"/>
            <w:vAlign w:val="bottom"/>
          </w:tcPr>
          <w:p>
            <w:pPr>
              <w:spacing w:after="0"/>
              <w:rPr>
                <w:sz w:val="14"/>
                <w:szCs w:val="14"/>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13"/>
        </w:trPr>
        <w:tc>
          <w:tcPr>
            <w:tcW w:w="4680" w:type="dxa"/>
            <w:vAlign w:val="bottom"/>
          </w:tcPr>
          <w:p>
            <w:pPr>
              <w:ind w:left="180"/>
              <w:spacing w:after="0"/>
              <w:rPr>
                <w:sz w:val="20"/>
                <w:szCs w:val="20"/>
                <w:color w:val="auto"/>
              </w:rPr>
            </w:pPr>
            <w:r>
              <w:rPr>
                <w:rFonts w:ascii="Arial" w:cs="Arial" w:eastAsia="Arial" w:hAnsi="Arial"/>
                <w:sz w:val="18"/>
                <w:szCs w:val="18"/>
                <w:color w:val="auto"/>
              </w:rPr>
              <w:t>common stockholders</w:t>
            </w:r>
          </w:p>
        </w:tc>
        <w:tc>
          <w:tcPr>
            <w:tcW w:w="3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680" w:type="dxa"/>
            <w:vAlign w:val="bottom"/>
            <w:shd w:val="clear" w:color="auto" w:fill="CCEEFF"/>
          </w:tcPr>
          <w:p>
            <w:pPr>
              <w:ind w:left="20"/>
              <w:spacing w:after="0" w:line="150" w:lineRule="exact"/>
              <w:rPr>
                <w:sz w:val="20"/>
                <w:szCs w:val="20"/>
                <w:color w:val="auto"/>
              </w:rPr>
            </w:pPr>
            <w:r>
              <w:rPr>
                <w:rFonts w:ascii="Arial" w:cs="Arial" w:eastAsia="Arial" w:hAnsi="Arial"/>
                <w:sz w:val="17"/>
                <w:szCs w:val="17"/>
                <w:color w:val="auto"/>
              </w:rPr>
              <w:t>Net (loss) income per share attributable to Class A, LT10</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LT50 common stockholders:</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line="170" w:lineRule="exact"/>
              <w:rPr>
                <w:sz w:val="20"/>
                <w:szCs w:val="20"/>
                <w:color w:val="auto"/>
              </w:rPr>
            </w:pPr>
            <w:r>
              <w:rPr>
                <w:rFonts w:ascii="Arial" w:cs="Arial" w:eastAsia="Arial" w:hAnsi="Arial"/>
                <w:sz w:val="18"/>
                <w:szCs w:val="18"/>
                <w:color w:val="auto"/>
              </w:rPr>
              <w:t>Weighted-average shares of common stock used to</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68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680" w:type="dxa"/>
            <w:vAlign w:val="bottom"/>
          </w:tcPr>
          <w:p>
            <w:pPr>
              <w:ind w:left="180"/>
              <w:spacing w:after="0" w:line="181" w:lineRule="exact"/>
              <w:rPr>
                <w:sz w:val="20"/>
                <w:szCs w:val="20"/>
                <w:color w:val="auto"/>
              </w:rPr>
            </w:pPr>
            <w:r>
              <w:rPr>
                <w:rFonts w:ascii="Arial" w:cs="Arial" w:eastAsia="Arial" w:hAnsi="Arial"/>
                <w:sz w:val="18"/>
                <w:szCs w:val="18"/>
                <w:color w:val="auto"/>
              </w:rPr>
              <w:t>compute net (loss) income per share attributable to</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180"/>
              <w:spacing w:after="0"/>
              <w:rPr>
                <w:sz w:val="20"/>
                <w:szCs w:val="20"/>
                <w:color w:val="auto"/>
              </w:rPr>
            </w:pPr>
            <w:r>
              <w:rPr>
                <w:rFonts w:ascii="Arial" w:cs="Arial" w:eastAsia="Arial" w:hAnsi="Arial"/>
                <w:sz w:val="18"/>
                <w:szCs w:val="18"/>
                <w:color w:val="auto"/>
              </w:rPr>
              <w:t>Class A, LT10 and LT50 common stockholders: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80,473,097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29,836,295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80,311,053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29,680,220</w:t>
            </w:r>
          </w:p>
        </w:tc>
        <w:tc>
          <w:tcPr>
            <w:tcW w:w="0" w:type="dxa"/>
            <w:vAlign w:val="bottom"/>
          </w:tcPr>
          <w:p>
            <w:pPr>
              <w:spacing w:after="0"/>
              <w:rPr>
                <w:sz w:val="1"/>
                <w:szCs w:val="1"/>
                <w:color w:val="auto"/>
              </w:rPr>
            </w:pPr>
          </w:p>
        </w:tc>
      </w:tr>
      <w:tr>
        <w:trPr>
          <w:trHeight w:val="263"/>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80,473,097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41,341,330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80,311,053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41,216,420</w:t>
            </w:r>
          </w:p>
        </w:tc>
        <w:tc>
          <w:tcPr>
            <w:tcW w:w="0" w:type="dxa"/>
            <w:vAlign w:val="bottom"/>
          </w:tcPr>
          <w:p>
            <w:pPr>
              <w:spacing w:after="0"/>
              <w:rPr>
                <w:sz w:val="1"/>
                <w:szCs w:val="1"/>
                <w:color w:val="auto"/>
              </w:rPr>
            </w:pPr>
          </w:p>
        </w:tc>
      </w:tr>
      <w:tr>
        <w:trPr>
          <w:trHeight w:val="20"/>
        </w:trPr>
        <w:tc>
          <w:tcPr>
            <w:tcW w:w="4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stock-based compensation expense as follows: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4300" w:type="dxa"/>
            <w:vAlign w:val="bottom"/>
            <w:tcBorders>
              <w:top w:val="single" w:sz="8" w:color="auto"/>
            </w:tcBorders>
          </w:tcPr>
          <w:p>
            <w:pPr>
              <w:spacing w:after="0"/>
              <w:rPr>
                <w:sz w:val="19"/>
                <w:szCs w:val="19"/>
                <w:color w:val="auto"/>
              </w:rPr>
            </w:pPr>
          </w:p>
        </w:tc>
        <w:tc>
          <w:tcPr>
            <w:tcW w:w="2560" w:type="dxa"/>
            <w:vAlign w:val="bottom"/>
            <w:tcBorders>
              <w:top w:val="single" w:sz="8" w:color="auto"/>
              <w:bottom w:val="single" w:sz="8" w:color="auto"/>
            </w:tcBorders>
            <w:gridSpan w:val="4"/>
          </w:tcPr>
          <w:p>
            <w:pPr>
              <w:jc w:val="right"/>
              <w:ind w:right="14"/>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2620" w:type="dxa"/>
            <w:vAlign w:val="bottom"/>
            <w:tcBorders>
              <w:top w:val="single" w:sz="8" w:color="auto"/>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3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r>
      <w:tr>
        <w:trPr>
          <w:trHeight w:val="170"/>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 net</w:t>
            </w:r>
          </w:p>
        </w:tc>
        <w:tc>
          <w:tcPr>
            <w:tcW w:w="920" w:type="dxa"/>
            <w:vAlign w:val="bottom"/>
            <w:shd w:val="clear" w:color="auto" w:fill="CCEEFF"/>
          </w:tcPr>
          <w:p>
            <w:pPr>
              <w:jc w:val="right"/>
              <w:ind w:right="773"/>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4,704</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94"/>
              <w:spacing w:after="0"/>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9,611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w:t>
            </w:r>
          </w:p>
        </w:tc>
      </w:tr>
      <w:tr>
        <w:trPr>
          <w:trHeight w:val="183"/>
        </w:trPr>
        <w:tc>
          <w:tcPr>
            <w:tcW w:w="4300" w:type="dxa"/>
            <w:vAlign w:val="bottom"/>
          </w:tcPr>
          <w:p>
            <w:pPr>
              <w:ind w:left="20"/>
              <w:spacing w:after="0"/>
              <w:rPr>
                <w:sz w:val="20"/>
                <w:szCs w:val="20"/>
                <w:color w:val="auto"/>
              </w:rPr>
            </w:pPr>
            <w:r>
              <w:rPr>
                <w:rFonts w:ascii="Arial" w:cs="Arial" w:eastAsia="Arial" w:hAnsi="Arial"/>
                <w:sz w:val="13"/>
                <w:szCs w:val="13"/>
                <w:color w:val="auto"/>
              </w:rPr>
              <w:t>Research and development</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1,877</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174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4,298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328</w:t>
            </w:r>
          </w:p>
        </w:tc>
      </w:tr>
      <w:tr>
        <w:trPr>
          <w:trHeight w:val="195"/>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5,463</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10,439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708</w:t>
            </w:r>
          </w:p>
        </w:tc>
      </w:tr>
      <w:tr>
        <w:trPr>
          <w:trHeight w:val="183"/>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Sales and marketing</w:t>
            </w: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2,004</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4,080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w:t>
            </w:r>
          </w:p>
        </w:tc>
      </w:tr>
      <w:tr>
        <w:trPr>
          <w:trHeight w:val="20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stock-based compensation expense</w:t>
            </w:r>
          </w:p>
        </w:tc>
        <w:tc>
          <w:tcPr>
            <w:tcW w:w="92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14,048</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3"/>
                <w:szCs w:val="13"/>
                <w:color w:val="auto"/>
                <w:w w:val="82"/>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888</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28,428</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1,598</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960"/>
        <w:spacing w:after="0" w:line="441" w:lineRule="auto"/>
        <w:rPr>
          <w:sz w:val="20"/>
          <w:szCs w:val="20"/>
          <w:color w:val="auto"/>
        </w:rPr>
      </w:pPr>
      <w:r>
        <w:rPr>
          <w:rFonts w:ascii="Arial" w:cs="Arial" w:eastAsia="Arial" w:hAnsi="Arial"/>
          <w:sz w:val="18"/>
          <w:szCs w:val="18"/>
          <w:b w:val="1"/>
          <w:bCs w:val="1"/>
          <w:color w:val="auto"/>
        </w:rPr>
        <w:t xml:space="preserve">COMPARISON OF THE THREE MONTHS ENDED JUNE 30, 2022 AND 2021 </w:t>
      </w:r>
      <w:r>
        <w:rPr>
          <w:rFonts w:ascii="Arial" w:cs="Arial" w:eastAsia="Arial" w:hAnsi="Arial"/>
          <w:sz w:val="18"/>
          <w:szCs w:val="18"/>
          <w:b w:val="1"/>
          <w:bCs w:val="1"/>
          <w:i w:val="1"/>
          <w:iCs w:val="1"/>
          <w:color w:val="auto"/>
        </w:rPr>
        <w:t>Revenue</w:t>
      </w:r>
    </w:p>
    <w:tbl>
      <w:tblPr>
        <w:tblLayout w:type="fixed"/>
        <w:tblInd w:w="0" w:type="dxa"/>
        <w:tblCellMar>
          <w:top w:w="0" w:type="dxa"/>
          <w:left w:w="0" w:type="dxa"/>
          <w:bottom w:w="0" w:type="dxa"/>
          <w:right w:w="0" w:type="dxa"/>
        </w:tblCellMar>
      </w:tblPr>
      <w:tr>
        <w:trPr>
          <w:trHeight w:val="209"/>
        </w:trPr>
        <w:tc>
          <w:tcPr>
            <w:tcW w:w="46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8"/>
                <w:szCs w:val="18"/>
                <w:color w:val="auto"/>
              </w:rPr>
            </w:pPr>
          </w:p>
        </w:tc>
      </w:tr>
      <w:tr>
        <w:trPr>
          <w:trHeight w:val="196"/>
        </w:trPr>
        <w:tc>
          <w:tcPr>
            <w:tcW w:w="46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1"/>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43,162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35,304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7,858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54"/>
        </w:trPr>
        <w:tc>
          <w:tcPr>
            <w:tcW w:w="46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by $7.9 million, or 22%, for the three months ended June 30, 2022 compared to the same period in 2021, primarily due to</w:t>
      </w:r>
    </w:p>
    <w:p>
      <w:pPr>
        <w:spacing w:after="0" w:line="27" w:lineRule="exact"/>
        <w:rPr>
          <w:sz w:val="20"/>
          <w:szCs w:val="20"/>
          <w:color w:val="auto"/>
        </w:rPr>
      </w:pPr>
    </w:p>
    <w:p>
      <w:pPr>
        <w:ind w:right="60" w:firstLine="8"/>
        <w:spacing w:after="0" w:line="254" w:lineRule="auto"/>
        <w:tabs>
          <w:tab w:leader="none" w:pos="21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in the number of paid members and reimbursement activity, which was the result of increased demand for business travel due to continued lifting of travel restrictions globally and higher rates of returning to office compared to the same period in 2021 when COVID-19 vaccines did not yet have widespread availability and distribution and (ii) an increase in average fees per paid member due to an increase in the number of pay-per-use members, who have a higher average fee per member than our annual members, compared to the same period in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Net and Gross Margin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140" w:type="dxa"/>
            <w:vAlign w:val="bottom"/>
            <w:tcBorders>
              <w:top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120" w:type="dxa"/>
            <w:vAlign w:val="bottom"/>
            <w:tcBorders>
              <w:top w:val="single" w:sz="8" w:color="auto"/>
            </w:tcBorders>
          </w:tcPr>
          <w:p>
            <w:pPr>
              <w:spacing w:after="0"/>
              <w:rPr>
                <w:sz w:val="19"/>
                <w:szCs w:val="19"/>
                <w:color w:val="auto"/>
              </w:rPr>
            </w:pPr>
          </w:p>
        </w:tc>
      </w:tr>
      <w:tr>
        <w:trPr>
          <w:trHeight w:val="196"/>
        </w:trPr>
        <w:tc>
          <w:tcPr>
            <w:tcW w:w="444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840" w:type="dxa"/>
            <w:vAlign w:val="bottom"/>
            <w:tcBorders>
              <w:top w:val="single" w:sz="8" w:color="auto"/>
              <w:bottom w:val="single" w:sz="8" w:color="auto"/>
            </w:tcBorders>
          </w:tcPr>
          <w:p>
            <w:pPr>
              <w:jc w:val="right"/>
              <w:ind w:right="1019"/>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w:t>
            </w:r>
          </w:p>
        </w:tc>
      </w:tr>
      <w:tr>
        <w:trPr>
          <w:trHeight w:val="196"/>
        </w:trPr>
        <w:tc>
          <w:tcPr>
            <w:tcW w:w="4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40" w:type="dxa"/>
            <w:vAlign w:val="bottom"/>
            <w:gridSpan w:val="4"/>
          </w:tcPr>
          <w:p>
            <w:pPr>
              <w:jc w:val="right"/>
              <w:ind w:right="999"/>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tcPr>
          <w:p>
            <w:pPr>
              <w:spacing w:after="0"/>
              <w:rPr>
                <w:sz w:val="17"/>
                <w:szCs w:val="17"/>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15,876</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7,934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rPr>
              <w:t>7,942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400" w:type="dxa"/>
            <w:vAlign w:val="bottom"/>
          </w:tcPr>
          <w:p>
            <w:pPr>
              <w:spacing w:after="0"/>
              <w:rPr>
                <w:sz w:val="19"/>
                <w:szCs w:val="19"/>
                <w:color w:val="auto"/>
              </w:rPr>
            </w:pPr>
          </w:p>
        </w:tc>
        <w:tc>
          <w:tcPr>
            <w:tcW w:w="1340" w:type="dxa"/>
            <w:vAlign w:val="bottom"/>
          </w:tcPr>
          <w:p>
            <w:pPr>
              <w:jc w:val="right"/>
              <w:ind w:right="217"/>
              <w:spacing w:after="0"/>
              <w:rPr>
                <w:sz w:val="20"/>
                <w:szCs w:val="20"/>
                <w:color w:val="auto"/>
              </w:rPr>
            </w:pPr>
            <w:r>
              <w:rPr>
                <w:rFonts w:ascii="Arial" w:cs="Arial" w:eastAsia="Arial" w:hAnsi="Arial"/>
                <w:sz w:val="18"/>
                <w:szCs w:val="18"/>
                <w:color w:val="auto"/>
              </w:rPr>
              <w:t>27,286</w:t>
            </w:r>
          </w:p>
        </w:tc>
        <w:tc>
          <w:tcPr>
            <w:tcW w:w="300" w:type="dxa"/>
            <w:vAlign w:val="bottom"/>
          </w:tcPr>
          <w:p>
            <w:pPr>
              <w:spacing w:after="0"/>
              <w:rPr>
                <w:sz w:val="19"/>
                <w:szCs w:val="19"/>
                <w:color w:val="auto"/>
              </w:rPr>
            </w:pPr>
          </w:p>
        </w:tc>
        <w:tc>
          <w:tcPr>
            <w:tcW w:w="1420" w:type="dxa"/>
            <w:vAlign w:val="bottom"/>
          </w:tcPr>
          <w:p>
            <w:pPr>
              <w:jc w:val="right"/>
              <w:ind w:right="157"/>
              <w:spacing w:after="0"/>
              <w:rPr>
                <w:sz w:val="20"/>
                <w:szCs w:val="20"/>
                <w:color w:val="auto"/>
              </w:rPr>
            </w:pPr>
            <w:r>
              <w:rPr>
                <w:rFonts w:ascii="Arial" w:cs="Arial" w:eastAsia="Arial" w:hAnsi="Arial"/>
                <w:sz w:val="18"/>
                <w:szCs w:val="18"/>
                <w:color w:val="auto"/>
              </w:rPr>
              <w:t>27,370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jc w:val="right"/>
              <w:ind w:right="559"/>
              <w:spacing w:after="0"/>
              <w:rPr>
                <w:sz w:val="20"/>
                <w:szCs w:val="20"/>
                <w:color w:val="auto"/>
              </w:rPr>
            </w:pPr>
            <w:r>
              <w:rPr>
                <w:rFonts w:ascii="Arial" w:cs="Arial" w:eastAsia="Arial" w:hAnsi="Arial"/>
                <w:sz w:val="18"/>
                <w:szCs w:val="18"/>
                <w:color w:val="auto"/>
              </w:rPr>
              <w:t>(84)</w:t>
            </w:r>
          </w:p>
        </w:tc>
        <w:tc>
          <w:tcPr>
            <w:tcW w:w="11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54"/>
        </w:trPr>
        <w:tc>
          <w:tcPr>
            <w:tcW w:w="44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Cost of revenue, net increased by $7.9 million, or 100%, for the three months ended June 30, 2022 compared to the same period in 2021. Cost of revenue, net increased primarily due to the recognition of $4.7 million of stock-based compensation costs during the three months ended June 30, 2022 primarily related to the restricted stock units ("RSUs") granted in September and November of 2021 to employees directly engaged in supporting our customers and providing maintenance of our platform. In addition to increased stock-based compensation, Cost of revenue, net increased due to a higher volume of payment processing fees directly related to an increase in reimbursement activity, increased efforts in support and implementation services, and increased outsourcing activities related to maintaining the platform. These increases were partially offset by Consideration from a vendor, net, which reduced Cost of revenue, net by $1.5 million and $ 0.7 million for the three months ended June 30, 2022 and 2021, respectively. This increase in Consideration from a vendor, net was driven primarily by the increased adoption and spend captured from members using the Expensify Card.</w:t>
      </w:r>
    </w:p>
    <w:p>
      <w:pPr>
        <w:spacing w:after="0" w:line="11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Gross margin decreased to 63% for the three months ended June 30, 2022 compared to 78% in the same period in 2021. Although revenue increased by 22% for the same period, Cost of revenue, net increased at a higher rate due to the factors described in the preceding paragraph.</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0" w:type="dxa"/>
            <w:vAlign w:val="bottom"/>
            <w:tcBorders>
              <w:top w:val="single" w:sz="8" w:color="auto"/>
            </w:tcBorders>
          </w:tcPr>
          <w:p>
            <w:pPr>
              <w:spacing w:after="0"/>
              <w:rPr>
                <w:sz w:val="19"/>
                <w:szCs w:val="19"/>
                <w:color w:val="auto"/>
              </w:rPr>
            </w:pPr>
          </w:p>
        </w:tc>
        <w:tc>
          <w:tcPr>
            <w:tcW w:w="2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bottom w:val="single" w:sz="8" w:color="auto"/>
            </w:tcBorders>
          </w:tcPr>
          <w:p>
            <w:pPr>
              <w:spacing w:after="0"/>
              <w:rPr>
                <w:sz w:val="19"/>
                <w:szCs w:val="19"/>
                <w:color w:val="auto"/>
              </w:rPr>
            </w:pPr>
          </w:p>
        </w:tc>
      </w:tr>
      <w:tr>
        <w:trPr>
          <w:trHeight w:val="196"/>
        </w:trPr>
        <w:tc>
          <w:tcPr>
            <w:tcW w:w="460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920" w:type="dxa"/>
            <w:vAlign w:val="bottom"/>
            <w:gridSpan w:val="5"/>
          </w:tcPr>
          <w:p>
            <w:pPr>
              <w:jc w:val="right"/>
              <w:ind w:right="88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1080" w:type="dxa"/>
            <w:vAlign w:val="bottom"/>
            <w:shd w:val="clear" w:color="auto" w:fill="CCEEFF"/>
          </w:tcPr>
          <w:p>
            <w:pPr>
              <w:jc w:val="right"/>
              <w:ind w:right="80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(1,290)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54"/>
        </w:trPr>
        <w:tc>
          <w:tcPr>
            <w:tcW w:w="46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Research and development expenses decreased by $1.3 million, or 26%, for the three months ended June 30, 2022 compared to the same period in 2021, primarily due to decreased employee time spent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planning and preliminary project stage and the post-implementation stage of new products and features due to an increase in employee focus on customer support and sales and marketing of recently developed products and services such as the Free Plan and our Expensify Card and IPO-related bonuses of $3.6 million. Decreases to Research and development expenses were offset by the recognition of $1.9 million of stock-based compensation costs during the three months ended June 30, 2022 primarily related to the RSUs granted in September and November of 2021 to employees directly engaged in the planning and preliminary project stage and post-implementation stage of new products and features.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940" w:type="dxa"/>
            <w:vAlign w:val="bottom"/>
            <w:tcBorders>
              <w:top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16"/>
        </w:trPr>
        <w:tc>
          <w:tcPr>
            <w:tcW w:w="4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8"/>
                <w:szCs w:val="18"/>
                <w:color w:val="auto"/>
              </w:rPr>
            </w:pPr>
          </w:p>
        </w:tc>
      </w:tr>
      <w:tr>
        <w:trPr>
          <w:trHeight w:val="237"/>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15,432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11,127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4,305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54"/>
        </w:trPr>
        <w:tc>
          <w:tcPr>
            <w:tcW w:w="46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General and administrative expenses increased by $4.3 million, or 39%, for the three months ended June 30, 2022 compared to the same period in 2021, primarily due to increased compensation to our officers and the recognition of $5.5 million of stock-based compensation costs during the three months ended June 30, 2022 primarily related to the RSUs granted in September and November of 2021 to employees directly engaged in general and administrative activities. Furthermore, General and administrative expenses increased due to additional employee time, insurance and professional service costs incurred for accounting, auditing and legal services as a result of our continued requirements as a public company compared to the same period in 2021. These increases were offset by a reduction of $4.3 million in IPO-related bonus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spacing w:after="0"/>
              <w:rPr>
                <w:sz w:val="18"/>
                <w:szCs w:val="18"/>
                <w:color w:val="auto"/>
              </w:rPr>
            </w:pPr>
          </w:p>
        </w:tc>
      </w:tr>
      <w:tr>
        <w:trPr>
          <w:trHeight w:val="223"/>
        </w:trPr>
        <w:tc>
          <w:tcPr>
            <w:tcW w:w="46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16"/>
        </w:trPr>
        <w:tc>
          <w:tcPr>
            <w:tcW w:w="4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920" w:type="dxa"/>
            <w:vAlign w:val="bottom"/>
            <w:gridSpan w:val="5"/>
          </w:tcPr>
          <w:p>
            <w:pPr>
              <w:jc w:val="right"/>
              <w:ind w:right="88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8"/>
                <w:szCs w:val="18"/>
                <w:color w:val="auto"/>
              </w:rPr>
            </w:pPr>
          </w:p>
        </w:tc>
      </w:tr>
      <w:tr>
        <w:trPr>
          <w:trHeight w:val="237"/>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12,244</w:t>
            </w:r>
          </w:p>
        </w:tc>
        <w:tc>
          <w:tcPr>
            <w:tcW w:w="1080" w:type="dxa"/>
            <w:vAlign w:val="bottom"/>
            <w:shd w:val="clear" w:color="auto" w:fill="CCEEFF"/>
          </w:tcPr>
          <w:p>
            <w:pPr>
              <w:jc w:val="right"/>
              <w:ind w:right="80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rPr>
              <w:t>8,374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216 %</w:t>
            </w:r>
          </w:p>
        </w:tc>
      </w:tr>
      <w:tr>
        <w:trPr>
          <w:trHeight w:val="54"/>
        </w:trPr>
        <w:tc>
          <w:tcPr>
            <w:tcW w:w="46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Sales and marketing expenses increased by $8.4 million, or 216%, for the three months ended June 30, 2022 compared to the same period in 2021, primarily due to an increase in advertising spend to gain further brand awareness and increased employee focus on marketing initiatives related to our recently developed products and services such as the Free Plan and our Expensify Card. Furthermore, Sales and marketing expenses were higher due to the recognition of $2.0 million of stock-based compensation costs during the three months ended June 30, 2022 primarily related to the RSUs granted in September and November of 2021 to employees directly engaged in sales and marketing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Expenses, Net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0" w:type="dxa"/>
            <w:vAlign w:val="bottom"/>
            <w:tcBorders>
              <w:top w:val="single" w:sz="8" w:color="auto"/>
            </w:tcBorders>
          </w:tcPr>
          <w:p>
            <w:pPr>
              <w:spacing w:after="0"/>
              <w:rPr>
                <w:sz w:val="19"/>
                <w:szCs w:val="19"/>
                <w:color w:val="auto"/>
              </w:rPr>
            </w:pPr>
          </w:p>
        </w:tc>
        <w:tc>
          <w:tcPr>
            <w:tcW w:w="2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bottom w:val="single" w:sz="8" w:color="auto"/>
            </w:tcBorders>
          </w:tcPr>
          <w:p>
            <w:pPr>
              <w:spacing w:after="0"/>
              <w:rPr>
                <w:sz w:val="19"/>
                <w:szCs w:val="19"/>
                <w:color w:val="auto"/>
              </w:rPr>
            </w:pPr>
          </w:p>
        </w:tc>
      </w:tr>
      <w:tr>
        <w:trPr>
          <w:trHeight w:val="196"/>
        </w:trPr>
        <w:tc>
          <w:tcPr>
            <w:tcW w:w="46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80" w:type="dxa"/>
            <w:vAlign w:val="bottom"/>
            <w:gridSpan w:val="5"/>
          </w:tcPr>
          <w:p>
            <w:pPr>
              <w:jc w:val="right"/>
              <w:ind w:right="88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expenses, net</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(1,955)</w:t>
            </w:r>
          </w:p>
        </w:tc>
        <w:tc>
          <w:tcPr>
            <w:tcW w:w="1080" w:type="dxa"/>
            <w:vAlign w:val="bottom"/>
            <w:shd w:val="clear" w:color="auto" w:fill="CCEEFF"/>
          </w:tcPr>
          <w:p>
            <w:pPr>
              <w:jc w:val="right"/>
              <w:ind w:right="84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(1,186)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154 %</w:t>
            </w:r>
          </w:p>
        </w:tc>
      </w:tr>
      <w:tr>
        <w:trPr>
          <w:trHeight w:val="54"/>
        </w:trPr>
        <w:tc>
          <w:tcPr>
            <w:tcW w:w="46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and other expenses, net increased by $1.2 million, or 154%, for the three months ended June 30, 2022 compared to the same period in 2021, due to increased foreign currency losses resulting from the strengthening U.S. dollar and increased interest expense incurred under the 2021 Amended Term Loan (as defined below) and revolving line of credit facility due to increases in the CIBC's reference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0" w:type="dxa"/>
            <w:vAlign w:val="bottom"/>
            <w:tcBorders>
              <w:top w:val="single" w:sz="8" w:color="auto"/>
            </w:tcBorders>
          </w:tcPr>
          <w:p>
            <w:pPr>
              <w:spacing w:after="0"/>
              <w:rPr>
                <w:sz w:val="19"/>
                <w:szCs w:val="19"/>
                <w:color w:val="auto"/>
              </w:rPr>
            </w:pPr>
          </w:p>
        </w:tc>
        <w:tc>
          <w:tcPr>
            <w:tcW w:w="2740" w:type="dxa"/>
            <w:vAlign w:val="bottom"/>
            <w:tcBorders>
              <w:top w:val="single" w:sz="8" w:color="auto"/>
              <w:bottom w:val="single" w:sz="8" w:color="auto"/>
            </w:tcBorders>
            <w:gridSpan w:val="3"/>
          </w:tcPr>
          <w:p>
            <w:pPr>
              <w:jc w:val="right"/>
              <w:ind w:right="42"/>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bottom w:val="single" w:sz="8" w:color="auto"/>
            </w:tcBorders>
          </w:tcPr>
          <w:p>
            <w:pPr>
              <w:spacing w:after="0"/>
              <w:rPr>
                <w:sz w:val="19"/>
                <w:szCs w:val="19"/>
                <w:color w:val="auto"/>
              </w:rPr>
            </w:pPr>
          </w:p>
        </w:tc>
      </w:tr>
      <w:tr>
        <w:trPr>
          <w:trHeight w:val="196"/>
        </w:trPr>
        <w:tc>
          <w:tcPr>
            <w:tcW w:w="46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80" w:type="dxa"/>
            <w:vAlign w:val="bottom"/>
            <w:gridSpan w:val="5"/>
          </w:tcPr>
          <w:p>
            <w:pPr>
              <w:jc w:val="right"/>
              <w:ind w:right="88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1"/>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(2,065)</w:t>
            </w:r>
          </w:p>
        </w:tc>
        <w:tc>
          <w:tcPr>
            <w:tcW w:w="1140" w:type="dxa"/>
            <w:vAlign w:val="bottom"/>
            <w:shd w:val="clear" w:color="auto" w:fill="CCEEFF"/>
          </w:tcPr>
          <w:p>
            <w:pPr>
              <w:jc w:val="right"/>
              <w:ind w:right="902"/>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(99)  $</w:t>
            </w:r>
          </w:p>
        </w:tc>
        <w:tc>
          <w:tcPr>
            <w:tcW w:w="188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(1,966)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1986 %</w:t>
            </w:r>
          </w:p>
        </w:tc>
      </w:tr>
      <w:tr>
        <w:trPr>
          <w:trHeight w:val="54"/>
        </w:trPr>
        <w:tc>
          <w:tcPr>
            <w:tcW w:w="46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recorded a provision for income taxes of $2.1 million during the three months ended June 30, 2022 compared to a provision for income taxes of $0.1 million for the same period in 2021. We follow the asset and liability method of accounting for income taxes, whereby we recognize deferred income taxes for the tax consequences of temporary differences between the financial statement carrying amounts and the tax basis of the assets and liabilities. Valuation allowances are recorded to reduce deferred tax assets when it is more likely than not that a tax benefit will not be realized. During the three months ended June 30, 2022, we recorded a valuation allowance of $3.8 million. No valuation allowance was recorded during the three months ended June 30, 2021. The provision for income taxes reflects taxable income earned and taxed in U.S. federal and state and non-U.S. jurisdictions.</w:t>
      </w:r>
    </w:p>
    <w:p>
      <w:pPr>
        <w:spacing w:after="0" w:line="10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During the three months ended June 30, 2022 and 2021, our effective income tax rate was (34.8)% and 1.5%, respectively. The effective income tax rate differs from the statutory rate in 2022 primarily due to the change in valuation allowance. The effective income tax rate differs from the statutory rate in 2021 primarily due to state taxes and stock-based compensation resulting from incentive stock options granted during the period.</w:t>
      </w:r>
    </w:p>
    <w:p>
      <w:pPr>
        <w:spacing w:after="0" w:line="109" w:lineRule="exact"/>
        <w:rPr>
          <w:sz w:val="20"/>
          <w:szCs w:val="20"/>
          <w:color w:val="auto"/>
        </w:rPr>
      </w:pPr>
    </w:p>
    <w:p>
      <w:pPr>
        <w:ind w:right="5280"/>
        <w:spacing w:after="0" w:line="441" w:lineRule="auto"/>
        <w:rPr>
          <w:sz w:val="20"/>
          <w:szCs w:val="20"/>
          <w:color w:val="auto"/>
        </w:rPr>
      </w:pPr>
      <w:r>
        <w:rPr>
          <w:rFonts w:ascii="Arial" w:cs="Arial" w:eastAsia="Arial" w:hAnsi="Arial"/>
          <w:sz w:val="18"/>
          <w:szCs w:val="18"/>
          <w:b w:val="1"/>
          <w:bCs w:val="1"/>
          <w:color w:val="auto"/>
        </w:rPr>
        <w:t xml:space="preserve">COMPARISON OF THE SIX MONTHS ENDED JUNE 30, 2022 AND 2021 </w:t>
      </w:r>
      <w:r>
        <w:rPr>
          <w:rFonts w:ascii="Arial" w:cs="Arial" w:eastAsia="Arial" w:hAnsi="Arial"/>
          <w:sz w:val="18"/>
          <w:szCs w:val="18"/>
          <w:b w:val="1"/>
          <w:bCs w:val="1"/>
          <w:i w:val="1"/>
          <w:iCs w:val="1"/>
          <w:color w:val="auto"/>
        </w:rPr>
        <w:t>Revenue</w:t>
      </w:r>
    </w:p>
    <w:tbl>
      <w:tblPr>
        <w:tblLayout w:type="fixed"/>
        <w:tblInd w:w="0" w:type="dxa"/>
        <w:tblCellMar>
          <w:top w:w="0" w:type="dxa"/>
          <w:left w:w="0" w:type="dxa"/>
          <w:bottom w:w="0" w:type="dxa"/>
          <w:right w:w="0" w:type="dxa"/>
        </w:tblCellMar>
      </w:tblPr>
      <w:tr>
        <w:trPr>
          <w:trHeight w:val="209"/>
        </w:trPr>
        <w:tc>
          <w:tcPr>
            <w:tcW w:w="46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3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8"/>
                <w:szCs w:val="18"/>
                <w:color w:val="auto"/>
              </w:rPr>
            </w:pPr>
          </w:p>
        </w:tc>
      </w:tr>
      <w:tr>
        <w:trPr>
          <w:trHeight w:val="196"/>
        </w:trPr>
        <w:tc>
          <w:tcPr>
            <w:tcW w:w="46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1"/>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83,532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65,024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18,508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54"/>
        </w:trPr>
        <w:tc>
          <w:tcPr>
            <w:tcW w:w="4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by $18.5 million, or 28%, for the six months ended June 30, 2022 compared to the same period in 2021, primarily due to</w:t>
      </w:r>
    </w:p>
    <w:p>
      <w:pPr>
        <w:spacing w:after="0" w:line="27" w:lineRule="exact"/>
        <w:rPr>
          <w:sz w:val="20"/>
          <w:szCs w:val="20"/>
          <w:color w:val="auto"/>
        </w:rPr>
      </w:pPr>
    </w:p>
    <w:p>
      <w:pPr>
        <w:ind w:right="60" w:firstLine="8"/>
        <w:spacing w:after="0" w:line="254" w:lineRule="auto"/>
        <w:tabs>
          <w:tab w:leader="none" w:pos="21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the number of paid members and reimbursement activity, which was the result of increased demand for business travel due to continued lifting of travel restrictions globally and higher rates of returning to office compared to the same period in 2021 when COVID-19 vaccines did not yet have widespread availability and distribution and (ii) an increase in average fees per paid member due to an increase in the number of pay-per-use members, who have a higher average fee per member than our annual members, compared to the same period in 2021.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Net and Gross Margin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160" w:type="dxa"/>
            <w:vAlign w:val="bottom"/>
            <w:tcBorders>
              <w:top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120" w:type="dxa"/>
            <w:vAlign w:val="bottom"/>
            <w:tcBorders>
              <w:top w:val="single" w:sz="8" w:color="auto"/>
            </w:tcBorders>
          </w:tcPr>
          <w:p>
            <w:pPr>
              <w:spacing w:after="0"/>
              <w:rPr>
                <w:sz w:val="19"/>
                <w:szCs w:val="19"/>
                <w:color w:val="auto"/>
              </w:rPr>
            </w:pPr>
          </w:p>
        </w:tc>
      </w:tr>
      <w:tr>
        <w:trPr>
          <w:trHeight w:val="196"/>
        </w:trPr>
        <w:tc>
          <w:tcPr>
            <w:tcW w:w="442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840" w:type="dxa"/>
            <w:vAlign w:val="bottom"/>
            <w:tcBorders>
              <w:top w:val="single" w:sz="8" w:color="auto"/>
              <w:bottom w:val="single" w:sz="8" w:color="auto"/>
            </w:tcBorders>
          </w:tcPr>
          <w:p>
            <w:pPr>
              <w:jc w:val="right"/>
              <w:ind w:right="1039"/>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w:t>
            </w:r>
          </w:p>
        </w:tc>
      </w:tr>
      <w:tr>
        <w:trPr>
          <w:trHeight w:val="196"/>
        </w:trPr>
        <w:tc>
          <w:tcPr>
            <w:tcW w:w="4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60" w:type="dxa"/>
            <w:vAlign w:val="bottom"/>
            <w:gridSpan w:val="4"/>
          </w:tcPr>
          <w:p>
            <w:pPr>
              <w:jc w:val="right"/>
              <w:ind w:right="999"/>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tcPr>
          <w:p>
            <w:pPr>
              <w:spacing w:after="0"/>
              <w:rPr>
                <w:sz w:val="17"/>
                <w:szCs w:val="17"/>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30,010</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15,571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rPr>
              <w:t>14,439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400" w:type="dxa"/>
            <w:vAlign w:val="bottom"/>
          </w:tcPr>
          <w:p>
            <w:pPr>
              <w:spacing w:after="0"/>
              <w:rPr>
                <w:sz w:val="19"/>
                <w:szCs w:val="19"/>
                <w:color w:val="auto"/>
              </w:rPr>
            </w:pPr>
          </w:p>
        </w:tc>
        <w:tc>
          <w:tcPr>
            <w:tcW w:w="1320" w:type="dxa"/>
            <w:vAlign w:val="bottom"/>
          </w:tcPr>
          <w:p>
            <w:pPr>
              <w:jc w:val="right"/>
              <w:ind w:right="197"/>
              <w:spacing w:after="0"/>
              <w:rPr>
                <w:sz w:val="20"/>
                <w:szCs w:val="20"/>
                <w:color w:val="auto"/>
              </w:rPr>
            </w:pPr>
            <w:r>
              <w:rPr>
                <w:rFonts w:ascii="Arial" w:cs="Arial" w:eastAsia="Arial" w:hAnsi="Arial"/>
                <w:sz w:val="18"/>
                <w:szCs w:val="18"/>
                <w:color w:val="auto"/>
              </w:rPr>
              <w:t>53,522</w:t>
            </w:r>
          </w:p>
        </w:tc>
        <w:tc>
          <w:tcPr>
            <w:tcW w:w="320" w:type="dxa"/>
            <w:vAlign w:val="bottom"/>
          </w:tcPr>
          <w:p>
            <w:pPr>
              <w:spacing w:after="0"/>
              <w:rPr>
                <w:sz w:val="19"/>
                <w:szCs w:val="19"/>
                <w:color w:val="auto"/>
              </w:rPr>
            </w:pPr>
          </w:p>
        </w:tc>
        <w:tc>
          <w:tcPr>
            <w:tcW w:w="1420" w:type="dxa"/>
            <w:vAlign w:val="bottom"/>
          </w:tcPr>
          <w:p>
            <w:pPr>
              <w:jc w:val="right"/>
              <w:ind w:right="157"/>
              <w:spacing w:after="0"/>
              <w:rPr>
                <w:sz w:val="20"/>
                <w:szCs w:val="20"/>
                <w:color w:val="auto"/>
              </w:rPr>
            </w:pPr>
            <w:r>
              <w:rPr>
                <w:rFonts w:ascii="Arial" w:cs="Arial" w:eastAsia="Arial" w:hAnsi="Arial"/>
                <w:sz w:val="18"/>
                <w:szCs w:val="18"/>
                <w:color w:val="auto"/>
              </w:rPr>
              <w:t>49,453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jc w:val="right"/>
              <w:ind w:right="619"/>
              <w:spacing w:after="0"/>
              <w:rPr>
                <w:sz w:val="20"/>
                <w:szCs w:val="20"/>
                <w:color w:val="auto"/>
              </w:rPr>
            </w:pPr>
            <w:r>
              <w:rPr>
                <w:rFonts w:ascii="Arial" w:cs="Arial" w:eastAsia="Arial" w:hAnsi="Arial"/>
                <w:sz w:val="18"/>
                <w:szCs w:val="18"/>
                <w:color w:val="auto"/>
              </w:rPr>
              <w:t>4,069</w:t>
            </w:r>
          </w:p>
        </w:tc>
        <w:tc>
          <w:tcPr>
            <w:tcW w:w="112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54"/>
        </w:trPr>
        <w:tc>
          <w:tcPr>
            <w:tcW w:w="44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Cost of revenue, net increased by $14.4 million, or 93%, for the six months ended June 30, 2022 compared to the same period in 2021. Cost of revenue, net increased primarily due to the recognition of $9.6 million of stock-based compensation costs during the six months ended June 30, 2022 primarily related to the RSUs granted in September and November of 2021 to employees directly engaged in supporting our customers and providing maintenance of our platform. In addition to increased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based compensation, Cost of revenue, net increased due to a higher volume of payment processing fees directly related to an increase in reimbursement activity, increased efforts in support and implementation services and increased outsourcing activities related to maintaining the platform. These increases were partially offset by Consideration from a vendor, net, which reduced Cost of revenue, net by $2.7 million and $1.1 million for the six months ended June 30, 2022 and 2021, respectively. This increase in Consideration from a vendor, net was driven primarily by the increased adoption and spend captured from members using the Expensify Card.</w:t>
      </w:r>
    </w:p>
    <w:p>
      <w:pPr>
        <w:spacing w:after="0" w:line="9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Gross margin decreased to 64% for the six months ended June 30, 2022 compared to 76% in the same period in 2021. Although revenue increased by 28% for the same period, Cost of revenue, net, increased at a higher rate due to the factors described in the preceding paragraph.</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Borders>
              <w:top w:val="single" w:sz="8" w:color="auto"/>
            </w:tcBorders>
          </w:tcPr>
          <w:p>
            <w:pPr>
              <w:spacing w:after="0"/>
              <w:rPr>
                <w:sz w:val="19"/>
                <w:szCs w:val="19"/>
                <w:color w:val="auto"/>
              </w:rPr>
            </w:pPr>
          </w:p>
        </w:tc>
        <w:tc>
          <w:tcPr>
            <w:tcW w:w="2620" w:type="dxa"/>
            <w:vAlign w:val="bottom"/>
            <w:tcBorders>
              <w:top w:val="single" w:sz="8" w:color="auto"/>
              <w:bottom w:val="single" w:sz="8" w:color="auto"/>
            </w:tcBorders>
            <w:gridSpan w:val="3"/>
          </w:tcPr>
          <w:p>
            <w:pPr>
              <w:jc w:val="right"/>
              <w:ind w:right="22"/>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86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bottom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900" w:type="dxa"/>
            <w:vAlign w:val="bottom"/>
            <w:gridSpan w:val="5"/>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7,285</w:t>
            </w:r>
          </w:p>
        </w:tc>
        <w:tc>
          <w:tcPr>
            <w:tcW w:w="106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1,314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54"/>
        </w:trPr>
        <w:tc>
          <w:tcPr>
            <w:tcW w:w="46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Research and development expenses increased by $1.3 million, or 22%, for the six months ended June 30, 2022 compared to the same period in 2021, due to the recognition of $4.3 million of stock-based compensation costs during the six months ended June 30, 2022 primarily related to the RSUs granted in September and November of 2021 to employees directly engaged in the planning and preliminary project stage and post-implementation stage of new products and features. Increases to Research and development expenses were partially offset by decreased employee time spent in the planning and preliminary project stage and post-implementation stage of new products and features primarily due to an increase in employee focus on customer support and sales and marketing of recently developed products and services such as the Free Plan and our Expensify Card and a reduction in IPO-related bonus costs of $3.6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920" w:type="dxa"/>
            <w:vAlign w:val="bottom"/>
            <w:tcBorders>
              <w:top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32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16"/>
        </w:trPr>
        <w:tc>
          <w:tcPr>
            <w:tcW w:w="4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8"/>
                <w:szCs w:val="18"/>
                <w:color w:val="auto"/>
              </w:rPr>
            </w:pPr>
          </w:p>
        </w:tc>
      </w:tr>
      <w:tr>
        <w:trPr>
          <w:trHeight w:val="237"/>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29,438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17,494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11,944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r>
      <w:tr>
        <w:trPr>
          <w:trHeight w:val="54"/>
        </w:trPr>
        <w:tc>
          <w:tcPr>
            <w:tcW w:w="4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General and administrative expenses increased by $11.9 million, or 68%, for the six months ended June 30, 2022 compared to the same period in 2021, primarily due to increased compensation to our officers and the recognition of $10.4 million of stock-based compensation costs during the six months ended June 30, 2022 primarily related to the RSUs granted in September and November of 2021 to employees directly engaged in general and administrative activities. Furthermore, general and administrative expenses increased due to additional employee time, insurance and professional service costs incurred for accounting, auditing and legal services as a result of our continued requirements as a public company compared to the same period in 2021. These increases were offset by a reduction of $4.3 million in IPO-related bonus costs.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spacing w:after="0"/>
              <w:rPr>
                <w:sz w:val="18"/>
                <w:szCs w:val="18"/>
                <w:color w:val="auto"/>
              </w:rPr>
            </w:pPr>
          </w:p>
        </w:tc>
      </w:tr>
      <w:tr>
        <w:trPr>
          <w:trHeight w:val="223"/>
        </w:trPr>
        <w:tc>
          <w:tcPr>
            <w:tcW w:w="46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16"/>
        </w:trPr>
        <w:tc>
          <w:tcPr>
            <w:tcW w:w="4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920" w:type="dxa"/>
            <w:vAlign w:val="bottom"/>
            <w:gridSpan w:val="5"/>
          </w:tcPr>
          <w:p>
            <w:pPr>
              <w:jc w:val="right"/>
              <w:ind w:right="88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8"/>
                <w:szCs w:val="18"/>
                <w:color w:val="auto"/>
              </w:rPr>
            </w:pPr>
          </w:p>
        </w:tc>
      </w:tr>
      <w:tr>
        <w:trPr>
          <w:trHeight w:val="237"/>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25,616</w:t>
            </w:r>
          </w:p>
        </w:tc>
        <w:tc>
          <w:tcPr>
            <w:tcW w:w="106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rPr>
              <w:t>18,669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269 %</w:t>
            </w:r>
          </w:p>
        </w:tc>
      </w:tr>
      <w:tr>
        <w:trPr>
          <w:trHeight w:val="54"/>
        </w:trPr>
        <w:tc>
          <w:tcPr>
            <w:tcW w:w="46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Sales and marketing expenses increased by $18.7 million, or 269%, for the six months ended June 30, 2022 compared to the same period in 2021, primarily due to an increase in advertising spend to gain further brand awareness and increased employee focus on marketing initiatives related to our recently developed products and services, such as the Free Plan and our Expensify Card. Furthermore, sales and marketing expenses were higher due to the recognition of $4.1 million of stock-based compensation costs during the six months ended June 30, 2022 primarily related to the RSUs granted in September and November of 2021 to employees directly engaged in sales and marketing activities.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Expenses, Net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Borders>
              <w:top w:val="single" w:sz="8" w:color="auto"/>
            </w:tcBorders>
          </w:tcPr>
          <w:p>
            <w:pPr>
              <w:spacing w:after="0"/>
              <w:rPr>
                <w:sz w:val="19"/>
                <w:szCs w:val="19"/>
                <w:color w:val="auto"/>
              </w:rPr>
            </w:pPr>
          </w:p>
        </w:tc>
        <w:tc>
          <w:tcPr>
            <w:tcW w:w="2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86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bottom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80" w:type="dxa"/>
            <w:vAlign w:val="bottom"/>
            <w:gridSpan w:val="5"/>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1"/>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expenses, net</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(2,856)</w:t>
            </w:r>
          </w:p>
        </w:tc>
        <w:tc>
          <w:tcPr>
            <w:tcW w:w="100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rPr>
              <w:t>(1,350)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90 %</w:t>
            </w:r>
          </w:p>
        </w:tc>
      </w:tr>
      <w:tr>
        <w:trPr>
          <w:trHeight w:val="54"/>
        </w:trPr>
        <w:tc>
          <w:tcPr>
            <w:tcW w:w="46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Interest and other expenses, net increased by $1.4 million, or 90%, for the six months ended June 30, 2022 compared to the same period in 2021, primarily due to increased foreign currency losses resulting from the strengthening U.S. dollar and increased interest expense under the 2021 Amended Term Loan and revolving line of credit facility due to increases in the CIBC's reference rate.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940" w:type="dxa"/>
            <w:vAlign w:val="bottom"/>
            <w:tcBorders>
              <w:top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Six months ended June 30,</w:t>
            </w:r>
          </w:p>
        </w:tc>
        <w:tc>
          <w:tcPr>
            <w:tcW w:w="10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40" w:type="dxa"/>
            <w:vAlign w:val="bottom"/>
            <w:gridSpan w:val="4"/>
          </w:tcPr>
          <w:p>
            <w:pPr>
              <w:jc w:val="right"/>
              <w:ind w:right="879"/>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(3,697)</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(836)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54"/>
        </w:trPr>
        <w:tc>
          <w:tcPr>
            <w:tcW w:w="46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recorded a provision for income taxes of $3.7 million during the six months ended June 30, 2022 compared to a provision for income taxes of $2.9 million for the same period in 2021. We follow the asset and liability method of accounting for income taxes, whereby we recognize deferred income taxes for the tax consequences of temporary differences between the financial statement carrying amounts and the tax basis of the assets and liabilities. Valuation allowances are recorded to reduce deferred tax assets when it is more likely than not that a tax benefit will not be realized. During the six months ended June 30, 2022, we recorded a valuation allowance of $6.2 million. No valuation allowance was recorded during the six months ended June 30, 2021. The provision for income taxes reflects taxable income earned and taxed in U.S. federal and state and non-U.S. jurisdictions.</w:t>
      </w:r>
    </w:p>
    <w:p>
      <w:pPr>
        <w:spacing w:after="0" w:line="11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During the six months ended June 30, 2022 and 2021, our effective income tax rate was (31.7)% and 16.3%, respectively. The effective income tax rate differs from the statutory rate in 2022 primarily due to the change in valuation allowance. The effective income tax rate differs from the statutory rate in 2021 primarily due to state taxes and stock-based compensation resulting from incentive stock options granted during the period.</w:t>
      </w:r>
    </w:p>
    <w:p>
      <w:pPr>
        <w:spacing w:after="0" w:line="82" w:lineRule="exact"/>
        <w:rPr>
          <w:sz w:val="20"/>
          <w:szCs w:val="20"/>
          <w:color w:val="auto"/>
        </w:rPr>
      </w:pPr>
    </w:p>
    <w:p>
      <w:pPr>
        <w:spacing w:after="0"/>
        <w:rPr>
          <w:sz w:val="20"/>
          <w:szCs w:val="20"/>
          <w:color w:val="auto"/>
        </w:rPr>
      </w:pPr>
      <w:r>
        <w:rPr>
          <w:rFonts w:ascii="Arial" w:cs="Arial" w:eastAsia="Arial" w:hAnsi="Arial"/>
          <w:sz w:val="29"/>
          <w:szCs w:val="29"/>
          <w:color w:val="auto"/>
        </w:rPr>
        <w:t>Liquidity and Capital Resources</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Since our inception, we have financed our operations primarily through our cash flow from operations, sales of our equity securities and borrowings under our credit facilities. In November 2021, upon completion of our IPO, we received aggregate net proceeds of approximately $57.5 million after deducting underwriting discounts and commissions of approximately $4.9 million and offering costs of approximately $8.0 million. As of June 30, 2022, we had $105.5 million in cash and cash equivalents. As of June 30, 2022, we had $67.5 million in outstanding indebtedness.</w:t>
      </w:r>
    </w:p>
    <w:p>
      <w:pPr>
        <w:spacing w:after="0" w:line="11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Our future capital requirements will depend on many factors, including revenue growth and costs incurred to support growth in our business and our need to respond to business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challenges or unforeseen circumstances. We believe that our existing cash resources will be sufficient to finance our continued operations and growth strategy for at least the next 12 months and for the foreseeable future.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00" w:type="dxa"/>
            <w:vAlign w:val="bottom"/>
            <w:tcBorders>
              <w:top w:val="single" w:sz="8" w:color="auto"/>
            </w:tcBorders>
          </w:tcPr>
          <w:p>
            <w:pPr>
              <w:spacing w:after="0"/>
              <w:rPr>
                <w:sz w:val="19"/>
                <w:szCs w:val="19"/>
                <w:color w:val="auto"/>
              </w:rPr>
            </w:pPr>
          </w:p>
        </w:tc>
        <w:tc>
          <w:tcPr>
            <w:tcW w:w="26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196"/>
        </w:trPr>
        <w:tc>
          <w:tcPr>
            <w:tcW w:w="79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196"/>
        </w:trPr>
        <w:tc>
          <w:tcPr>
            <w:tcW w:w="7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80" w:type="dxa"/>
            <w:vAlign w:val="bottom"/>
            <w:gridSpan w:val="3"/>
          </w:tcPr>
          <w:p>
            <w:pPr>
              <w:jc w:val="right"/>
              <w:ind w:right="376"/>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27,158</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24,213</w:t>
            </w:r>
          </w:p>
        </w:tc>
        <w:tc>
          <w:tcPr>
            <w:tcW w:w="100" w:type="dxa"/>
            <w:vAlign w:val="bottom"/>
            <w:shd w:val="clear" w:color="auto" w:fill="CCEEFF"/>
          </w:tcPr>
          <w:p>
            <w:pPr>
              <w:spacing w:after="0"/>
              <w:rPr>
                <w:sz w:val="20"/>
                <w:szCs w:val="20"/>
                <w:color w:val="auto"/>
              </w:rPr>
            </w:pP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Net cash used by investing activities</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(735)</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(3,293)</w:t>
            </w:r>
          </w:p>
        </w:tc>
        <w:tc>
          <w:tcPr>
            <w:tcW w:w="100" w:type="dxa"/>
            <w:vAlign w:val="bottom"/>
          </w:tcPr>
          <w:p>
            <w:pPr>
              <w:spacing w:after="0"/>
              <w:rPr>
                <w:sz w:val="19"/>
                <w:szCs w:val="19"/>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(used) by 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w:t>
            </w:r>
          </w:p>
        </w:tc>
        <w:tc>
          <w:tcPr>
            <w:tcW w:w="100" w:type="dxa"/>
            <w:vAlign w:val="bottom"/>
            <w:shd w:val="clear" w:color="auto" w:fill="CCEEFF"/>
          </w:tcPr>
          <w:p>
            <w:pPr>
              <w:spacing w:after="0"/>
              <w:rPr>
                <w:sz w:val="19"/>
                <w:szCs w:val="19"/>
                <w:color w:val="auto"/>
              </w:rPr>
            </w:pP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 and restricted cash</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27,419</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16,932</w:t>
            </w:r>
          </w:p>
        </w:tc>
        <w:tc>
          <w:tcPr>
            <w:tcW w:w="100" w:type="dxa"/>
            <w:vAlign w:val="bottom"/>
          </w:tcPr>
          <w:p>
            <w:pPr>
              <w:spacing w:after="0"/>
              <w:rPr>
                <w:sz w:val="19"/>
                <w:szCs w:val="19"/>
                <w:color w:val="auto"/>
              </w:rPr>
            </w:pPr>
          </w:p>
        </w:tc>
      </w:tr>
      <w:tr>
        <w:trPr>
          <w:trHeight w:val="21"/>
        </w:trPr>
        <w:tc>
          <w:tcPr>
            <w:tcW w:w="7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
        </w:trPr>
        <w:tc>
          <w:tcPr>
            <w:tcW w:w="79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PROVIDED BY OPERATING ACTIVITIES</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six months ended June 30, 2022, net cash provided by operating activities was $ 27.2 million, which was primarily driven by increases in settlement liabilities which represent increased expense reimbursement activity and increases in other liabilities. The timing of the settlement of certain operating liabilities and receipt of certain operating assets can affect the amounts reported as net cash provided by operating activities in the condensed consolidated statements of cash flows. The main offsets to net cash provided by operating activities were an increased net loss primarily due to the recognition of stock-based compensation costs as a result of the RSUs granted to certain employees in September and November 2021, the increases in settlement assets, which represent increased expense reimbursement activity and increased Expensify Card receivables due to users adopting monthly settlement and the timing of settlement of accounts payable and accrued expenses and other liabilities.</w:t>
      </w:r>
    </w:p>
    <w:p>
      <w:pPr>
        <w:spacing w:after="0" w:line="10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Net cash provided by operating activities increased for the six months ended June 30, 2022 compared to the same period in 2021 primarily due to increases in settlement liabilities partially offset by the increases in settlement assets, which was primarily driven by increased expense reimbursement activity.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USED IN INVESTING ACTIVITIES</w:t>
      </w:r>
    </w:p>
    <w:p>
      <w:pPr>
        <w:spacing w:after="0" w:line="158" w:lineRule="exact"/>
        <w:rPr>
          <w:sz w:val="20"/>
          <w:szCs w:val="20"/>
          <w:color w:val="auto"/>
        </w:rPr>
      </w:pPr>
    </w:p>
    <w:p>
      <w:pPr>
        <w:ind w:right="720"/>
        <w:spacing w:after="0" w:line="318" w:lineRule="auto"/>
        <w:rPr>
          <w:sz w:val="20"/>
          <w:szCs w:val="20"/>
          <w:color w:val="auto"/>
        </w:rPr>
      </w:pPr>
      <w:r>
        <w:rPr>
          <w:rFonts w:ascii="Arial" w:cs="Arial" w:eastAsia="Arial" w:hAnsi="Arial"/>
          <w:sz w:val="17"/>
          <w:szCs w:val="17"/>
          <w:color w:val="auto"/>
        </w:rPr>
        <w:t>During the six months ended June 30, 2022, net cash used by investing activities was $ 0.7 million, primarily consisting of software development costs and the purchase of property and equipment related to the build-out of our offices in Portland and San Francisco.</w:t>
      </w:r>
    </w:p>
    <w:p>
      <w:pPr>
        <w:spacing w:after="0" w:line="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cash used by investing activities decreased for the six months ended June 30, 2022 compared to the same period in 2021, primarily due to a decrease in software development costs. Software development costs decreased due to additional time spent by employees during the six months ended June 30, 2022 on customer support and sales and marketing of recently developed products and services such as the Free Plan and our Expensify Card. The Free Plan resulted in higher software development costs for the same period in 2021 as it was still in the application development stage.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PROVIDED BY FINANCING ACTIVITIES</w:t>
      </w:r>
    </w:p>
    <w:p>
      <w:pPr>
        <w:spacing w:after="0" w:line="15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During the six months ended June 30, 2022, net cash provided by financing activities was $1.0 million, primarily consisting of proceeds from common stock purchased under the Matching Plan and proceeds from the issuance of common stock on exercises of stock options, which was partially offset by principal payments of our term loan and finance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During the six months ended June 30, 2021 net cash used by financing activities primarily consisted of payments of deferred offering costs and principal payments of our term loan and finance leases.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Amortizing Term Mortgage</w:t>
      </w:r>
    </w:p>
    <w:p>
      <w:pPr>
        <w:spacing w:after="0" w:line="1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August 2019, we entered into an $8.3 million amortizing term mortgage agreement with CIBC for our commercial building in Portland, Oregon. The agreement requires interest and principal payments be made each month over a 30-year period. Interest accrues at a fixed rate of 5.00% per year until August 2024, at which point the interest rate changes to the Wall Street Journal Prime Rate less 0.25% for the remaining term of the mortgage. The borrowings are secured by the building. The outstanding balance of the amortizing term mortgage was $7.9 million as of June 30, 2022.</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5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September 2021, we amended and restated our loan and security agreement with CIBC ("2021 Amended Term Loan") to refinance the existing non-amortizing and amortizing term loans, establish a single term loan of up to $ 75.0 million, consisting of a $45.0 million initial term loan effective immediately with an option to enter into an additional $30.0 million delayed term loan, and increase the monthly revolving line of credit to $25.0 million. The term loan and revolving line of credit mature in September 2026 and September 2024, respectively. Approximately $23.5 million of the loan proceeds were used to immediately repay the remaining balances under the amortizing and non-amortizing term loans at the time of the amendment, as well as commitment fees and other debt issuance costs associated with the amendment. The remaining proceeds from the initial term loan were utilized to fund our normal business operations.</w:t>
      </w:r>
    </w:p>
    <w:p>
      <w:pPr>
        <w:spacing w:after="0" w:line="1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Under the 2021 Amended Term Loan, the initial term loan of $45.0 million is payable over a 60 month period with principal and accrued interest payments due each quarter thereafter, which commenced with the first payment due on September 30, 2021. Quarterly principal payments are fixed and escalate throughout the term. The amounts borrowed bear interest at the bank’s reference rate plus 2.25% (7.00% as of June 30, 2022) and continue on a quarterly basis through the maturity of the term loan. The borrowings are secured by substantially all our assets. The outstanding balances of the 2021 Amended Term Loan and revolving line of credit were $44.7 million and $15.0 million, respectively, as of June 30, 2022.</w:t>
      </w:r>
    </w:p>
    <w:p>
      <w:pPr>
        <w:spacing w:after="0" w:line="101"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See Note 4 to our condensed consolidated financial statements included elsewhere in this Quarterly Report on Form 10-Q for further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subject to customary covenants under the 2021 Amended Term Loan, which unless waived by CIBC, restrict our and our subsidiaries' ability to, among other things incur additional indebtedness, create or incur liens, permit a change of control or merge or consolidate with other companies, sell or transfer assets, pay dividends or make distributions, make acquisitions, investments or loans, or payments and prepayments of subordinated indebtedness, subject to certain exceptions. We must also maintain certain financial covenants: for the first year, a total annual recurring revenue leverage ratio not to exceed 0.8 to 1.0, tested on the last day of each fiscal quarter, and maintaining liquidity at times not less than $10.0 million, in each case as defined in the loan and security agreement; and thereafter, a total EBITDA net leverage ratio, tested each quarter, of not less than 5.00 to 1.00 from September 30, 2022 through and including June 30, 2023, not less than 4.00 to 1.00 from September 30, 2023 through and including June 30, 2024, and not less than 3.00 to 1.00 from September 30, 2024 and thereafter, and a fixed charge coverage ratio of not less than 1.10 to 1.00, tested on the last day of each calendar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0"/>
        <w:spacing w:after="0" w:line="318" w:lineRule="auto"/>
        <w:rPr>
          <w:sz w:val="20"/>
          <w:szCs w:val="20"/>
          <w:color w:val="auto"/>
        </w:rPr>
      </w:pPr>
      <w:r>
        <w:rPr>
          <w:rFonts w:ascii="Arial" w:cs="Arial" w:eastAsia="Arial" w:hAnsi="Arial"/>
          <w:sz w:val="17"/>
          <w:szCs w:val="17"/>
          <w:color w:val="auto"/>
        </w:rPr>
        <w:t>If we fail to perform our obligations under these and other covenants, CIBC’s credit commitments could be terminated and any outstanding borrowings, together with accrued interest, under the credit or loan agreements could be declared immediately due and payable.</w:t>
      </w:r>
    </w:p>
    <w:p>
      <w:pPr>
        <w:spacing w:after="0" w:line="4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As of June 30, 2022, we were not in compliance with all debt covenants. Specifically, we were not in compliance with the covenant restricting the amount of transfers for donations to Expensify.org during the period, but we obtained a waiver from CIBC. As of the date of this Quarterly Report on Form 10-Q, we do not believe non-compliance with this covenant had any material impact on us or our operations. We expect to be in compliance with all debt covenants by the end of the fiscal quarter ended September 30, 2022.</w:t>
      </w:r>
    </w:p>
    <w:p>
      <w:pPr>
        <w:spacing w:after="0" w:line="95" w:lineRule="exact"/>
        <w:rPr>
          <w:sz w:val="20"/>
          <w:szCs w:val="20"/>
          <w:color w:val="auto"/>
        </w:rPr>
      </w:pPr>
    </w:p>
    <w:p>
      <w:pPr>
        <w:spacing w:after="0"/>
        <w:rPr>
          <w:sz w:val="20"/>
          <w:szCs w:val="20"/>
          <w:color w:val="auto"/>
        </w:rPr>
      </w:pPr>
      <w:r>
        <w:rPr>
          <w:rFonts w:ascii="Arial" w:cs="Arial" w:eastAsia="Arial" w:hAnsi="Arial"/>
          <w:sz w:val="29"/>
          <w:szCs w:val="29"/>
          <w:color w:val="auto"/>
        </w:rPr>
        <w:t>Contractual Obligations and Commitments</w:t>
      </w:r>
    </w:p>
    <w:p>
      <w:pPr>
        <w:spacing w:after="0" w:line="16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As of June 30, 2022, there have been no material changes in our contractual obligations and commitments as disclosed in our 2021 Annual Report.</w:t>
      </w:r>
    </w:p>
    <w:p>
      <w:pPr>
        <w:spacing w:after="0" w:line="72" w:lineRule="exact"/>
        <w:rPr>
          <w:sz w:val="20"/>
          <w:szCs w:val="20"/>
          <w:color w:val="auto"/>
        </w:rPr>
      </w:pPr>
    </w:p>
    <w:p>
      <w:pPr>
        <w:spacing w:after="0"/>
        <w:rPr>
          <w:sz w:val="20"/>
          <w:szCs w:val="20"/>
          <w:color w:val="auto"/>
        </w:rPr>
      </w:pPr>
      <w:r>
        <w:rPr>
          <w:rFonts w:ascii="Arial" w:cs="Arial" w:eastAsia="Arial" w:hAnsi="Arial"/>
          <w:sz w:val="29"/>
          <w:szCs w:val="29"/>
          <w:color w:val="auto"/>
        </w:rPr>
        <w:t>Indemnification Agreements</w:t>
      </w:r>
    </w:p>
    <w:p>
      <w:pPr>
        <w:spacing w:after="0" w:line="16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ordinary course of business, we enter into agreements of varying scope and terms whereby we agree to indemnify customers, issuing banks, card networks, vendors and other parties with respect to certain matters, including, but not limited to, losses arising out of the breach of such agreements, services to be provided by us or from intellectual property infringement claims made by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condensed consolidated balance sheets, condensed consolidated statements of operations, condensed consolidated statements of convertible preferred stock and stockholders' equity (deficit), or condensed consolidated statements of cash flows.</w:t>
      </w:r>
    </w:p>
    <w:p>
      <w:pPr>
        <w:spacing w:after="0" w:line="100" w:lineRule="exact"/>
        <w:rPr>
          <w:sz w:val="20"/>
          <w:szCs w:val="20"/>
          <w:color w:val="auto"/>
        </w:rPr>
      </w:pPr>
    </w:p>
    <w:p>
      <w:pPr>
        <w:spacing w:after="0"/>
        <w:rPr>
          <w:sz w:val="20"/>
          <w:szCs w:val="20"/>
          <w:color w:val="auto"/>
        </w:rPr>
      </w:pPr>
      <w:r>
        <w:rPr>
          <w:rFonts w:ascii="Arial" w:cs="Arial" w:eastAsia="Arial" w:hAnsi="Arial"/>
          <w:sz w:val="29"/>
          <w:szCs w:val="29"/>
          <w:color w:val="auto"/>
        </w:rPr>
        <w:t>Off-Balance Sheet Arrangements</w:t>
      </w:r>
    </w:p>
    <w:p>
      <w:pPr>
        <w:spacing w:after="0" w:line="16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During the periods presented, we did not have,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95" w:lineRule="exact"/>
        <w:rPr>
          <w:sz w:val="20"/>
          <w:szCs w:val="20"/>
          <w:color w:val="auto"/>
        </w:rPr>
      </w:pPr>
    </w:p>
    <w:p>
      <w:pPr>
        <w:spacing w:after="0"/>
        <w:rPr>
          <w:sz w:val="20"/>
          <w:szCs w:val="20"/>
          <w:color w:val="auto"/>
        </w:rPr>
      </w:pPr>
      <w:r>
        <w:rPr>
          <w:rFonts w:ascii="Arial" w:cs="Arial" w:eastAsia="Arial" w:hAnsi="Arial"/>
          <w:sz w:val="29"/>
          <w:szCs w:val="29"/>
          <w:color w:val="auto"/>
        </w:rPr>
        <w:t>Critical Accounting Policies and Estimates</w:t>
      </w:r>
    </w:p>
    <w:p>
      <w:pPr>
        <w:spacing w:after="0" w:line="16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condensed consolidated financial statements included elsewhere herein have been prepared in accordance with GAAP. The preparation of our condensed consolidated financial statements requires us to make estimates and judgments that affect our reported amounts of assets, liabilities, revenues and expenses. We base our estimates on historical experience and on various other assumptions that we believe are reasonable under the circumstances. Actual results may differ from these estimates under different assumptions or conditions.</w:t>
      </w:r>
    </w:p>
    <w:p>
      <w:pPr>
        <w:spacing w:after="0" w:line="10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those described in Part II, Item 7. “Management’s Discussion and Analysis of Financial Condition and Results of Operations” included in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9"/>
          <w:szCs w:val="29"/>
          <w:color w:val="auto"/>
        </w:rPr>
        <w:t>Recent Accounting Pronouncements</w:t>
      </w:r>
    </w:p>
    <w:p>
      <w:pPr>
        <w:spacing w:after="0" w:line="16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See Note 1 to our condensed consolidated financial statements included elsewhere in this Quarterly Report on Form 10-Q for recently adopted accounting pronouncements and recently issued accounting pronouncements not yet adopted as of the date of this Quarterly Report on Form 10-Q.</w:t>
      </w:r>
    </w:p>
    <w:p>
      <w:pPr>
        <w:spacing w:after="0" w:line="90" w:lineRule="exact"/>
        <w:rPr>
          <w:sz w:val="20"/>
          <w:szCs w:val="20"/>
          <w:color w:val="auto"/>
        </w:rPr>
      </w:pPr>
    </w:p>
    <w:p>
      <w:pPr>
        <w:spacing w:after="0"/>
        <w:rPr>
          <w:sz w:val="20"/>
          <w:szCs w:val="20"/>
          <w:color w:val="auto"/>
        </w:rPr>
      </w:pPr>
      <w:r>
        <w:rPr>
          <w:rFonts w:ascii="Arial" w:cs="Arial" w:eastAsia="Arial" w:hAnsi="Arial"/>
          <w:sz w:val="29"/>
          <w:szCs w:val="29"/>
          <w:color w:val="auto"/>
        </w:rPr>
        <w:t>Emerging Growth Company Status</w:t>
      </w:r>
    </w:p>
    <w:p>
      <w:pPr>
        <w:spacing w:after="0" w:line="16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(1) are no longer an emerging growth company or (2)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88" w:lineRule="exact"/>
        <w:rPr>
          <w:sz w:val="20"/>
          <w:szCs w:val="20"/>
          <w:color w:val="auto"/>
        </w:rPr>
      </w:pPr>
    </w:p>
    <w:p>
      <w:pPr>
        <w:spacing w:after="0"/>
        <w:rPr>
          <w:sz w:val="20"/>
          <w:szCs w:val="20"/>
          <w:color w:val="auto"/>
        </w:rPr>
      </w:pPr>
      <w:r>
        <w:rPr>
          <w:rFonts w:ascii="Arial" w:cs="Arial" w:eastAsia="Arial" w:hAnsi="Arial"/>
          <w:sz w:val="29"/>
          <w:szCs w:val="29"/>
          <w:color w:val="auto"/>
        </w:rPr>
        <w:t>Item 3. Quantitative and Qualitative Disclosures About Market Risk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4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report our results in U.S. dollars, which is our reporting currency. For our foreign operations, the majority of our revenues and expenses are denominated in other currencies, such as the British Pound and the Australian Dollar. Foreign currency assets and liabilities are remeasured into the U.S. dollar at end-of-period exchange rates except for prepaid expenses, property and equipment and related depreciation and amortization and lease right-of-use assets and related amortization, which are remeasured at historical exchange rates. Revenues and expenses are remeasured at average exchange rates in effect during each period. Gains or losses from foreign currency transactions are included in the condensed consolidated statements of operations.</w:t>
      </w:r>
    </w:p>
    <w:p>
      <w:pPr>
        <w:spacing w:after="0" w:line="115"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If the value of the U.S. dollar weakens relative to foreign currencies, this may have an unfavorable impact on our cash flows and operating results. We do not believe that a 10% change in the relative value of the U.S. dollar to other foreign currencies would have a material effect on our cash flows and operating results.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4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are subject to interest rate risk in connection with borrowings under our amortizing term mortgage, our monthly revolving line of credit and our amortizing term loan. Interest rate changes generally impact the amount of our interest payments and, therefore, our future profitability and cash flows. Assuming the amounts outstanding under these borrowing facilities are fully drawn, a hypothetical 10% change in interest rates would not have a material impact on our condensed consolidated financial statements.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15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do not believe that inflation has had a material impact on our business, results of operations or financial condition. Nonetheless, if our costs were to become subject to significant inflationary pressures, we may not be able to fully offset such higher costs through price increases. Our inability or failure to do so could harm our business, results of operations or financial condition.</w:t>
      </w:r>
    </w:p>
    <w:p>
      <w:pPr>
        <w:spacing w:after="0" w:line="76" w:lineRule="exact"/>
        <w:rPr>
          <w:sz w:val="20"/>
          <w:szCs w:val="20"/>
          <w:color w:val="auto"/>
        </w:rPr>
      </w:pPr>
    </w:p>
    <w:p>
      <w:pPr>
        <w:spacing w:after="0"/>
        <w:rPr>
          <w:sz w:val="20"/>
          <w:szCs w:val="20"/>
          <w:color w:val="auto"/>
        </w:rPr>
      </w:pPr>
      <w:r>
        <w:rPr>
          <w:rFonts w:ascii="Arial" w:cs="Arial" w:eastAsia="Arial" w:hAnsi="Arial"/>
          <w:sz w:val="29"/>
          <w:szCs w:val="29"/>
          <w:color w:val="auto"/>
        </w:rPr>
        <w:t>Item 4.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Based on such evaluation, and as discussed below, our chief executive officer and chief financial officer have concluded that as of June 30, 2022, our disclosure controls and procedures were not effective at a reasonable assurance level due to the material weakness in our internal control over financial reporting described below. In light of this fact, our management has performed additional analyses, reconciliations, and other post-closing procedures and has concluded that, notwithstanding the material weakness in our internal control over financial reporting, the consolidated financial statements for the periods covered by and included in this Quarterly Report on Form 10-Q fairly present, in all material respects, our financial position, results of operations and cash flows for the periods presented in conformity with GAAP.</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w:t>
      </w:r>
    </w:p>
    <w:p>
      <w:pPr>
        <w:spacing w:after="0" w:line="15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disclosed in “Part II, Item 9A. Controls and Procedures” of our 2021 Annual Report, in connection with our management’s assessment of controls over financial reporting during the years ended December 31, 2021, 2020 and 2019, we identified a material weakness in our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that we identified relates to insufficient technical skills to address accounting matters combined with insufficient accounting staff and internal control knowledge to design and implement processes and controls, including the review of the completeness and accuracy of reports used to record journal entries, necessary to ensure material misstatements did not occur.</w:t>
      </w:r>
    </w:p>
    <w:p>
      <w:pPr>
        <w:spacing w:after="0" w:line="1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To address this material weakness, we are continuing to develop and refine our disclosure controls and other procedures that are designed to ensure that information required to be disclosed by us in the reports that we file with the Securities and Exchange Commission (the "SEC") is recorded, processed, summarized, and reported within the time periods specified in SEC rules and forms and that information required to be disclosed in reports under the Exchange Act is accumulated and communicated to our principal executive and financial officers as appropriate to allow timely decisions regarding required disclosures. We are also continuing to improve our internal control over financial reporting. For example, as we prepared to become a public company, we worked to improve the controls around our key accounting processes and our quarterly close process, and we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 We will not be able to sufficiently remediate these control deficiencies until these steps have been completed and the controls have been operating effectively for a sufficient period of time. If any of these new or improved controls and systems do not perform as expected, we may continue to experience material weaknesses in our controls.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5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Except for the remediation efforts described above, there were no changes in our internal control over financial reporting identified in connection with the evaluation required by Rules 13a-15(d) and 15d-15(d) of the Exchange Act that occurred during the period covered by this Quarterly Report on Form 10-Q that has materially affected, or is reasonably likely to materially affect, our internal control over financial reporting.</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EFFECTIVENESS OF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22" w:right="4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Part II - Other Information</w:t>
      </w:r>
    </w:p>
    <w:p>
      <w:pPr>
        <w:spacing w:after="0" w:line="305" w:lineRule="exact"/>
        <w:rPr>
          <w:sz w:val="20"/>
          <w:szCs w:val="20"/>
          <w:color w:val="auto"/>
        </w:rPr>
      </w:pPr>
    </w:p>
    <w:p>
      <w:pPr>
        <w:spacing w:after="0"/>
        <w:rPr>
          <w:sz w:val="20"/>
          <w:szCs w:val="20"/>
          <w:color w:val="auto"/>
        </w:rPr>
      </w:pPr>
      <w:r>
        <w:rPr>
          <w:rFonts w:ascii="Arial" w:cs="Arial" w:eastAsia="Arial" w:hAnsi="Arial"/>
          <w:sz w:val="29"/>
          <w:szCs w:val="29"/>
          <w:color w:val="auto"/>
        </w:rPr>
        <w:t>Item 1. Legal Proceedings</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We have received, and may in the future continue to receive, claims from third parties asserting, among other things, infringement of their intellectual property rights. Defending such proceedings is costly and can impose a significant burden on management and employees. We may receive unfavorable preliminary or interim rulings in the course of litigation, and there can be no assurances that favorable final outcomes will be obtained.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04" w:lineRule="exact"/>
        <w:rPr>
          <w:sz w:val="20"/>
          <w:szCs w:val="20"/>
          <w:color w:val="auto"/>
        </w:rPr>
      </w:pPr>
    </w:p>
    <w:p>
      <w:pPr>
        <w:spacing w:after="0"/>
        <w:rPr>
          <w:sz w:val="20"/>
          <w:szCs w:val="20"/>
          <w:color w:val="auto"/>
        </w:rPr>
      </w:pPr>
      <w:r>
        <w:rPr>
          <w:rFonts w:ascii="Arial" w:cs="Arial" w:eastAsia="Arial" w:hAnsi="Arial"/>
          <w:sz w:val="29"/>
          <w:szCs w:val="29"/>
          <w:color w:val="auto"/>
        </w:rPr>
        <w:t>Item 1A. Risk Factors</w:t>
      </w:r>
    </w:p>
    <w:p>
      <w:pPr>
        <w:spacing w:after="0" w:line="16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Except to the extent updated below or previously updated or to the extent additional factual information disclosed elsewhere in this Quarterly Report on Form 10-Q related to such risk factors (including, without limitation, the matters discussed in Part I, Item 2 “Management’s Discussion and Analysis of Financial Condition and Results of Operation”), there have been no material changes to the risk factors set forth in "Part I, Item IA. Risk Factors" of our 2021 Annual Report. You should carefully read and consider the risks and uncertainties, together with all of the other information included in the 2021 Annual Report and this Quarterly Report on Form 10-Q, including the section titled “Management’s Discussion and Analysis of Financial Condition and Results of Operations” and our consolidated financial statements and related notes, and other documents that we file with the SEC.</w:t>
      </w:r>
    </w:p>
    <w:p>
      <w:pPr>
        <w:spacing w:after="0" w:line="117" w:lineRule="exact"/>
        <w:rPr>
          <w:sz w:val="20"/>
          <w:szCs w:val="20"/>
          <w:color w:val="auto"/>
        </w:rPr>
      </w:pPr>
    </w:p>
    <w:p>
      <w:pPr>
        <w:jc w:val="both"/>
        <w:ind w:right="160"/>
        <w:spacing w:after="0" w:line="272" w:lineRule="auto"/>
        <w:rPr>
          <w:sz w:val="20"/>
          <w:szCs w:val="20"/>
          <w:color w:val="auto"/>
        </w:rPr>
      </w:pPr>
      <w:r>
        <w:rPr>
          <w:rFonts w:ascii="Arial" w:cs="Arial" w:eastAsia="Arial" w:hAnsi="Arial"/>
          <w:sz w:val="18"/>
          <w:szCs w:val="18"/>
          <w:b w:val="1"/>
          <w:bCs w:val="1"/>
          <w:i w:val="1"/>
          <w:iCs w:val="1"/>
          <w:color w:val="auto"/>
        </w:rPr>
        <w:t>We cannot guarantee that our share repurchase program will be fully consummated or that it will enhance long-term stockholder value. Share repurchases could also increase the volatility of the trading price of our common stock and could diminish our cash reserves.</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May 10, 2022, the Executive Committee of our Board of Directors authorized a share repurchase program to repurchase up to $50 million of our outstanding Class A common stock. Although the Executive Committee of our Board of Directors has authorized this repurchase program, the program does not obligate us to repurchase any specific dollar amount or to acquire any specific number of shares. The actual timing, manner, price and total amount of future repurchases will depend on a variety of factors, including business, economic and market conditions, corporate and regulatory requirements, prevailing stock prices, restrictions under the terms of loan agreements and other considerations. The share repurchase program may be modified, suspended, or terminated at any time, and we cannot guarantee that the program will be fully consummated or that it will enhance long-term stockholder value. The program could affect the trading price of our stock and increase volatility, and any announcement of a termination of this program may result in a decrease in the trading price of our stock. In addition, this program could diminish our cash and cash equivalents and marketable securities.</w:t>
      </w:r>
    </w:p>
    <w:p>
      <w:pPr>
        <w:spacing w:after="0" w:line="100" w:lineRule="exact"/>
        <w:rPr>
          <w:sz w:val="20"/>
          <w:szCs w:val="20"/>
          <w:color w:val="auto"/>
        </w:rPr>
      </w:pPr>
    </w:p>
    <w:p>
      <w:pPr>
        <w:spacing w:after="0"/>
        <w:rPr>
          <w:sz w:val="20"/>
          <w:szCs w:val="20"/>
          <w:color w:val="auto"/>
        </w:rPr>
      </w:pPr>
      <w:r>
        <w:rPr>
          <w:rFonts w:ascii="Arial" w:cs="Arial" w:eastAsia="Arial" w:hAnsi="Arial"/>
          <w:sz w:val="29"/>
          <w:szCs w:val="29"/>
          <w:color w:val="auto"/>
        </w:rPr>
        <w:t>Item 2. Unregistered Sales of Equity Securities and Use of Proceeds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58"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On November 15, 2021, we completed our IPO. The offer and sale of the shares in the IPO were registered under the Securities Act pursuant to a registration statement on Form S-1 (File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333-260297), which was declared effective by the SEC on November 9, 2021. There has been no material change in the use of proceeds from our IPO as described in our final prospectus filed with the SEC pursuant to Rule 424(b) of the Securities Act and other periodic reports previously filed with the SEC.</w:t>
      </w:r>
    </w:p>
    <w:p>
      <w:pPr>
        <w:spacing w:after="0" w:line="76" w:lineRule="exact"/>
        <w:rPr>
          <w:sz w:val="20"/>
          <w:szCs w:val="20"/>
          <w:color w:val="auto"/>
        </w:rPr>
      </w:pPr>
    </w:p>
    <w:p>
      <w:pPr>
        <w:spacing w:after="0"/>
        <w:rPr>
          <w:sz w:val="20"/>
          <w:szCs w:val="20"/>
          <w:color w:val="auto"/>
        </w:rPr>
      </w:pPr>
      <w:r>
        <w:rPr>
          <w:rFonts w:ascii="Arial" w:cs="Arial" w:eastAsia="Arial" w:hAnsi="Arial"/>
          <w:sz w:val="29"/>
          <w:szCs w:val="29"/>
          <w:color w:val="auto"/>
        </w:rPr>
        <w:t>Item 3. Defaults Upon Senior Securities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31" w:lineRule="exact"/>
        <w:rPr>
          <w:sz w:val="20"/>
          <w:szCs w:val="20"/>
          <w:color w:val="auto"/>
        </w:rPr>
      </w:pPr>
    </w:p>
    <w:p>
      <w:pPr>
        <w:spacing w:after="0"/>
        <w:rPr>
          <w:sz w:val="20"/>
          <w:szCs w:val="20"/>
          <w:color w:val="auto"/>
        </w:rPr>
      </w:pPr>
      <w:r>
        <w:rPr>
          <w:rFonts w:ascii="Arial" w:cs="Arial" w:eastAsia="Arial" w:hAnsi="Arial"/>
          <w:sz w:val="29"/>
          <w:szCs w:val="29"/>
          <w:color w:val="auto"/>
        </w:rPr>
        <w:t>Item 4. Mine Safety Disclosures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4" w:lineRule="exact"/>
        <w:rPr>
          <w:sz w:val="20"/>
          <w:szCs w:val="20"/>
          <w:color w:val="auto"/>
        </w:rPr>
      </w:pPr>
    </w:p>
    <w:p>
      <w:pPr>
        <w:spacing w:after="0"/>
        <w:rPr>
          <w:sz w:val="20"/>
          <w:szCs w:val="20"/>
          <w:color w:val="auto"/>
        </w:rPr>
      </w:pPr>
      <w:r>
        <w:rPr>
          <w:rFonts w:ascii="Arial" w:cs="Arial" w:eastAsia="Arial" w:hAnsi="Arial"/>
          <w:sz w:val="29"/>
          <w:szCs w:val="29"/>
          <w:color w:val="auto"/>
        </w:rPr>
        <w:t>Item 5.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122" w:right="49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9"/>
          <w:szCs w:val="29"/>
          <w:color w:val="auto"/>
        </w:rPr>
        <w:t>Item 6.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Incorporated by Reference</w:t>
            </w:r>
          </w:p>
        </w:tc>
        <w:tc>
          <w:tcPr>
            <w:tcW w:w="1740" w:type="dxa"/>
            <w:vAlign w:val="bottom"/>
            <w:tcBorders>
              <w:bottom w:val="single" w:sz="8" w:color="auto"/>
            </w:tcBorders>
          </w:tcPr>
          <w:p>
            <w:pPr>
              <w:spacing w:after="0"/>
              <w:rPr>
                <w:sz w:val="17"/>
                <w:szCs w:val="17"/>
                <w:color w:val="auto"/>
              </w:rPr>
            </w:pPr>
          </w:p>
        </w:tc>
      </w:tr>
      <w:tr>
        <w:trPr>
          <w:trHeight w:val="399"/>
        </w:trPr>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4180" w:type="dxa"/>
            <w:vAlign w:val="bottom"/>
            <w:gridSpan w:val="11"/>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24"/>
                <w:szCs w:val="24"/>
                <w:color w:val="auto"/>
              </w:rPr>
            </w:pPr>
          </w:p>
        </w:tc>
        <w:tc>
          <w:tcPr>
            <w:tcW w:w="1220" w:type="dxa"/>
            <w:vAlign w:val="bottom"/>
          </w:tcPr>
          <w:p>
            <w:pPr>
              <w:jc w:val="center"/>
              <w:ind w:left="24"/>
              <w:spacing w:after="0"/>
              <w:rPr>
                <w:sz w:val="20"/>
                <w:szCs w:val="20"/>
                <w:color w:val="auto"/>
              </w:rPr>
            </w:pPr>
            <w:r>
              <w:rPr>
                <w:rFonts w:ascii="Arial" w:cs="Arial" w:eastAsia="Arial" w:hAnsi="Arial"/>
                <w:sz w:val="14"/>
                <w:szCs w:val="14"/>
                <w:b w:val="1"/>
                <w:bCs w:val="1"/>
                <w:color w:val="auto"/>
              </w:rPr>
              <w:t>Form</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File No.</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Filing Date</w:t>
            </w:r>
          </w:p>
        </w:tc>
      </w:tr>
      <w:tr>
        <w:trPr>
          <w:trHeight w:val="170"/>
        </w:trPr>
        <w:tc>
          <w:tcPr>
            <w:tcW w:w="1300" w:type="dxa"/>
            <w:vAlign w:val="bottom"/>
            <w:tcBorders>
              <w:top w:val="single" w:sz="8" w:color="auto"/>
            </w:tcBorders>
          </w:tcPr>
          <w:p>
            <w:pPr>
              <w:ind w:left="140"/>
              <w:spacing w:after="0" w:line="170" w:lineRule="exact"/>
              <w:rPr>
                <w:sz w:val="20"/>
                <w:szCs w:val="20"/>
                <w:color w:val="auto"/>
              </w:rPr>
            </w:pPr>
            <w:r>
              <w:rPr>
                <w:rFonts w:ascii="Arial" w:cs="Arial" w:eastAsia="Arial" w:hAnsi="Arial"/>
                <w:sz w:val="15"/>
                <w:szCs w:val="15"/>
                <w:color w:val="auto"/>
              </w:rPr>
              <w:t>3.1</w:t>
            </w:r>
            <w:r>
              <w:rPr>
                <w:rFonts w:ascii="Arial" w:cs="Arial" w:eastAsia="Arial" w:hAnsi="Arial"/>
                <w:sz w:val="19"/>
                <w:szCs w:val="19"/>
                <w:color w:val="auto"/>
                <w:vertAlign w:val="superscript"/>
              </w:rPr>
              <w:t>*</w:t>
            </w:r>
          </w:p>
        </w:tc>
        <w:tc>
          <w:tcPr>
            <w:tcW w:w="80" w:type="dxa"/>
            <w:vAlign w:val="bottom"/>
          </w:tcPr>
          <w:p>
            <w:pPr>
              <w:spacing w:after="0"/>
              <w:rPr>
                <w:sz w:val="14"/>
                <w:szCs w:val="14"/>
                <w:color w:val="auto"/>
              </w:rPr>
            </w:pPr>
          </w:p>
        </w:tc>
        <w:tc>
          <w:tcPr>
            <w:tcW w:w="4180" w:type="dxa"/>
            <w:vAlign w:val="bottom"/>
            <w:tcBorders>
              <w:top w:val="single" w:sz="8" w:color="auto"/>
            </w:tcBorders>
            <w:gridSpan w:val="11"/>
          </w:tcPr>
          <w:p>
            <w:pPr>
              <w:spacing w:after="0" w:line="170" w:lineRule="exact"/>
              <w:rPr>
                <w:sz w:val="20"/>
                <w:szCs w:val="20"/>
                <w:color w:val="auto"/>
              </w:rPr>
            </w:pPr>
            <w:r>
              <w:rPr>
                <w:rFonts w:ascii="Arial" w:cs="Arial" w:eastAsia="Arial" w:hAnsi="Arial"/>
                <w:sz w:val="16"/>
                <w:szCs w:val="16"/>
                <w:color w:val="0000FF"/>
              </w:rPr>
              <w:t>Amended and Restated Certificate of Incorporation of the</w:t>
            </w:r>
          </w:p>
        </w:tc>
        <w:tc>
          <w:tcPr>
            <w:tcW w:w="10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rPr>
              <w:t>Registrant.</w:t>
            </w:r>
          </w:p>
        </w:tc>
        <w:tc>
          <w:tcPr>
            <w:tcW w:w="3300" w:type="dxa"/>
            <w:vAlign w:val="bottom"/>
            <w:tcBorders>
              <w:top w:val="single" w:sz="8" w:color="0000FF"/>
            </w:tcBorders>
            <w:gridSpan w:val="7"/>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21"/>
                <w:szCs w:val="21"/>
                <w:color w:val="auto"/>
              </w:rPr>
            </w:pPr>
          </w:p>
        </w:tc>
        <w:tc>
          <w:tcPr>
            <w:tcW w:w="4180" w:type="dxa"/>
            <w:vAlign w:val="bottom"/>
            <w:gridSpan w:val="11"/>
          </w:tcPr>
          <w:p>
            <w:pPr>
              <w:spacing w:after="0"/>
              <w:rPr>
                <w:rFonts w:ascii="Arial" w:cs="Arial" w:eastAsia="Arial" w:hAnsi="Arial"/>
                <w:sz w:val="16"/>
                <w:szCs w:val="16"/>
                <w:color w:val="0000FF"/>
              </w:rPr>
            </w:pPr>
            <w:hyperlink r:id="rId101">
              <w:r>
                <w:rPr>
                  <w:rFonts w:ascii="Arial" w:cs="Arial" w:eastAsia="Arial" w:hAnsi="Arial"/>
                  <w:sz w:val="16"/>
                  <w:szCs w:val="16"/>
                  <w:color w:val="0000FF"/>
                </w:rPr>
                <w:t>Amended and Restated Bylaws of the Registrant.</w:t>
              </w:r>
            </w:hyperlink>
          </w:p>
        </w:tc>
        <w:tc>
          <w:tcPr>
            <w:tcW w:w="100" w:type="dxa"/>
            <w:vAlign w:val="bottom"/>
          </w:tcPr>
          <w:p>
            <w:pPr>
              <w:spacing w:after="0"/>
              <w:rPr>
                <w:sz w:val="21"/>
                <w:szCs w:val="21"/>
                <w:color w:val="auto"/>
              </w:rPr>
            </w:pPr>
          </w:p>
        </w:tc>
        <w:tc>
          <w:tcPr>
            <w:tcW w:w="1220" w:type="dxa"/>
            <w:vAlign w:val="bottom"/>
          </w:tcPr>
          <w:p>
            <w:pPr>
              <w:jc w:val="center"/>
              <w:ind w:left="4"/>
              <w:spacing w:after="0"/>
              <w:rPr>
                <w:sz w:val="20"/>
                <w:szCs w:val="20"/>
                <w:color w:val="auto"/>
              </w:rPr>
            </w:pPr>
            <w:r>
              <w:rPr>
                <w:rFonts w:ascii="Arial" w:cs="Arial" w:eastAsia="Arial" w:hAnsi="Arial"/>
                <w:sz w:val="16"/>
                <w:szCs w:val="16"/>
                <w:color w:val="auto"/>
              </w:rPr>
              <w:t>8-K</w:t>
            </w:r>
          </w:p>
        </w:tc>
        <w:tc>
          <w:tcPr>
            <w:tcW w:w="1460" w:type="dxa"/>
            <w:vAlign w:val="bottom"/>
          </w:tcPr>
          <w:p>
            <w:pPr>
              <w:jc w:val="right"/>
              <w:ind w:right="245"/>
              <w:spacing w:after="0"/>
              <w:rPr>
                <w:sz w:val="20"/>
                <w:szCs w:val="20"/>
                <w:color w:val="auto"/>
              </w:rPr>
            </w:pPr>
            <w:r>
              <w:rPr>
                <w:rFonts w:ascii="Arial" w:cs="Arial" w:eastAsia="Arial" w:hAnsi="Arial"/>
                <w:sz w:val="16"/>
                <w:szCs w:val="16"/>
                <w:color w:val="auto"/>
              </w:rPr>
              <w:t>001-41043</w:t>
            </w:r>
          </w:p>
        </w:tc>
        <w:tc>
          <w:tcPr>
            <w:tcW w:w="1160" w:type="dxa"/>
            <w:vAlign w:val="bottom"/>
          </w:tcPr>
          <w:p>
            <w:pPr>
              <w:jc w:val="right"/>
              <w:ind w:right="404"/>
              <w:spacing w:after="0"/>
              <w:rPr>
                <w:sz w:val="20"/>
                <w:szCs w:val="20"/>
                <w:color w:val="auto"/>
              </w:rPr>
            </w:pPr>
            <w:r>
              <w:rPr>
                <w:rFonts w:ascii="Arial" w:cs="Arial" w:eastAsia="Arial" w:hAnsi="Arial"/>
                <w:sz w:val="16"/>
                <w:szCs w:val="16"/>
                <w:color w:val="auto"/>
              </w:rPr>
              <w:t>3.2</w:t>
            </w:r>
          </w:p>
        </w:tc>
        <w:tc>
          <w:tcPr>
            <w:tcW w:w="1740" w:type="dxa"/>
            <w:vAlign w:val="bottom"/>
          </w:tcPr>
          <w:p>
            <w:pPr>
              <w:jc w:val="center"/>
              <w:spacing w:after="0"/>
              <w:rPr>
                <w:sz w:val="20"/>
                <w:szCs w:val="20"/>
                <w:color w:val="auto"/>
              </w:rPr>
            </w:pPr>
            <w:r>
              <w:rPr>
                <w:rFonts w:ascii="Arial" w:cs="Arial" w:eastAsia="Arial" w:hAnsi="Arial"/>
                <w:sz w:val="16"/>
                <w:szCs w:val="16"/>
                <w:color w:val="auto"/>
              </w:rPr>
              <w:t>November 15, 2021</w:t>
            </w:r>
          </w:p>
        </w:tc>
      </w:tr>
      <w:tr>
        <w:trPr>
          <w:trHeight w:val="20"/>
        </w:trPr>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6"/>
                <w:szCs w:val="16"/>
                <w:color w:val="auto"/>
              </w:rPr>
              <w:t>31.1</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0000FF"/>
              </w:rPr>
              <w:t>Certification of the Principal Executive Officer, pursuant to</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2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Rules 13a-14(a) and 15d-14(a) under the Securities</w:t>
            </w:r>
          </w:p>
        </w:tc>
        <w:tc>
          <w:tcPr>
            <w:tcW w:w="42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80" w:type="dxa"/>
            <w:vAlign w:val="bottom"/>
            <w:gridSpan w:val="11"/>
          </w:tcPr>
          <w:p>
            <w:pPr>
              <w:spacing w:after="0" w:line="142" w:lineRule="exact"/>
              <w:rPr>
                <w:sz w:val="20"/>
                <w:szCs w:val="20"/>
                <w:color w:val="auto"/>
              </w:rPr>
            </w:pPr>
            <w:r>
              <w:rPr>
                <w:rFonts w:ascii="Arial" w:cs="Arial" w:eastAsia="Arial" w:hAnsi="Arial"/>
                <w:sz w:val="16"/>
                <w:szCs w:val="16"/>
                <w:color w:val="0000FF"/>
              </w:rPr>
              <w:t>Exchange Act of 1934, as amended, as adopted pursuant</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20" w:type="dxa"/>
            <w:vAlign w:val="bottom"/>
            <w:tcBorders>
              <w:top w:val="single" w:sz="8" w:color="0000FF"/>
              <w:bottom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to Section 302 of the Sarbanes-Oxley Act of 2002.</w:t>
            </w:r>
          </w:p>
        </w:tc>
        <w:tc>
          <w:tcPr>
            <w:tcW w:w="54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6"/>
                <w:szCs w:val="16"/>
                <w:color w:val="auto"/>
              </w:rPr>
              <w:t>31.2</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0000FF"/>
              </w:rPr>
              <w:t>Certification of the Principal Financial Officer, pursuant to</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2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Rules 13a-14(a) and 15d-14(a) under the Securities</w:t>
            </w:r>
          </w:p>
        </w:tc>
        <w:tc>
          <w:tcPr>
            <w:tcW w:w="360" w:type="dxa"/>
            <w:vAlign w:val="bottom"/>
            <w:tcBorders>
              <w:top w:val="single" w:sz="8" w:color="0000FF"/>
            </w:tcBorders>
            <w:gridSpan w:val="2"/>
          </w:tcPr>
          <w:p>
            <w:pPr>
              <w:spacing w:after="0"/>
              <w:rPr>
                <w:sz w:val="12"/>
                <w:szCs w:val="12"/>
                <w:color w:val="auto"/>
              </w:rPr>
            </w:pPr>
          </w:p>
        </w:tc>
        <w:tc>
          <w:tcPr>
            <w:tcW w:w="100" w:type="dxa"/>
            <w:vAlign w:val="bottom"/>
            <w:gridSpan w:val="4"/>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80" w:type="dxa"/>
            <w:vAlign w:val="bottom"/>
            <w:gridSpan w:val="11"/>
          </w:tcPr>
          <w:p>
            <w:pPr>
              <w:spacing w:after="0" w:line="142" w:lineRule="exact"/>
              <w:rPr>
                <w:sz w:val="20"/>
                <w:szCs w:val="20"/>
                <w:color w:val="auto"/>
              </w:rPr>
            </w:pPr>
            <w:r>
              <w:rPr>
                <w:rFonts w:ascii="Arial" w:cs="Arial" w:eastAsia="Arial" w:hAnsi="Arial"/>
                <w:sz w:val="16"/>
                <w:szCs w:val="16"/>
                <w:color w:val="0000FF"/>
              </w:rPr>
              <w:t>Exchange Act of 1934, as amended, as adopted pursuant</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20" w:type="dxa"/>
            <w:vAlign w:val="bottom"/>
            <w:tcBorders>
              <w:top w:val="single" w:sz="8" w:color="0000FF"/>
              <w:bottom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to Section 302 of the Sarbanes-Oxley Act of 2002.</w:t>
            </w:r>
          </w:p>
        </w:tc>
        <w:tc>
          <w:tcPr>
            <w:tcW w:w="54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6"/>
                <w:szCs w:val="16"/>
                <w:color w:val="auto"/>
              </w:rPr>
              <w:t>32.1</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0000FF"/>
              </w:rPr>
              <w:t>Certification of the Principal Executive Officer, pursuant to</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40" w:type="dxa"/>
            <w:vAlign w:val="bottom"/>
            <w:tcBorders>
              <w:top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18 U.S.C. Section 1350, as adopted pursuant to Section</w:t>
            </w:r>
          </w:p>
        </w:tc>
        <w:tc>
          <w:tcPr>
            <w:tcW w:w="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40" w:type="dxa"/>
            <w:vAlign w:val="bottom"/>
            <w:tcBorders>
              <w:top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906 of the Sarbanes-Oxley Act of 2002.</w:t>
            </w:r>
          </w:p>
        </w:tc>
        <w:tc>
          <w:tcPr>
            <w:tcW w:w="140" w:type="dxa"/>
            <w:vAlign w:val="bottom"/>
            <w:gridSpan w:val="5"/>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0"/>
        </w:trPr>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134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6"/>
                <w:szCs w:val="16"/>
                <w:color w:val="auto"/>
              </w:rPr>
              <w:t>32.2</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0000FF"/>
              </w:rPr>
              <w:t>Certification of the Principal Financial Officer, pursuant to</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80" w:type="dxa"/>
            <w:vAlign w:val="bottom"/>
            <w:tcBorders>
              <w:top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18 U.S.C. Section 1350, as adopted pursuant to Section</w:t>
            </w:r>
          </w:p>
        </w:tc>
        <w:tc>
          <w:tcPr>
            <w:tcW w:w="100" w:type="dxa"/>
            <w:vAlign w:val="bottom"/>
            <w:gridSpan w:val="4"/>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40" w:type="dxa"/>
            <w:vAlign w:val="bottom"/>
            <w:tcBorders>
              <w:top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906 of the Sarbanes-Oxley Act of 2002.</w:t>
            </w:r>
          </w:p>
        </w:tc>
        <w:tc>
          <w:tcPr>
            <w:tcW w:w="140" w:type="dxa"/>
            <w:vAlign w:val="bottom"/>
            <w:gridSpan w:val="5"/>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344"/>
        </w:trPr>
        <w:tc>
          <w:tcPr>
            <w:tcW w:w="1380" w:type="dxa"/>
            <w:vAlign w:val="bottom"/>
            <w:gridSpan w:val="2"/>
          </w:tcPr>
          <w:p>
            <w:pPr>
              <w:ind w:left="140"/>
              <w:spacing w:after="0"/>
              <w:rPr>
                <w:sz w:val="20"/>
                <w:szCs w:val="20"/>
                <w:color w:val="auto"/>
              </w:rPr>
            </w:pPr>
            <w:r>
              <w:rPr>
                <w:rFonts w:ascii="Arial" w:cs="Arial" w:eastAsia="Arial" w:hAnsi="Arial"/>
                <w:sz w:val="16"/>
                <w:szCs w:val="16"/>
                <w:color w:val="auto"/>
              </w:rPr>
              <w:t>101.INS</w:t>
            </w:r>
            <w:r>
              <w:rPr>
                <w:rFonts w:ascii="Arial" w:cs="Arial" w:eastAsia="Arial" w:hAnsi="Arial"/>
                <w:sz w:val="21"/>
                <w:szCs w:val="21"/>
                <w:color w:val="auto"/>
                <w:vertAlign w:val="superscript"/>
              </w:rPr>
              <w:t>*</w:t>
            </w:r>
          </w:p>
        </w:tc>
        <w:tc>
          <w:tcPr>
            <w:tcW w:w="2840" w:type="dxa"/>
            <w:vAlign w:val="bottom"/>
            <w:tcBorders>
              <w:top w:val="single" w:sz="8" w:color="0000FF"/>
            </w:tcBorders>
            <w:gridSpan w:val="2"/>
          </w:tcPr>
          <w:p>
            <w:pPr>
              <w:spacing w:after="0"/>
              <w:rPr>
                <w:sz w:val="20"/>
                <w:szCs w:val="20"/>
                <w:color w:val="auto"/>
              </w:rPr>
            </w:pPr>
            <w:r>
              <w:rPr>
                <w:rFonts w:ascii="Arial" w:cs="Arial" w:eastAsia="Arial" w:hAnsi="Arial"/>
                <w:sz w:val="16"/>
                <w:szCs w:val="16"/>
                <w:color w:val="auto"/>
              </w:rPr>
              <w:t>Inline XBRL Instance Document.</w:t>
            </w:r>
          </w:p>
        </w:tc>
        <w:tc>
          <w:tcPr>
            <w:tcW w:w="1340" w:type="dxa"/>
            <w:vAlign w:val="bottom"/>
            <w:gridSpan w:val="9"/>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70"/>
        </w:trPr>
        <w:tc>
          <w:tcPr>
            <w:tcW w:w="1380" w:type="dxa"/>
            <w:vAlign w:val="bottom"/>
            <w:gridSpan w:val="2"/>
          </w:tcPr>
          <w:p>
            <w:pPr>
              <w:ind w:left="140"/>
              <w:spacing w:after="0"/>
              <w:rPr>
                <w:sz w:val="20"/>
                <w:szCs w:val="20"/>
                <w:color w:val="auto"/>
              </w:rPr>
            </w:pPr>
            <w:r>
              <w:rPr>
                <w:rFonts w:ascii="Arial" w:cs="Arial" w:eastAsia="Arial" w:hAnsi="Arial"/>
                <w:sz w:val="16"/>
                <w:szCs w:val="16"/>
                <w:color w:val="auto"/>
              </w:rPr>
              <w:t>101.SCH</w:t>
            </w:r>
            <w:r>
              <w:rPr>
                <w:rFonts w:ascii="Arial" w:cs="Arial" w:eastAsia="Arial" w:hAnsi="Arial"/>
                <w:sz w:val="21"/>
                <w:szCs w:val="21"/>
                <w:color w:val="auto"/>
                <w:vertAlign w:val="superscript"/>
              </w:rPr>
              <w:t>*</w:t>
            </w:r>
          </w:p>
        </w:tc>
        <w:tc>
          <w:tcPr>
            <w:tcW w:w="4180" w:type="dxa"/>
            <w:vAlign w:val="bottom"/>
            <w:gridSpan w:val="11"/>
          </w:tcPr>
          <w:p>
            <w:pPr>
              <w:spacing w:after="0"/>
              <w:rPr>
                <w:sz w:val="20"/>
                <w:szCs w:val="20"/>
                <w:color w:val="auto"/>
              </w:rPr>
            </w:pPr>
            <w:r>
              <w:rPr>
                <w:rFonts w:ascii="Arial" w:cs="Arial" w:eastAsia="Arial" w:hAnsi="Arial"/>
                <w:sz w:val="16"/>
                <w:szCs w:val="16"/>
                <w:color w:val="auto"/>
              </w:rPr>
              <w:t>Inline XBRL Taxonomy Extension Schema Document.</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163"/>
        </w:trPr>
        <w:tc>
          <w:tcPr>
            <w:tcW w:w="1380" w:type="dxa"/>
            <w:vAlign w:val="bottom"/>
            <w:gridSpan w:val="2"/>
          </w:tcPr>
          <w:p>
            <w:pPr>
              <w:ind w:left="140"/>
              <w:spacing w:after="0" w:line="163" w:lineRule="exact"/>
              <w:rPr>
                <w:sz w:val="20"/>
                <w:szCs w:val="20"/>
                <w:color w:val="auto"/>
              </w:rPr>
            </w:pPr>
            <w:r>
              <w:rPr>
                <w:rFonts w:ascii="Arial" w:cs="Arial" w:eastAsia="Arial" w:hAnsi="Arial"/>
                <w:sz w:val="14"/>
                <w:szCs w:val="14"/>
                <w:color w:val="auto"/>
              </w:rPr>
              <w:t>101.CAL</w:t>
            </w:r>
            <w:r>
              <w:rPr>
                <w:rFonts w:ascii="Arial" w:cs="Arial" w:eastAsia="Arial" w:hAnsi="Arial"/>
                <w:sz w:val="18"/>
                <w:szCs w:val="18"/>
                <w:color w:val="auto"/>
                <w:vertAlign w:val="superscript"/>
              </w:rPr>
              <w:t>*</w:t>
            </w:r>
          </w:p>
        </w:tc>
        <w:tc>
          <w:tcPr>
            <w:tcW w:w="4180" w:type="dxa"/>
            <w:vAlign w:val="bottom"/>
            <w:gridSpan w:val="11"/>
          </w:tcPr>
          <w:p>
            <w:pPr>
              <w:spacing w:after="0" w:line="163" w:lineRule="exact"/>
              <w:rPr>
                <w:sz w:val="20"/>
                <w:szCs w:val="20"/>
                <w:color w:val="auto"/>
              </w:rPr>
            </w:pPr>
            <w:r>
              <w:rPr>
                <w:rFonts w:ascii="Arial" w:cs="Arial" w:eastAsia="Arial" w:hAnsi="Arial"/>
                <w:sz w:val="16"/>
                <w:szCs w:val="16"/>
                <w:color w:val="auto"/>
              </w:rPr>
              <w:t>Inline XBRL Taxonomy Extension Calculation Linkbase</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215"/>
        </w:trPr>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auto"/>
              </w:rPr>
              <w:t>Document.</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7"/>
        </w:trPr>
        <w:tc>
          <w:tcPr>
            <w:tcW w:w="1380" w:type="dxa"/>
            <w:vAlign w:val="bottom"/>
            <w:gridSpan w:val="2"/>
          </w:tcPr>
          <w:p>
            <w:pPr>
              <w:ind w:left="140"/>
              <w:spacing w:after="0" w:line="218" w:lineRule="exact"/>
              <w:rPr>
                <w:sz w:val="20"/>
                <w:szCs w:val="20"/>
                <w:color w:val="auto"/>
              </w:rPr>
            </w:pPr>
            <w:r>
              <w:rPr>
                <w:rFonts w:ascii="Arial" w:cs="Arial" w:eastAsia="Arial" w:hAnsi="Arial"/>
                <w:sz w:val="16"/>
                <w:szCs w:val="16"/>
                <w:color w:val="auto"/>
              </w:rPr>
              <w:t>101.DEF</w:t>
            </w:r>
            <w:r>
              <w:rPr>
                <w:rFonts w:ascii="Arial" w:cs="Arial" w:eastAsia="Arial" w:hAnsi="Arial"/>
                <w:sz w:val="21"/>
                <w:szCs w:val="21"/>
                <w:color w:val="auto"/>
                <w:vertAlign w:val="superscript"/>
              </w:rPr>
              <w:t>*</w:t>
            </w:r>
          </w:p>
        </w:tc>
        <w:tc>
          <w:tcPr>
            <w:tcW w:w="4180" w:type="dxa"/>
            <w:vAlign w:val="bottom"/>
            <w:gridSpan w:val="11"/>
          </w:tcPr>
          <w:p>
            <w:pPr>
              <w:spacing w:after="0"/>
              <w:rPr>
                <w:sz w:val="20"/>
                <w:szCs w:val="20"/>
                <w:color w:val="auto"/>
              </w:rPr>
            </w:pPr>
            <w:r>
              <w:rPr>
                <w:rFonts w:ascii="Arial" w:cs="Arial" w:eastAsia="Arial" w:hAnsi="Arial"/>
                <w:sz w:val="16"/>
                <w:szCs w:val="16"/>
                <w:color w:val="auto"/>
              </w:rPr>
              <w:t>Inline XBRL Taxonomy Extension Definition Linkbase</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5"/>
        </w:trPr>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auto"/>
              </w:rPr>
              <w:t>Document.</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7"/>
        </w:trPr>
        <w:tc>
          <w:tcPr>
            <w:tcW w:w="1380" w:type="dxa"/>
            <w:vAlign w:val="bottom"/>
            <w:gridSpan w:val="2"/>
          </w:tcPr>
          <w:p>
            <w:pPr>
              <w:ind w:left="140"/>
              <w:spacing w:after="0" w:line="218" w:lineRule="exact"/>
              <w:rPr>
                <w:sz w:val="20"/>
                <w:szCs w:val="20"/>
                <w:color w:val="auto"/>
              </w:rPr>
            </w:pPr>
            <w:r>
              <w:rPr>
                <w:rFonts w:ascii="Arial" w:cs="Arial" w:eastAsia="Arial" w:hAnsi="Arial"/>
                <w:sz w:val="16"/>
                <w:szCs w:val="16"/>
                <w:color w:val="auto"/>
              </w:rPr>
              <w:t>101.PRE</w:t>
            </w:r>
            <w:r>
              <w:rPr>
                <w:rFonts w:ascii="Arial" w:cs="Arial" w:eastAsia="Arial" w:hAnsi="Arial"/>
                <w:sz w:val="21"/>
                <w:szCs w:val="21"/>
                <w:color w:val="auto"/>
                <w:vertAlign w:val="superscript"/>
              </w:rPr>
              <w:t>*</w:t>
            </w:r>
          </w:p>
        </w:tc>
        <w:tc>
          <w:tcPr>
            <w:tcW w:w="4180" w:type="dxa"/>
            <w:vAlign w:val="bottom"/>
            <w:gridSpan w:val="11"/>
          </w:tcPr>
          <w:p>
            <w:pPr>
              <w:spacing w:after="0"/>
              <w:rPr>
                <w:sz w:val="20"/>
                <w:szCs w:val="20"/>
                <w:color w:val="auto"/>
              </w:rPr>
            </w:pPr>
            <w:r>
              <w:rPr>
                <w:rFonts w:ascii="Arial" w:cs="Arial" w:eastAsia="Arial" w:hAnsi="Arial"/>
                <w:sz w:val="16"/>
                <w:szCs w:val="16"/>
                <w:color w:val="auto"/>
              </w:rPr>
              <w:t>Inline XBRL Taxonomy Extension Presentation Linkable</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5"/>
        </w:trPr>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auto"/>
              </w:rPr>
              <w:t>Document.</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7"/>
        </w:trPr>
        <w:tc>
          <w:tcPr>
            <w:tcW w:w="1300" w:type="dxa"/>
            <w:vAlign w:val="bottom"/>
          </w:tcPr>
          <w:p>
            <w:pPr>
              <w:ind w:left="140"/>
              <w:spacing w:after="0" w:line="218" w:lineRule="exact"/>
              <w:rPr>
                <w:sz w:val="20"/>
                <w:szCs w:val="20"/>
                <w:color w:val="auto"/>
              </w:rPr>
            </w:pPr>
            <w:r>
              <w:rPr>
                <w:rFonts w:ascii="Arial" w:cs="Arial" w:eastAsia="Arial" w:hAnsi="Arial"/>
                <w:sz w:val="16"/>
                <w:szCs w:val="16"/>
                <w:color w:val="auto"/>
              </w:rPr>
              <w:t>104</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auto"/>
              </w:rPr>
              <w:t>Cover Page Interactive Data File (embedded within the</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5"/>
        </w:trPr>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auto"/>
              </w:rPr>
              <w:t>Inline XBRL document).</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55"/>
        </w:trPr>
        <w:tc>
          <w:tcPr>
            <w:tcW w:w="1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740" w:type="dxa"/>
            <w:vAlign w:val="bottom"/>
          </w:tcPr>
          <w:p>
            <w:pPr>
              <w:spacing w:after="0"/>
              <w:rPr>
                <w:sz w:val="4"/>
                <w:szCs w:val="4"/>
                <w:color w:val="auto"/>
              </w:rPr>
            </w:pPr>
          </w:p>
        </w:tc>
      </w:tr>
    </w:tbl>
    <w:p>
      <w:pPr>
        <w:spacing w:after="0" w:line="122" w:lineRule="exact"/>
        <w:rPr>
          <w:sz w:val="20"/>
          <w:szCs w:val="20"/>
          <w:color w:val="auto"/>
        </w:rPr>
      </w:pPr>
    </w:p>
    <w:p>
      <w:pPr>
        <w:ind w:left="360" w:hanging="334"/>
        <w:spacing w:after="0"/>
        <w:tabs>
          <w:tab w:leader="none" w:pos="360" w:val="left"/>
        </w:tabs>
        <w:numPr>
          <w:ilvl w:val="0"/>
          <w:numId w:val="9"/>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40" w:lineRule="exact"/>
        <w:rPr>
          <w:sz w:val="20"/>
          <w:szCs w:val="20"/>
          <w:color w:val="auto"/>
        </w:rPr>
      </w:pPr>
    </w:p>
    <w:p>
      <w:pPr>
        <w:ind w:left="360" w:right="440" w:hanging="334"/>
        <w:spacing w:after="0" w:line="238" w:lineRule="auto"/>
        <w:tabs>
          <w:tab w:leader="none" w:pos="3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Furnished herewith. The certifications attached as Exhibits 32.1 and 32.2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17780</wp:posOffset>
            </wp:positionV>
            <wp:extent cx="61804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Signatures</w:t>
      </w:r>
    </w:p>
    <w:p>
      <w:pPr>
        <w:spacing w:after="0" w:line="31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780" w:type="dxa"/>
            <w:vAlign w:val="bottom"/>
          </w:tcPr>
          <w:p>
            <w:pPr>
              <w:spacing w:after="0"/>
              <w:rPr>
                <w:sz w:val="21"/>
                <w:szCs w:val="21"/>
                <w:color w:val="auto"/>
              </w:rPr>
            </w:pPr>
          </w:p>
        </w:tc>
        <w:tc>
          <w:tcPr>
            <w:tcW w:w="7440" w:type="dxa"/>
            <w:vAlign w:val="bottom"/>
            <w:gridSpan w:val="2"/>
          </w:tcPr>
          <w:p>
            <w:pPr>
              <w:ind w:left="2000"/>
              <w:spacing w:after="0"/>
              <w:rPr>
                <w:sz w:val="20"/>
                <w:szCs w:val="20"/>
                <w:color w:val="auto"/>
              </w:rPr>
            </w:pPr>
            <w:r>
              <w:rPr>
                <w:rFonts w:ascii="Arial" w:cs="Arial" w:eastAsia="Arial" w:hAnsi="Arial"/>
                <w:sz w:val="18"/>
                <w:szCs w:val="18"/>
                <w:b w:val="1"/>
                <w:bCs w:val="1"/>
                <w:color w:val="auto"/>
              </w:rPr>
              <w:t>EXPENSIFY, INC.</w:t>
            </w:r>
          </w:p>
        </w:tc>
      </w:tr>
      <w:tr>
        <w:trPr>
          <w:trHeight w:val="474"/>
        </w:trPr>
        <w:tc>
          <w:tcPr>
            <w:tcW w:w="3780" w:type="dxa"/>
            <w:vAlign w:val="bottom"/>
          </w:tcPr>
          <w:p>
            <w:pPr>
              <w:spacing w:after="0"/>
              <w:rPr>
                <w:sz w:val="20"/>
                <w:szCs w:val="20"/>
                <w:color w:val="auto"/>
              </w:rPr>
            </w:pPr>
            <w:r>
              <w:rPr>
                <w:rFonts w:ascii="Arial" w:cs="Arial" w:eastAsia="Arial" w:hAnsi="Arial"/>
                <w:sz w:val="18"/>
                <w:szCs w:val="18"/>
                <w:color w:val="auto"/>
              </w:rPr>
              <w:t>Date: August 11, 2022</w:t>
            </w:r>
          </w:p>
        </w:tc>
        <w:tc>
          <w:tcPr>
            <w:tcW w:w="7440" w:type="dxa"/>
            <w:vAlign w:val="bottom"/>
            <w:gridSpan w:val="2"/>
          </w:tcPr>
          <w:p>
            <w:pPr>
              <w:ind w:left="2200"/>
              <w:spacing w:after="0"/>
              <w:rPr>
                <w:sz w:val="20"/>
                <w:szCs w:val="20"/>
                <w:color w:val="auto"/>
              </w:rPr>
            </w:pPr>
            <w:r>
              <w:rPr>
                <w:rFonts w:ascii="Arial" w:cs="Arial" w:eastAsia="Arial" w:hAnsi="Arial"/>
                <w:sz w:val="18"/>
                <w:szCs w:val="18"/>
                <w:color w:val="auto"/>
              </w:rPr>
              <w:t>By: /s/ David Barrett</w:t>
            </w:r>
          </w:p>
        </w:tc>
      </w:tr>
      <w:tr>
        <w:trPr>
          <w:trHeight w:val="218"/>
        </w:trPr>
        <w:tc>
          <w:tcPr>
            <w:tcW w:w="37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David Barrett</w:t>
            </w:r>
          </w:p>
        </w:tc>
      </w:tr>
      <w:tr>
        <w:trPr>
          <w:trHeight w:val="232"/>
        </w:trPr>
        <w:tc>
          <w:tcPr>
            <w:tcW w:w="37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7"/>
        </w:trPr>
        <w:tc>
          <w:tcPr>
            <w:tcW w:w="37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82"/>
        </w:trPr>
        <w:tc>
          <w:tcPr>
            <w:tcW w:w="3780" w:type="dxa"/>
            <w:vAlign w:val="bottom"/>
          </w:tcPr>
          <w:p>
            <w:pPr>
              <w:spacing w:after="0"/>
              <w:rPr>
                <w:sz w:val="20"/>
                <w:szCs w:val="20"/>
                <w:color w:val="auto"/>
              </w:rPr>
            </w:pPr>
            <w:r>
              <w:rPr>
                <w:rFonts w:ascii="Arial" w:cs="Arial" w:eastAsia="Arial" w:hAnsi="Arial"/>
                <w:sz w:val="18"/>
                <w:szCs w:val="18"/>
                <w:color w:val="auto"/>
              </w:rPr>
              <w:t>Date: August 11, 2022</w:t>
            </w:r>
          </w:p>
        </w:tc>
        <w:tc>
          <w:tcPr>
            <w:tcW w:w="7440" w:type="dxa"/>
            <w:vAlign w:val="bottom"/>
            <w:gridSpan w:val="2"/>
          </w:tcPr>
          <w:p>
            <w:pPr>
              <w:ind w:left="2200"/>
              <w:spacing w:after="0"/>
              <w:rPr>
                <w:sz w:val="20"/>
                <w:szCs w:val="20"/>
                <w:color w:val="auto"/>
              </w:rPr>
            </w:pPr>
            <w:r>
              <w:rPr>
                <w:rFonts w:ascii="Arial" w:cs="Arial" w:eastAsia="Arial" w:hAnsi="Arial"/>
                <w:sz w:val="18"/>
                <w:szCs w:val="18"/>
                <w:color w:val="auto"/>
              </w:rPr>
              <w:t>By: /s/ Ryan Schaffer</w:t>
            </w:r>
          </w:p>
        </w:tc>
      </w:tr>
      <w:tr>
        <w:trPr>
          <w:trHeight w:val="218"/>
        </w:trPr>
        <w:tc>
          <w:tcPr>
            <w:tcW w:w="37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Ryan Schaffer</w:t>
            </w:r>
          </w:p>
        </w:tc>
      </w:tr>
      <w:tr>
        <w:trPr>
          <w:trHeight w:val="232"/>
        </w:trPr>
        <w:tc>
          <w:tcPr>
            <w:tcW w:w="37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7"/>
        </w:trPr>
        <w:tc>
          <w:tcPr>
            <w:tcW w:w="37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122"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CERTIFICATE OF INCORPORATION OF</w:t>
      </w:r>
    </w:p>
    <w:p>
      <w:pPr>
        <w:spacing w:after="0" w:line="26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EXPENSIFY, INC.</w:t>
      </w: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Expensify, Inc., a corporation organized and existing under the General Corporation Law of the State of Delaware (the “</w:t>
      </w:r>
      <w:r>
        <w:rPr>
          <w:rFonts w:ascii="Times New Roman" w:cs="Times New Roman" w:eastAsia="Times New Roman" w:hAnsi="Times New Roman"/>
          <w:sz w:val="21"/>
          <w:szCs w:val="21"/>
          <w:u w:val="single" w:color="auto"/>
          <w:color w:val="auto"/>
        </w:rPr>
        <w:t>DGCL</w:t>
      </w:r>
      <w:r>
        <w:rPr>
          <w:rFonts w:ascii="Times New Roman" w:cs="Times New Roman" w:eastAsia="Times New Roman" w:hAnsi="Times New Roman"/>
          <w:sz w:val="21"/>
          <w:szCs w:val="21"/>
          <w:color w:val="auto"/>
        </w:rPr>
        <w: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hereby certifies as follows:</w:t>
      </w:r>
    </w:p>
    <w:p>
      <w:pPr>
        <w:spacing w:after="0" w:line="196" w:lineRule="exact"/>
        <w:rPr>
          <w:sz w:val="20"/>
          <w:szCs w:val="20"/>
          <w:color w:val="auto"/>
        </w:rPr>
      </w:pPr>
    </w:p>
    <w:p>
      <w:pPr>
        <w:jc w:val="center"/>
        <w:ind w:left="2900" w:right="400" w:hanging="2499"/>
        <w:spacing w:after="0" w:line="258" w:lineRule="auto"/>
        <w:tabs>
          <w:tab w:leader="none" w:pos="619"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of the corporation is Expensify, Inc. The date of the filing of its original certificate of incorporation with the Secretary of State of the State of Delaware was April 29, 2009.</w:t>
      </w:r>
    </w:p>
    <w:p>
      <w:pPr>
        <w:spacing w:after="0" w:line="158" w:lineRule="exact"/>
        <w:rPr>
          <w:rFonts w:ascii="Times New Roman" w:cs="Times New Roman" w:eastAsia="Times New Roman" w:hAnsi="Times New Roman"/>
          <w:sz w:val="22"/>
          <w:szCs w:val="22"/>
          <w:color w:val="auto"/>
        </w:rPr>
      </w:pPr>
    </w:p>
    <w:p>
      <w:pPr>
        <w:ind w:left="100" w:right="100" w:firstLine="90"/>
        <w:spacing w:after="0" w:line="260" w:lineRule="auto"/>
        <w:tabs>
          <w:tab w:leader="none" w:pos="403"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Amended and Restated Certificate of Incorporation (this “</w:t>
      </w:r>
      <w:r>
        <w:rPr>
          <w:rFonts w:ascii="Times New Roman" w:cs="Times New Roman" w:eastAsia="Times New Roman" w:hAnsi="Times New Roman"/>
          <w:sz w:val="21"/>
          <w:szCs w:val="21"/>
          <w:u w:val="single" w:color="auto"/>
          <w:color w:val="auto"/>
        </w:rPr>
        <w:t>Certificate of Incorporation</w:t>
      </w:r>
      <w:r>
        <w:rPr>
          <w:rFonts w:ascii="Times New Roman" w:cs="Times New Roman" w:eastAsia="Times New Roman" w:hAnsi="Times New Roman"/>
          <w:sz w:val="21"/>
          <w:szCs w:val="21"/>
          <w:color w:val="auto"/>
        </w:rPr>
        <w:t>”), which restates, integrates and further amends the certificate of incorporation of this corporation as heretofore amended and restated, has been duly adopted by</w:t>
      </w:r>
    </w:p>
    <w:p>
      <w:pPr>
        <w:jc w:val="center"/>
        <w:ind w:left="260" w:right="260" w:firstLine="177"/>
        <w:spacing w:after="0" w:line="27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corporation in accordance with Sections 242 and 245 of the DGCL and has been adopted by the requisite vote of the stockholders of the corporation, acting by written consent in lieu of a meeting in accordance with Section 228 of the DGCL.</w:t>
      </w:r>
    </w:p>
    <w:p>
      <w:pPr>
        <w:spacing w:after="0" w:line="146" w:lineRule="exact"/>
        <w:rPr>
          <w:rFonts w:ascii="Times New Roman" w:cs="Times New Roman" w:eastAsia="Times New Roman" w:hAnsi="Times New Roman"/>
          <w:sz w:val="21"/>
          <w:szCs w:val="21"/>
          <w:color w:val="auto"/>
        </w:rPr>
      </w:pPr>
    </w:p>
    <w:p>
      <w:pPr>
        <w:ind w:left="760" w:hanging="222"/>
        <w:spacing w:after="0"/>
        <w:tabs>
          <w:tab w:leader="none" w:pos="760" w:val="left"/>
        </w:tabs>
        <w:numPr>
          <w:ilvl w:val="2"/>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certificate of incorporation of this corporation is hereby amended and restated in its entirety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199390</wp:posOffset>
            </wp:positionV>
            <wp:extent cx="228028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0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b w:val="1"/>
          <w:bCs w:val="1"/>
          <w:u w:val="single" w:color="auto"/>
          <w:color w:val="auto"/>
        </w:rPr>
        <w:t>NAME</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name of the corporation is “Expensify, Inc.” (hereinafter called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2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u w:val="single" w:color="auto"/>
          <w:color w:val="auto"/>
        </w:rPr>
        <w:t>REGISTERED OFFICE AND AGENT</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The address of the Corporation’s registered office in the State of Delaware is 3500 South DuPont Highway, Dover, Delaware, County of Kent, 19901. The name of its registered agent at such address is Incorporating Services, Ltd.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PURPOSE</w:t>
      </w:r>
    </w:p>
    <w:p>
      <w:pPr>
        <w:spacing w:after="0" w:line="21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The purpose of the Corporation is to engage in any lawful act or activity for which corporations may be organized under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7" w:right="339" w:bottom="1440" w:gutter="0" w:footer="0" w:header="0"/>
        </w:sectPr>
      </w:pPr>
    </w:p>
    <w:bookmarkStart w:id="48" w:name="page49"/>
    <w:bookmarkEnd w:id="48"/>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CAPITAL STOCK</w:t>
      </w:r>
    </w:p>
    <w:p>
      <w:pPr>
        <w:spacing w:after="0" w:line="21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u w:val="single" w:color="auto"/>
          <w:color w:val="auto"/>
        </w:rPr>
        <w:t>Authorized Shares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The total number of shares of all classes of capital stock which the Corporation shall have authority to issue is 1,060,000,000 shares, consisting of one billion (1,000,000,000) shares of Class A Common Stock, par value $0.0001 per share (“</w:t>
      </w:r>
      <w:r>
        <w:rPr>
          <w:rFonts w:ascii="Times New Roman" w:cs="Times New Roman" w:eastAsia="Times New Roman" w:hAnsi="Times New Roman"/>
          <w:sz w:val="22"/>
          <w:szCs w:val="22"/>
          <w:u w:val="single" w:color="auto"/>
          <w:color w:val="auto"/>
        </w:rPr>
        <w:t>Class A Common Stock</w:t>
      </w:r>
      <w:r>
        <w:rPr>
          <w:rFonts w:ascii="Times New Roman" w:cs="Times New Roman" w:eastAsia="Times New Roman" w:hAnsi="Times New Roman"/>
          <w:sz w:val="22"/>
          <w:szCs w:val="22"/>
          <w:color w:val="auto"/>
        </w:rPr>
        <w:t>”), 25 million (25,000,000) shares of LT10 Common Stock, par value $0.0001 per share (“</w:t>
      </w:r>
      <w:r>
        <w:rPr>
          <w:rFonts w:ascii="Times New Roman" w:cs="Times New Roman" w:eastAsia="Times New Roman" w:hAnsi="Times New Roman"/>
          <w:sz w:val="22"/>
          <w:szCs w:val="22"/>
          <w:u w:val="single" w:color="auto"/>
          <w:color w:val="auto"/>
        </w:rPr>
        <w:t>LT10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25 million (25,000,000) shares of LT50 Common Stock, par value $0.0001 per share (“</w:t>
      </w:r>
      <w:r>
        <w:rPr>
          <w:rFonts w:ascii="Times New Roman" w:cs="Times New Roman" w:eastAsia="Times New Roman" w:hAnsi="Times New Roman"/>
          <w:sz w:val="22"/>
          <w:szCs w:val="22"/>
          <w:u w:val="single" w:color="auto"/>
          <w:color w:val="auto"/>
        </w:rPr>
        <w:t>LT50 Common Stock</w:t>
      </w:r>
      <w:r>
        <w:rPr>
          <w:rFonts w:ascii="Times New Roman" w:cs="Times New Roman" w:eastAsia="Times New Roman" w:hAnsi="Times New Roman"/>
          <w:sz w:val="22"/>
          <w:szCs w:val="22"/>
          <w:color w:val="auto"/>
        </w:rPr>
        <w:t>,” and together with the LT10 Common Stock, the “</w:t>
      </w:r>
      <w:r>
        <w:rPr>
          <w:rFonts w:ascii="Times New Roman" w:cs="Times New Roman" w:eastAsia="Times New Roman" w:hAnsi="Times New Roman"/>
          <w:sz w:val="22"/>
          <w:szCs w:val="22"/>
          <w:u w:val="single" w:color="auto"/>
          <w:color w:val="auto"/>
        </w:rPr>
        <w:t>LT Common Stock</w:t>
      </w:r>
      <w:r>
        <w:rPr>
          <w:rFonts w:ascii="Times New Roman" w:cs="Times New Roman" w:eastAsia="Times New Roman" w:hAnsi="Times New Roman"/>
          <w:sz w:val="22"/>
          <w:szCs w:val="22"/>
          <w:color w:val="auto"/>
        </w:rPr>
        <w:t>,” and together with the Class A Common Stock,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and ten million (10,000,000) shares of Preferred Stock, par value $0.0001 per share (“</w:t>
      </w:r>
      <w:r>
        <w:rPr>
          <w:rFonts w:ascii="Times New Roman" w:cs="Times New Roman" w:eastAsia="Times New Roman" w:hAnsi="Times New Roman"/>
          <w:sz w:val="22"/>
          <w:szCs w:val="22"/>
          <w:u w:val="single" w:color="auto"/>
          <w:color w:val="auto"/>
        </w:rPr>
        <w:t>Preferred Stock</w:t>
      </w:r>
      <w:r>
        <w:rPr>
          <w:rFonts w:ascii="Times New Roman" w:cs="Times New Roman" w:eastAsia="Times New Roman" w:hAnsi="Times New Roman"/>
          <w:sz w:val="22"/>
          <w:szCs w:val="22"/>
          <w:color w:val="auto"/>
        </w:rPr>
        <w:t>”). Subject to the rights of holders of any series of Preferred Stock, the number of authorized shares of Class A Common Stock, LT10 Common Stock and LT50 Common Stock or Preferred Stock may be increased or decreased (but not below (i) the number of shares thereof then outstanding and (ii) with respect to the Class A Common Stock, the number of shares of Class A Common Stock reserved pursuant to Section 3(G)(ix) of this Article IV) by the affirmative vote of the holders of capital stock representing a majority of the voting power of all the then-outstanding shares of capital stock of the Corporation entitled to vote thereon irrespective of the provisions of Section 242(b)(2) of the DGCL.</w:t>
      </w:r>
    </w:p>
    <w:p>
      <w:pPr>
        <w:spacing w:after="0" w:line="18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Preferred Stock</w:t>
      </w:r>
    </w:p>
    <w:p>
      <w:pPr>
        <w:spacing w:after="0" w:line="220"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color w:val="auto"/>
        </w:rPr>
        <w:t>Preferred Stock may be issued from time to time in one or more series, each of such series to have such terms as stated or expressed herein and in the resolution or resolutions providing for the issue of such series adopted by the Board of Directors of the Corporation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as hereinafter provided. Subject to the rights of the holders of any series of Preferred Stock and except as otherwise provided by law, any shares of Preferred Stock that may be redeemed, purchased or acquired by the Corporation may be reissued by the Corporation.</w:t>
      </w:r>
    </w:p>
    <w:p>
      <w:pPr>
        <w:spacing w:after="0" w:line="19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Authority is hereby expressly granted to the Board from time to time to issue the Preferred Stock in one or more series and in connection with the creation of any such series, by adopting a resolution or resolutions providing for the issuance of the shares thereof and by filing a certificate of designations relating thereto in accordance with the DGCL,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as shall be stated and expressed in such resolutions, all to the full extent now or hereafter permitted by the DGCL. Without limiting the generality of the foregoing, the resolutions providing for issuance of any series of Preferred Stock may provide that such series shall be superior, equal or junior to any other series of Preferred Stock to the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44"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u w:val="single" w:color="auto"/>
          <w:color w:val="auto"/>
        </w:rPr>
        <w:t>Common Stock</w:t>
      </w:r>
    </w:p>
    <w:p>
      <w:pPr>
        <w:spacing w:after="0" w:line="220" w:lineRule="exact"/>
        <w:rPr>
          <w:sz w:val="20"/>
          <w:szCs w:val="20"/>
          <w:color w:val="auto"/>
        </w:rPr>
      </w:pPr>
    </w:p>
    <w:p>
      <w:pPr>
        <w:jc w:val="both"/>
        <w:ind w:firstLine="656"/>
        <w:spacing w:after="0" w:line="241" w:lineRule="auto"/>
        <w:tabs>
          <w:tab w:leader="none" w:pos="1177"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Equal Status</w:t>
      </w:r>
      <w:r>
        <w:rPr>
          <w:rFonts w:ascii="Times New Roman" w:cs="Times New Roman" w:eastAsia="Times New Roman" w:hAnsi="Times New Roman"/>
          <w:sz w:val="22"/>
          <w:szCs w:val="22"/>
          <w:color w:val="auto"/>
        </w:rPr>
        <w:t>. Except as otherwise required by law or as expressly set forth in this Section 3 of Article IV, shares of Class A Common Stock, LT10 Common Stock and LT50 Common Stock shall have the same rights, privileges and powers, rank equally, share ratably and be identical in all respects as to all matters. The voting, dividend, liquidation and other rights, powers and preferences of the holders of Class A Common Stock, LT10 Common Stock and LT50 Common Stock are subject to, and qualified by, the rights, powers and preferences of holders of the Preferred Stock of any series as may be designated by the Board upon any issuance of the Preferred Stock of any series.</w:t>
      </w:r>
    </w:p>
    <w:p>
      <w:pPr>
        <w:spacing w:after="0" w:line="176" w:lineRule="exact"/>
        <w:rPr>
          <w:rFonts w:ascii="Times New Roman" w:cs="Times New Roman" w:eastAsia="Times New Roman" w:hAnsi="Times New Roman"/>
          <w:sz w:val="22"/>
          <w:szCs w:val="22"/>
          <w:color w:val="auto"/>
        </w:rPr>
      </w:pPr>
    </w:p>
    <w:p>
      <w:pPr>
        <w:jc w:val="both"/>
        <w:ind w:firstLine="656"/>
        <w:spacing w:after="0" w:line="260" w:lineRule="auto"/>
        <w:tabs>
          <w:tab w:leader="none" w:pos="1165"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Voting</w:t>
      </w:r>
      <w:r>
        <w:rPr>
          <w:rFonts w:ascii="Times New Roman" w:cs="Times New Roman" w:eastAsia="Times New Roman" w:hAnsi="Times New Roman"/>
          <w:sz w:val="21"/>
          <w:szCs w:val="21"/>
          <w:color w:val="auto"/>
        </w:rPr>
        <w:t>. Except as otherwise required by applicable law, at all meetings of stockholders and on all matters submitted to a vote of stockholders of the Corporation generally, each holder of Class A Common Stock, as such, shall have the right to one</w:t>
      </w:r>
    </w:p>
    <w:p>
      <w:pPr>
        <w:jc w:val="both"/>
        <w:ind w:firstLine="8"/>
        <w:spacing w:after="0" w:line="248" w:lineRule="auto"/>
        <w:tabs>
          <w:tab w:leader="none" w:pos="316"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vote per share of Class A Common Stock held of record by such holder, each holder of LT10 Common Stock, as such, shall have the right to ten (10) votes per share of LT10 Common Stock held of record by such holder, and each holder of LT50 Common Stock, as such, shall have the right to fifty (50) votes per share of LT50 Common Stock held of record by such holder. Except as otherwise required by applicable law or provided in this Certificate of Incorporation, the holders of shares of Class A Common Stock, LT10 Common Stock and LT50 Common Stock, as such, shall (i) at all times vote together as a single class on all matters (including the election of directors) submitted to a vote of the stockholders of the Corporation generally, (ii) be entitled to notice of any stockholders’ meeting in accordance with the Amended and Restated Bylaws of the Corporation (as the same may be amended and/or restated from time to time, the “</w:t>
      </w:r>
      <w:r>
        <w:rPr>
          <w:rFonts w:ascii="Times New Roman" w:cs="Times New Roman" w:eastAsia="Times New Roman" w:hAnsi="Times New Roman"/>
          <w:sz w:val="21"/>
          <w:szCs w:val="21"/>
          <w:u w:val="single" w:color="auto"/>
          <w:color w:val="auto"/>
        </w:rPr>
        <w:t>Bylaws</w:t>
      </w:r>
      <w:r>
        <w:rPr>
          <w:rFonts w:ascii="Times New Roman" w:cs="Times New Roman" w:eastAsia="Times New Roman" w:hAnsi="Times New Roman"/>
          <w:sz w:val="21"/>
          <w:szCs w:val="21"/>
          <w:color w:val="auto"/>
        </w:rPr>
        <w:t xml:space="preserve">”), and (iii) be entitled to vote upon such matters and in such manner as may be provided by applicable law;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except as otherwise required by applicable law, holders of Class A Common Stock, LT10 Common Stock and LT50 Common Stock, as such, shall not be entitled to vote on any amendment to this Certificate of Incorporation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or applicable law. There shall be no cumulative voting.</w:t>
      </w:r>
    </w:p>
    <w:p>
      <w:pPr>
        <w:spacing w:after="0" w:line="174" w:lineRule="exact"/>
        <w:rPr>
          <w:rFonts w:ascii="Times New Roman" w:cs="Times New Roman" w:eastAsia="Times New Roman" w:hAnsi="Times New Roman"/>
          <w:sz w:val="21"/>
          <w:szCs w:val="21"/>
          <w:color w:val="auto"/>
        </w:rPr>
      </w:pPr>
    </w:p>
    <w:p>
      <w:pPr>
        <w:jc w:val="both"/>
        <w:ind w:firstLine="656"/>
        <w:spacing w:after="0" w:line="238" w:lineRule="auto"/>
        <w:tabs>
          <w:tab w:leader="none" w:pos="1287"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Rights</w:t>
      </w:r>
      <w:r>
        <w:rPr>
          <w:rFonts w:ascii="Times New Roman" w:cs="Times New Roman" w:eastAsia="Times New Roman" w:hAnsi="Times New Roman"/>
          <w:sz w:val="22"/>
          <w:szCs w:val="22"/>
          <w:color w:val="auto"/>
        </w:rPr>
        <w:t xml:space="preserve">. Subject to applicable law and the rights, if any, of the holders of any outstanding series of Preferred Stock or any class or series of stock having a preference over or the right to participate with the Class A Common Stock, LT10 Common Stock or LT50 Common Stock with respect to the payment of dividends in cash, property or shares of capital stock of the Corporation, dividends may be declared and paid on the shares of Class A Common Stock, LT10 Common Stock or LT50 Common Stock, out of any assets of the Corporation legally available therefore at such times and in such amounts as the Board in its discretion shall determine;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in the event a dividend is paid in the form of shares of Class A Common Stock, LT10 Common Stock or LT50 Common Stock (or in rights to acquire, or securities convertible into or exchangeable for, such shares), then holders of Class A Common Stock shall be entitled to receive shares of Class A Common Stock (or rights to acquire, or securities convertible into or exchangeable for, such shares, as the case may be), holders of LT10 Common Stock shall be entitled to receive shares of LT10 Common Stock (or rights to acquire, or securities convertible into or exchangeable for, such shares, as the case may be), and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of LT50 Common Stock shall be entitled to receive shares of LT50 Common Stock (or rights to acquire, or securities convertible into or exchangeable for, such shares, as the case may be), with holders of shares of Class A Common Stock, LT10 Common Stock and LT50 Common Stock receiving, on a per share basis, an identical number of shares of Class A Common Stock, LT10 Common Stock or LT50 Common Stock as the case may be (or rights to acquire, or securities convertible into or exchangeable for, such shares, as the case may be), as applicable. Notwithstanding the foregoing, the Board may declare and the Corporation may pay a disparate dividend per share of Class A Common Stock, LT10 Common Stock or LT50 Common Stock (whether the disparity shall be in the amount of such dividend payable per share, the form in which such dividend is payable (whether it shall be payable in cash, shares of capital stock of the Corporation, other securities of the Corporation, or any combination of the foregoing), the timing of the payment, or otherwise).</w:t>
      </w:r>
    </w:p>
    <w:p>
      <w:pPr>
        <w:spacing w:after="0" w:line="199" w:lineRule="exact"/>
        <w:rPr>
          <w:sz w:val="20"/>
          <w:szCs w:val="20"/>
          <w:color w:val="auto"/>
        </w:rPr>
      </w:pPr>
    </w:p>
    <w:p>
      <w:pPr>
        <w:jc w:val="both"/>
        <w:ind w:firstLine="656"/>
        <w:spacing w:after="0"/>
        <w:tabs>
          <w:tab w:leader="none" w:pos="127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Subdivisions, Combinations or Reclassifications</w:t>
      </w:r>
      <w:r>
        <w:rPr>
          <w:rFonts w:ascii="Times New Roman" w:cs="Times New Roman" w:eastAsia="Times New Roman" w:hAnsi="Times New Roman"/>
          <w:sz w:val="22"/>
          <w:szCs w:val="22"/>
          <w:color w:val="auto"/>
        </w:rPr>
        <w:t xml:space="preserve">. Shares of Class A Common Stock, LT10 Common Stock and LT50 Common Stock may not be subdivided, combined or reclassified unless the shares of the other classes are concurrently therewith proportionately subdivided, combined or reclassified in a manner that maintains the same proportionate equity ownership between the holders of the outstanding Class A Common Stock, LT10 Common Stock and LT50 Common Stock on the record date for such subdivision, combination or reclassification;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shares of one such class may be subdivided, combined or reclassified in a different or disproportionate manner if such subdivision, combination or reclassification is approved by the affirmative vote of the holders of a majority of the outstanding shares of Class A Common Stock, LT10 Common Stock and LT50 Common Stock, each voting separately as a class.</w:t>
      </w:r>
    </w:p>
    <w:p>
      <w:pPr>
        <w:spacing w:after="0" w:line="176" w:lineRule="exact"/>
        <w:rPr>
          <w:rFonts w:ascii="Times New Roman" w:cs="Times New Roman" w:eastAsia="Times New Roman" w:hAnsi="Times New Roman"/>
          <w:sz w:val="22"/>
          <w:szCs w:val="22"/>
          <w:color w:val="auto"/>
        </w:rPr>
      </w:pPr>
    </w:p>
    <w:p>
      <w:pPr>
        <w:jc w:val="both"/>
        <w:ind w:firstLine="656"/>
        <w:spacing w:after="0" w:line="239" w:lineRule="auto"/>
        <w:tabs>
          <w:tab w:leader="none" w:pos="115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Liquidation, Dissolution or Winding Up</w:t>
      </w:r>
      <w:r>
        <w:rPr>
          <w:rFonts w:ascii="Times New Roman" w:cs="Times New Roman" w:eastAsia="Times New Roman" w:hAnsi="Times New Roman"/>
          <w:sz w:val="22"/>
          <w:szCs w:val="22"/>
          <w:color w:val="auto"/>
        </w:rPr>
        <w:t>. Subject to the preferential or other rights of any holders of Preferred Stock then outstanding, upon the dissolution, distribution of assets, liquidation or winding up of the Corporation, whether voluntary or involuntary, holders of Class A Common Stock, LT10 Common Stock and LT50 Common Stock will be entitled to receive ratably all assets of the Corporation available for distribution to its stockholders unless disparate or different treatment of the shares of each such class with respect to distributions upon any such liquidation, dissolution, distribution of assets or winding up is approved by the affirmative vote of the holders of a majority of the outstanding shares of Class A Common Stock, LT10 Common Stock and LT50 Common Stock, each voting separately as a class.</w:t>
      </w:r>
    </w:p>
    <w:p>
      <w:pPr>
        <w:spacing w:after="0" w:line="194"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Transfers of Shares of LT Common Stock</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304"/>
        <w:spacing w:after="0"/>
        <w:tabs>
          <w:tab w:leader="none" w:pos="1817"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maximum extent permitted under applicable law, no holder of LT Common Stock shall Transfer any shares of LT Common Stock to any person or entity unless the requirements set forth in Section 3(H) of this Article IV have been satisfied. “Transfer” of a share of LT Common Stock means any sale, contract to sell, assignment, transfer, conveyance, hypothecation, pledge, sale of any option or contract to purchase, purchase of any option or contract to sell, grant of any option, right or warrant to purchase, hedging, swap or other agreement or transaction that transfers, in whole or in part, any of the economic consequences of ownership, (including, without limitation, any short sale or the purchase or sale of, or entry into, any put or call option, or combination thereof, forward, swap or any other derivative transaction or instrument, however described or defined), loan, or other transfer or disposition of such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 xml:space="preserve">or any legal or beneficial interest in such share, whether or not for value, whether direct or indirect, whether any such transaction is to be settled by delivery of such share of LT Common Stock, in cash or otherwise, and whether voluntary or involuntary or by operation of law, and shall include, without limitation, (a) a transfer of a share of LT Common Stock to a broker or other nominee (regardless of whether or not there is a corresponding change in beneficial ownership) or (b) the transfer of, or entering into a binding agreement with respect to, the exclusive power (whether directly or indirectly) to vote or direct the voting of such share of LT Common Stock, including by proxy, voting agreement or otherwise;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a “Transfer” shall not include:</w:t>
      </w:r>
    </w:p>
    <w:p>
      <w:pPr>
        <w:spacing w:after="0" w:line="1" w:lineRule="exact"/>
        <w:rPr>
          <w:sz w:val="20"/>
          <w:szCs w:val="20"/>
          <w:color w:val="auto"/>
        </w:rPr>
      </w:pPr>
    </w:p>
    <w:p>
      <w:pPr>
        <w:jc w:val="both"/>
        <w:ind w:firstLine="8"/>
        <w:spacing w:after="0" w:line="236" w:lineRule="auto"/>
        <w:tabs>
          <w:tab w:leader="none" w:pos="32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a proxy to officers or directors of the Corporation at the request of the Board in connection with actions to be taken at an annual or special meeting of stockholders; (2) any Transfer to or by the trust (the “</w:t>
      </w:r>
      <w:r>
        <w:rPr>
          <w:rFonts w:ascii="Times New Roman" w:cs="Times New Roman" w:eastAsia="Times New Roman" w:hAnsi="Times New Roman"/>
          <w:sz w:val="22"/>
          <w:szCs w:val="22"/>
          <w:u w:val="single" w:color="auto"/>
          <w:color w:val="auto"/>
        </w:rPr>
        <w:t>Expensify Voting Trust</w:t>
      </w:r>
      <w:r>
        <w:rPr>
          <w:rFonts w:ascii="Times New Roman" w:cs="Times New Roman" w:eastAsia="Times New Roman" w:hAnsi="Times New Roman"/>
          <w:sz w:val="22"/>
          <w:szCs w:val="22"/>
          <w:color w:val="auto"/>
        </w:rPr>
        <w:t>”) established under that certain Voting Trust Agreement, dated as of November 9, 2021, by and between the Company and the holders named therein (as it may be amended and/or restated from time to time in accordance with its terms, the “</w:t>
      </w:r>
      <w:r>
        <w:rPr>
          <w:rFonts w:ascii="Times New Roman" w:cs="Times New Roman" w:eastAsia="Times New Roman" w:hAnsi="Times New Roman"/>
          <w:sz w:val="22"/>
          <w:szCs w:val="22"/>
          <w:u w:val="single" w:color="auto"/>
          <w:color w:val="auto"/>
        </w:rPr>
        <w:t>Voting Trust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(3) a Transfer to a decedent’s estate upon the death of a holder of LT Common Stock; (4) an Exchange as defined in and pursuant to Section 3(H)(iii) of this Article IV; or (5) the fact that the spouse of any holder of LT Common Stock possesses or obtains an interest in such holder’s shares of LT Common Stock arising solely by reason of the application of the property transfer laws of any jurisdiction, so long as no other event or circumstance shall exist or have occurred that constitutes a Transfer of such shares of LT Common Stock.</w:t>
      </w:r>
    </w:p>
    <w:p>
      <w:pPr>
        <w:spacing w:after="0" w:line="180" w:lineRule="exact"/>
        <w:rPr>
          <w:rFonts w:ascii="Times New Roman" w:cs="Times New Roman" w:eastAsia="Times New Roman" w:hAnsi="Times New Roman"/>
          <w:sz w:val="22"/>
          <w:szCs w:val="22"/>
          <w:color w:val="auto"/>
        </w:rPr>
      </w:pPr>
    </w:p>
    <w:p>
      <w:pPr>
        <w:jc w:val="both"/>
        <w:ind w:right="20" w:firstLine="1304"/>
        <w:spacing w:after="0" w:line="250" w:lineRule="auto"/>
        <w:tabs>
          <w:tab w:leader="none" w:pos="1817" w:val="left"/>
        </w:tabs>
        <w:numPr>
          <w:ilvl w:val="2"/>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the Board shall be able to waive, upon the affirmative vote of a majority of the members of the Board, any or all of the requirements of Section 3(H) of this Article IV with respect to the Transfer of any shares of LT Common Stock.</w:t>
      </w:r>
    </w:p>
    <w:p>
      <w:pPr>
        <w:spacing w:after="0" w:line="16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99" w:val="left"/>
        </w:tabs>
        <w:numPr>
          <w:ilvl w:val="2"/>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Transfer of shares of LT Common Stock not made in accordance with this Section 3(F) and Section 3(H), or pursuant to Section 3(G), of this Article IV shall be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and the Corporation shall not treat the transferee in such transaction as a holder of such shares for any purpose.</w:t>
      </w:r>
    </w:p>
    <w:p>
      <w:pPr>
        <w:spacing w:after="0" w:line="181"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 of LT Common Stock</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29" w:val="left"/>
        </w:tabs>
        <w:numPr>
          <w:ilvl w:val="2"/>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 Conversion by Holder of LT Common Stock</w:t>
      </w:r>
      <w:r>
        <w:rPr>
          <w:rFonts w:ascii="Times New Roman" w:cs="Times New Roman" w:eastAsia="Times New Roman" w:hAnsi="Times New Roman"/>
          <w:sz w:val="22"/>
          <w:szCs w:val="22"/>
          <w:color w:val="auto"/>
        </w:rPr>
        <w:t>. Each share of LT Common Stock shall be convertible into one (1) fully paid and nonassessable share of Class A Common Stock at the option of the holder thereof solely upon the satisfaction of and subject to the requirements set forth in Section 3(H) of this Article IV.</w:t>
      </w:r>
    </w:p>
    <w:p>
      <w:pPr>
        <w:spacing w:after="0" w:line="167" w:lineRule="exact"/>
        <w:rPr>
          <w:rFonts w:ascii="Times New Roman" w:cs="Times New Roman" w:eastAsia="Times New Roman" w:hAnsi="Times New Roman"/>
          <w:sz w:val="22"/>
          <w:szCs w:val="22"/>
          <w:color w:val="auto"/>
        </w:rPr>
      </w:pPr>
    </w:p>
    <w:p>
      <w:pPr>
        <w:jc w:val="both"/>
        <w:ind w:firstLine="1304"/>
        <w:spacing w:after="0"/>
        <w:tabs>
          <w:tab w:leader="none" w:pos="1789" w:val="left"/>
        </w:tabs>
        <w:numPr>
          <w:ilvl w:val="2"/>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Automatic Conversion Upon Certain Transfers</w:t>
      </w:r>
      <w:r>
        <w:rPr>
          <w:rFonts w:ascii="Times New Roman" w:cs="Times New Roman" w:eastAsia="Times New Roman" w:hAnsi="Times New Roman"/>
          <w:sz w:val="22"/>
          <w:szCs w:val="22"/>
          <w:color w:val="auto"/>
        </w:rPr>
        <w:t xml:space="preserve">. Except in the case of a Non-Converting Transfer, each share of LT Common Stock shall automatically, without further action by the Corporation or the holder thereof, convert into one (1) fully paid and nonassessable share of Class A Common Stock upon the occurrence of a Transfer of such share of LT Common Stock,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such Transfer is made in compliance with the requirements outlined in Section 3(F) and Section 3(H) of this Article IV. For the avoidance of doubt, any Transfer of shares of LT Common Stock not made in accordance with such provisions shall be void and the Corporation shall not treat the transferee in such transaction as a holder of such shares for any purposes. A “</w:t>
      </w:r>
      <w:r>
        <w:rPr>
          <w:rFonts w:ascii="Times New Roman" w:cs="Times New Roman" w:eastAsia="Times New Roman" w:hAnsi="Times New Roman"/>
          <w:sz w:val="22"/>
          <w:szCs w:val="22"/>
          <w:u w:val="single" w:color="auto"/>
          <w:color w:val="auto"/>
        </w:rPr>
        <w:t>Non-Converting Transfer</w:t>
      </w:r>
      <w:r>
        <w:rPr>
          <w:rFonts w:ascii="Times New Roman" w:cs="Times New Roman" w:eastAsia="Times New Roman" w:hAnsi="Times New Roman"/>
          <w:sz w:val="22"/>
          <w:szCs w:val="22"/>
          <w:color w:val="auto"/>
        </w:rPr>
        <w:t>” means a Transfer of shares of LT Common Stock (i) to be held in trust by the Trustees of the Expensify Voting Trust; (ii) in an Exchange as defined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4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and pursuant to Section 3(H)(iii) of this Article IV; (iii) to the estate of a decedent holder of LT Common Stock, upon such holder’s death; or (iv) approved in advance by the affirmative vote of a majority of the members of the Board.</w:t>
      </w:r>
    </w:p>
    <w:p>
      <w:pPr>
        <w:spacing w:after="0" w:line="144" w:lineRule="exact"/>
        <w:rPr>
          <w:sz w:val="20"/>
          <w:szCs w:val="20"/>
          <w:color w:val="auto"/>
        </w:rPr>
      </w:pPr>
    </w:p>
    <w:p>
      <w:pPr>
        <w:jc w:val="both"/>
        <w:ind w:firstLine="1304"/>
        <w:spacing w:after="0" w:line="244" w:lineRule="auto"/>
        <w:tabs>
          <w:tab w:leader="none" w:pos="195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Automatic Conversion Upon Reduction in Outstanding Shares</w:t>
      </w:r>
      <w:r>
        <w:rPr>
          <w:rFonts w:ascii="Times New Roman" w:cs="Times New Roman" w:eastAsia="Times New Roman" w:hAnsi="Times New Roman"/>
          <w:sz w:val="22"/>
          <w:szCs w:val="22"/>
          <w:color w:val="auto"/>
        </w:rPr>
        <w:t>. Each outstanding share of LT Common Stock shall automatically, without further action by the Corporation or the holder thereof, convert into one (1) fully paid and nonassessable share of Class A Common Stock upon the first date on which the then-outstanding shares of LT Common Stock represent less than two percent (2%) of all then-outstanding shares of Common Stock.</w:t>
      </w:r>
    </w:p>
    <w:p>
      <w:pPr>
        <w:spacing w:after="0" w:line="186" w:lineRule="exact"/>
        <w:rPr>
          <w:rFonts w:ascii="Times New Roman" w:cs="Times New Roman" w:eastAsia="Times New Roman" w:hAnsi="Times New Roman"/>
          <w:sz w:val="22"/>
          <w:szCs w:val="22"/>
          <w:color w:val="auto"/>
        </w:rPr>
      </w:pPr>
    </w:p>
    <w:p>
      <w:pPr>
        <w:jc w:val="both"/>
        <w:ind w:firstLine="1304"/>
        <w:spacing w:after="0" w:line="238" w:lineRule="auto"/>
        <w:tabs>
          <w:tab w:leader="none" w:pos="189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Policies and Procedures</w:t>
      </w:r>
      <w:r>
        <w:rPr>
          <w:rFonts w:ascii="Times New Roman" w:cs="Times New Roman" w:eastAsia="Times New Roman" w:hAnsi="Times New Roman"/>
          <w:sz w:val="22"/>
          <w:szCs w:val="22"/>
          <w:color w:val="auto"/>
        </w:rPr>
        <w:t>. The Corporation may, from time to time, establish such policies and procedures, not in violation of applicable law or the other provisions of this Certificate of Incorporation, relating to the conversion of the LT Common Stock into Class A Common Stock and the general administration of this multi-class stock structure, including the issuance of stock certificates with respect thereto, as it may deem necessary or advisable, and may from time to time request that holders of shares of LT Common Stock furnish such certifications, affidavits or other proof to the Corporation as it deems necessary to verify the ownership of LT Common Stock and to confirm that a conversion to Class A Common Stock has not previously occurred. A determination by the Board that a Transfer has resulted or will result in a conversion of the LT Common Stock to Class A Common Stock shall be conclusive and binding on all persons to the fullest extent permitted by law.</w:t>
      </w:r>
    </w:p>
    <w:p>
      <w:pPr>
        <w:spacing w:after="0" w:line="193"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6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Converted Stock</w:t>
      </w:r>
      <w:r>
        <w:rPr>
          <w:rFonts w:ascii="Times New Roman" w:cs="Times New Roman" w:eastAsia="Times New Roman" w:hAnsi="Times New Roman"/>
          <w:sz w:val="22"/>
          <w:szCs w:val="22"/>
          <w:color w:val="auto"/>
        </w:rPr>
        <w:t>. In the event any shares of LT Common Stock are converted into shares of Class A Common Stock pursuant to this Section 3, the shares of LT Common Stock so converted shall be retired and shall not be reissued by the Corporation.</w:t>
      </w:r>
    </w:p>
    <w:p>
      <w:pPr>
        <w:spacing w:after="0" w:line="167"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05"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 of Conversion on Payment of Dividends</w:t>
      </w:r>
      <w:r>
        <w:rPr>
          <w:rFonts w:ascii="Times New Roman" w:cs="Times New Roman" w:eastAsia="Times New Roman" w:hAnsi="Times New Roman"/>
          <w:sz w:val="21"/>
          <w:szCs w:val="21"/>
          <w:color w:val="auto"/>
        </w:rPr>
        <w:t xml:space="preserve">. Notwithstanding anything to the contrary in this Section 3(G), if the date on which any share of LT Common Stock is converted into Class A Common Stock pursuant to the provisions of this Section 3(G) occurs after the record date for the determination of holders of LT Common Stock entitled to receive any dividend to be paid on the shares of LT Common Stock, the holder of such shares of LT Common Stock as of such record date will be entitled to receive such dividend on such payment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notwithstanding any other provision of this Certificate of Incorporation, to the extent that any such dividend is payable in shares of LT Common Stock (or rights to acquire, or securities convertible into or exchangeable for, such shares, as the case may be), such dividend shall be deemed to have been declared, and shall be payable in, shares of Class A Common Stock (or rights to acquire, or securities convertible into or exchangeable for, such shares, as the case may be), and no shares of LT Common Stock shall be issued in payment thereof.</w:t>
      </w:r>
    </w:p>
    <w:p>
      <w:pPr>
        <w:spacing w:after="0" w:line="171" w:lineRule="exact"/>
        <w:rPr>
          <w:sz w:val="20"/>
          <w:szCs w:val="20"/>
          <w:color w:val="auto"/>
        </w:rPr>
      </w:pPr>
    </w:p>
    <w:p>
      <w:pPr>
        <w:jc w:val="both"/>
        <w:ind w:firstLine="1304"/>
        <w:spacing w:after="0" w:line="248" w:lineRule="auto"/>
        <w:tabs>
          <w:tab w:leader="none" w:pos="1959"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Shares Reserved for Issuance</w:t>
      </w:r>
      <w:r>
        <w:rPr>
          <w:rFonts w:ascii="Times New Roman" w:cs="Times New Roman" w:eastAsia="Times New Roman" w:hAnsi="Times New Roman"/>
          <w:sz w:val="22"/>
          <w:szCs w:val="22"/>
          <w:color w:val="auto"/>
        </w:rPr>
        <w:t>. The Corporation shall at all times reserve and keep available out of its authorized but unissued shares of Class A Common Stock, solely for the purpose of effecting the conversion of the shares of LT Common Stock, such number of shares of Class A Common Stock as shall from time to time be sufficient to effect the conversion of all outstanding shares of LT Common Stock into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44" w:lineRule="exact"/>
        <w:rPr>
          <w:sz w:val="20"/>
          <w:szCs w:val="20"/>
          <w:color w:val="auto"/>
        </w:rPr>
      </w:pPr>
    </w:p>
    <w:p>
      <w:pPr>
        <w:ind w:left="1180" w:hanging="524"/>
        <w:spacing w:after="0"/>
        <w:tabs>
          <w:tab w:leader="none" w:pos="11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LT Common Stock Transfer and Conversion Requirements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38" w:lineRule="auto"/>
        <w:tabs>
          <w:tab w:leader="none" w:pos="1824"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Requirement</w:t>
      </w:r>
      <w:r>
        <w:rPr>
          <w:rFonts w:ascii="Times New Roman" w:cs="Times New Roman" w:eastAsia="Times New Roman" w:hAnsi="Times New Roman"/>
          <w:sz w:val="22"/>
          <w:szCs w:val="22"/>
          <w:color w:val="auto"/>
        </w:rPr>
        <w:t>. Before any shares of LT Common Stock shall be converted into shares of Class A Common Stock pursuant to Section 3(G)(i) of this Article IV or Transferred pursuant to Section 3(F) of this Article IV, the holder of such shares, or if such shares are held in the Expensify Voting Trust, the beneficial holder of such shares, shall provide written notice of such conversion or Transfer intent, delivered simultaneously to the Trustees (as defined in the Voting Trust Agreement) of the Expensify Voting Trust in the manner set forth in the Voting Trust Agreement and to the Corporation at its principal corporate office, and shall state therein the number of shares of LT10 Common Stock and/or LT50 Common Stock to be so converted or Transferred. From and after the time that a holder of LT Common Stock is no longer an employee of or other service provider to the Corporation or any of its subsidiaries, the Corporation shall have the right to submit a written notice of conversion on such holder’s behalf, without the consent of such holder, delivered to the holder at the address of such holder set forth in the Company’s books and records.</w:t>
      </w:r>
    </w:p>
    <w:p>
      <w:pPr>
        <w:spacing w:after="0" w:line="191" w:lineRule="exact"/>
        <w:rPr>
          <w:rFonts w:ascii="Times New Roman" w:cs="Times New Roman" w:eastAsia="Times New Roman" w:hAnsi="Times New Roman"/>
          <w:sz w:val="22"/>
          <w:szCs w:val="22"/>
          <w:color w:val="auto"/>
        </w:rPr>
      </w:pPr>
    </w:p>
    <w:p>
      <w:pPr>
        <w:jc w:val="both"/>
        <w:ind w:firstLine="1304"/>
        <w:spacing w:after="0" w:line="244" w:lineRule="auto"/>
        <w:tabs>
          <w:tab w:leader="none" w:pos="1789"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Period</w:t>
      </w:r>
      <w:r>
        <w:rPr>
          <w:rFonts w:ascii="Times New Roman" w:cs="Times New Roman" w:eastAsia="Times New Roman" w:hAnsi="Times New Roman"/>
          <w:sz w:val="22"/>
          <w:szCs w:val="22"/>
          <w:color w:val="auto"/>
        </w:rPr>
        <w:t>. The “Notice Period” for each share of LT10 Common Stock shall be ten (10) months, and for each share of LT50 Common Stock shall be fifty (50) months, following the receipt of notice as set forth in Section 3(H)(i) of this Article IV.</w:t>
      </w:r>
    </w:p>
    <w:p>
      <w:pPr>
        <w:spacing w:after="0" w:line="186" w:lineRule="exact"/>
        <w:rPr>
          <w:rFonts w:ascii="Times New Roman" w:cs="Times New Roman" w:eastAsia="Times New Roman" w:hAnsi="Times New Roman"/>
          <w:sz w:val="22"/>
          <w:szCs w:val="22"/>
          <w:color w:val="auto"/>
        </w:rPr>
      </w:pPr>
    </w:p>
    <w:p>
      <w:pPr>
        <w:jc w:val="both"/>
        <w:ind w:firstLine="1304"/>
        <w:spacing w:after="0" w:line="237" w:lineRule="auto"/>
        <w:tabs>
          <w:tab w:leader="none" w:pos="1876"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Exchange</w:t>
      </w:r>
      <w:r>
        <w:rPr>
          <w:rFonts w:ascii="Times New Roman" w:cs="Times New Roman" w:eastAsia="Times New Roman" w:hAnsi="Times New Roman"/>
          <w:sz w:val="22"/>
          <w:szCs w:val="22"/>
          <w:color w:val="auto"/>
        </w:rPr>
        <w:t>. During the applicable Notice Period, the Trustees shall attempt to identify a holder of shares of Class A Common Stock who is an employee of or other service provider to the Corporation or a subsidiary and is interested in exchanging shares of Class A Common Stock (a “</w:t>
      </w:r>
      <w:r>
        <w:rPr>
          <w:rFonts w:ascii="Times New Roman" w:cs="Times New Roman" w:eastAsia="Times New Roman" w:hAnsi="Times New Roman"/>
          <w:sz w:val="22"/>
          <w:szCs w:val="22"/>
          <w:u w:val="single" w:color="auto"/>
          <w:color w:val="auto"/>
        </w:rPr>
        <w:t>Class A Transferor</w:t>
      </w:r>
      <w:r>
        <w:rPr>
          <w:rFonts w:ascii="Times New Roman" w:cs="Times New Roman" w:eastAsia="Times New Roman" w:hAnsi="Times New Roman"/>
          <w:sz w:val="22"/>
          <w:szCs w:val="22"/>
          <w:color w:val="auto"/>
        </w:rPr>
        <w:t>”) for the shares of LT Common Stock subject to the notice, on a one-for-one basis (an “</w:t>
      </w:r>
      <w:r>
        <w:rPr>
          <w:rFonts w:ascii="Times New Roman" w:cs="Times New Roman" w:eastAsia="Times New Roman" w:hAnsi="Times New Roman"/>
          <w:sz w:val="22"/>
          <w:szCs w:val="22"/>
          <w:u w:val="single" w:color="auto"/>
          <w:color w:val="auto"/>
        </w:rPr>
        <w:t>Exchange</w:t>
      </w:r>
      <w:r>
        <w:rPr>
          <w:rFonts w:ascii="Times New Roman" w:cs="Times New Roman" w:eastAsia="Times New Roman" w:hAnsi="Times New Roman"/>
          <w:sz w:val="22"/>
          <w:szCs w:val="22"/>
          <w:color w:val="auto"/>
        </w:rPr>
        <w:t>”). If a Class A Transferor is identified, the Trustees shall provide written notice to the holder of shares of LT Common Stock seeking to convert or Transfer shares of LT Common Stock pursuant to this Section 3(H) (the “</w:t>
      </w:r>
      <w:r>
        <w:rPr>
          <w:rFonts w:ascii="Times New Roman" w:cs="Times New Roman" w:eastAsia="Times New Roman" w:hAnsi="Times New Roman"/>
          <w:sz w:val="22"/>
          <w:szCs w:val="22"/>
          <w:u w:val="single" w:color="auto"/>
          <w:color w:val="auto"/>
        </w:rPr>
        <w:t>LT Holder</w:t>
      </w:r>
      <w:r>
        <w:rPr>
          <w:rFonts w:ascii="Times New Roman" w:cs="Times New Roman" w:eastAsia="Times New Roman" w:hAnsi="Times New Roman"/>
          <w:sz w:val="22"/>
          <w:szCs w:val="22"/>
          <w:color w:val="auto"/>
        </w:rPr>
        <w:t>”), the Class A Transferor and the Corporation, at its principal corporate office, stating the names of such LT Holder and Class A Transferor, the date on which the applicable notice period expires (the “</w:t>
      </w:r>
      <w:r>
        <w:rPr>
          <w:rFonts w:ascii="Times New Roman" w:cs="Times New Roman" w:eastAsia="Times New Roman" w:hAnsi="Times New Roman"/>
          <w:sz w:val="22"/>
          <w:szCs w:val="22"/>
          <w:u w:val="single" w:color="auto"/>
          <w:color w:val="auto"/>
        </w:rPr>
        <w:t>Notice Expiration Date</w:t>
      </w:r>
      <w:r>
        <w:rPr>
          <w:rFonts w:ascii="Times New Roman" w:cs="Times New Roman" w:eastAsia="Times New Roman" w:hAnsi="Times New Roman"/>
          <w:sz w:val="22"/>
          <w:szCs w:val="22"/>
          <w:color w:val="auto"/>
        </w:rPr>
        <w:t xml:space="preserve">”), and any applicable instructions to facilitate the Exchange. Prior to the Notice Expiration Date, (x) the Class A Transferor shall be required to deliver to the Corporation a written instrument or instruments of transfer with respect to the shares of Class A Common Stock that are the subject of the Exchange, in form satisfactory to the Corporation, duly executed by such Class A Transferor, as well as, if applicable, a certificate or certificates representing such shares,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if such shares of Class A Common Stock are held in the Expensify Voting Trust, such items shall be provided by the Trustees, (y) the LT Holder shall be required to deliver to the Trustees any written instrument or instruments requested by the Trustees, and (z) if the Class A Transferor is not a party to the Voting Trust Agreement, the Class A Transferor shall deliver to the Trustees an executed joinder agreement such that following the Exchange the Class A Transferor shall be a party to the Voting Trust Agreement and the shares of LT Common Stock subject to the Exchange shall remain in the Voting Trust. The Exchange shall be deemed effective immediately prior to the close of business on the first business day following the Notice Expiration Date;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Corporation may extend such effective date by up to five (5) days if necessary to effectuate the Exchange (such date,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The Corporation shall, as soon as practicable after the Effective Date, issue and deliver to such LT Holder a certificate or certificates representing the number of shares of Class A Common Stock to which such holder is entitled upon the Exchange (if such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Class A Common Stock are certificated) or shall register such shares of Class A Common Stock in book-entry form (if such shares of Class A Common Stock are uncertificated), and the Trustees shall revise the Trust Register (as defined in the Voting Trust Agreement) accordingly, in each case effective as of the Effective Date.</w:t>
      </w:r>
    </w:p>
    <w:p>
      <w:pPr>
        <w:spacing w:after="0" w:line="181" w:lineRule="exact"/>
        <w:rPr>
          <w:sz w:val="20"/>
          <w:szCs w:val="20"/>
          <w:color w:val="auto"/>
        </w:rPr>
      </w:pPr>
    </w:p>
    <w:p>
      <w:pPr>
        <w:jc w:val="both"/>
        <w:ind w:firstLine="1304"/>
        <w:spacing w:after="0" w:line="236" w:lineRule="auto"/>
        <w:tabs>
          <w:tab w:leader="none" w:pos="1999"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 of LT Common Stock if No Exchange</w:t>
      </w:r>
      <w:r>
        <w:rPr>
          <w:rFonts w:ascii="Times New Roman" w:cs="Times New Roman" w:eastAsia="Times New Roman" w:hAnsi="Times New Roman"/>
          <w:sz w:val="22"/>
          <w:szCs w:val="22"/>
          <w:color w:val="auto"/>
        </w:rPr>
        <w:t>. If the Trustees are unable to identify a Class A Transferor to participate in an Exchange prior to the Notice Expiration Date, they shall provide written notice to the Corporation no later than one business day prior to the Notice Expiration Date, and the Corporation shall, as soon as practicable following the Notice Expiration Date, effectuate the conversion of the shares of LT Common Stock subject to the notice into shares of Class A Common Stock on a one-for-one basis in accordance with this Section 3(H)(iv). In the event of such a conversion, as soon as practicable following the Notice Expiration Date, the holder of record of LT Common Stock shall surrender the certificate or certificates therefor (if any), duly endorsed, at the principal corporate office of the Corporation and shall provide written notice (the “</w:t>
      </w:r>
      <w:r>
        <w:rPr>
          <w:rFonts w:ascii="Times New Roman" w:cs="Times New Roman" w:eastAsia="Times New Roman" w:hAnsi="Times New Roman"/>
          <w:sz w:val="22"/>
          <w:szCs w:val="22"/>
          <w:u w:val="single" w:color="auto"/>
          <w:color w:val="auto"/>
        </w:rPr>
        <w:t>Conversion Notice</w:t>
      </w:r>
      <w:r>
        <w:rPr>
          <w:rFonts w:ascii="Times New Roman" w:cs="Times New Roman" w:eastAsia="Times New Roman" w:hAnsi="Times New Roman"/>
          <w:sz w:val="22"/>
          <w:szCs w:val="22"/>
          <w:color w:val="auto"/>
        </w:rPr>
        <w:t>”) to the Corporation at its principal corporate office stating therein the name or names (i) in which the certificate or certificates representing the shares of Class A Common Stock into which the shares of LT Common Stock being converted are to be issued (if such shares of Class A Common Stock are certificated), or (ii) in which such shares of Class A Common Stock are to be registered in book-entry form (if such shares of Class A Common Stock are uncertificated). If the shares of Class A Common Stock into which shares of LT Common Stock are to be converted are to be issued in a name or names other than the name of the beneficial holder of the shares of LT Common Stock being converted, such notice shall be accompanied by a written instrument or instruments of transfer, in form satisfactory to the Corporation, duly executed by the holder. The Corporation shall, as soon as practicable thereafter, issue and deliver to such holder, or to the nominee or nominees of such holder, a certificate or certificates representing the number of shares of Class A Common Stock to which such holder shall be entitled upon conversion (if such shares of Class A Common Stock are certificated) or shall register such shares of Class A Common Stock in book-entry form (if such shares of Class A Common Stock are uncertificated). Any such conversion shall be deemed effective immediately prior to the close of business on the date of such surrender of the shares of LT Common Stock to be converted(the “</w:t>
      </w:r>
      <w:r>
        <w:rPr>
          <w:rFonts w:ascii="Times New Roman" w:cs="Times New Roman" w:eastAsia="Times New Roman" w:hAnsi="Times New Roman"/>
          <w:sz w:val="22"/>
          <w:szCs w:val="22"/>
          <w:u w:val="single" w:color="auto"/>
          <w:color w:val="auto"/>
        </w:rPr>
        <w:t>Conversion Effective Time</w:t>
      </w:r>
      <w:r>
        <w:rPr>
          <w:rFonts w:ascii="Times New Roman" w:cs="Times New Roman" w:eastAsia="Times New Roman" w:hAnsi="Times New Roman"/>
          <w:sz w:val="22"/>
          <w:szCs w:val="22"/>
          <w:color w:val="auto"/>
        </w:rPr>
        <w:t>”), which may occur following or contemporaneously with the provision of the Conversion Notice. The shares of Class A Common Stock issuable upon such conversion shall be deemed outstanding as of the Conversion Effective Time, and the person or persons entitled to receive the shares of Class A Common Stock issuable upon such conversion shall be deemed to be the record holder or holders of such shares of Class A Common Stock as of the Conversion Effective Time.</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AMENDMENT OF THE CERTIFICATE OF INCORPORATION</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The Corporation reserves the right to amend, alter, change, adopt or repeal any provision contained in this Certificate of Incorporation, in the manner now or hereafter prescribed by statute, and all rights conferred upon stockholders herein are granted subject to this reservation;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notwithstanding any other provision of this Certificate of Incorporation or any provision of law that might otherwise permit a lesser vote or no vote, but in addition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any vote of the holders of shares of any class or series of capital stock of the Corporation required by law or by this Certificate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Incorporation:</w:t>
      </w:r>
    </w:p>
    <w:p>
      <w:pPr>
        <w:spacing w:after="0" w:line="182" w:lineRule="exact"/>
        <w:rPr>
          <w:sz w:val="20"/>
          <w:szCs w:val="20"/>
          <w:color w:val="auto"/>
        </w:rPr>
      </w:pPr>
    </w:p>
    <w:p>
      <w:pPr>
        <w:jc w:val="both"/>
        <w:ind w:firstLine="656"/>
        <w:spacing w:after="0" w:line="237" w:lineRule="auto"/>
        <w:tabs>
          <w:tab w:leader="none" w:pos="104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any shares of LT10 Common Stock remain outstanding, the Corporation shall not, without the prior affirmative vote of the holders of a majority of the outstanding shares of LT10 Common Stock, voting as a separate class, in addition to any other vote required by applicable law or this Certificate of Incorporation, directly or indirectly, whether by amendment, or through merger, recapitalization, consolidation or otherwise, amend, alter, change, repeal or adopt any provision of this Certificate of Incorporation (1) that alters or changes, any of the voting, conversion, dividend or liquidation provisions of the shares of LT10 Common Stock or other rights, powers, preferences or privileges of the shares of LT10 Common Stock; (2) to provide for each share of LT50 Common Stock to have more than fifty (50) votes per share or for each share of Class A Common Stock to have more than one (1) vote per share or any rights to a separate class vote of the holders of the LT50 Common Stock or the shares of Class A Common Stock other than as provided by this Certificate of Incorporation or required by the DGCL; or (3) to otherwise adversely impact the rights, powers, preferences or privileges of the shares of LT10 Common Stock in a manner that is disparate from the manner in which it affects the rights, powers, preferences or privileges of the shares of LT50 Common Stock or the shares of Class A Common Stock;</w:t>
      </w:r>
    </w:p>
    <w:p>
      <w:pPr>
        <w:spacing w:after="0" w:line="201" w:lineRule="exact"/>
        <w:rPr>
          <w:rFonts w:ascii="Times New Roman" w:cs="Times New Roman" w:eastAsia="Times New Roman" w:hAnsi="Times New Roman"/>
          <w:sz w:val="22"/>
          <w:szCs w:val="22"/>
          <w:color w:val="auto"/>
        </w:rPr>
      </w:pPr>
    </w:p>
    <w:p>
      <w:pPr>
        <w:jc w:val="both"/>
        <w:ind w:firstLine="656"/>
        <w:spacing w:after="0" w:line="237" w:lineRule="auto"/>
        <w:tabs>
          <w:tab w:leader="none" w:pos="103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any shares of LT50 Common Stock remain outstanding, the Corporation shall not, without the prior affirmative vote of the holders of a majority of the outstanding shares of LT50 Common Stock, voting as a separate class, in addition to any other vote required by applicable law or this Certificate of Incorporation, directly or indirectly, whether by amendment, or through merger, recapitalization, consolidation or otherwise, amend, alter, change, repeal or adopt any provision of this Certificate of Incorporation (1) that alters or changes, any of the voting, conversion, dividend or liquidation provisions of the shares of LT50 Common Stock or other rights, powers, preferences or privileges of the shares of LT50 Common Stock; (2) to provide for each share of LT10 Common Stock to have more than ten (10) votes per share or for each share of Class A Common Stock to have more than one (1) vote per share or any rights to a separate class vote of the holders of the LT10 Common Stock or the shares of Class A Common Stock other than as provided by this Certificate of Incorporation or required by the DGCL; or (3) to otherwise adversely impact the rights, powers, preferences or privileges of the shares of LT50 Common Stock in a manner that is disparate from the manner in which it affects the rights, powers, preferences or privileges of the shares of LT10 Common Stock or the shares of Class A Common Stock; and</w:t>
      </w:r>
    </w:p>
    <w:p>
      <w:pPr>
        <w:spacing w:after="0" w:line="188" w:lineRule="exact"/>
        <w:rPr>
          <w:rFonts w:ascii="Times New Roman" w:cs="Times New Roman" w:eastAsia="Times New Roman" w:hAnsi="Times New Roman"/>
          <w:sz w:val="22"/>
          <w:szCs w:val="22"/>
          <w:color w:val="auto"/>
        </w:rPr>
      </w:pPr>
    </w:p>
    <w:p>
      <w:pPr>
        <w:jc w:val="both"/>
        <w:ind w:firstLine="656"/>
        <w:spacing w:after="0" w:line="241" w:lineRule="auto"/>
        <w:tabs>
          <w:tab w:leader="none" w:pos="101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any shares of Class A Common Stock remain outstanding, the Corporation shall not, without the prior affirmative vote of the holders of a majority of the outstanding shares of Class A Common Stock, voting as a separate class, in addition to any other vote required by applicable law or this Certificate of Incorporation, directly or indirectly, whether by amendment, or through merger, recapitalization, consolidation or otherwise, amend, alter, change, repeal or adopt any provision of this Certificate of Incorporation to provide for each share of LT10 Common Stock to have more than ten (10) votes per share or for each share of LT50 Common Stock to have more than fifty (50) votes per share or for any rights to a separate class vote of the holders of shares of LT10 Common Stock or LT50 Common Stock, or of LT10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4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and LT50 Common Stock voting together as a single class, other than as provided by this Certificate of Incorporation or required by the DGCL.</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AMENDMENT OF BYLAWS</w:t>
      </w:r>
    </w:p>
    <w:p>
      <w:pPr>
        <w:spacing w:after="0" w:line="21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In furtherance and not in limitation of the powers conferred by the DGCL, the Board shall have the power to adopt, amend, alter or repeal the Bylaws. The stockholders shall also have the power to adopt, amend, alter or repeal the Bylaws; provided, however, that in addition to any vote of the holders of any class or series of stock of the Corporation required by law or by this Certificate of Incorporation, such action by stockholders shall require the affirmative vote of the holders of at least a majority of the voting power of all of the then-outstanding shares of capital stock of the corporation entitled to vote generally in the election of directors, voting together as a single class.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BOARD OF DIRECTORS</w:t>
      </w:r>
    </w:p>
    <w:p>
      <w:pPr>
        <w:spacing w:after="0" w:line="21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u w:val="single" w:color="auto"/>
          <w:color w:val="auto"/>
        </w:rPr>
        <w:t>Number of Directors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firstLine="656"/>
        <w:spacing w:after="0" w:line="271" w:lineRule="auto"/>
        <w:tabs>
          <w:tab w:leader="none" w:pos="131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and affairs of the Corporation shall be managed by or under the direction of the Board, except as otherwise provided by law.</w:t>
      </w:r>
    </w:p>
    <w:p>
      <w:pPr>
        <w:spacing w:after="0" w:line="144" w:lineRule="exact"/>
        <w:rPr>
          <w:rFonts w:ascii="Times New Roman" w:cs="Times New Roman" w:eastAsia="Times New Roman" w:hAnsi="Times New Roman"/>
          <w:sz w:val="22"/>
          <w:szCs w:val="22"/>
          <w:color w:val="auto"/>
        </w:rPr>
      </w:pPr>
    </w:p>
    <w:p>
      <w:pPr>
        <w:jc w:val="both"/>
        <w:ind w:firstLine="656"/>
        <w:spacing w:after="0" w:line="250" w:lineRule="auto"/>
        <w:tabs>
          <w:tab w:leader="none" w:pos="117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rights of holders of any series of Preferred Stock to elect directors, the number of the directors of the Corporation shall be fixed from time to time by resolution of the Board, but shall initially be eight (8) members. Unless and except to the extent that the Bylaws shall so require, the election of directors of the Corporation need not be by written ballot.</w:t>
      </w:r>
    </w:p>
    <w:p>
      <w:pPr>
        <w:spacing w:after="0" w:line="16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Terms of Office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Subject to the rights of holders of any series of Preferred Stock to elect directors, each director shall serve for a term ending on the date of the next annual meeting of stockholders following the annual meeting of stockholders at which such director was elected;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the term of each director shall continue until the election and qualification of his or her successor and be subject to his or her earlier death, disqualification, resignation or removal.</w:t>
      </w:r>
    </w:p>
    <w:p>
      <w:pPr>
        <w:spacing w:after="0" w:line="173"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19"/>
          <w:szCs w:val="19"/>
          <w:u w:val="single" w:color="auto"/>
          <w:color w:val="auto"/>
        </w:rPr>
        <w:t>Vacancies</w:t>
      </w:r>
    </w:p>
    <w:p>
      <w:pPr>
        <w:spacing w:after="0" w:line="22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Subject to the rights of holders of any series of Preferred Stock, any newly created directorship that results from an increase in the number of directors or any vacancies on the Board that result from the death, resignation, disqualification or removal from office or from any other cause shall be filled solely by the affirmative vote of a majority of the members of the Board then in office, even if less than a quorum of the Board, or by a sole remaining director, and shall not be filled by the stockholders. Any director so chosen shall hold office until his or her successor shall be duly elected and qualified or until his or her earlier death, disqualification, resignation or removal.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44"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4.</w:t>
      </w:r>
      <w:r>
        <w:rPr>
          <w:sz w:val="20"/>
          <w:szCs w:val="20"/>
          <w:color w:val="auto"/>
        </w:rPr>
        <w:tab/>
      </w:r>
      <w:r>
        <w:rPr>
          <w:rFonts w:ascii="Times New Roman" w:cs="Times New Roman" w:eastAsia="Times New Roman" w:hAnsi="Times New Roman"/>
          <w:sz w:val="21"/>
          <w:szCs w:val="21"/>
          <w:u w:val="single" w:color="auto"/>
          <w:color w:val="auto"/>
        </w:rPr>
        <w:t>Removal</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Subject to the rights of the holders of any series of Preferred Stock, any director may be removed from office at any time, with or without cause, by the affirmative vote of stockholders holding at least a majority in voting power of the shares of capital stock of the Corporation then entitled to vote generally in the election of directors, voting together as a single class.</w:t>
      </w:r>
    </w:p>
    <w:p>
      <w:pPr>
        <w:spacing w:after="0" w:line="16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21"/>
          <w:szCs w:val="21"/>
          <w:u w:val="single" w:color="auto"/>
          <w:color w:val="auto"/>
        </w:rPr>
        <w:t>Committees</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For as long as the Expensify Voting Trust holds securities representing at least 50% of the voting power of outstanding capital stock of the Corporation, there shall be an Executive Committee of the Board, consisting of five (5) directors of the Corporation, which shall have and may exercise all the powers and authority of the Board in the management of the business and affairs of the Corporation, and may authorize the seal of the Corporation to be affixed to all papers that may require 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committee shall not have power or authority in reference to the following matters: (i) matters that must be approved by an Audit Committee of the Board, (ii) matters that must be approved by a committee qualified to grant equity to persons subject to Section 16 of the Securities and Exchange Act of 1934, as amended, for purposes of exempting transactions pursuant to Section 16b-3 thereunder, (iii) matters required under the DGCL to be approved by the full Board, or (iv) as otherwise required by SEC rules and the Stock Exchange Rules. The Executive Committee may not delegate any or all of its powers and authority to a subcommittee.</w:t>
      </w:r>
    </w:p>
    <w:p>
      <w:pPr>
        <w:spacing w:after="0" w:line="181"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6.</w:t>
      </w:r>
      <w:r>
        <w:rPr>
          <w:sz w:val="20"/>
          <w:szCs w:val="20"/>
          <w:color w:val="auto"/>
        </w:rPr>
        <w:tab/>
      </w:r>
      <w:r>
        <w:rPr>
          <w:rFonts w:ascii="Times New Roman" w:cs="Times New Roman" w:eastAsia="Times New Roman" w:hAnsi="Times New Roman"/>
          <w:sz w:val="21"/>
          <w:szCs w:val="21"/>
          <w:u w:val="single" w:color="auto"/>
          <w:color w:val="auto"/>
        </w:rPr>
        <w:t>Stockholder Nominations and Introduction of Business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Advance notice of stockholder nominations for election of directors and other business to be brought by stockholders before a meeting of stockholders shall be given in the manner provided by the Bylaws.</w:t>
      </w:r>
    </w:p>
    <w:p>
      <w:pPr>
        <w:spacing w:after="0" w:line="15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7.</w:t>
      </w:r>
      <w:r>
        <w:rPr>
          <w:sz w:val="20"/>
          <w:szCs w:val="20"/>
          <w:color w:val="auto"/>
        </w:rPr>
        <w:tab/>
      </w:r>
      <w:r>
        <w:rPr>
          <w:rFonts w:ascii="Times New Roman" w:cs="Times New Roman" w:eastAsia="Times New Roman" w:hAnsi="Times New Roman"/>
          <w:sz w:val="21"/>
          <w:szCs w:val="21"/>
          <w:u w:val="single" w:color="auto"/>
          <w:color w:val="auto"/>
        </w:rPr>
        <w:t>Preferred Stock Directors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During any period when the holders of any series of Preferred Stock have the right to elect additional directors as provided for or fixed pursuant to the provisions of Article IV hereof or any certificate of designation of any series of Preferred Stock, then upon commencement and for the duration of the period during which such right continues: (i) the then otherwise total number of authorized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earlier death, disqualification, resignation or removal. Except as otherwise provided for or fixed pursuant to the provisions of Article IV hereof or any certificate of designation of any series of Preferred Stock, whenever the holders of any series of Preferred Stock having such right to elect additional directors are divested of such right pursuant to the provisions of such stock, all such additional directors elected by the holders of such stock, or elected or appointed to fill any vacancies resulting from the death, resignation, disqualification or removal of such additional directors shall automatically cease to be qualified as directors,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4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terms of office of all such directors shall forthwith terminate and the total authorized number of directors of the Corporation shall be reduced accordingly.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LIMITATION OF DIRECTOR LIABILITY</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1"/>
          <w:szCs w:val="21"/>
          <w:color w:val="auto"/>
        </w:rPr>
        <w:t xml:space="preserve">To the fullest extent permitted by the DGCL as the same exists or as may hereafter be amended, a director of the Corporation shall not be personally liable to the Corporation or its stockholders for monetary damages for breach of fiduciary duty as a director;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nothing contained in this Article VIII shall eliminate or limit the liability of a director</w:t>
      </w:r>
    </w:p>
    <w:p>
      <w:pPr>
        <w:spacing w:after="0" w:line="3" w:lineRule="exact"/>
        <w:rPr>
          <w:sz w:val="20"/>
          <w:szCs w:val="20"/>
          <w:color w:val="auto"/>
        </w:rPr>
      </w:pPr>
    </w:p>
    <w:p>
      <w:pPr>
        <w:jc w:val="both"/>
        <w:ind w:firstLine="8"/>
        <w:spacing w:after="0" w:line="237" w:lineRule="auto"/>
        <w:tabs>
          <w:tab w:leader="none" w:pos="277"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breach of the director’s duty of loyalty to the Corporation or its stockholders, (ii) for acts or omissions not in good faith or which involve intentional misconduct or a knowing violation of law, (iii) pursuant to the provisions of Section 174 of the DGCL, or (iv) for any transaction from which the director derived an improper personal benefit. If the DGCL is amended to authorize corporate action further eliminating or limiting the personal liability of directors, then the liability of a director of the Corporation shall be eliminated or limited to the fullest extent permitted by the DGCL, as so amended. No amendment, repeal or modification of this Article VIII shall apply to or have any adverse effect on any right or protection of, or any limitation of the liability of, a director of the Corporation existing at the time of such amendment, repeal or modification with respect to acts or omissions occurring prior to such repeal or modification.</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INDEMNIFICATION</w:t>
      </w:r>
    </w:p>
    <w:p>
      <w:pPr>
        <w:spacing w:after="0" w:line="237"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The Corporation shall have the power to provide rights to indemnification and advancement of expenses to its current and former officers, directors, employees and agents and to any person who is or was serving at the request of the Corporation as a director, officer, employee or agent of another corporation, partnership, joint venture, trust or other enterprise.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CONSENT OF STOCKHOLDERS IN LIEU OF MEETING</w:t>
      </w:r>
    </w:p>
    <w:p>
      <w:pPr>
        <w:spacing w:after="0" w:line="21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Subject to the terms of any series of Preferred Stock, (i) prior to the date on which the Expensify Voting Trust ceases to hold securities representing at least a majority of the voting power of outstanding capital stock of the Corporation, any action required or permitted to be taken by the stockholders of the Corporation may be effected by consent in lieu of a meeting and (ii) following such date, any action required or permitted to be taken by the stockholders of the Corporation must be effected at an annual or special meeting of the stockholders and may not be effected by consent in lieu of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SPECIAL MEETING OF STOCKHOLDERS</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Subject to the terms of any series of Preferred Stock, special meetings of stockholders for any purpose or purposes may be called at any time by or at the direction of (i) the Board, (ii) the Chairman of the Board, (iii) the Chief Executive Officer of the Corporation or (iv) prior to the date on which the Expensify Voting Trust ceases to hold securities representing at least a majority of the voting power of outstanding capital stock of the Corporation, the holders of a majority of the total voting power of the outstanding shares of capital stock of the Corporation entitled to vote generally in the election of directors. Business transacted at any special meeting of stockholders shall be limited to matters relating to the purpose or purposes stated in the notice of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FORUM SELECTION</w:t>
      </w:r>
    </w:p>
    <w:p>
      <w:pPr>
        <w:spacing w:after="0" w:line="210"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Unless the Corporation consents in writing to the selection of an alternative forum, (a) the Court of Chancery (the “</w:t>
      </w:r>
      <w:r>
        <w:rPr>
          <w:rFonts w:ascii="Times New Roman" w:cs="Times New Roman" w:eastAsia="Times New Roman" w:hAnsi="Times New Roman"/>
          <w:sz w:val="22"/>
          <w:szCs w:val="22"/>
          <w:u w:val="single" w:color="auto"/>
          <w:color w:val="auto"/>
        </w:rPr>
        <w:t>Chancery Court</w:t>
      </w:r>
      <w:r>
        <w:rPr>
          <w:rFonts w:ascii="Times New Roman" w:cs="Times New Roman" w:eastAsia="Times New Roman" w:hAnsi="Times New Roman"/>
          <w:sz w:val="22"/>
          <w:szCs w:val="22"/>
          <w:color w:val="auto"/>
        </w:rPr>
        <w: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behalf of the Corporation, (ii) any action, suit or proceeding asserting a claim of breach of a fiduciary duty owed by any current or former director, officer, other employee or stockholder of the Corporation to the Corporation or to the Corporation’s stockholders, (iii) any action, suit or proceeding arising pursuant to any provision of the DGCL or the bylaws of the Corporation or this Restated Certificate (as either may be amended or restated from time to time) or as to which the DGCL confers jurisdiction on the Chancery Court or (iv) any action, suit or proceeding asserting a claim against the Corporation governed by the internal affairs doctrine of the law of the State of Delaware; and (b) subject to the preceding provisions of this Article X, the federal district courts of the United States of America shall be the exclusive forum for the resolution of any complaint asserting a cause or causes of action arising under the Securities Act of 1933, as amended. If any action the subject matter of which is within the scope of clause (a) of the immediately preceding sentence is filed in a court other than the courts in the State of Delaware (a “</w:t>
      </w:r>
      <w:r>
        <w:rPr>
          <w:rFonts w:ascii="Times New Roman" w:cs="Times New Roman" w:eastAsia="Times New Roman" w:hAnsi="Times New Roman"/>
          <w:sz w:val="22"/>
          <w:szCs w:val="22"/>
          <w:u w:val="single" w:color="auto"/>
          <w:color w:val="auto"/>
        </w:rPr>
        <w:t>Foreign Action</w:t>
      </w:r>
      <w:r>
        <w:rPr>
          <w:rFonts w:ascii="Times New Roman" w:cs="Times New Roman" w:eastAsia="Times New Roman" w:hAnsi="Times New Roman"/>
          <w:sz w:val="22"/>
          <w:szCs w:val="22"/>
          <w:color w:val="auto"/>
        </w:rPr>
        <w:t>”)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w:t>
      </w:r>
    </w:p>
    <w:p>
      <w:pPr>
        <w:spacing w:after="0" w:line="19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Any person or entity purchasing or otherwise acquiring or holding any interest in any security of the Corporation shall be deemed to have notice of and consented to this Article X. Notwithstanding the foregoing, the provisions of this Article X shall not apply to suits brought to enforce any liability or duty created by the Securities Exchange Act of 1934, as amended, or any other claim for which the federal courts of the United States have exclusive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4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If any provision or provisions of this Article X shall be held to be invalid, illegal or unenforceable as applied to any circumstance for any reason whatsoever, (a) the validity, legality and enforceability of such provisions in any other circumstance and of the remaining provisions of this Article X (including, without limitation, each portion of any paragraph of this Article X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tabs>
          <w:tab w:leader="none" w:pos="200" w:val="left"/>
          <w:tab w:leader="none" w:pos="200" w:val="left"/>
        </w:tabs>
        <w:rPr>
          <w:sz w:val="20"/>
          <w:szCs w:val="20"/>
          <w:color w:val="auto"/>
        </w:rPr>
      </w:pPr>
      <w:r>
        <w:rPr>
          <w:rFonts w:ascii="Times New Roman" w:cs="Times New Roman" w:eastAsia="Times New Roman" w:hAnsi="Times New Roman"/>
          <w:sz w:val="22"/>
          <w:szCs w:val="22"/>
          <w:color w:val="auto"/>
        </w:rPr>
        <w:t>*</w:t>
        <w:tab/>
        <w:t>*</w:t>
      </w:r>
      <w:r>
        <w:rPr>
          <w:sz w:val="20"/>
          <w:szCs w:val="20"/>
          <w:color w:val="auto"/>
        </w:rPr>
        <w:tab/>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71" w:lineRule="exact"/>
        <w:rPr>
          <w:sz w:val="20"/>
          <w:szCs w:val="20"/>
          <w:color w:val="auto"/>
        </w:rPr>
      </w:pPr>
    </w:p>
    <w:p>
      <w:pPr>
        <w:ind w:right="340" w:firstLine="648"/>
        <w:spacing w:after="0" w:line="309" w:lineRule="auto"/>
        <w:rPr>
          <w:sz w:val="20"/>
          <w:szCs w:val="20"/>
          <w:color w:val="auto"/>
        </w:rPr>
      </w:pPr>
      <w:r>
        <w:rPr>
          <w:rFonts w:ascii="Times New Roman" w:cs="Times New Roman" w:eastAsia="Times New Roman" w:hAnsi="Times New Roman"/>
          <w:sz w:val="22"/>
          <w:szCs w:val="22"/>
          <w:color w:val="auto"/>
        </w:rPr>
        <w:t>IN WITNESS WHEREOF, this Amended and Restated Certificate of Incorporation has been executed this 15th day of November,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b w:val="1"/>
          <w:bCs w:val="1"/>
          <w:color w:val="auto"/>
        </w:rPr>
        <w:t>EXPENSIFY, INC.</w:t>
      </w:r>
    </w:p>
    <w:p>
      <w:pPr>
        <w:spacing w:after="0" w:line="200" w:lineRule="exact"/>
        <w:rPr>
          <w:sz w:val="20"/>
          <w:szCs w:val="20"/>
          <w:color w:val="auto"/>
        </w:rPr>
      </w:pPr>
    </w:p>
    <w:p>
      <w:pPr>
        <w:spacing w:after="0" w:line="361" w:lineRule="exact"/>
        <w:rPr>
          <w:sz w:val="20"/>
          <w:szCs w:val="20"/>
          <w:color w:val="auto"/>
        </w:rPr>
      </w:pPr>
    </w:p>
    <w:p>
      <w:pPr>
        <w:ind w:left="6400"/>
        <w:spacing w:after="0"/>
        <w:tabs>
          <w:tab w:leader="none" w:pos="6960" w:val="left"/>
        </w:tabs>
        <w:rPr>
          <w:sz w:val="20"/>
          <w:szCs w:val="20"/>
          <w:color w:val="auto"/>
        </w:rPr>
      </w:pPr>
      <w:r>
        <w:rPr>
          <w:rFonts w:ascii="Times New Roman" w:cs="Times New Roman" w:eastAsia="Times New Roman" w:hAnsi="Times New Roman"/>
          <w:sz w:val="22"/>
          <w:szCs w:val="22"/>
          <w:color w:val="auto"/>
        </w:rPr>
        <w:t>By:</w:t>
        <w:tab/>
        <w:t>/s/ David Barrett</w:t>
      </w:r>
    </w:p>
    <w:p>
      <w:pPr>
        <w:spacing w:after="0" w:line="29" w:lineRule="exact"/>
        <w:rPr>
          <w:sz w:val="20"/>
          <w:szCs w:val="20"/>
          <w:color w:val="auto"/>
        </w:rPr>
      </w:pPr>
    </w:p>
    <w:tbl>
      <w:tblPr>
        <w:tblLayout w:type="fixed"/>
        <w:tblInd w:w="6960" w:type="dxa"/>
        <w:tblCellMar>
          <w:top w:w="0" w:type="dxa"/>
          <w:left w:w="0" w:type="dxa"/>
          <w:bottom w:w="0" w:type="dxa"/>
          <w:right w:w="0" w:type="dxa"/>
        </w:tblCellMar>
      </w:tblPr>
      <w:tr>
        <w:trPr>
          <w:trHeight w:val="251"/>
        </w:trPr>
        <w:tc>
          <w:tcPr>
            <w:tcW w:w="760" w:type="dxa"/>
            <w:vAlign w:val="bottom"/>
            <w:tcBorders>
              <w:top w:val="single" w:sz="8" w:color="auto"/>
            </w:tcBorders>
          </w:tcPr>
          <w:p>
            <w:pPr>
              <w:ind w:left="20"/>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3520" w:type="dxa"/>
            <w:vAlign w:val="bottom"/>
            <w:tcBorders>
              <w:top w:val="single" w:sz="8" w:color="auto"/>
            </w:tcBorders>
          </w:tcPr>
          <w:p>
            <w:pPr>
              <w:ind w:left="180"/>
              <w:spacing w:after="0" w:line="251" w:lineRule="exact"/>
              <w:rPr>
                <w:sz w:val="20"/>
                <w:szCs w:val="20"/>
                <w:color w:val="auto"/>
              </w:rPr>
            </w:pPr>
            <w:r>
              <w:rPr>
                <w:rFonts w:ascii="Times New Roman" w:cs="Times New Roman" w:eastAsia="Times New Roman" w:hAnsi="Times New Roman"/>
                <w:sz w:val="22"/>
                <w:szCs w:val="22"/>
                <w:color w:val="auto"/>
              </w:rPr>
              <w:t>David Barrett</w:t>
            </w:r>
          </w:p>
        </w:tc>
      </w:tr>
      <w:tr>
        <w:trPr>
          <w:trHeight w:val="282"/>
        </w:trPr>
        <w:tc>
          <w:tcPr>
            <w:tcW w:w="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35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CERTIFICATE OF RETIREMENT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670 SHARES OF LT10 COMMON STOCK</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Section 243(b)</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 the General Corporation Law</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 the State of Delaware</w:t>
      </w:r>
    </w:p>
    <w:p>
      <w:pPr>
        <w:spacing w:after="0" w:line="234"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Expensify, Inc.,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(hereinafter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 follows:</w:t>
      </w:r>
    </w:p>
    <w:p>
      <w:pPr>
        <w:spacing w:after="0" w:line="189" w:lineRule="exact"/>
        <w:rPr>
          <w:sz w:val="20"/>
          <w:szCs w:val="20"/>
          <w:color w:val="auto"/>
        </w:rPr>
      </w:pPr>
    </w:p>
    <w:p>
      <w:pPr>
        <w:ind w:left="660" w:right="2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670 outstanding shares of LT10 Common Stock, par value $0.0001 per share (“</w:t>
      </w:r>
      <w:r>
        <w:rPr>
          <w:rFonts w:ascii="Times New Roman" w:cs="Times New Roman" w:eastAsia="Times New Roman" w:hAnsi="Times New Roman"/>
          <w:sz w:val="18"/>
          <w:szCs w:val="18"/>
          <w:u w:val="single" w:color="auto"/>
          <w:color w:val="auto"/>
        </w:rPr>
        <w:t>LT10 Common Stock”</w:t>
      </w:r>
      <w:r>
        <w:rPr>
          <w:rFonts w:ascii="Times New Roman" w:cs="Times New Roman" w:eastAsia="Times New Roman" w:hAnsi="Times New Roman"/>
          <w:sz w:val="18"/>
          <w:szCs w:val="18"/>
          <w:color w:val="auto"/>
        </w:rPr>
        <w:t>), of the Corporation have been converted into 670 shares of Class A Common Stock, par value $0.0001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the Corporation.</w:t>
      </w:r>
    </w:p>
    <w:p>
      <w:pPr>
        <w:spacing w:after="0" w:line="94"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Corporation filed with the Secretary of State of the State of Delaware on November 15, 2021 provides that any shares of LT10 Common Stock which are converted into shares of Class A Common Stock shall be retired and may not be reissued by the Corporation.</w:t>
      </w:r>
    </w:p>
    <w:p>
      <w:pPr>
        <w:spacing w:after="0" w:line="108"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has adopted resolutions retiring the 670 shares of LT10 Common Stock that converted into 670 shares of Class A Common Stock.</w:t>
      </w:r>
    </w:p>
    <w:p>
      <w:pPr>
        <w:spacing w:after="0" w:line="80" w:lineRule="exact"/>
        <w:rPr>
          <w:rFonts w:ascii="Times New Roman" w:cs="Times New Roman" w:eastAsia="Times New Roman" w:hAnsi="Times New Roman"/>
          <w:sz w:val="18"/>
          <w:szCs w:val="18"/>
          <w:color w:val="auto"/>
        </w:rPr>
      </w:pPr>
    </w:p>
    <w:p>
      <w:pPr>
        <w:ind w:left="660" w:hanging="328"/>
        <w:spacing w:after="0" w:line="25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pursuant to the provisions of Section 243(b) of the DGCL, upon the filing of this Certificate of Retirement the Amended and Restated Certificate of Incorporation of the Corporation shall be amended so as to reduce the total authorized number of shares of the capital stock of the Corporation by 670 shares, such that the total number of authorized shares of the Corporation shall be 1,059,999,330, such shares consisting of 1,000,000,000 shares designated Class A Common Stock, 24,999,330 shares designated LT10 Common Stock, 25,000,000 shares designated LT50 common stock, par value $0.0001 per share, of the Corporation, and 10,000,000 shares designated preferred stock, par value $0.0001 per share, of the Corporation.</w:t>
      </w: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20"/>
          </w:cols>
          <w:pgMar w:left="320" w:top="1440" w:right="359" w:bottom="1440" w:gutter="0" w:footer="0" w:header="0"/>
        </w:sectPr>
      </w:pPr>
    </w:p>
    <w:bookmarkStart w:id="63" w:name="page64"/>
    <w:bookmarkEnd w:id="63"/>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Retirement to be signed by its duly authorized officer, this 26th day of April, 2022.</w:t>
      </w:r>
    </w:p>
    <w:p>
      <w:pPr>
        <w:spacing w:after="0" w:line="22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43" w:lineRule="exact"/>
        <w:rPr>
          <w:sz w:val="20"/>
          <w:szCs w:val="20"/>
          <w:color w:val="auto"/>
        </w:rPr>
      </w:pPr>
    </w:p>
    <w:p>
      <w:pPr>
        <w:ind w:left="8700"/>
        <w:spacing w:after="0"/>
        <w:tabs>
          <w:tab w:leader="none" w:pos="9180" w:val="left"/>
        </w:tabs>
        <w:rPr>
          <w:sz w:val="20"/>
          <w:szCs w:val="20"/>
          <w:color w:val="auto"/>
        </w:rPr>
      </w:pPr>
      <w:r>
        <w:rPr>
          <w:rFonts w:ascii="Times New Roman" w:cs="Times New Roman" w:eastAsia="Times New Roman" w:hAnsi="Times New Roman"/>
          <w:sz w:val="18"/>
          <w:szCs w:val="18"/>
          <w:color w:val="auto"/>
        </w:rPr>
        <w:t>By:</w:t>
        <w:tab/>
        <w:t>/s/ Cole 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17145</wp:posOffset>
            </wp:positionV>
            <wp:extent cx="13030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6"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Cole Eason</w:t>
      </w:r>
    </w:p>
    <w:p>
      <w:pPr>
        <w:spacing w:after="0" w:line="27"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840"/>
          </w:cols>
          <w:pgMar w:left="320" w:top="1440" w:right="739" w:bottom="1440" w:gutter="0" w:footer="0" w:header="0"/>
        </w:sectPr>
      </w:pPr>
    </w:p>
    <w:bookmarkStart w:id="64" w:name="page65"/>
    <w:bookmarkEnd w:id="64"/>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CERTIFICATE OF RETIREMENT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830 SHARES OF LT50 COMMON STOCK</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Section 243(b)</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 the General Corporation Law</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 the State of Delaware</w:t>
      </w:r>
    </w:p>
    <w:p>
      <w:pPr>
        <w:spacing w:after="0" w:line="234"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Expensify, Inc.,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(hereinafter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 follows:</w:t>
      </w:r>
    </w:p>
    <w:p>
      <w:pPr>
        <w:spacing w:after="0" w:line="189" w:lineRule="exact"/>
        <w:rPr>
          <w:sz w:val="20"/>
          <w:szCs w:val="20"/>
          <w:color w:val="auto"/>
        </w:rPr>
      </w:pPr>
    </w:p>
    <w:p>
      <w:pPr>
        <w:ind w:left="660" w:right="2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830 outstanding shares of LT50 Common Stock, par value $0.0001 per share (“</w:t>
      </w:r>
      <w:r>
        <w:rPr>
          <w:rFonts w:ascii="Times New Roman" w:cs="Times New Roman" w:eastAsia="Times New Roman" w:hAnsi="Times New Roman"/>
          <w:sz w:val="18"/>
          <w:szCs w:val="18"/>
          <w:u w:val="single" w:color="auto"/>
          <w:color w:val="auto"/>
        </w:rPr>
        <w:t>LT50 Common Stock”</w:t>
      </w:r>
      <w:r>
        <w:rPr>
          <w:rFonts w:ascii="Times New Roman" w:cs="Times New Roman" w:eastAsia="Times New Roman" w:hAnsi="Times New Roman"/>
          <w:sz w:val="18"/>
          <w:szCs w:val="18"/>
          <w:color w:val="auto"/>
        </w:rPr>
        <w:t>), of the Corporation have been converted into 830 shares of Class A Common Stock, par value $0.0001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the Corporation.</w:t>
      </w:r>
    </w:p>
    <w:p>
      <w:pPr>
        <w:spacing w:after="0" w:line="94"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Corporation filed with the Secretary of State of the State of Delaware on November 15, 2021 provides that any shares of LT50 Common Stock which are converted into shares of Class A Common Stock shall be retired and may not be reissued by the Corporation.</w:t>
      </w:r>
    </w:p>
    <w:p>
      <w:pPr>
        <w:spacing w:after="0" w:line="108"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has adopted resolutions retiring the 830 shares of LT50 Common Stock that converted into 830 shares of Class A Common Stock.</w:t>
      </w:r>
    </w:p>
    <w:p>
      <w:pPr>
        <w:spacing w:after="0" w:line="80" w:lineRule="exact"/>
        <w:rPr>
          <w:rFonts w:ascii="Times New Roman" w:cs="Times New Roman" w:eastAsia="Times New Roman" w:hAnsi="Times New Roman"/>
          <w:sz w:val="18"/>
          <w:szCs w:val="18"/>
          <w:color w:val="auto"/>
        </w:rPr>
      </w:pPr>
    </w:p>
    <w:p>
      <w:pPr>
        <w:ind w:left="660" w:hanging="328"/>
        <w:spacing w:after="0" w:line="25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pursuant to the provisions of Section 243(b) of the DGCL, upon the filing of this Certificate of Retirement the Amended and Restated Certificate of Incorporation of the Corporation shall be amended so as to reduce the total authorized number of shares of the capital stock of the Corporation by 830 shares, such that the total number of authorized shares of the Corporation shall be 1,059,998,500, such shares consisting of 1,000,000,000 shares designated Class A Common Stock, 24,999,330 shares designated LT10 Common Stock, 24,999,170 shares designated LT50 common stock, par value $0.0001 per share, of the Corporation, and 10,000,000 shares designated preferred stock, par value $0.0001 per share, of the Corporation.</w:t>
      </w: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20"/>
          </w:cols>
          <w:pgMar w:left="320" w:top="1440" w:right="359" w:bottom="1440" w:gutter="0" w:footer="0" w:header="0"/>
        </w:sectPr>
      </w:pPr>
    </w:p>
    <w:bookmarkStart w:id="65" w:name="page66"/>
    <w:bookmarkEnd w:id="65"/>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Corporation has caused this Certificate of Retirement to be signed by its duly authorized officer, this 27th day of May, 2022.</w:t>
      </w:r>
    </w:p>
    <w:p>
      <w:pPr>
        <w:spacing w:after="0" w:line="300"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43" w:lineRule="exact"/>
        <w:rPr>
          <w:sz w:val="20"/>
          <w:szCs w:val="20"/>
          <w:color w:val="auto"/>
        </w:rPr>
      </w:pPr>
    </w:p>
    <w:p>
      <w:pPr>
        <w:ind w:left="8700"/>
        <w:spacing w:after="0"/>
        <w:tabs>
          <w:tab w:leader="none" w:pos="9180" w:val="left"/>
        </w:tabs>
        <w:rPr>
          <w:sz w:val="20"/>
          <w:szCs w:val="20"/>
          <w:color w:val="auto"/>
        </w:rPr>
      </w:pPr>
      <w:r>
        <w:rPr>
          <w:rFonts w:ascii="Times New Roman" w:cs="Times New Roman" w:eastAsia="Times New Roman" w:hAnsi="Times New Roman"/>
          <w:sz w:val="18"/>
          <w:szCs w:val="18"/>
          <w:color w:val="auto"/>
        </w:rPr>
        <w:t>By:</w:t>
        <w:tab/>
        <w:t>/s/ Cole 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17145</wp:posOffset>
            </wp:positionV>
            <wp:extent cx="13030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6"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Cole Eason</w:t>
      </w:r>
    </w:p>
    <w:p>
      <w:pPr>
        <w:spacing w:after="0" w:line="27"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440" w:right="359" w:bottom="1440" w:gutter="0" w:footer="0" w:header="0"/>
        </w:sectPr>
      </w:pPr>
    </w:p>
    <w:bookmarkStart w:id="66" w:name="page67"/>
    <w:bookmarkEnd w:id="66"/>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CERTIFICATE OF RETIREMENT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1,769 SHARES OF LT10 COMMON STOCK</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Section 243(b)</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 the General Corporation Law</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 the State of Delaware</w:t>
      </w:r>
    </w:p>
    <w:p>
      <w:pPr>
        <w:spacing w:after="0" w:line="234"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Expensify, Inc.,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(hereinafter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 follows:</w:t>
      </w:r>
    </w:p>
    <w:p>
      <w:pPr>
        <w:spacing w:after="0" w:line="189" w:lineRule="exact"/>
        <w:rPr>
          <w:sz w:val="20"/>
          <w:szCs w:val="20"/>
          <w:color w:val="auto"/>
        </w:rPr>
      </w:pPr>
    </w:p>
    <w:p>
      <w:pPr>
        <w:ind w:left="660" w:right="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1,769 outstanding shares of LT10 Common Stock, par value $0.0001 per share (“</w:t>
      </w:r>
      <w:r>
        <w:rPr>
          <w:rFonts w:ascii="Times New Roman" w:cs="Times New Roman" w:eastAsia="Times New Roman" w:hAnsi="Times New Roman"/>
          <w:sz w:val="18"/>
          <w:szCs w:val="18"/>
          <w:u w:val="single" w:color="auto"/>
          <w:color w:val="auto"/>
        </w:rPr>
        <w:t>LT10 Common Stock”</w:t>
      </w:r>
      <w:r>
        <w:rPr>
          <w:rFonts w:ascii="Times New Roman" w:cs="Times New Roman" w:eastAsia="Times New Roman" w:hAnsi="Times New Roman"/>
          <w:sz w:val="18"/>
          <w:szCs w:val="18"/>
          <w:color w:val="auto"/>
        </w:rPr>
        <w:t>), of the Corporation have been converted into 1,769 shares of Class A Common Stock, par value $0.0001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the Corporation.</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Corporation filed with the Secretary of State of the State of Delaware on November 15, 2021 provides that any shares of LT10 Common Stock which are converted into shares of Class A Common Stock shall be retired and may not be reissued by the Corporation.</w:t>
      </w:r>
    </w:p>
    <w:p>
      <w:pPr>
        <w:spacing w:after="0" w:line="108"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has adopted resolutions retiring the 1,769 shares of LT10 Common Stock that converted into 1,769 shares of Class A Common Stock.</w:t>
      </w:r>
    </w:p>
    <w:p>
      <w:pPr>
        <w:spacing w:after="0" w:line="80" w:lineRule="exact"/>
        <w:rPr>
          <w:rFonts w:ascii="Times New Roman" w:cs="Times New Roman" w:eastAsia="Times New Roman" w:hAnsi="Times New Roman"/>
          <w:sz w:val="18"/>
          <w:szCs w:val="18"/>
          <w:color w:val="auto"/>
        </w:rPr>
      </w:pPr>
    </w:p>
    <w:p>
      <w:pPr>
        <w:ind w:left="660" w:hanging="328"/>
        <w:spacing w:after="0" w:line="25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pursuant to the provisions of Section 243(b) of the DGCL, upon the filing of this Certificate of Retirement the Amended and Restated Certificate of Incorporation of the Corporation shall be amended so as to reduce the total authorized number of shares of the capital stock of the Corporation by 1,769 shares, such that the total number of authorized shares of the Corporation shall be 1,059,996,731, such shares consisting of 1,000,000,000 shares designated Class A Common Stock, 24,997,561 shares designated LT10 Common Stock, 24,999,170 shares designated LT50 common stock, par value $0.0001 per share, of the Corporation, and 10,000,000 shares designated preferred stock, par value $0.0001 per share, of the Corporation.</w:t>
      </w: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00"/>
          </w:cols>
          <w:pgMar w:left="320" w:top="1440" w:right="379" w:bottom="1440" w:gutter="0" w:footer="0" w:header="0"/>
        </w:sectPr>
      </w:pPr>
    </w:p>
    <w:bookmarkStart w:id="67" w:name="page68"/>
    <w:bookmarkEnd w:id="67"/>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Retirement to be signed by its duly authorized officer, this 4th day of August, 2022.</w:t>
      </w:r>
    </w:p>
    <w:p>
      <w:pPr>
        <w:spacing w:after="0" w:line="22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43" w:lineRule="exact"/>
        <w:rPr>
          <w:sz w:val="20"/>
          <w:szCs w:val="20"/>
          <w:color w:val="auto"/>
        </w:rPr>
      </w:pPr>
    </w:p>
    <w:p>
      <w:pPr>
        <w:ind w:left="8700"/>
        <w:spacing w:after="0"/>
        <w:tabs>
          <w:tab w:leader="none" w:pos="9180" w:val="left"/>
        </w:tabs>
        <w:rPr>
          <w:sz w:val="20"/>
          <w:szCs w:val="20"/>
          <w:color w:val="auto"/>
        </w:rPr>
      </w:pPr>
      <w:r>
        <w:rPr>
          <w:rFonts w:ascii="Times New Roman" w:cs="Times New Roman" w:eastAsia="Times New Roman" w:hAnsi="Times New Roman"/>
          <w:sz w:val="18"/>
          <w:szCs w:val="18"/>
          <w:color w:val="auto"/>
        </w:rPr>
        <w:t>By:</w:t>
        <w:tab/>
        <w:t>/s/ Cole 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17145</wp:posOffset>
            </wp:positionV>
            <wp:extent cx="13030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6"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Cole Eason</w:t>
      </w:r>
    </w:p>
    <w:p>
      <w:pPr>
        <w:spacing w:after="0" w:line="27"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880"/>
          </w:cols>
          <w:pgMar w:left="320" w:top="1440" w:right="69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UNDER THE SECURITIES EXCHANGE ACT OF 1934, AS AMENDED,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David Barrett, certify that:</w:t>
      </w:r>
    </w:p>
    <w:p>
      <w:pPr>
        <w:spacing w:after="0" w:line="158" w:lineRule="exact"/>
        <w:rPr>
          <w:sz w:val="20"/>
          <w:szCs w:val="20"/>
          <w:color w:val="auto"/>
        </w:rPr>
      </w:pPr>
    </w:p>
    <w:p>
      <w:pPr>
        <w:ind w:left="640" w:hanging="30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Expensify, Inc.;</w:t>
      </w:r>
    </w:p>
    <w:p>
      <w:pPr>
        <w:spacing w:after="0" w:line="144"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3"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Arial" w:cs="Arial" w:eastAsia="Arial" w:hAnsi="Arial"/>
          <w:sz w:val="18"/>
          <w:szCs w:val="18"/>
          <w:color w:val="auto"/>
        </w:rPr>
      </w:pPr>
    </w:p>
    <w:p>
      <w:pPr>
        <w:ind w:left="660" w:right="140" w:hanging="328"/>
        <w:spacing w:after="0" w:line="287"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1" w:lineRule="exact"/>
        <w:rPr>
          <w:rFonts w:ascii="Arial" w:cs="Arial" w:eastAsia="Arial" w:hAnsi="Arial"/>
          <w:sz w:val="18"/>
          <w:szCs w:val="18"/>
          <w:color w:val="auto"/>
        </w:rPr>
      </w:pPr>
    </w:p>
    <w:p>
      <w:pPr>
        <w:ind w:left="1300" w:right="20" w:hanging="320"/>
        <w:spacing w:after="0" w:line="268" w:lineRule="auto"/>
        <w:tabs>
          <w:tab w:leader="none" w:pos="128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[Omitted];</w:t>
      </w:r>
    </w:p>
    <w:p>
      <w:pPr>
        <w:spacing w:after="0" w:line="157" w:lineRule="exact"/>
        <w:rPr>
          <w:rFonts w:ascii="Arial" w:cs="Arial" w:eastAsia="Arial" w:hAnsi="Arial"/>
          <w:sz w:val="18"/>
          <w:szCs w:val="18"/>
          <w:color w:val="auto"/>
        </w:rPr>
      </w:pPr>
    </w:p>
    <w:p>
      <w:pPr>
        <w:ind w:left="1300" w:right="300" w:hanging="320"/>
        <w:spacing w:after="0" w:line="268" w:lineRule="auto"/>
        <w:tabs>
          <w:tab w:leader="none" w:pos="1291"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300" w:right="60" w:hanging="320"/>
        <w:spacing w:after="0" w:line="268" w:lineRule="auto"/>
        <w:tabs>
          <w:tab w:leader="none" w:pos="128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Arial" w:cs="Arial" w:eastAsia="Arial" w:hAnsi="Arial"/>
          <w:sz w:val="18"/>
          <w:szCs w:val="18"/>
          <w:color w:val="auto"/>
        </w:rPr>
      </w:pPr>
    </w:p>
    <w:p>
      <w:pPr>
        <w:ind w:left="660" w:right="360" w:hanging="328"/>
        <w:spacing w:after="0" w:line="268"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Arial" w:cs="Arial" w:eastAsia="Arial" w:hAnsi="Arial"/>
          <w:sz w:val="18"/>
          <w:szCs w:val="18"/>
          <w:color w:val="auto"/>
        </w:rPr>
      </w:pPr>
    </w:p>
    <w:p>
      <w:pPr>
        <w:jc w:val="both"/>
        <w:ind w:left="1300" w:right="440" w:hanging="320"/>
        <w:spacing w:after="0" w:line="268" w:lineRule="auto"/>
        <w:tabs>
          <w:tab w:leader="none" w:pos="128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300" w:right="780" w:hanging="320"/>
        <w:spacing w:after="0" w:line="287" w:lineRule="auto"/>
        <w:tabs>
          <w:tab w:leader="none" w:pos="128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340" w:type="dxa"/>
            <w:vAlign w:val="bottom"/>
          </w:tcPr>
          <w:p>
            <w:pPr>
              <w:spacing w:after="0"/>
              <w:rPr>
                <w:sz w:val="20"/>
                <w:szCs w:val="20"/>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Barrett</w:t>
            </w:r>
          </w:p>
        </w:tc>
        <w:tc>
          <w:tcPr>
            <w:tcW w:w="0" w:type="dxa"/>
            <w:vAlign w:val="bottom"/>
          </w:tcPr>
          <w:p>
            <w:pPr>
              <w:spacing w:after="0"/>
              <w:rPr>
                <w:sz w:val="1"/>
                <w:szCs w:val="1"/>
                <w:color w:val="auto"/>
              </w:rPr>
            </w:pPr>
          </w:p>
        </w:tc>
      </w:tr>
      <w:tr>
        <w:trPr>
          <w:trHeight w:val="218"/>
        </w:trPr>
        <w:tc>
          <w:tcPr>
            <w:tcW w:w="63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David Barrett</w:t>
            </w:r>
          </w:p>
        </w:tc>
        <w:tc>
          <w:tcPr>
            <w:tcW w:w="0" w:type="dxa"/>
            <w:vAlign w:val="bottom"/>
          </w:tcPr>
          <w:p>
            <w:pPr>
              <w:spacing w:after="0"/>
              <w:rPr>
                <w:sz w:val="1"/>
                <w:szCs w:val="1"/>
                <w:color w:val="auto"/>
              </w:rPr>
            </w:pPr>
          </w:p>
        </w:tc>
      </w:tr>
      <w:tr>
        <w:trPr>
          <w:trHeight w:val="231"/>
        </w:trPr>
        <w:tc>
          <w:tcPr>
            <w:tcW w:w="6340" w:type="dxa"/>
            <w:vAlign w:val="bottom"/>
            <w:vMerge w:val="restart"/>
          </w:tcPr>
          <w:p>
            <w:pPr>
              <w:spacing w:after="0"/>
              <w:rPr>
                <w:sz w:val="20"/>
                <w:szCs w:val="20"/>
                <w:color w:val="auto"/>
              </w:rPr>
            </w:pPr>
            <w:r>
              <w:rPr>
                <w:rFonts w:ascii="Arial" w:cs="Arial" w:eastAsia="Arial" w:hAnsi="Arial"/>
                <w:sz w:val="18"/>
                <w:szCs w:val="18"/>
                <w:color w:val="auto"/>
              </w:rPr>
              <w:t>Date: August 11, 2022</w:t>
            </w:r>
          </w:p>
        </w:tc>
        <w:tc>
          <w:tcPr>
            <w:tcW w:w="488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37"/>
        </w:trPr>
        <w:tc>
          <w:tcPr>
            <w:tcW w:w="6340" w:type="dxa"/>
            <w:vAlign w:val="bottom"/>
            <w:vMerge w:val="continue"/>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UNDER THE SECURITIES EXCHANGE ACT OF 1934, AS AMENDED,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Ryan Schaffer, certify that:</w:t>
      </w:r>
    </w:p>
    <w:p>
      <w:pPr>
        <w:spacing w:after="0" w:line="252"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Expensify, Inc.;</w:t>
      </w:r>
    </w:p>
    <w:p>
      <w:pPr>
        <w:spacing w:after="0" w:line="157"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Arial" w:cs="Arial" w:eastAsia="Arial" w:hAnsi="Arial"/>
          <w:sz w:val="18"/>
          <w:szCs w:val="18"/>
          <w:color w:val="auto"/>
        </w:rPr>
      </w:pPr>
    </w:p>
    <w:p>
      <w:pPr>
        <w:ind w:left="660" w:right="140" w:hanging="328"/>
        <w:spacing w:after="0" w:line="287"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85" w:lineRule="exact"/>
        <w:rPr>
          <w:rFonts w:ascii="Arial" w:cs="Arial" w:eastAsia="Arial" w:hAnsi="Arial"/>
          <w:sz w:val="18"/>
          <w:szCs w:val="18"/>
          <w:color w:val="auto"/>
        </w:rPr>
      </w:pPr>
    </w:p>
    <w:p>
      <w:pPr>
        <w:ind w:left="1300" w:right="20" w:hanging="320"/>
        <w:spacing w:after="0" w:line="268" w:lineRule="auto"/>
        <w:tabs>
          <w:tab w:leader="none" w:pos="128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1300" w:hanging="320"/>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[Omitted];</w:t>
      </w:r>
    </w:p>
    <w:p>
      <w:pPr>
        <w:spacing w:after="0" w:line="157" w:lineRule="exact"/>
        <w:rPr>
          <w:rFonts w:ascii="Arial" w:cs="Arial" w:eastAsia="Arial" w:hAnsi="Arial"/>
          <w:sz w:val="18"/>
          <w:szCs w:val="18"/>
          <w:color w:val="auto"/>
        </w:rPr>
      </w:pPr>
    </w:p>
    <w:p>
      <w:pPr>
        <w:ind w:left="1300" w:right="300" w:hanging="320"/>
        <w:spacing w:after="0" w:line="268" w:lineRule="auto"/>
        <w:tabs>
          <w:tab w:leader="none" w:pos="1291"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Arial" w:cs="Arial" w:eastAsia="Arial" w:hAnsi="Arial"/>
          <w:sz w:val="18"/>
          <w:szCs w:val="18"/>
          <w:color w:val="auto"/>
        </w:rPr>
      </w:pPr>
    </w:p>
    <w:p>
      <w:pPr>
        <w:ind w:left="1300" w:right="60" w:hanging="320"/>
        <w:spacing w:after="0" w:line="268" w:lineRule="auto"/>
        <w:tabs>
          <w:tab w:leader="none" w:pos="128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660" w:right="360" w:hanging="328"/>
        <w:spacing w:after="0" w:line="268"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Arial" w:cs="Arial" w:eastAsia="Arial" w:hAnsi="Arial"/>
          <w:sz w:val="18"/>
          <w:szCs w:val="18"/>
          <w:color w:val="auto"/>
        </w:rPr>
      </w:pPr>
    </w:p>
    <w:p>
      <w:pPr>
        <w:jc w:val="both"/>
        <w:ind w:left="1300" w:right="440" w:hanging="320"/>
        <w:spacing w:after="0" w:line="268" w:lineRule="auto"/>
        <w:tabs>
          <w:tab w:leader="none" w:pos="128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Arial" w:cs="Arial" w:eastAsia="Arial" w:hAnsi="Arial"/>
          <w:sz w:val="18"/>
          <w:szCs w:val="18"/>
          <w:color w:val="auto"/>
        </w:rPr>
      </w:pPr>
    </w:p>
    <w:p>
      <w:pPr>
        <w:ind w:left="1300" w:right="780" w:hanging="320"/>
        <w:spacing w:after="0" w:line="287" w:lineRule="auto"/>
        <w:tabs>
          <w:tab w:leader="none" w:pos="128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340" w:type="dxa"/>
            <w:vAlign w:val="bottom"/>
          </w:tcPr>
          <w:p>
            <w:pPr>
              <w:spacing w:after="0"/>
              <w:rPr>
                <w:sz w:val="20"/>
                <w:szCs w:val="20"/>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Ryan Schaffer</w:t>
            </w:r>
          </w:p>
        </w:tc>
        <w:tc>
          <w:tcPr>
            <w:tcW w:w="0" w:type="dxa"/>
            <w:vAlign w:val="bottom"/>
          </w:tcPr>
          <w:p>
            <w:pPr>
              <w:spacing w:after="0"/>
              <w:rPr>
                <w:sz w:val="1"/>
                <w:szCs w:val="1"/>
                <w:color w:val="auto"/>
              </w:rPr>
            </w:pPr>
          </w:p>
        </w:tc>
      </w:tr>
      <w:tr>
        <w:trPr>
          <w:trHeight w:val="218"/>
        </w:trPr>
        <w:tc>
          <w:tcPr>
            <w:tcW w:w="63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Ryan Schaffer</w:t>
            </w:r>
          </w:p>
        </w:tc>
        <w:tc>
          <w:tcPr>
            <w:tcW w:w="0" w:type="dxa"/>
            <w:vAlign w:val="bottom"/>
          </w:tcPr>
          <w:p>
            <w:pPr>
              <w:spacing w:after="0"/>
              <w:rPr>
                <w:sz w:val="1"/>
                <w:szCs w:val="1"/>
                <w:color w:val="auto"/>
              </w:rPr>
            </w:pPr>
          </w:p>
        </w:tc>
      </w:tr>
      <w:tr>
        <w:trPr>
          <w:trHeight w:val="232"/>
        </w:trPr>
        <w:tc>
          <w:tcPr>
            <w:tcW w:w="6340" w:type="dxa"/>
            <w:vAlign w:val="bottom"/>
            <w:vMerge w:val="restart"/>
          </w:tcPr>
          <w:p>
            <w:pPr>
              <w:spacing w:after="0"/>
              <w:rPr>
                <w:sz w:val="20"/>
                <w:szCs w:val="20"/>
                <w:color w:val="auto"/>
              </w:rPr>
            </w:pPr>
            <w:r>
              <w:rPr>
                <w:rFonts w:ascii="Arial" w:cs="Arial" w:eastAsia="Arial" w:hAnsi="Arial"/>
                <w:sz w:val="18"/>
                <w:szCs w:val="18"/>
                <w:color w:val="auto"/>
              </w:rPr>
              <w:t>Date: August 11, 2022</w:t>
            </w:r>
          </w:p>
        </w:tc>
        <w:tc>
          <w:tcPr>
            <w:tcW w:w="488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7"/>
        </w:trPr>
        <w:tc>
          <w:tcPr>
            <w:tcW w:w="6340" w:type="dxa"/>
            <w:vAlign w:val="bottom"/>
            <w:vMerge w:val="continue"/>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Expensify, Inc. (the “Company”) hereby certifies, to such officer’s knowledge, that:</w:t>
      </w:r>
    </w:p>
    <w:p>
      <w:pPr>
        <w:spacing w:after="0" w:line="180" w:lineRule="exact"/>
        <w:rPr>
          <w:sz w:val="20"/>
          <w:szCs w:val="20"/>
          <w:color w:val="auto"/>
        </w:rPr>
      </w:pPr>
    </w:p>
    <w:p>
      <w:pPr>
        <w:ind w:firstLine="208"/>
        <w:spacing w:after="0" w:line="268" w:lineRule="auto"/>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June 30, 2022 as filed with the Securities and Exchange Commission on the date hereof (the “Report”) fully complies with the requirements of Section 13(a) or Section 15(d), as applicable, of the Securities Exchange Act of 1934, as amended; and</w:t>
      </w:r>
    </w:p>
    <w:p>
      <w:pPr>
        <w:spacing w:after="0" w:line="197" w:lineRule="exact"/>
        <w:rPr>
          <w:rFonts w:ascii="Arial" w:cs="Arial" w:eastAsia="Arial" w:hAnsi="Arial"/>
          <w:sz w:val="18"/>
          <w:szCs w:val="18"/>
          <w:color w:val="auto"/>
        </w:rPr>
      </w:pPr>
    </w:p>
    <w:p>
      <w:pPr>
        <w:ind w:right="120" w:firstLine="208"/>
        <w:spacing w:after="0" w:line="287"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340" w:type="dxa"/>
            <w:vAlign w:val="bottom"/>
          </w:tcPr>
          <w:p>
            <w:pPr>
              <w:spacing w:after="0"/>
              <w:rPr>
                <w:sz w:val="20"/>
                <w:szCs w:val="20"/>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Barrett</w:t>
            </w:r>
          </w:p>
        </w:tc>
        <w:tc>
          <w:tcPr>
            <w:tcW w:w="0" w:type="dxa"/>
            <w:vAlign w:val="bottom"/>
          </w:tcPr>
          <w:p>
            <w:pPr>
              <w:spacing w:after="0"/>
              <w:rPr>
                <w:sz w:val="1"/>
                <w:szCs w:val="1"/>
                <w:color w:val="auto"/>
              </w:rPr>
            </w:pPr>
          </w:p>
        </w:tc>
      </w:tr>
      <w:tr>
        <w:trPr>
          <w:trHeight w:val="218"/>
        </w:trPr>
        <w:tc>
          <w:tcPr>
            <w:tcW w:w="63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David Barrett</w:t>
            </w:r>
          </w:p>
        </w:tc>
        <w:tc>
          <w:tcPr>
            <w:tcW w:w="0" w:type="dxa"/>
            <w:vAlign w:val="bottom"/>
          </w:tcPr>
          <w:p>
            <w:pPr>
              <w:spacing w:after="0"/>
              <w:rPr>
                <w:sz w:val="1"/>
                <w:szCs w:val="1"/>
                <w:color w:val="auto"/>
              </w:rPr>
            </w:pPr>
          </w:p>
        </w:tc>
      </w:tr>
      <w:tr>
        <w:trPr>
          <w:trHeight w:val="232"/>
        </w:trPr>
        <w:tc>
          <w:tcPr>
            <w:tcW w:w="6340" w:type="dxa"/>
            <w:vAlign w:val="bottom"/>
            <w:vMerge w:val="restart"/>
          </w:tcPr>
          <w:p>
            <w:pPr>
              <w:spacing w:after="0"/>
              <w:rPr>
                <w:sz w:val="20"/>
                <w:szCs w:val="20"/>
                <w:color w:val="auto"/>
              </w:rPr>
            </w:pPr>
            <w:r>
              <w:rPr>
                <w:rFonts w:ascii="Arial" w:cs="Arial" w:eastAsia="Arial" w:hAnsi="Arial"/>
                <w:sz w:val="18"/>
                <w:szCs w:val="18"/>
                <w:color w:val="auto"/>
              </w:rPr>
              <w:t>Date: August 11, 2022</w:t>
            </w:r>
          </w:p>
        </w:tc>
        <w:tc>
          <w:tcPr>
            <w:tcW w:w="488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37"/>
        </w:trPr>
        <w:tc>
          <w:tcPr>
            <w:tcW w:w="6340" w:type="dxa"/>
            <w:vAlign w:val="bottom"/>
            <w:vMerge w:val="continue"/>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Expensify, Inc. (the “Company”) hereby certifies, to such officer’s knowledge, that:</w:t>
      </w:r>
    </w:p>
    <w:p>
      <w:pPr>
        <w:spacing w:after="0" w:line="180" w:lineRule="exact"/>
        <w:rPr>
          <w:sz w:val="20"/>
          <w:szCs w:val="20"/>
          <w:color w:val="auto"/>
        </w:rPr>
      </w:pPr>
    </w:p>
    <w:p>
      <w:pPr>
        <w:ind w:firstLine="208"/>
        <w:spacing w:after="0" w:line="268" w:lineRule="auto"/>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June 30, 2022 as filed with the Securities and Exchange Commission on the date hereof (the “Report”) fully complies with the requirements of Section 13(a) or Section 15(d), as applicable, of the Securities Exchange Act of 1934, as amended; and</w:t>
      </w:r>
    </w:p>
    <w:p>
      <w:pPr>
        <w:spacing w:after="0" w:line="197" w:lineRule="exact"/>
        <w:rPr>
          <w:rFonts w:ascii="Arial" w:cs="Arial" w:eastAsia="Arial" w:hAnsi="Arial"/>
          <w:sz w:val="18"/>
          <w:szCs w:val="18"/>
          <w:color w:val="auto"/>
        </w:rPr>
      </w:pPr>
    </w:p>
    <w:p>
      <w:pPr>
        <w:ind w:right="120" w:firstLine="208"/>
        <w:spacing w:after="0" w:line="287"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340" w:type="dxa"/>
            <w:vAlign w:val="bottom"/>
          </w:tcPr>
          <w:p>
            <w:pPr>
              <w:spacing w:after="0"/>
              <w:rPr>
                <w:sz w:val="20"/>
                <w:szCs w:val="20"/>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Ryan Schaffer</w:t>
            </w:r>
          </w:p>
        </w:tc>
        <w:tc>
          <w:tcPr>
            <w:tcW w:w="0" w:type="dxa"/>
            <w:vAlign w:val="bottom"/>
          </w:tcPr>
          <w:p>
            <w:pPr>
              <w:spacing w:after="0"/>
              <w:rPr>
                <w:sz w:val="1"/>
                <w:szCs w:val="1"/>
                <w:color w:val="auto"/>
              </w:rPr>
            </w:pPr>
          </w:p>
        </w:tc>
      </w:tr>
      <w:tr>
        <w:trPr>
          <w:trHeight w:val="218"/>
        </w:trPr>
        <w:tc>
          <w:tcPr>
            <w:tcW w:w="63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Ryan Schaffer</w:t>
            </w:r>
          </w:p>
        </w:tc>
        <w:tc>
          <w:tcPr>
            <w:tcW w:w="0" w:type="dxa"/>
            <w:vAlign w:val="bottom"/>
          </w:tcPr>
          <w:p>
            <w:pPr>
              <w:spacing w:after="0"/>
              <w:rPr>
                <w:sz w:val="1"/>
                <w:szCs w:val="1"/>
                <w:color w:val="auto"/>
              </w:rPr>
            </w:pPr>
          </w:p>
        </w:tc>
      </w:tr>
      <w:tr>
        <w:trPr>
          <w:trHeight w:val="232"/>
        </w:trPr>
        <w:tc>
          <w:tcPr>
            <w:tcW w:w="6340" w:type="dxa"/>
            <w:vAlign w:val="bottom"/>
            <w:vMerge w:val="restart"/>
          </w:tcPr>
          <w:p>
            <w:pPr>
              <w:spacing w:after="0"/>
              <w:rPr>
                <w:sz w:val="20"/>
                <w:szCs w:val="20"/>
                <w:color w:val="auto"/>
              </w:rPr>
            </w:pPr>
            <w:r>
              <w:rPr>
                <w:rFonts w:ascii="Arial" w:cs="Arial" w:eastAsia="Arial" w:hAnsi="Arial"/>
                <w:sz w:val="18"/>
                <w:szCs w:val="18"/>
                <w:color w:val="auto"/>
              </w:rPr>
              <w:t>Date: August 11, 2022</w:t>
            </w:r>
          </w:p>
        </w:tc>
        <w:tc>
          <w:tcPr>
            <w:tcW w:w="488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7"/>
        </w:trPr>
        <w:tc>
          <w:tcPr>
            <w:tcW w:w="6340" w:type="dxa"/>
            <w:vAlign w:val="bottom"/>
            <w:vMerge w:val="continue"/>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o"/>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5"/>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lowerRoman"/>
      <w:start w:val="1"/>
    </w:lvl>
  </w:abstractNum>
  <w:abstractNum w:abstractNumId="7">
    <w:nsid w:val="257130A3"/>
    <w:multiLevelType w:val="hybridMultilevel"/>
    <w:lvl w:ilvl="0">
      <w:lvlJc w:val="left"/>
      <w:lvlText w:val="(%1)"/>
      <w:numFmt w:val="lowerRoman"/>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1">
    <w:nsid w:val="333AB105"/>
    <w:multiLevelType w:val="hybridMultilevel"/>
    <w:lvl w:ilvl="0">
      <w:lvlJc w:val="left"/>
      <w:lvlText w:val="%1."/>
      <w:numFmt w:val="decimal"/>
      <w:start w:val="2"/>
    </w:lvl>
    <w:lvl w:ilvl="1">
      <w:lvlJc w:val="left"/>
      <w:lvlText w:val="%2"/>
      <w:numFmt w:val="decimal"/>
      <w:start w:val="1"/>
    </w:lvl>
    <w:lvl w:ilvl="2">
      <w:lvlJc w:val="left"/>
      <w:lvlText w:val="%3."/>
      <w:numFmt w:val="decimal"/>
      <w:start w:val="3"/>
    </w:lvl>
  </w:abstractNum>
  <w:abstractNum w:abstractNumId="12">
    <w:nsid w:val="721DA317"/>
    <w:multiLevelType w:val="hybridMultilevel"/>
    <w:lvl w:ilvl="0">
      <w:lvlJc w:val="left"/>
      <w:lvlText w:val="%1"/>
      <w:numFmt w:val="decimal"/>
      <w:start w:val="1"/>
    </w:lvl>
    <w:lvl w:ilvl="1">
      <w:lvlJc w:val="left"/>
      <w:lvlText w:val="(%2)"/>
      <w:numFmt w:val="upperLetter"/>
      <w:start w:val="1"/>
    </w:lvl>
  </w:abstractNum>
  <w:abstractNum w:abstractNumId="13">
    <w:nsid w:val="2443A858"/>
    <w:multiLevelType w:val="hybridMultilevel"/>
    <w:lvl w:ilvl="0">
      <w:lvlJc w:val="left"/>
      <w:lvlText w:val="(%1)"/>
      <w:numFmt w:val="decimal"/>
      <w:start w:val="1"/>
    </w:lvl>
    <w:lvl w:ilvl="1">
      <w:lvlJc w:val="left"/>
      <w:lvlText w:val="(%2)"/>
      <w:numFmt w:val="upperLetter"/>
      <w:start w:val="3"/>
    </w:lvl>
  </w:abstractNum>
  <w:abstractNum w:abstractNumId="14">
    <w:nsid w:val="2D1D5AE9"/>
    <w:multiLevelType w:val="hybridMultilevel"/>
    <w:lvl w:ilvl="0">
      <w:lvlJc w:val="left"/>
      <w:lvlText w:val="(%1)"/>
      <w:numFmt w:val="upperLetter"/>
      <w:start w:val="4"/>
    </w:lvl>
    <w:lvl w:ilvl="1">
      <w:lvlJc w:val="left"/>
      <w:lvlText w:val="(%2)"/>
      <w:numFmt w:val="lowerRoman"/>
      <w:start w:val="1"/>
    </w:lvl>
  </w:abstractNum>
  <w:abstractNum w:abstractNumId="15">
    <w:nsid w:val="6763845E"/>
    <w:multiLevelType w:val="hybridMultilevel"/>
    <w:lvl w:ilvl="0">
      <w:lvlJc w:val="left"/>
      <w:lvlText w:val="(%1)"/>
      <w:numFmt w:val="decimal"/>
      <w:start w:val="1"/>
    </w:lvl>
    <w:lvl w:ilvl="1">
      <w:lvlJc w:val="left"/>
      <w:lvlText w:val="(%2)"/>
      <w:numFmt w:val="upperLetter"/>
      <w:start w:val="6"/>
    </w:lvl>
    <w:lvl w:ilvl="2">
      <w:lvlJc w:val="left"/>
      <w:lvlText w:val="(%3)"/>
      <w:numFmt w:val="lowerRoman"/>
      <w:start w:val="2"/>
    </w:lvl>
  </w:abstractNum>
  <w:abstractNum w:abstractNumId="16">
    <w:nsid w:val="75A2A8D4"/>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7">
    <w:nsid w:val="8EDBDAB"/>
    <w:multiLevelType w:val="hybridMultilevel"/>
    <w:lvl w:ilvl="0">
      <w:lvlJc w:val="left"/>
      <w:lvlText w:val="(%1)"/>
      <w:numFmt w:val="lowerRoman"/>
      <w:start w:val="3"/>
    </w:lvl>
  </w:abstractNum>
  <w:abstractNum w:abstractNumId="18">
    <w:nsid w:val="79838CB2"/>
    <w:multiLevelType w:val="hybridMultilevel"/>
    <w:lvl w:ilvl="0">
      <w:lvlJc w:val="left"/>
      <w:lvlText w:val="(%1)"/>
      <w:numFmt w:val="lowerRoman"/>
      <w:start w:val="9"/>
    </w:lvl>
  </w:abstractNum>
  <w:abstractNum w:abstractNumId="19">
    <w:nsid w:val="4353D0CD"/>
    <w:multiLevelType w:val="hybridMultilevel"/>
    <w:lvl w:ilvl="0">
      <w:lvlJc w:val="left"/>
      <w:lvlText w:val="(%1)"/>
      <w:numFmt w:val="upperLetter"/>
      <w:start w:val="8"/>
    </w:lvl>
    <w:lvl w:ilvl="1">
      <w:lvlJc w:val="left"/>
      <w:lvlText w:val="(%2)"/>
      <w:numFmt w:val="lowerRoman"/>
      <w:start w:val="1"/>
    </w:lvl>
  </w:abstractNum>
  <w:abstractNum w:abstractNumId="20">
    <w:nsid w:val="B03E0C6"/>
    <w:multiLevelType w:val="hybridMultilevel"/>
    <w:lvl w:ilvl="0">
      <w:lvlJc w:val="left"/>
      <w:lvlText w:val="(%1)"/>
      <w:numFmt w:val="lowerRoman"/>
      <w:start w:val="4"/>
    </w:lvl>
  </w:abstractNum>
  <w:abstractNum w:abstractNumId="21">
    <w:nsid w:val="189A769B"/>
    <w:multiLevelType w:val="hybridMultilevel"/>
    <w:lvl w:ilvl="0">
      <w:lvlJc w:val="left"/>
      <w:lvlText w:val="(%1)"/>
      <w:numFmt w:val="upperLetter"/>
      <w:start w:val="1"/>
    </w:lvl>
  </w:abstractNum>
  <w:abstractNum w:abstractNumId="22">
    <w:nsid w:val="54E49EB4"/>
    <w:multiLevelType w:val="hybridMultilevel"/>
    <w:lvl w:ilvl="0">
      <w:lvlJc w:val="left"/>
      <w:lvlText w:val="(%1)"/>
      <w:numFmt w:val="upperLetter"/>
      <w:start w:val="1"/>
    </w:lvl>
  </w:abstractNum>
  <w:abstractNum w:abstractNumId="23">
    <w:nsid w:val="71F32454"/>
    <w:multiLevelType w:val="hybridMultilevel"/>
    <w:lvl w:ilvl="0">
      <w:lvlJc w:val="left"/>
      <w:lvlText w:val="(%1)"/>
      <w:numFmt w:val="lowerRoman"/>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lowerRoman"/>
      <w:start w:val="1"/>
    </w:lvl>
  </w:abstractNum>
  <w:abstractNum w:abstractNumId="30">
    <w:nsid w:val="7C3DBD3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1" Type="http://schemas.openxmlformats.org/officeDocument/2006/relationships/hyperlink" Target="https://www.sec.gov/Archives/edgar/data/0001476840/000162828021023404/exhibit32-8xkclosin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2022-08-13T14:50:13Z</dcterms:created>
  <dcterms:modified xsi:type="dcterms:W3CDTF">2022-08-13T14:50:13Z</dcterms:modified>
</cp:coreProperties>
</file>