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 – Exit Filing)*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562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660" w:right="9360" w:hanging="4"/>
        <w:spacing w:after="0" w:line="224" w:lineRule="exact"/>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w:t>
      </w:r>
      <w:r>
        <w:rPr>
          <w:rFonts w:ascii="Arial" w:cs="Arial" w:eastAsia="Arial" w:hAnsi="Arial"/>
          <w:sz w:val="18"/>
          <w:szCs w:val="18"/>
          <w:i w:val="1"/>
          <w:iCs w:val="1"/>
          <w:color w:val="auto"/>
        </w:rPr>
        <w:t>filed</w:t>
      </w:r>
      <w:r>
        <w:rPr>
          <w:rFonts w:ascii="Arial" w:cs="Arial" w:eastAsia="Arial" w:hAnsi="Arial"/>
          <w:sz w:val="18"/>
          <w:szCs w:val="18"/>
          <w:color w:val="auto"/>
        </w:rPr>
        <w:t>”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CUSIP No. 30219Q106</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3580" w:type="dxa"/>
            <w:vAlign w:val="bottom"/>
            <w:tcBorders>
              <w:right w:val="single" w:sz="8" w:color="auto"/>
            </w:tcBorders>
          </w:tcPr>
          <w:p>
            <w:pPr>
              <w:ind w:left="1100"/>
              <w:spacing w:after="0"/>
              <w:rPr>
                <w:sz w:val="20"/>
                <w:szCs w:val="20"/>
                <w:color w:val="auto"/>
              </w:rPr>
            </w:pPr>
            <w:r>
              <w:rPr>
                <w:rFonts w:ascii="Arial" w:cs="Arial" w:eastAsia="Arial" w:hAnsi="Arial"/>
                <w:sz w:val="18"/>
                <w:szCs w:val="18"/>
                <w:b w:val="1"/>
                <w:bCs w:val="1"/>
                <w:color w:val="auto"/>
              </w:rPr>
              <w:t>SCHEDULE 13G</w:t>
            </w:r>
          </w:p>
        </w:tc>
        <w:tc>
          <w:tcPr>
            <w:tcW w:w="38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2 of 5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gridSpan w:val="5"/>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040" w:type="dxa"/>
            <w:vAlign w:val="bottom"/>
            <w:gridSpan w:val="5"/>
          </w:tcPr>
          <w:p>
            <w:pPr>
              <w:ind w:left="40"/>
              <w:spacing w:after="0"/>
              <w:rPr>
                <w:sz w:val="20"/>
                <w:szCs w:val="20"/>
                <w:color w:val="auto"/>
              </w:rPr>
            </w:pPr>
            <w:r>
              <w:rPr>
                <w:rFonts w:ascii="Arial" w:cs="Arial" w:eastAsia="Arial" w:hAnsi="Arial"/>
                <w:sz w:val="18"/>
                <w:szCs w:val="18"/>
                <w:b w:val="1"/>
                <w:bCs w:val="1"/>
                <w:color w:val="auto"/>
              </w:rPr>
              <w:t>David Martirano</w:t>
            </w: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040" w:type="dxa"/>
            <w:vAlign w:val="bottom"/>
            <w:tcBorders>
              <w:bottom w:val="single" w:sz="8" w:color="auto"/>
            </w:tcBorders>
            <w:gridSpan w:val="5"/>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140" w:type="dxa"/>
            <w:vAlign w:val="bottom"/>
            <w:tcBorders>
              <w:right w:val="single" w:sz="8" w:color="BFBFBF"/>
            </w:tcBorders>
            <w:shd w:val="clear" w:color="auto" w:fill="BFBFBF"/>
          </w:tcPr>
          <w:p>
            <w:pPr>
              <w:spacing w:after="0"/>
              <w:rPr>
                <w:sz w:val="20"/>
                <w:szCs w:val="20"/>
                <w:color w:val="auto"/>
              </w:rPr>
            </w:pPr>
          </w:p>
        </w:tc>
        <w:tc>
          <w:tcPr>
            <w:tcW w:w="358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58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74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United States</w:t>
            </w: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2"/>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1,186,466 Shares</w:t>
            </w: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2"/>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58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3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2"/>
            <w:vMerge w:val="restart"/>
          </w:tcPr>
          <w:p>
            <w:pPr>
              <w:ind w:left="20"/>
              <w:spacing w:after="0"/>
              <w:rPr>
                <w:sz w:val="20"/>
                <w:szCs w:val="20"/>
                <w:color w:val="auto"/>
              </w:rPr>
            </w:pPr>
            <w:r>
              <w:rPr>
                <w:rFonts w:ascii="Arial" w:cs="Arial" w:eastAsia="Arial" w:hAnsi="Arial"/>
                <w:sz w:val="18"/>
                <w:szCs w:val="18"/>
                <w:color w:val="auto"/>
              </w:rPr>
              <w:t>1,186,466 Shares</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gridSpan w:val="2"/>
            <w:vMerge w:val="continue"/>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2"/>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0</w:t>
            </w:r>
          </w:p>
        </w:tc>
        <w:tc>
          <w:tcPr>
            <w:tcW w:w="358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88"/>
              </w:rPr>
              <w:t>1,186,466 Shares</w:t>
            </w: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740" w:type="dxa"/>
            <w:vAlign w:val="bottom"/>
            <w:tcBorders>
              <w:bottom w:val="single" w:sz="8" w:color="auto"/>
            </w:tcBorders>
            <w:gridSpan w:val="3"/>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gridSpan w:val="3"/>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ind w:left="140"/>
        <w:spacing w:after="0"/>
        <w:tabs>
          <w:tab w:leader="none" w:pos="4940" w:val="left"/>
          <w:tab w:leader="none" w:pos="75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-127635</wp:posOffset>
            </wp:positionV>
            <wp:extent cx="24257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570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44284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2845" cy="171450"/>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60" w:right="9340" w:hanging="328"/>
        <w:spacing w:after="0" w:line="563"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Expensify, Inc.</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401 SW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ind w:left="660"/>
        <w:spacing w:after="0"/>
        <w:rPr>
          <w:sz w:val="20"/>
          <w:szCs w:val="20"/>
          <w:color w:val="auto"/>
        </w:rPr>
      </w:pPr>
      <w:r>
        <w:rPr>
          <w:rFonts w:ascii="Arial" w:cs="Arial" w:eastAsia="Arial" w:hAnsi="Arial"/>
          <w:sz w:val="18"/>
          <w:szCs w:val="18"/>
          <w:color w:val="auto"/>
        </w:rPr>
        <w:t>Portland, Oregon 97209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Persons Filing:</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David Martirano (the “Reporting Person”)</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19" w:lineRule="exact"/>
        <w:rPr>
          <w:rFonts w:ascii="Arial" w:cs="Arial" w:eastAsia="Arial" w:hAnsi="Arial"/>
          <w:sz w:val="18"/>
          <w:szCs w:val="18"/>
          <w:b w:val="1"/>
          <w:bCs w:val="1"/>
          <w:color w:val="auto"/>
        </w:rPr>
      </w:pPr>
    </w:p>
    <w:p>
      <w:pPr>
        <w:ind w:left="660" w:right="8700"/>
        <w:spacing w:after="0" w:line="211" w:lineRule="auto"/>
        <w:rPr>
          <w:rFonts w:ascii="Arial" w:cs="Arial" w:eastAsia="Arial" w:hAnsi="Arial"/>
          <w:sz w:val="18"/>
          <w:szCs w:val="18"/>
          <w:b w:val="1"/>
          <w:bCs w:val="1"/>
          <w:color w:val="auto"/>
        </w:rPr>
      </w:pPr>
      <w:r>
        <w:rPr>
          <w:rFonts w:ascii="Arial" w:cs="Arial" w:eastAsia="Arial" w:hAnsi="Arial"/>
          <w:sz w:val="17"/>
          <w:szCs w:val="17"/>
          <w:color w:val="auto"/>
        </w:rPr>
        <w:t>50 Milk Street,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Boston, MA 02109</w:t>
      </w:r>
    </w:p>
    <w:p>
      <w:pPr>
        <w:spacing w:after="0" w:line="198" w:lineRule="exact"/>
        <w:rPr>
          <w:rFonts w:ascii="Arial" w:cs="Arial" w:eastAsia="Arial" w:hAnsi="Arial"/>
          <w:sz w:val="18"/>
          <w:szCs w:val="18"/>
          <w:b w:val="1"/>
          <w:bCs w:val="1"/>
          <w:color w:val="auto"/>
        </w:rPr>
      </w:pPr>
    </w:p>
    <w:p>
      <w:pPr>
        <w:jc w:val="both"/>
        <w:ind w:left="660" w:right="9600" w:hanging="328"/>
        <w:spacing w:after="0" w:line="601" w:lineRule="auto"/>
        <w:tabs>
          <w:tab w:leader="none" w:pos="6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Citizenship: </w:t>
      </w:r>
      <w:r>
        <w:rPr>
          <w:rFonts w:ascii="Arial" w:cs="Arial" w:eastAsia="Arial" w:hAnsi="Arial"/>
          <w:sz w:val="15"/>
          <w:szCs w:val="15"/>
          <w:color w:val="auto"/>
        </w:rPr>
        <w:t>United States</w:t>
      </w: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Class A Common Stock, $0.0001 par value per share (“Class A Common Stock”)</w:t>
      </w:r>
    </w:p>
    <w:p>
      <w:pPr>
        <w:spacing w:after="0" w:line="221" w:lineRule="exact"/>
        <w:rPr>
          <w:rFonts w:ascii="Arial" w:cs="Arial" w:eastAsia="Arial" w:hAnsi="Arial"/>
          <w:sz w:val="18"/>
          <w:szCs w:val="18"/>
          <w:b w:val="1"/>
          <w:bCs w:val="1"/>
          <w:color w:val="auto"/>
        </w:rPr>
      </w:pPr>
    </w:p>
    <w:p>
      <w:pPr>
        <w:ind w:left="660" w:right="9280" w:hanging="328"/>
        <w:spacing w:after="0" w:line="530"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30219Q106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The responses to Items 5-11 of the cover page of this Schedule 13G are incorporated herein by reference. The ownership information below represents the Reporting Person’s beneficial ownership of Class A Common Stock as of the date hereof, based upon 68,507,818 shares of Class A Common Stock outstanding as of May 5, 2023, as reported in the Issuer’s quarterly report on Form 10-Q for the quarterly period ended March 31, 2023, filed with the Securities and Exchange Commission (the “SEC”) on May 9,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line="23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 w:name="page4"/>
    <w:bookmarkEnd w:id="3"/>
    <w:p>
      <w:pPr>
        <w:ind w:left="140"/>
        <w:spacing w:after="0"/>
        <w:tabs>
          <w:tab w:leader="none" w:pos="4940" w:val="left"/>
          <w:tab w:leader="none" w:pos="75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-127635</wp:posOffset>
            </wp:positionV>
            <wp:extent cx="24257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4428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42845" cy="171450"/>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1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30219Q106</w:t>
            </w:r>
          </w:p>
        </w:tc>
        <w:tc>
          <w:tcPr>
            <w:tcW w:w="3580" w:type="dxa"/>
            <w:vAlign w:val="bottom"/>
            <w:tcBorders>
              <w:right w:val="single" w:sz="8" w:color="auto"/>
            </w:tcBorders>
          </w:tcPr>
          <w:p>
            <w:pPr>
              <w:ind w:left="1100"/>
              <w:spacing w:after="0"/>
              <w:rPr>
                <w:sz w:val="20"/>
                <w:szCs w:val="20"/>
                <w:color w:val="auto"/>
              </w:rPr>
            </w:pPr>
            <w:r>
              <w:rPr>
                <w:rFonts w:ascii="Arial" w:cs="Arial" w:eastAsia="Arial" w:hAnsi="Arial"/>
                <w:sz w:val="18"/>
                <w:szCs w:val="18"/>
                <w:b w:val="1"/>
                <w:bCs w:val="1"/>
                <w:color w:val="auto"/>
              </w:rPr>
              <w:t>SCHEDULE 13G</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5 Pages</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18, 2023</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David Martirano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23495</wp:posOffset>
            </wp:positionV>
            <wp:extent cx="21342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David Martirano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2023-08-29T05:16:54Z</dcterms:created>
  <dcterms:modified xsi:type="dcterms:W3CDTF">2023-08-29T05:16:54Z</dcterms:modified>
</cp:coreProperties>
</file>