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80" w:type="dxa"/>
            <w:vAlign w:val="bottom"/>
          </w:tcPr>
          <w:p>
            <w:pPr>
              <w:spacing w:after="0"/>
              <w:rPr>
                <w:sz w:val="21"/>
                <w:szCs w:val="21"/>
                <w:color w:val="auto"/>
              </w:rPr>
            </w:pPr>
          </w:p>
        </w:tc>
        <w:tc>
          <w:tcPr>
            <w:tcW w:w="308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80" w:type="dxa"/>
            <w:vAlign w:val="bottom"/>
          </w:tcPr>
          <w:p>
            <w:pPr>
              <w:spacing w:after="0"/>
              <w:rPr>
                <w:sz w:val="13"/>
                <w:szCs w:val="13"/>
                <w:color w:val="auto"/>
              </w:rPr>
            </w:pPr>
          </w:p>
        </w:tc>
        <w:tc>
          <w:tcPr>
            <w:tcW w:w="3080" w:type="dxa"/>
            <w:vAlign w:val="bottom"/>
            <w:vMerge w:val="restart"/>
          </w:tcPr>
          <w:p>
            <w:pPr>
              <w:ind w:left="152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6"/>
              </w:rPr>
              <w:t>Barrett Trust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561015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1548401.4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77155951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11/15/2024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3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04/29/2009 Founding shares</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Expensify, Inc.</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561015</w:t>
            </w:r>
          </w:p>
        </w:tc>
        <w:tc>
          <w:tcPr>
            <w:tcW w:w="2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04/29/2009 Founding Shares</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08/28/2024 645938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1511494.92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09/16/2024 11095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25296.6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09/17/2024 2173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4932.71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1"/>
          <w:szCs w:val="21"/>
          <w:color w:val="auto"/>
        </w:rPr>
        <w:t>Note: Barrett Trust LLC is a manager-managed limited liability company. The investment and voting decisions of Barrett Trust LLC are made by its manager, David Barrett, and its controlling member is the Barrett Family Trust, for which David Barrett serves as trustee. Note for 3(e): As of November 4, 2024, as stated in Issuer's quarterly report on Form 10-Q for the fiscal quarter ending September 30,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11/19/2024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08/15/2024</w:t>
      </w:r>
    </w:p>
    <w:p>
      <w:pPr>
        <w:spacing w:after="0" w:line="1098" w:lineRule="exact"/>
        <w:rPr>
          <w:sz w:val="20"/>
          <w:szCs w:val="20"/>
          <w:color w:val="auto"/>
        </w:rPr>
      </w:pPr>
    </w:p>
    <w:p>
      <w:pPr>
        <w:sectPr>
          <w:pgSz w:w="11900" w:h="16838" w:orient="portrait"/>
          <w:cols w:equalWidth="0" w:num="2">
            <w:col w:w="1460" w:space="340"/>
            <w:col w:w="94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2024-11-19T17:12:29Z</dcterms:created>
  <dcterms:modified xsi:type="dcterms:W3CDTF">2024-11-19T17:12:29Z</dcterms:modified>
</cp:coreProperties>
</file>