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4951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4951095"/>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tcPr>
          <w:p>
            <w:pPr>
              <w:spacing w:after="0" w:line="181" w:lineRule="exact"/>
              <w:rPr>
                <w:rFonts w:ascii="Arial" w:cs="Arial" w:eastAsia="Arial" w:hAnsi="Arial"/>
                <w:sz w:val="16"/>
                <w:szCs w:val="16"/>
                <w:color w:val="0000EE"/>
                <w:w w:val="86"/>
              </w:rPr>
            </w:pPr>
            <w:hyperlink r:id="rId11">
              <w:r>
                <w:rPr>
                  <w:rFonts w:ascii="Arial" w:cs="Arial" w:eastAsia="Arial" w:hAnsi="Arial"/>
                  <w:sz w:val="16"/>
                  <w:szCs w:val="16"/>
                  <w:color w:val="0000EE"/>
                  <w:w w:val="86"/>
                </w:rPr>
                <w:t>Schaffer Ryan</w:t>
              </w:r>
            </w:hyperlink>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0000EE"/>
            </w:tcBorders>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100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11/09/2021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0"/>
                <w:szCs w:val="10"/>
                <w:color w:val="auto"/>
              </w:rPr>
              <w:t>(Last)</w:t>
            </w:r>
          </w:p>
        </w:tc>
        <w:tc>
          <w:tcPr>
            <w:tcW w:w="1000" w:type="dxa"/>
            <w:vAlign w:val="bottom"/>
          </w:tcPr>
          <w:p>
            <w:pPr>
              <w:ind w:left="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3"/>
                <w:szCs w:val="13"/>
                <w:color w:val="0000FF"/>
              </w:rPr>
              <w:t>C/O EXPENSIFY, INC.</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3"/>
                <w:szCs w:val="13"/>
                <w:color w:val="0000FF"/>
                <w:w w:val="94"/>
              </w:rPr>
              <w:t>401 SW 5TH AVE</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04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3"/>
                <w:szCs w:val="13"/>
                <w:color w:val="0000FF"/>
              </w:rPr>
              <w:t>PORTLAND</w:t>
            </w:r>
          </w:p>
        </w:tc>
        <w:tc>
          <w:tcPr>
            <w:tcW w:w="1000" w:type="dxa"/>
            <w:vAlign w:val="bottom"/>
          </w:tcPr>
          <w:p>
            <w:pPr>
              <w:ind w:left="40"/>
              <w:spacing w:after="0"/>
              <w:rPr>
                <w:sz w:val="20"/>
                <w:szCs w:val="20"/>
                <w:color w:val="auto"/>
              </w:rPr>
            </w:pPr>
            <w:r>
              <w:rPr>
                <w:rFonts w:ascii="Arial" w:cs="Arial" w:eastAsia="Arial" w:hAnsi="Arial"/>
                <w:sz w:val="13"/>
                <w:szCs w:val="13"/>
                <w:color w:val="0000FF"/>
              </w:rPr>
              <w:t>OR</w:t>
            </w:r>
          </w:p>
        </w:tc>
        <w:tc>
          <w:tcPr>
            <w:tcW w:w="1140" w:type="dxa"/>
            <w:vAlign w:val="bottom"/>
          </w:tcPr>
          <w:p>
            <w:pPr>
              <w:ind w:left="100"/>
              <w:spacing w:after="0"/>
              <w:rPr>
                <w:sz w:val="20"/>
                <w:szCs w:val="20"/>
                <w:color w:val="auto"/>
              </w:rPr>
            </w:pPr>
            <w:r>
              <w:rPr>
                <w:rFonts w:ascii="Arial" w:cs="Arial" w:eastAsia="Arial" w:hAnsi="Arial"/>
                <w:sz w:val="13"/>
                <w:szCs w:val="13"/>
                <w:color w:val="0000FF"/>
              </w:rPr>
              <w:t>97204</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Expensify,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182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980" w:type="dxa"/>
        <w:tblCellMar>
          <w:top w:w="0" w:type="dxa"/>
          <w:left w:w="0" w:type="dxa"/>
          <w:bottom w:w="0" w:type="dxa"/>
          <w:right w:w="0" w:type="dxa"/>
        </w:tblCellMar>
      </w:tblPr>
      <w:tr>
        <w:trPr>
          <w:trHeight w:val="156"/>
        </w:trPr>
        <w:tc>
          <w:tcPr>
            <w:tcW w:w="1980" w:type="dxa"/>
            <w:vAlign w:val="bottom"/>
          </w:tcPr>
          <w:p>
            <w:pPr>
              <w:spacing w:after="0"/>
              <w:rPr>
                <w:sz w:val="20"/>
                <w:szCs w:val="20"/>
                <w:color w:val="auto"/>
              </w:rPr>
            </w:pPr>
            <w:r>
              <w:rPr>
                <w:rFonts w:ascii="Arial" w:cs="Arial" w:eastAsia="Arial" w:hAnsi="Arial"/>
                <w:sz w:val="13"/>
                <w:szCs w:val="13"/>
                <w:color w:val="0000FF"/>
              </w:rPr>
              <w:t>Chief Financial Officer</w:t>
            </w:r>
          </w:p>
        </w:tc>
        <w:tc>
          <w:tcPr>
            <w:tcW w:w="2860" w:type="dxa"/>
            <w:vAlign w:val="bottom"/>
            <w:vMerge w:val="restart"/>
          </w:tcPr>
          <w:p>
            <w:pPr>
              <w:ind w:left="780"/>
              <w:spacing w:after="0"/>
              <w:rPr>
                <w:sz w:val="20"/>
                <w:szCs w:val="20"/>
                <w:color w:val="auto"/>
              </w:rPr>
            </w:pPr>
            <w:r>
              <w:rPr>
                <w:rFonts w:ascii="Arial" w:cs="Arial" w:eastAsia="Arial" w:hAnsi="Arial"/>
                <w:sz w:val="10"/>
                <w:szCs w:val="10"/>
                <w:color w:val="auto"/>
                <w:w w:val="99"/>
              </w:rPr>
              <w:t>Form filed by More than One Reporting Person</w:t>
            </w:r>
          </w:p>
        </w:tc>
        <w:tc>
          <w:tcPr>
            <w:tcW w:w="0" w:type="dxa"/>
            <w:vAlign w:val="bottom"/>
          </w:tcPr>
          <w:p>
            <w:pPr>
              <w:spacing w:after="0"/>
              <w:rPr>
                <w:sz w:val="1"/>
                <w:szCs w:val="1"/>
                <w:color w:val="auto"/>
              </w:rPr>
            </w:pPr>
          </w:p>
        </w:tc>
      </w:tr>
      <w:tr>
        <w:trPr>
          <w:trHeight w:val="30"/>
        </w:trPr>
        <w:tc>
          <w:tcPr>
            <w:tcW w:w="1980" w:type="dxa"/>
            <w:vAlign w:val="bottom"/>
          </w:tcPr>
          <w:p>
            <w:pPr>
              <w:spacing w:after="0"/>
              <w:rPr>
                <w:sz w:val="2"/>
                <w:szCs w:val="2"/>
                <w:color w:val="auto"/>
              </w:rPr>
            </w:pPr>
          </w:p>
        </w:tc>
        <w:tc>
          <w:tcPr>
            <w:tcW w:w="2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8"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Class A Common Stock</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tcPr>
          <w:p>
            <w:pPr>
              <w:jc w:val="right"/>
              <w:ind w:right="926"/>
              <w:spacing w:after="0"/>
              <w:rPr>
                <w:sz w:val="20"/>
                <w:szCs w:val="20"/>
                <w:color w:val="auto"/>
              </w:rPr>
            </w:pPr>
            <w:r>
              <w:rPr>
                <w:rFonts w:ascii="Arial" w:cs="Arial" w:eastAsia="Arial" w:hAnsi="Arial"/>
                <w:sz w:val="13"/>
                <w:szCs w:val="13"/>
                <w:color w:val="0000FF"/>
              </w:rPr>
              <w:t>180,030</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38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4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020"/>
          </w:cols>
          <w:pgMar w:left="440" w:top="203" w:right="439" w:bottom="1440" w:gutter="0" w:footer="0" w:header="0"/>
          <w:type w:val="continuous"/>
        </w:sectPr>
      </w:pPr>
    </w:p>
    <w:p>
      <w:pPr>
        <w:spacing w:after="0"/>
        <w:rPr>
          <w:sz w:val="20"/>
          <w:szCs w:val="20"/>
          <w:color w:val="auto"/>
        </w:rPr>
      </w:pPr>
      <w:r>
        <w:rPr>
          <w:sz w:val="1"/>
          <w:szCs w:val="1"/>
          <w:color w:val="auto"/>
        </w:rPr>
        <w:drawing>
          <wp:inline distT="0" distB="0" distL="0" distR="0">
            <wp:extent cx="31750" cy="180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750" cy="180975"/>
                    </a:xfrm>
                    <a:prstGeom prst="rect">
                      <a:avLst/>
                    </a:prstGeom>
                    <a:noFill/>
                    <a:ln>
                      <a:noFill/>
                    </a:ln>
                  </pic:spPr>
                </pic:pic>
              </a:graphicData>
            </a:graphic>
          </wp:inline>
        </w:drawing>
      </w:r>
      <w:r>
        <w:rPr>
          <w:rFonts w:ascii="Arial" w:cs="Arial" w:eastAsia="Arial" w:hAnsi="Arial"/>
          <w:sz w:val="12"/>
          <w:szCs w:val="12"/>
          <w:color w:val="0000FF"/>
        </w:rPr>
        <w:t xml:space="preserve"> LT10 Common Stock</w:t>
      </w:r>
    </w:p>
    <w:p>
      <w:pPr>
        <w:spacing w:after="0" w:line="32" w:lineRule="exact"/>
        <w:rPr>
          <w:sz w:val="24"/>
          <w:szCs w:val="24"/>
          <w:color w:val="auto"/>
        </w:rPr>
      </w:pPr>
    </w:p>
    <w:p>
      <w:pPr>
        <w:ind w:left="60"/>
        <w:spacing w:after="0"/>
        <w:rPr>
          <w:sz w:val="20"/>
          <w:szCs w:val="20"/>
          <w:color w:val="auto"/>
        </w:rPr>
      </w:pPr>
      <w:r>
        <w:rPr>
          <w:rFonts w:ascii="Arial" w:cs="Arial" w:eastAsia="Arial" w:hAnsi="Arial"/>
          <w:sz w:val="13"/>
          <w:szCs w:val="13"/>
          <w:color w:val="0000FF"/>
        </w:rPr>
        <w:t>Stock Option</w:t>
      </w:r>
    </w:p>
    <w:p>
      <w:pPr>
        <w:spacing w:after="0" w:line="23" w:lineRule="exact"/>
        <w:rPr>
          <w:sz w:val="24"/>
          <w:szCs w:val="24"/>
          <w:color w:val="auto"/>
        </w:rPr>
      </w:pPr>
    </w:p>
    <w:p>
      <w:pPr>
        <w:jc w:val="right"/>
        <w:ind w:right="2500"/>
        <w:spacing w:after="0"/>
        <w:rPr>
          <w:sz w:val="20"/>
          <w:szCs w:val="20"/>
          <w:color w:val="auto"/>
        </w:rPr>
      </w:pPr>
      <w:r>
        <w:rPr>
          <w:sz w:val="1"/>
          <w:szCs w:val="1"/>
          <w:color w:val="auto"/>
        </w:rPr>
        <w:drawing>
          <wp:inline distT="0" distB="0" distL="0" distR="0">
            <wp:extent cx="31750" cy="190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1"/>
          <w:szCs w:val="11"/>
          <w:color w:val="0000FF"/>
        </w:rPr>
        <w:t xml:space="preserve"> Stock Option</w:t>
      </w:r>
    </w:p>
    <w:p>
      <w:pPr>
        <w:spacing w:after="0" w:line="24" w:lineRule="exact"/>
        <w:rPr>
          <w:sz w:val="24"/>
          <w:szCs w:val="24"/>
          <w:color w:val="auto"/>
        </w:rPr>
      </w:pPr>
    </w:p>
    <w:p>
      <w:pPr>
        <w:jc w:val="right"/>
        <w:ind w:right="2500"/>
        <w:spacing w:after="0"/>
        <w:rPr>
          <w:sz w:val="20"/>
          <w:szCs w:val="20"/>
          <w:color w:val="auto"/>
        </w:rPr>
      </w:pPr>
      <w:r>
        <w:rPr>
          <w:rFonts w:ascii="Arial" w:cs="Arial" w:eastAsia="Arial" w:hAnsi="Arial"/>
          <w:sz w:val="13"/>
          <w:szCs w:val="13"/>
          <w:color w:val="0000FF"/>
        </w:rPr>
        <w:t>Stock Option</w:t>
      </w:r>
    </w:p>
    <w:p>
      <w:pPr>
        <w:spacing w:after="0" w:line="23" w:lineRule="exact"/>
        <w:rPr>
          <w:sz w:val="24"/>
          <w:szCs w:val="24"/>
          <w:color w:val="auto"/>
        </w:rPr>
      </w:pPr>
    </w:p>
    <w:p>
      <w:pPr>
        <w:jc w:val="right"/>
        <w:ind w:right="2500"/>
        <w:spacing w:after="0"/>
        <w:rPr>
          <w:sz w:val="20"/>
          <w:szCs w:val="20"/>
          <w:color w:val="auto"/>
        </w:rPr>
      </w:pPr>
      <w:r>
        <w:rPr>
          <w:sz w:val="1"/>
          <w:szCs w:val="1"/>
          <w:color w:val="auto"/>
        </w:rPr>
        <w:drawing>
          <wp:inline distT="0" distB="0" distL="0" distR="0">
            <wp:extent cx="31750" cy="190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1"/>
          <w:szCs w:val="11"/>
          <w:color w:val="0000FF"/>
        </w:rPr>
        <w:t xml:space="preserve"> Stock Option</w:t>
      </w:r>
    </w:p>
    <w:p>
      <w:pPr>
        <w:spacing w:after="0" w:line="24" w:lineRule="exact"/>
        <w:rPr>
          <w:sz w:val="24"/>
          <w:szCs w:val="24"/>
          <w:color w:val="auto"/>
        </w:rPr>
      </w:pPr>
    </w:p>
    <w:p>
      <w:pPr>
        <w:jc w:val="right"/>
        <w:ind w:right="2500"/>
        <w:spacing w:after="0"/>
        <w:rPr>
          <w:sz w:val="20"/>
          <w:szCs w:val="20"/>
          <w:color w:val="auto"/>
        </w:rPr>
      </w:pPr>
      <w:r>
        <w:rPr>
          <w:rFonts w:ascii="Arial" w:cs="Arial" w:eastAsia="Arial" w:hAnsi="Arial"/>
          <w:sz w:val="13"/>
          <w:szCs w:val="13"/>
          <w:color w:val="0000FF"/>
        </w:rPr>
        <w:t>Stock Option</w:t>
      </w:r>
    </w:p>
    <w:p>
      <w:pPr>
        <w:spacing w:after="0" w:line="23" w:lineRule="exact"/>
        <w:rPr>
          <w:sz w:val="24"/>
          <w:szCs w:val="24"/>
          <w:color w:val="auto"/>
        </w:rPr>
      </w:pPr>
    </w:p>
    <w:p>
      <w:pPr>
        <w:jc w:val="right"/>
        <w:ind w:right="2500"/>
        <w:spacing w:after="0"/>
        <w:rPr>
          <w:sz w:val="20"/>
          <w:szCs w:val="20"/>
          <w:color w:val="auto"/>
        </w:rPr>
      </w:pPr>
      <w:r>
        <w:rPr>
          <w:sz w:val="1"/>
          <w:szCs w:val="1"/>
          <w:color w:val="auto"/>
        </w:rPr>
        <w:drawing>
          <wp:inline distT="0" distB="0" distL="0" distR="0">
            <wp:extent cx="31750" cy="190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1"/>
          <w:szCs w:val="11"/>
          <w:color w:val="0000FF"/>
        </w:rPr>
        <w:t xml:space="preserve"> Stock Option</w:t>
      </w:r>
    </w:p>
    <w:p>
      <w:pPr>
        <w:spacing w:after="0" w:line="24" w:lineRule="exact"/>
        <w:rPr>
          <w:sz w:val="24"/>
          <w:szCs w:val="24"/>
          <w:color w:val="auto"/>
        </w:rPr>
      </w:pPr>
    </w:p>
    <w:p>
      <w:pPr>
        <w:jc w:val="right"/>
        <w:ind w:right="2500"/>
        <w:spacing w:after="0"/>
        <w:rPr>
          <w:sz w:val="20"/>
          <w:szCs w:val="20"/>
          <w:color w:val="auto"/>
        </w:rPr>
      </w:pPr>
      <w:r>
        <w:rPr>
          <w:rFonts w:ascii="Arial" w:cs="Arial" w:eastAsia="Arial" w:hAnsi="Arial"/>
          <w:sz w:val="13"/>
          <w:szCs w:val="13"/>
          <w:color w:val="0000FF"/>
        </w:rPr>
        <w:t>Stock Option</w:t>
      </w:r>
    </w:p>
    <w:p>
      <w:pPr>
        <w:spacing w:after="0" w:line="23" w:lineRule="exact"/>
        <w:rPr>
          <w:sz w:val="24"/>
          <w:szCs w:val="24"/>
          <w:color w:val="auto"/>
        </w:rPr>
      </w:pPr>
    </w:p>
    <w:p>
      <w:pPr>
        <w:jc w:val="right"/>
        <w:ind w:right="2500"/>
        <w:spacing w:after="0"/>
        <w:rPr>
          <w:sz w:val="20"/>
          <w:szCs w:val="20"/>
          <w:color w:val="auto"/>
        </w:rPr>
      </w:pPr>
      <w:r>
        <w:rPr>
          <w:sz w:val="1"/>
          <w:szCs w:val="1"/>
          <w:color w:val="auto"/>
        </w:rPr>
        <w:drawing>
          <wp:inline distT="0" distB="0" distL="0" distR="0">
            <wp:extent cx="31750" cy="190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1"/>
          <w:szCs w:val="11"/>
          <w:color w:val="0000FF"/>
        </w:rPr>
        <w:t xml:space="preserve"> Stock Option</w:t>
      </w:r>
    </w:p>
    <w:p>
      <w:pPr>
        <w:spacing w:after="0" w:line="24" w:lineRule="exact"/>
        <w:rPr>
          <w:sz w:val="24"/>
          <w:szCs w:val="24"/>
          <w:color w:val="auto"/>
        </w:rPr>
      </w:pPr>
    </w:p>
    <w:p>
      <w:pPr>
        <w:jc w:val="right"/>
        <w:ind w:right="2500"/>
        <w:spacing w:after="0"/>
        <w:rPr>
          <w:sz w:val="20"/>
          <w:szCs w:val="20"/>
          <w:color w:val="auto"/>
        </w:rPr>
      </w:pPr>
      <w:r>
        <w:rPr>
          <w:rFonts w:ascii="Arial" w:cs="Arial" w:eastAsia="Arial" w:hAnsi="Arial"/>
          <w:sz w:val="13"/>
          <w:szCs w:val="13"/>
          <w:color w:val="0000FF"/>
        </w:rPr>
        <w:t>Stock Option</w:t>
      </w:r>
    </w:p>
    <w:p>
      <w:pPr>
        <w:spacing w:after="0" w:line="19" w:lineRule="exact"/>
        <w:rPr>
          <w:sz w:val="24"/>
          <w:szCs w:val="24"/>
          <w:color w:val="auto"/>
        </w:rPr>
      </w:pPr>
    </w:p>
    <w:p>
      <w:pPr>
        <w:spacing w:after="0"/>
        <w:rPr>
          <w:sz w:val="20"/>
          <w:szCs w:val="20"/>
          <w:color w:val="auto"/>
        </w:rPr>
      </w:pPr>
      <w:r>
        <w:rPr>
          <w:sz w:val="1"/>
          <w:szCs w:val="1"/>
          <w:color w:val="auto"/>
        </w:rPr>
        <w:drawing>
          <wp:inline distT="0" distB="0" distL="0" distR="0">
            <wp:extent cx="31750" cy="190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3"/>
          <w:szCs w:val="13"/>
          <w:color w:val="0000FF"/>
        </w:rPr>
        <w:t xml:space="preserve"> Stock Option</w:t>
      </w:r>
    </w:p>
    <w:p>
      <w:pPr>
        <w:spacing w:after="0" w:line="24" w:lineRule="exact"/>
        <w:rPr>
          <w:sz w:val="24"/>
          <w:szCs w:val="24"/>
          <w:color w:val="auto"/>
        </w:rPr>
      </w:pPr>
    </w:p>
    <w:p>
      <w:pPr>
        <w:ind w:left="60"/>
        <w:spacing w:after="0"/>
        <w:rPr>
          <w:sz w:val="20"/>
          <w:szCs w:val="20"/>
          <w:color w:val="auto"/>
        </w:rPr>
      </w:pPr>
      <w:r>
        <w:rPr>
          <w:rFonts w:ascii="Arial" w:cs="Arial" w:eastAsia="Arial" w:hAnsi="Arial"/>
          <w:sz w:val="12"/>
          <w:szCs w:val="12"/>
          <w:color w:val="0000FF"/>
        </w:rPr>
        <w:t>Restricted Stock Units</w:t>
      </w:r>
    </w:p>
    <w:p>
      <w:pPr>
        <w:spacing w:after="0" w:line="33" w:lineRule="exact"/>
        <w:rPr>
          <w:sz w:val="24"/>
          <w:szCs w:val="24"/>
          <w:color w:val="auto"/>
        </w:rPr>
      </w:pPr>
    </w:p>
    <w:p>
      <w:pPr>
        <w:spacing w:after="0"/>
        <w:rPr>
          <w:sz w:val="20"/>
          <w:szCs w:val="20"/>
          <w:color w:val="auto"/>
        </w:rPr>
      </w:pPr>
      <w:r>
        <w:rPr>
          <w:sz w:val="1"/>
          <w:szCs w:val="1"/>
          <w:color w:val="auto"/>
        </w:rPr>
        <w:drawing>
          <wp:inline distT="0" distB="0" distL="0" distR="0">
            <wp:extent cx="31750" cy="190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750" cy="190500"/>
                    </a:xfrm>
                    <a:prstGeom prst="rect">
                      <a:avLst/>
                    </a:prstGeom>
                    <a:noFill/>
                    <a:ln>
                      <a:noFill/>
                    </a:ln>
                  </pic:spPr>
                </pic:pic>
              </a:graphicData>
            </a:graphic>
          </wp:inline>
        </w:drawing>
      </w:r>
      <w:r>
        <w:rPr>
          <w:rFonts w:ascii="Arial" w:cs="Arial" w:eastAsia="Arial" w:hAnsi="Arial"/>
          <w:sz w:val="12"/>
          <w:szCs w:val="12"/>
          <w:color w:val="0000FF"/>
        </w:rPr>
        <w:t xml:space="preserve"> Restricted Stock Units</w:t>
      </w:r>
    </w:p>
    <w:p>
      <w:pPr>
        <w:spacing w:after="0" w:line="8" w:lineRule="exact"/>
        <w:rPr>
          <w:sz w:val="24"/>
          <w:szCs w:val="24"/>
          <w:color w:val="auto"/>
        </w:rPr>
      </w:pPr>
    </w:p>
    <w:p>
      <w:pPr>
        <w:ind w:left="40"/>
        <w:spacing w:after="0"/>
        <w:rPr>
          <w:sz w:val="20"/>
          <w:szCs w:val="20"/>
          <w:color w:val="auto"/>
        </w:rPr>
      </w:pPr>
      <w:r>
        <w:rPr>
          <w:rFonts w:ascii="Arial" w:cs="Arial" w:eastAsia="Arial" w:hAnsi="Arial"/>
          <w:sz w:val="9"/>
          <w:szCs w:val="9"/>
          <w:b w:val="1"/>
          <w:bCs w:val="1"/>
          <w:color w:val="auto"/>
        </w:rPr>
        <w:t>Explanation of Responses:</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(1)</w:t>
            </w:r>
          </w:p>
        </w:tc>
        <w:tc>
          <w:tcPr>
            <w:tcW w:w="880" w:type="dxa"/>
            <w:vAlign w:val="bottom"/>
          </w:tcPr>
          <w:p>
            <w:pPr>
              <w:jc w:val="center"/>
              <w:ind w:right="31"/>
              <w:spacing w:after="0"/>
              <w:rPr>
                <w:sz w:val="20"/>
                <w:szCs w:val="20"/>
                <w:color w:val="auto"/>
              </w:rPr>
            </w:pPr>
            <w:r>
              <w:rPr>
                <w:rFonts w:ascii="Arial" w:cs="Arial" w:eastAsia="Arial" w:hAnsi="Arial"/>
                <w:sz w:val="8"/>
                <w:szCs w:val="8"/>
                <w:color w:val="008000"/>
                <w:w w:val="81"/>
              </w:rPr>
              <w:t>(1)</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55"/>
              <w:spacing w:after="0"/>
              <w:rPr>
                <w:sz w:val="20"/>
                <w:szCs w:val="20"/>
                <w:color w:val="auto"/>
              </w:rPr>
            </w:pPr>
            <w:r>
              <w:rPr>
                <w:rFonts w:ascii="Arial" w:cs="Arial" w:eastAsia="Arial" w:hAnsi="Arial"/>
                <w:sz w:val="13"/>
                <w:szCs w:val="13"/>
                <w:color w:val="0000FF"/>
                <w:w w:val="89"/>
              </w:rPr>
              <w:t>498,090</w:t>
            </w:r>
          </w:p>
        </w:tc>
        <w:tc>
          <w:tcPr>
            <w:tcW w:w="780" w:type="dxa"/>
            <w:vAlign w:val="bottom"/>
          </w:tcPr>
          <w:p>
            <w:pPr>
              <w:jc w:val="center"/>
              <w:ind w:right="60"/>
              <w:spacing w:after="0"/>
              <w:rPr>
                <w:sz w:val="20"/>
                <w:szCs w:val="20"/>
                <w:color w:val="auto"/>
              </w:rPr>
            </w:pPr>
            <w:r>
              <w:rPr>
                <w:rFonts w:ascii="Arial" w:cs="Arial" w:eastAsia="Arial" w:hAnsi="Arial"/>
                <w:sz w:val="8"/>
                <w:szCs w:val="8"/>
                <w:color w:val="008000"/>
              </w:rPr>
              <w:t>(1)</w:t>
            </w:r>
          </w:p>
        </w:tc>
        <w:tc>
          <w:tcPr>
            <w:tcW w:w="620" w:type="dxa"/>
            <w:vAlign w:val="bottom"/>
          </w:tcPr>
          <w:p>
            <w:pPr>
              <w:jc w:val="center"/>
              <w:ind w:left="35"/>
              <w:spacing w:after="0"/>
              <w:rPr>
                <w:sz w:val="20"/>
                <w:szCs w:val="20"/>
                <w:color w:val="auto"/>
              </w:rPr>
            </w:pPr>
            <w:r>
              <w:rPr>
                <w:rFonts w:ascii="Arial" w:cs="Arial" w:eastAsia="Arial" w:hAnsi="Arial"/>
                <w:sz w:val="13"/>
                <w:szCs w:val="13"/>
                <w:color w:val="0000FF"/>
              </w:rPr>
              <w:t>I</w:t>
            </w:r>
          </w:p>
        </w:tc>
        <w:tc>
          <w:tcPr>
            <w:tcW w:w="780" w:type="dxa"/>
            <w:vAlign w:val="bottom"/>
          </w:tcPr>
          <w:p>
            <w:pPr>
              <w:ind w:left="220"/>
              <w:spacing w:after="0"/>
              <w:rPr>
                <w:sz w:val="20"/>
                <w:szCs w:val="20"/>
                <w:color w:val="auto"/>
              </w:rPr>
            </w:pPr>
            <w:r>
              <w:rPr>
                <w:rFonts w:ascii="Arial" w:cs="Arial" w:eastAsia="Arial" w:hAnsi="Arial"/>
                <w:sz w:val="13"/>
                <w:szCs w:val="13"/>
                <w:color w:val="0000FF"/>
                <w:w w:val="82"/>
              </w:rPr>
              <w:t>See note</w:t>
            </w:r>
            <w:r>
              <w:rPr>
                <w:rFonts w:ascii="Arial" w:cs="Arial" w:eastAsia="Arial" w:hAnsi="Arial"/>
                <w:sz w:val="16"/>
                <w:szCs w:val="16"/>
                <w:color w:val="008000"/>
                <w:w w:val="82"/>
                <w:vertAlign w:val="superscript"/>
              </w:rPr>
              <w:t>(2)</w:t>
            </w:r>
          </w:p>
        </w:tc>
      </w:tr>
      <w:tr>
        <w:trPr>
          <w:trHeight w:val="203"/>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(3)</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03/31/2026</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85"/>
              </w:rPr>
              <w:t>1,610</w:t>
            </w:r>
          </w:p>
        </w:tc>
        <w:tc>
          <w:tcPr>
            <w:tcW w:w="780" w:type="dxa"/>
            <w:vAlign w:val="bottom"/>
          </w:tcPr>
          <w:p>
            <w:pPr>
              <w:jc w:val="center"/>
              <w:ind w:right="60"/>
              <w:spacing w:after="0"/>
              <w:rPr>
                <w:sz w:val="20"/>
                <w:szCs w:val="20"/>
                <w:color w:val="auto"/>
              </w:rPr>
            </w:pPr>
            <w:r>
              <w:rPr>
                <w:rFonts w:ascii="Arial" w:cs="Arial" w:eastAsia="Arial" w:hAnsi="Arial"/>
                <w:sz w:val="13"/>
                <w:szCs w:val="13"/>
                <w:color w:val="0000FF"/>
                <w:w w:val="86"/>
              </w:rPr>
              <w:t>0.53</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(4)</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01/10/2029</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90"/>
              </w:rPr>
              <w:t>10,320</w:t>
            </w:r>
          </w:p>
        </w:tc>
        <w:tc>
          <w:tcPr>
            <w:tcW w:w="780" w:type="dxa"/>
            <w:vAlign w:val="bottom"/>
          </w:tcPr>
          <w:p>
            <w:pPr>
              <w:jc w:val="center"/>
              <w:ind w:right="60"/>
              <w:spacing w:after="0"/>
              <w:rPr>
                <w:sz w:val="20"/>
                <w:szCs w:val="20"/>
                <w:color w:val="auto"/>
              </w:rPr>
            </w:pPr>
            <w:r>
              <w:rPr>
                <w:rFonts w:ascii="Arial" w:cs="Arial" w:eastAsia="Arial" w:hAnsi="Arial"/>
                <w:sz w:val="13"/>
                <w:szCs w:val="13"/>
                <w:color w:val="0000FF"/>
                <w:w w:val="86"/>
              </w:rPr>
              <w:t>0.97</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(5)</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04/12/2029</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85"/>
              </w:rPr>
              <w:t>4,930</w:t>
            </w:r>
          </w:p>
        </w:tc>
        <w:tc>
          <w:tcPr>
            <w:tcW w:w="780" w:type="dxa"/>
            <w:vAlign w:val="bottom"/>
          </w:tcPr>
          <w:p>
            <w:pPr>
              <w:jc w:val="center"/>
              <w:ind w:right="60"/>
              <w:spacing w:after="0"/>
              <w:rPr>
                <w:sz w:val="20"/>
                <w:szCs w:val="20"/>
                <w:color w:val="auto"/>
              </w:rPr>
            </w:pPr>
            <w:r>
              <w:rPr>
                <w:rFonts w:ascii="Arial" w:cs="Arial" w:eastAsia="Arial" w:hAnsi="Arial"/>
                <w:sz w:val="13"/>
                <w:szCs w:val="13"/>
                <w:color w:val="0000FF"/>
                <w:w w:val="86"/>
              </w:rPr>
              <w:t>0.97</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(6)</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04/12/2029</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90"/>
              </w:rPr>
              <w:t>15,910</w:t>
            </w:r>
          </w:p>
        </w:tc>
        <w:tc>
          <w:tcPr>
            <w:tcW w:w="780" w:type="dxa"/>
            <w:vAlign w:val="bottom"/>
          </w:tcPr>
          <w:p>
            <w:pPr>
              <w:jc w:val="center"/>
              <w:ind w:right="60"/>
              <w:spacing w:after="0"/>
              <w:rPr>
                <w:sz w:val="20"/>
                <w:szCs w:val="20"/>
                <w:color w:val="auto"/>
              </w:rPr>
            </w:pPr>
            <w:r>
              <w:rPr>
                <w:rFonts w:ascii="Arial" w:cs="Arial" w:eastAsia="Arial" w:hAnsi="Arial"/>
                <w:sz w:val="13"/>
                <w:szCs w:val="13"/>
                <w:color w:val="0000FF"/>
                <w:w w:val="86"/>
              </w:rPr>
              <w:t>0.97</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(7)</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04/11/2029</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55"/>
              <w:spacing w:after="0"/>
              <w:rPr>
                <w:sz w:val="20"/>
                <w:szCs w:val="20"/>
                <w:color w:val="auto"/>
              </w:rPr>
            </w:pPr>
            <w:r>
              <w:rPr>
                <w:rFonts w:ascii="Arial" w:cs="Arial" w:eastAsia="Arial" w:hAnsi="Arial"/>
                <w:sz w:val="13"/>
                <w:szCs w:val="13"/>
                <w:color w:val="0000FF"/>
                <w:w w:val="89"/>
              </w:rPr>
              <w:t>369,880</w:t>
            </w:r>
          </w:p>
        </w:tc>
        <w:tc>
          <w:tcPr>
            <w:tcW w:w="780" w:type="dxa"/>
            <w:vAlign w:val="bottom"/>
          </w:tcPr>
          <w:p>
            <w:pPr>
              <w:jc w:val="center"/>
              <w:ind w:right="60"/>
              <w:spacing w:after="0"/>
              <w:rPr>
                <w:sz w:val="20"/>
                <w:szCs w:val="20"/>
                <w:color w:val="auto"/>
              </w:rPr>
            </w:pPr>
            <w:r>
              <w:rPr>
                <w:rFonts w:ascii="Arial" w:cs="Arial" w:eastAsia="Arial" w:hAnsi="Arial"/>
                <w:sz w:val="13"/>
                <w:szCs w:val="13"/>
                <w:color w:val="0000FF"/>
                <w:w w:val="86"/>
              </w:rPr>
              <w:t>0.97</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(8)</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06/21/2030</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85"/>
              </w:rPr>
              <w:t>4,540</w:t>
            </w:r>
          </w:p>
        </w:tc>
        <w:tc>
          <w:tcPr>
            <w:tcW w:w="780" w:type="dxa"/>
            <w:vAlign w:val="bottom"/>
          </w:tcPr>
          <w:p>
            <w:pPr>
              <w:jc w:val="center"/>
              <w:ind w:right="80"/>
              <w:spacing w:after="0"/>
              <w:rPr>
                <w:sz w:val="20"/>
                <w:szCs w:val="20"/>
                <w:color w:val="auto"/>
              </w:rPr>
            </w:pPr>
            <w:r>
              <w:rPr>
                <w:rFonts w:ascii="Arial" w:cs="Arial" w:eastAsia="Arial" w:hAnsi="Arial"/>
                <w:sz w:val="13"/>
                <w:szCs w:val="13"/>
                <w:color w:val="0000FF"/>
                <w:w w:val="88"/>
              </w:rPr>
              <w:t>1.6</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rPr>
              <w:t>(9)</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06/21/2030</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85"/>
              </w:rPr>
              <w:t>3,820</w:t>
            </w:r>
          </w:p>
        </w:tc>
        <w:tc>
          <w:tcPr>
            <w:tcW w:w="780" w:type="dxa"/>
            <w:vAlign w:val="bottom"/>
          </w:tcPr>
          <w:p>
            <w:pPr>
              <w:jc w:val="center"/>
              <w:ind w:right="80"/>
              <w:spacing w:after="0"/>
              <w:rPr>
                <w:sz w:val="20"/>
                <w:szCs w:val="20"/>
                <w:color w:val="auto"/>
              </w:rPr>
            </w:pPr>
            <w:r>
              <w:rPr>
                <w:rFonts w:ascii="Arial" w:cs="Arial" w:eastAsia="Arial" w:hAnsi="Arial"/>
                <w:sz w:val="13"/>
                <w:szCs w:val="13"/>
                <w:color w:val="0000FF"/>
                <w:w w:val="88"/>
              </w:rPr>
              <w:t>1.6</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w w:val="98"/>
              </w:rPr>
              <w:t>(10)</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03/15/2031</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85"/>
              </w:rPr>
              <w:t>1,230</w:t>
            </w:r>
          </w:p>
        </w:tc>
        <w:tc>
          <w:tcPr>
            <w:tcW w:w="780" w:type="dxa"/>
            <w:vAlign w:val="bottom"/>
          </w:tcPr>
          <w:p>
            <w:pPr>
              <w:jc w:val="center"/>
              <w:ind w:right="60"/>
              <w:spacing w:after="0"/>
              <w:rPr>
                <w:sz w:val="20"/>
                <w:szCs w:val="20"/>
                <w:color w:val="auto"/>
              </w:rPr>
            </w:pPr>
            <w:r>
              <w:rPr>
                <w:rFonts w:ascii="Arial" w:cs="Arial" w:eastAsia="Arial" w:hAnsi="Arial"/>
                <w:sz w:val="13"/>
                <w:szCs w:val="13"/>
                <w:color w:val="0000FF"/>
                <w:w w:val="86"/>
              </w:rPr>
              <w:t>7.21</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w w:val="98"/>
              </w:rPr>
              <w:t>(11)</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03/15/2031</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90"/>
              </w:rPr>
              <w:t>16,520</w:t>
            </w:r>
          </w:p>
        </w:tc>
        <w:tc>
          <w:tcPr>
            <w:tcW w:w="780" w:type="dxa"/>
            <w:vAlign w:val="bottom"/>
          </w:tcPr>
          <w:p>
            <w:pPr>
              <w:jc w:val="center"/>
              <w:ind w:right="60"/>
              <w:spacing w:after="0"/>
              <w:rPr>
                <w:sz w:val="20"/>
                <w:szCs w:val="20"/>
                <w:color w:val="auto"/>
              </w:rPr>
            </w:pPr>
            <w:r>
              <w:rPr>
                <w:rFonts w:ascii="Arial" w:cs="Arial" w:eastAsia="Arial" w:hAnsi="Arial"/>
                <w:sz w:val="13"/>
                <w:szCs w:val="13"/>
                <w:color w:val="0000FF"/>
                <w:w w:val="86"/>
              </w:rPr>
              <w:t>7.21</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w w:val="98"/>
              </w:rPr>
              <w:t>(12)</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10/12/2031</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35"/>
              <w:spacing w:after="0"/>
              <w:rPr>
                <w:sz w:val="20"/>
                <w:szCs w:val="20"/>
                <w:color w:val="auto"/>
              </w:rPr>
            </w:pPr>
            <w:r>
              <w:rPr>
                <w:rFonts w:ascii="Arial" w:cs="Arial" w:eastAsia="Arial" w:hAnsi="Arial"/>
                <w:sz w:val="13"/>
                <w:szCs w:val="13"/>
                <w:color w:val="0000FF"/>
                <w:w w:val="85"/>
              </w:rPr>
              <w:t>6,880</w:t>
            </w:r>
          </w:p>
        </w:tc>
        <w:tc>
          <w:tcPr>
            <w:tcW w:w="780" w:type="dxa"/>
            <w:vAlign w:val="bottom"/>
          </w:tcPr>
          <w:p>
            <w:pPr>
              <w:jc w:val="center"/>
              <w:ind w:right="60"/>
              <w:spacing w:after="0"/>
              <w:rPr>
                <w:sz w:val="20"/>
                <w:szCs w:val="20"/>
                <w:color w:val="auto"/>
              </w:rPr>
            </w:pPr>
            <w:r>
              <w:rPr>
                <w:rFonts w:ascii="Arial" w:cs="Arial" w:eastAsia="Arial" w:hAnsi="Arial"/>
                <w:sz w:val="13"/>
                <w:szCs w:val="13"/>
                <w:color w:val="0000FF"/>
                <w:w w:val="92"/>
              </w:rPr>
              <w:t>12.97</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w w:val="98"/>
              </w:rPr>
              <w:t>(13)</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12/15/2029</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Class A Common Stock</w:t>
            </w:r>
          </w:p>
        </w:tc>
        <w:tc>
          <w:tcPr>
            <w:tcW w:w="860" w:type="dxa"/>
            <w:vAlign w:val="bottom"/>
          </w:tcPr>
          <w:p>
            <w:pPr>
              <w:jc w:val="center"/>
              <w:ind w:left="55"/>
              <w:spacing w:after="0"/>
              <w:rPr>
                <w:sz w:val="20"/>
                <w:szCs w:val="20"/>
                <w:color w:val="auto"/>
              </w:rPr>
            </w:pPr>
            <w:r>
              <w:rPr>
                <w:rFonts w:ascii="Arial" w:cs="Arial" w:eastAsia="Arial" w:hAnsi="Arial"/>
                <w:sz w:val="13"/>
                <w:szCs w:val="13"/>
                <w:color w:val="0000FF"/>
                <w:w w:val="89"/>
              </w:rPr>
              <w:t>125,520</w:t>
            </w:r>
          </w:p>
        </w:tc>
        <w:tc>
          <w:tcPr>
            <w:tcW w:w="780" w:type="dxa"/>
            <w:vAlign w:val="bottom"/>
          </w:tcPr>
          <w:p>
            <w:pPr>
              <w:jc w:val="center"/>
              <w:ind w:right="60"/>
              <w:spacing w:after="0"/>
              <w:rPr>
                <w:sz w:val="20"/>
                <w:szCs w:val="20"/>
                <w:color w:val="auto"/>
              </w:rPr>
            </w:pPr>
            <w:r>
              <w:rPr>
                <w:rFonts w:ascii="Arial" w:cs="Arial" w:eastAsia="Arial" w:hAnsi="Arial"/>
                <w:sz w:val="8"/>
                <w:szCs w:val="8"/>
                <w:color w:val="008000"/>
                <w:w w:val="98"/>
              </w:rPr>
              <w:t>(14)</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260"/>
        </w:trPr>
        <w:tc>
          <w:tcPr>
            <w:tcW w:w="300" w:type="dxa"/>
            <w:vAlign w:val="bottom"/>
          </w:tcPr>
          <w:p>
            <w:pPr>
              <w:jc w:val="center"/>
              <w:ind w:right="118"/>
              <w:spacing w:after="0"/>
              <w:rPr>
                <w:sz w:val="20"/>
                <w:szCs w:val="20"/>
                <w:color w:val="auto"/>
              </w:rPr>
            </w:pPr>
            <w:r>
              <w:rPr>
                <w:rFonts w:ascii="Arial" w:cs="Arial" w:eastAsia="Arial" w:hAnsi="Arial"/>
                <w:sz w:val="8"/>
                <w:szCs w:val="8"/>
                <w:color w:val="008000"/>
                <w:w w:val="98"/>
              </w:rPr>
              <w:t>(13)</w:t>
            </w:r>
          </w:p>
        </w:tc>
        <w:tc>
          <w:tcPr>
            <w:tcW w:w="880" w:type="dxa"/>
            <w:vAlign w:val="bottom"/>
          </w:tcPr>
          <w:p>
            <w:pPr>
              <w:jc w:val="center"/>
              <w:ind w:right="31"/>
              <w:spacing w:after="0"/>
              <w:rPr>
                <w:sz w:val="20"/>
                <w:szCs w:val="20"/>
                <w:color w:val="auto"/>
              </w:rPr>
            </w:pPr>
            <w:r>
              <w:rPr>
                <w:rFonts w:ascii="Arial" w:cs="Arial" w:eastAsia="Arial" w:hAnsi="Arial"/>
                <w:sz w:val="10"/>
                <w:szCs w:val="10"/>
                <w:color w:val="0000FF"/>
                <w:w w:val="87"/>
              </w:rPr>
              <w:t>12/15/2029</w:t>
            </w:r>
          </w:p>
        </w:tc>
        <w:tc>
          <w:tcPr>
            <w:tcW w:w="1800" w:type="dxa"/>
            <w:vAlign w:val="bottom"/>
          </w:tcPr>
          <w:p>
            <w:pPr>
              <w:jc w:val="center"/>
              <w:spacing w:after="0"/>
              <w:rPr>
                <w:sz w:val="20"/>
                <w:szCs w:val="20"/>
                <w:color w:val="auto"/>
              </w:rPr>
            </w:pPr>
            <w:r>
              <w:rPr>
                <w:rFonts w:ascii="Arial" w:cs="Arial" w:eastAsia="Arial" w:hAnsi="Arial"/>
                <w:sz w:val="13"/>
                <w:szCs w:val="13"/>
                <w:color w:val="0000FF"/>
                <w:w w:val="91"/>
              </w:rPr>
              <w:t>LT50 Common Stock</w:t>
            </w:r>
          </w:p>
        </w:tc>
        <w:tc>
          <w:tcPr>
            <w:tcW w:w="860" w:type="dxa"/>
            <w:vAlign w:val="bottom"/>
          </w:tcPr>
          <w:p>
            <w:pPr>
              <w:jc w:val="center"/>
              <w:ind w:left="55"/>
              <w:spacing w:after="0"/>
              <w:rPr>
                <w:sz w:val="20"/>
                <w:szCs w:val="20"/>
                <w:color w:val="auto"/>
              </w:rPr>
            </w:pPr>
            <w:r>
              <w:rPr>
                <w:rFonts w:ascii="Arial" w:cs="Arial" w:eastAsia="Arial" w:hAnsi="Arial"/>
                <w:sz w:val="13"/>
                <w:szCs w:val="13"/>
                <w:color w:val="0000FF"/>
                <w:w w:val="89"/>
              </w:rPr>
              <w:t>125,520</w:t>
            </w:r>
          </w:p>
        </w:tc>
        <w:tc>
          <w:tcPr>
            <w:tcW w:w="780" w:type="dxa"/>
            <w:vAlign w:val="bottom"/>
          </w:tcPr>
          <w:p>
            <w:pPr>
              <w:jc w:val="center"/>
              <w:ind w:right="60"/>
              <w:spacing w:after="0"/>
              <w:rPr>
                <w:sz w:val="20"/>
                <w:szCs w:val="20"/>
                <w:color w:val="auto"/>
              </w:rPr>
            </w:pPr>
            <w:r>
              <w:rPr>
                <w:rFonts w:ascii="Arial" w:cs="Arial" w:eastAsia="Arial" w:hAnsi="Arial"/>
                <w:sz w:val="8"/>
                <w:szCs w:val="8"/>
                <w:color w:val="008000"/>
                <w:w w:val="98"/>
              </w:rPr>
              <w:t>(15)</w:t>
            </w:r>
          </w:p>
        </w:tc>
        <w:tc>
          <w:tcPr>
            <w:tcW w:w="620" w:type="dxa"/>
            <w:vAlign w:val="bottom"/>
          </w:tcPr>
          <w:p>
            <w:pPr>
              <w:jc w:val="center"/>
              <w:ind w:left="55"/>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bl>
    <w:p>
      <w:pPr>
        <w:spacing w:after="0" w:line="235" w:lineRule="exact"/>
        <w:rPr>
          <w:sz w:val="24"/>
          <w:szCs w:val="24"/>
          <w:color w:val="auto"/>
        </w:rPr>
      </w:pPr>
    </w:p>
    <w:p>
      <w:pPr>
        <w:sectPr>
          <w:pgSz w:w="11900" w:h="16838" w:orient="portrait"/>
          <w:cols w:equalWidth="0" w:num="2">
            <w:col w:w="3260" w:space="720"/>
            <w:col w:w="7040"/>
          </w:cols>
          <w:pgMar w:left="440" w:top="203" w:right="439" w:bottom="1440" w:gutter="0" w:footer="0" w:header="0"/>
          <w:type w:val="continuous"/>
        </w:sectPr>
      </w:pPr>
    </w:p>
    <w:p>
      <w:pPr>
        <w:ind w:left="40" w:right="6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LT10 Common Stock is convertible into the Issuer's Class A Common Stock on a one-to-one basis only upon, and generally cannot be transferred without, satisfaction of certain notice and other requirements, including a notice period of 10 months. The LT10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Deposited into the Expensify Voting Trust (the "Voting Trust"). The Reporting Person retains investment control and dispositive power over the shares deposited into the Voting Trust.</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is fully vested and currently exercisable.</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Reflects remaining portion of the stock option that originally vested in 48 equal monthly installments beginning on November 30, 2018.</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Reflects remaining portion of the stock option that originally vested in 48 equal monthly installments beginning on March 1, 2019.</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April 1, 2019.</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Reflects remaining portion of the stock option that originally vested in 72 equal monthly installments beginning on May 12, 2019.</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April 1, 2020.</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October 1, 2019.</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February 1, 2021.</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April 1, 2021.</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stock option vests in 48 equal monthly installments beginning on October 16, 2021.</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restricted stock units vest 12.5% on September 15, 2022 and 1/32nd each quarter thereafter, on December 15th, March 15th, June 15th, and September 15th</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the contingent right to receive one share of Class A common stock.</w:t>
      </w:r>
    </w:p>
    <w:p>
      <w:pPr>
        <w:spacing w:after="0" w:line="35" w:lineRule="exact"/>
        <w:rPr>
          <w:rFonts w:ascii="Arial" w:cs="Arial" w:eastAsia="Arial" w:hAnsi="Arial"/>
          <w:sz w:val="10"/>
          <w:szCs w:val="10"/>
          <w:color w:val="008000"/>
        </w:rPr>
      </w:pPr>
    </w:p>
    <w:p>
      <w:pPr>
        <w:ind w:left="180" w:hanging="150"/>
        <w:spacing w:after="0"/>
        <w:tabs>
          <w:tab w:leader="none" w:pos="18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the contingent right to receive one share of LT50 common stock.</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8"/>
              </w:rPr>
              <w:t>/s/ Ryan Schaffer</w:t>
            </w:r>
          </w:p>
        </w:tc>
        <w:tc>
          <w:tcPr>
            <w:tcW w:w="130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11/09/2021</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Filings under Section 16 of the Securities Exchange Act of 1934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(Expensify, Inc.)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David Michael Barrett, Chief Executive Officer of Expensify, Inc. (the "Company"), in his capa</w:t>
      </w:r>
    </w:p>
    <w:p>
      <w:pPr>
        <w:spacing w:after="0" w:line="153" w:lineRule="exact"/>
        <w:rPr>
          <w:sz w:val="20"/>
          <w:szCs w:val="20"/>
          <w:color w:val="auto"/>
        </w:rPr>
      </w:pPr>
    </w:p>
    <w:p>
      <w:pPr>
        <w:ind w:left="620" w:hanging="620"/>
        <w:spacing w:after="0"/>
        <w:tabs>
          <w:tab w:leader="none" w:pos="6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the Company, Forms 3, 4 a</w:t>
      </w:r>
    </w:p>
    <w:p>
      <w:pPr>
        <w:spacing w:after="0" w:line="152" w:lineRule="exact"/>
        <w:rPr>
          <w:rFonts w:ascii="Courier New" w:cs="Courier New" w:eastAsia="Courier New" w:hAnsi="Courier New"/>
          <w:sz w:val="13"/>
          <w:szCs w:val="13"/>
          <w:color w:val="auto"/>
        </w:rPr>
      </w:pPr>
    </w:p>
    <w:p>
      <w:pPr>
        <w:ind w:left="620" w:hanging="620"/>
        <w:spacing w:after="0"/>
        <w:tabs>
          <w:tab w:leader="none" w:pos="62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w:t>
      </w:r>
    </w:p>
    <w:p>
      <w:pPr>
        <w:spacing w:after="0" w:line="153" w:lineRule="exact"/>
        <w:rPr>
          <w:rFonts w:ascii="Courier New" w:cs="Courier New" w:eastAsia="Courier New" w:hAnsi="Courier New"/>
          <w:sz w:val="13"/>
          <w:szCs w:val="13"/>
          <w:color w:val="auto"/>
        </w:rPr>
      </w:pPr>
    </w:p>
    <w:p>
      <w:pPr>
        <w:spacing w:after="0" w:line="243" w:lineRule="auto"/>
        <w:tabs>
          <w:tab w:leader="none" w:pos="62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solely in connection with the foregoing which, in the opinion of such attorney-in-fact, may be of benefit to, in The undersigned hereby grants to each such attorney-in-fact full power and authority to do and perform any and every act and thing whatsoever This Limited Power of Attorney shall remain in full force and effect until the undersigned is no longer required to file Forms 3, 4 and 5 with</w:t>
      </w:r>
    </w:p>
    <w:p>
      <w:pPr>
        <w:spacing w:after="0" w:line="152" w:lineRule="exact"/>
        <w:rPr>
          <w:sz w:val="20"/>
          <w:szCs w:val="20"/>
          <w:color w:val="auto"/>
        </w:rPr>
      </w:pPr>
    </w:p>
    <w:p>
      <w:pPr>
        <w:ind w:left="80"/>
        <w:spacing w:after="0"/>
        <w:rPr>
          <w:sz w:val="20"/>
          <w:szCs w:val="20"/>
          <w:color w:val="auto"/>
        </w:rPr>
      </w:pPr>
      <w:r>
        <w:rPr>
          <w:rFonts w:ascii="Courier New" w:cs="Courier New" w:eastAsia="Courier New" w:hAnsi="Courier New"/>
          <w:sz w:val="13"/>
          <w:szCs w:val="13"/>
          <w:color w:val="auto"/>
        </w:rPr>
        <w:t>IN WITNESS WHEREOF, the undersigned has executed this Limited Power of Attorney this 8th day of November 2021.</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Ryan Schaffer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Ryan Schaffer</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cgi-bin/browse-edgar?action=getcompany&amp;CIK=0001891061" TargetMode="External"/><Relationship Id="rId12"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2021-11-09T17:45:34Z</dcterms:created>
  <dcterms:modified xsi:type="dcterms:W3CDTF">2021-11-09T17:45:34Z</dcterms:modified>
</cp:coreProperties>
</file>