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February 27, 2025</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Expensify,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pPr>
      <w:r>
        <w:rPr>
          <w:rFonts w:ascii="Times New Roman;sans-serif" w:hAnsi="Times New Roman;sans-serif"/>
          <w:b/>
          <w:color w:val="000000"/>
          <w:sz w:val="20"/>
        </w:rPr>
        <w:t>401 SW 5</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Ave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Portland, Oregon 97204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(971) 365-3939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693"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35"/>
        <w:gridCol w:w="235"/>
        <w:gridCol w:w="23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6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76"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2025, the Expensify, Inc. (“Expensify” or “the Company”) issued a press release announcing its financial results for the year and quarter ended December 31, 2024. A copy of this press release is furnished as Exhibit 99.1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76"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2025, the Company posted an investor presentation to its website at https://ir.expensify.com (the “Investor Presentation”). A copy of the Investor Presentation is attached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bidi w:val="0"/>
        <w:spacing w:lineRule="auto" w:line="276"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bidi w:val="0"/>
        <w:spacing w:lineRule="auto" w:line="276"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and this Item 7.01, including Exhibit 99.1 and 99.2, is being furnished and shall not be deemed “filed” for the purposed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6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2025, the Company issued a press release announcing that its board of directors approved a new share repurchase program with authorization to purchase up to $50 million of shares of its Class A common stock. The program replaces the Company’s share repurchase program that was approved in 2022, which was set to expire in March 2025. The Company may repurchase shares from time to time through open market purchases, in privately negotiated transactions or by other means, including through the use of trading plans intended to qualify under Rule 10b5-1 under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our loan agreements and other considerations. The share repurchase program does not obligate the Company to acquire any particular amount of Class A common stock, and the program may be suspended or terminated at any time by the Company at any time at its discretion without prior notice. A copy of the press release is attached hereto as Exhibit 99.3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lineRule="auto" w:line="276" w:before="0" w:after="16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 xml:space="preserve">. </w:t>
      </w:r>
    </w:p>
    <w:tbl>
      <w:tblPr>
        <w:tblW w:w="7916"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39"/>
        <w:gridCol w:w="1939"/>
        <w:gridCol w:w="276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1-8xkq424earnings.htm">
              <w:r>
                <w:rPr>
                  <w:rStyle w:val="InternetLink"/>
                  <w:rFonts w:ascii="Times New Roman;sans-serif" w:hAnsi="Times New Roman;sans-serif"/>
                  <w:b w:val="false"/>
                  <w:color w:val="0000FF"/>
                  <w:sz w:val="20"/>
                  <w:u w:val="single"/>
                </w:rPr>
                <w:t>Press Release issued by Expensify, Inc., dated February 27, 2025.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2-8xkq424investor.htm">
              <w:r>
                <w:rPr>
                  <w:rStyle w:val="InternetLink"/>
                  <w:rFonts w:ascii="Times New Roman;sans-serif" w:hAnsi="Times New Roman;sans-serif"/>
                  <w:b w:val="false"/>
                  <w:color w:val="0000FF"/>
                  <w:sz w:val="20"/>
                  <w:u w:val="single"/>
                </w:rPr>
                <w:t>Investor Presentation, dated February 27, 2025.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3-8xkq424sharerep.htm">
              <w:r>
                <w:rPr>
                  <w:rStyle w:val="InternetLink"/>
                  <w:rFonts w:ascii="Times New Roman;sans-serif" w:hAnsi="Times New Roman;sans-serif"/>
                  <w:b w:val="false"/>
                  <w:color w:val="0000FF"/>
                  <w:sz w:val="20"/>
                  <w:u w:val="single"/>
                </w:rPr>
                <w:t>Press Release issued by Expensify, Inc., dated February 27, 2025.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SIGNATURE </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ans-serif" w:hAnsi="Times New Roman;sans-serif"/>
          <w:b/>
          <w:color w:val="000000"/>
          <w:sz w:val="20"/>
        </w:rPr>
      </w:pPr>
      <w:r>
        <w:rPr>
          <w:rFonts w:ascii="Times New Roman;sans-serif" w:hAnsi="Times New Roman;sans-serif"/>
          <w:b/>
          <w:color w:val="000000"/>
          <w:sz w:val="20"/>
        </w:rPr>
        <w:t>EXPENSIFY ANNOUNCES Q4 AND FULL YEAR FISCAL 2024 RESULTS</w:t>
      </w:r>
    </w:p>
    <w:p>
      <w:pPr>
        <w:pStyle w:val="TextBody"/>
        <w:bidi w:val="0"/>
        <w:spacing w:lineRule="auto" w:line="276" w:before="0" w:after="0"/>
        <w:jc w:val="center"/>
        <w:rPr/>
      </w:pPr>
      <w:r>
        <w:rPr>
          <w:rFonts w:ascii="Times New Roman;sans-serif" w:hAnsi="Times New Roman;sans-serif"/>
          <w:b w:val="false"/>
          <w:i/>
          <w:color w:val="000000"/>
          <w:sz w:val="20"/>
        </w:rPr>
        <w:t xml:space="preserve">The company generated $23.9 million in Operating Cash Flow and $23.9 million in free cash flow in fiscal year 2024, Q4 revenue increased </w:t>
      </w: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i/>
          <w:color w:val="000000"/>
          <w:sz w:val="20"/>
        </w:rPr>
        <w:t xml:space="preserve">from Q3 2024.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PORTLAND, Ore.--(BUSINESS WIRE)--February 27, 2025-- Expensify, Inc. (Nasdaq: EXFY), a payments superapp that helps individuals and businesses around the world simplify the way they manage money across expenses, corporate cards and bills, today released a letter to shareholders from Founder and CEO David Barrett alongside results for its quarter and year ended December 31, 2024.</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 Message From Our Founder</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Quite simply, another great quarter, capping off an exciting year. The numbers speak for themselves: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Q4 Revenue is up</w:t>
      </w:r>
      <w:r>
        <w:rPr>
          <w:color w:val="000000"/>
        </w:rPr>
        <w:t xml:space="preserve"> </w:t>
      </w:r>
      <w:r>
        <w:rPr>
          <w:rFonts w:ascii="Times New Roman;sans-serif" w:hAnsi="Times New Roman;sans-serif"/>
          <w:b/>
          <w:color w:val="000000"/>
          <w:sz w:val="20"/>
        </w:rPr>
        <w:t>5% q/q</w:t>
      </w:r>
      <w:r>
        <w:rPr>
          <w:rFonts w:ascii="Times New Roman;sans-serif" w:hAnsi="Times New Roman;sans-serif"/>
          <w:b w:val="false"/>
          <w:color w:val="000000"/>
          <w:sz w:val="20"/>
        </w:rPr>
        <w:t>, FY24 Net loss is down 76% y/y and FY24 Adjusted EBIDTA is up 199% y/y – to a whopping $39.4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We generated $23.9 million in Operating Cash Flow and </w:t>
      </w:r>
      <w:r>
        <w:rPr>
          <w:rFonts w:ascii="Times New Roman;sans-serif" w:hAnsi="Times New Roman;sans-serif"/>
          <w:b/>
          <w:color w:val="000000"/>
          <w:sz w:val="20"/>
        </w:rPr>
        <w:t>$23.9 million in free cash flow</w:t>
      </w:r>
      <w:r>
        <w:rPr>
          <w:color w:val="000000"/>
        </w:rPr>
        <w:t xml:space="preserve"> – </w:t>
      </w:r>
      <w:r>
        <w:rPr>
          <w:rFonts w:ascii="Times New Roman;sans-serif" w:hAnsi="Times New Roman;sans-serif"/>
          <w:b w:val="false"/>
          <w:color w:val="000000"/>
          <w:sz w:val="20"/>
        </w:rPr>
        <w:t>beating the high end of our 2024 forecast by 19% even after raising it multiple times throughout the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Expensify Card spend is up 44% y/y, and </w:t>
      </w:r>
      <w:r>
        <w:rPr>
          <w:rFonts w:ascii="Times New Roman;sans-serif" w:hAnsi="Times New Roman;sans-serif"/>
          <w:b/>
          <w:color w:val="000000"/>
          <w:sz w:val="20"/>
        </w:rPr>
        <w:t>interchange is up 54% y/y</w:t>
      </w:r>
      <w:r>
        <w:rPr>
          <w:color w:val="000000"/>
        </w:rPr>
        <w:t xml:space="preserve"> – </w:t>
      </w:r>
      <w:r>
        <w:rPr>
          <w:rFonts w:ascii="Times New Roman;sans-serif" w:hAnsi="Times New Roman;sans-serif"/>
          <w:b w:val="false"/>
          <w:color w:val="000000"/>
          <w:sz w:val="20"/>
        </w:rPr>
        <w:t>essentially all of which is revenue now that we've effectively completed our migration to the new card program (which treats interchange as revenue, not as a contra expense, and earns more interchange per swipe).</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And my personal favorite, we paid off $22.7 million in debt – </w:t>
      </w:r>
      <w:r>
        <w:rPr>
          <w:rFonts w:ascii="Times New Roman;sans-serif" w:hAnsi="Times New Roman;sans-serif"/>
          <w:b/>
          <w:color w:val="000000"/>
          <w:sz w:val="20"/>
        </w:rPr>
        <w:t>making us debt free</w:t>
      </w:r>
      <w:r>
        <w:rPr>
          <w:rFonts w:ascii="Times New Roman;sans-serif" w:hAnsi="Times New Roman;sans-serif"/>
          <w:b w:val="false"/>
          <w:color w:val="000000"/>
          <w:sz w:val="20"/>
        </w:rPr>
        <w:t>.</w:t>
      </w:r>
    </w:p>
    <w:p>
      <w:pPr>
        <w:pStyle w:val="TextBody"/>
        <w:bidi w:val="0"/>
        <w:spacing w:lineRule="auto" w:line="300" w:before="0" w:after="160"/>
        <w:jc w:val="left"/>
        <w:rPr/>
      </w:pPr>
      <w:r>
        <w:rPr>
          <w:rFonts w:ascii="Times New Roman;sans-serif" w:hAnsi="Times New Roman;sans-serif"/>
          <w:b w:val="false"/>
          <w:color w:val="000000"/>
          <w:sz w:val="20"/>
        </w:rPr>
        <w:t>These results weren't easy, and are the early results of our integration of "</w:t>
      </w:r>
      <w:r>
        <w:rPr>
          <w:rFonts w:ascii="Times New Roman;sans-serif" w:hAnsi="Times New Roman;sans-serif"/>
          <w:b/>
          <w:color w:val="000000"/>
          <w:sz w:val="20"/>
        </w:rPr>
        <w:t>deep AI</w:t>
      </w:r>
      <w:r>
        <w:rPr>
          <w:rFonts w:ascii="Times New Roman;sans-serif" w:hAnsi="Times New Roman;sans-serif"/>
          <w:b w:val="false"/>
          <w:color w:val="000000"/>
          <w:sz w:val="20"/>
        </w:rPr>
        <w:t>" – not surface level, gimmicky features, but AI applied to complex systems that have previously required large teams of human agents. For example:</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We have virtually eliminated human intervention in the SmartScan process, and now leverage a highly tuned and backtested AI model that results in faster, more accurate scans, across more languages and complex formats than ever – </w:t>
      </w:r>
      <w:r>
        <w:rPr>
          <w:rFonts w:ascii="Times New Roman;sans-serif" w:hAnsi="Times New Roman;sans-serif"/>
          <w:b/>
          <w:color w:val="000000"/>
          <w:sz w:val="20"/>
        </w:rPr>
        <w:t>at 25% the cost</w:t>
      </w:r>
      <w:r>
        <w:rPr>
          <w:rFonts w:ascii="Times New Roman;sans-serif" w:hAnsi="Times New Roman;sans-serif"/>
          <w:b w:val="false"/>
          <w:color w:val="000000"/>
          <w:sz w:val="20"/>
        </w:rPr>
        <w:t>.</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We made a major upgrade to our hybrid-AI Concierge system, where AI takes a first pass at every new conversation, resulting in </w:t>
      </w:r>
      <w:r>
        <w:rPr>
          <w:rFonts w:ascii="Times New Roman;sans-serif" w:hAnsi="Times New Roman;sans-serif"/>
          <w:b/>
          <w:color w:val="000000"/>
          <w:sz w:val="20"/>
        </w:rPr>
        <w:t>~80% fewer "escalations"</w:t>
      </w:r>
      <w:r>
        <w:rPr>
          <w:color w:val="000000"/>
        </w:rPr>
        <w:t xml:space="preserve"> </w:t>
      </w:r>
      <w:r>
        <w:rPr>
          <w:rFonts w:ascii="Times New Roman;sans-serif" w:hAnsi="Times New Roman;sans-serif"/>
          <w:b w:val="false"/>
          <w:color w:val="000000"/>
          <w:sz w:val="20"/>
        </w:rPr>
        <w:t>to our human team in February '25. Not only has this increased the speed and accuracy of "basic" customer requests, it has freed up substantially more time for our human team to proactively engage with customers via account management calls.</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We are evaluating the transcripts of every customer call based on documented best practices, providing real-time feedback to our sales team and support staff (as well as detailed performance indicators to their managers). This has resulted in a </w:t>
      </w:r>
      <w:r>
        <w:rPr>
          <w:rFonts w:ascii="Times New Roman;sans-serif" w:hAnsi="Times New Roman;sans-serif"/>
          <w:b/>
          <w:color w:val="000000"/>
          <w:sz w:val="20"/>
        </w:rPr>
        <w:t>97% increase in "perfect calls"</w:t>
      </w:r>
      <w:r>
        <w:rPr>
          <w:color w:val="000000"/>
        </w:rPr>
        <w:t xml:space="preserve"> </w:t>
      </w:r>
      <w:r>
        <w:rPr>
          <w:rFonts w:ascii="Times New Roman;sans-serif" w:hAnsi="Times New Roman;sans-serif"/>
          <w:b w:val="false"/>
          <w:color w:val="000000"/>
          <w:sz w:val="20"/>
        </w:rPr>
        <w:t>(as measured by our team covering every point correctly before hanging up) in January '25 alone.</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But that's certainly not all, and is really just a preview of much more impactful projects underway:</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We are planning to add </w:t>
      </w:r>
      <w:r>
        <w:rPr>
          <w:rFonts w:ascii="Times New Roman;sans-serif" w:hAnsi="Times New Roman;sans-serif"/>
          <w:b/>
          <w:color w:val="000000"/>
          <w:sz w:val="20"/>
        </w:rPr>
        <w:t>"Concierge everywhere"</w:t>
      </w:r>
      <w:r>
        <w:rPr>
          <w:rFonts w:ascii="Times New Roman;sans-serif" w:hAnsi="Times New Roman;sans-serif"/>
          <w:b w:val="false"/>
          <w:color w:val="000000"/>
          <w:sz w:val="20"/>
        </w:rPr>
        <w:t>, transforming NewDot's chat-first design into an AI-first experience. If you have a question or want to make a change on basically anything, just ask Concierge in the chat attached to that thing – be that changing a workspace setting, asking about a particular employee's spending patterns, performing a flux analysis across multiple accounting periods, or just fixing an expense violation in natural text. Yes, Expensify Chat can be used like Slack to collaborate with co-workers. But it's better to think of it like ChatGPT: New Expensify is a tool for "chatting" with Concierge and your colleagues, right in the context of what you're analyzing.</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We are working on integrating </w:t>
      </w:r>
      <w:r>
        <w:rPr>
          <w:rFonts w:ascii="Times New Roman;sans-serif" w:hAnsi="Times New Roman;sans-serif"/>
          <w:b/>
          <w:color w:val="000000"/>
          <w:sz w:val="20"/>
        </w:rPr>
        <w:t>artificial engineers</w:t>
      </w:r>
      <w:r>
        <w:rPr>
          <w:color w:val="000000"/>
        </w:rPr>
        <w:t xml:space="preserve"> </w:t>
      </w:r>
      <w:r>
        <w:rPr>
          <w:rFonts w:ascii="Times New Roman;sans-serif" w:hAnsi="Times New Roman;sans-serif"/>
          <w:b w:val="false"/>
          <w:color w:val="000000"/>
          <w:sz w:val="20"/>
        </w:rPr>
        <w:t xml:space="preserve">into our development team. Early work on this was recently published by OpenAI, which has selected the "paid open source" contributor program behind the </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official Expensify app as the basis of its SWE-Lancer coding benchmark. This benchmark evaluates how many of Expensify's real-world, paid freelance projects can be successfully implemented using best-of-breed LLMs. We are betting our unique corporate structure will enable us to seamlessly integrate GenAI engineering on a meaningful scale, just like we've already done with our global network of human freelance engineers.</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it's tough to talk about AI because it is so cliche and noisy, with everyone clamoring to outdo each other with ever more grandiose claims. It's hard to say anything without earning eye rolls in return. But make no mistake: </w:t>
      </w:r>
    </w:p>
    <w:p>
      <w:pPr>
        <w:pStyle w:val="TextBody"/>
        <w:bidi w:val="0"/>
        <w:spacing w:lineRule="auto" w:line="300" w:before="0" w:after="160"/>
        <w:jc w:val="left"/>
        <w:rPr/>
      </w:pPr>
      <w:r>
        <w:rPr>
          <w:rFonts w:ascii="Times New Roman;sans-serif" w:hAnsi="Times New Roman;sans-serif"/>
          <w:b/>
          <w:color w:val="000000"/>
          <w:sz w:val="20"/>
        </w:rPr>
        <w:t>Expensify is gunning for AI supremacy in fintech.</w:t>
      </w:r>
      <w:r>
        <w:rPr>
          <w:color w:val="000000"/>
        </w:rPr>
        <w:t xml:space="preserve"> </w:t>
      </w:r>
      <w:r>
        <w:rPr>
          <w:rFonts w:ascii="Times New Roman;sans-serif" w:hAnsi="Times New Roman;sans-serif"/>
          <w:b w:val="false"/>
          <w:color w:val="000000"/>
          <w:sz w:val="20"/>
        </w:rPr>
        <w:t>And I think we are better positioned than any competitor to achieve it.</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That might sound like wishful thinking, which is why our midwestern sensibilities make us shy to talk about it. But that's the plan, and we feel very, very proud of the progress made down that path in the last year – and super excited about the years to come. Thank you for coming along with us on this journey. It's been quite a ride!</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-david</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Founder and CEO of Expensify</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w: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Fourth Quarter 2024 Highlights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Revenue was $37.0 million, an increase of 5% compared to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Generated $7.4 million of cash from operating activities.</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Free cash flow was $6.3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Net loss was $1.3 million, compared to $7.2 million for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Non-GAAP net income was $8.7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Adjusted EBITDA was $12.4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Interchange derived from the Expensify Card grew to $5.1 million, an increase of 62% compared to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See Financial Outlook section for Free Cash Flow guidance for fiscal year ending December 31, 2025.</w: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Full Year Fiscal 2024 Highlights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Revenue was $139.2 million, a decrease of 8% compared to the prior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Generated $23.9 million of cash from operating activities.</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Free cash flow was $23.9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Net loss was $10.1 million, compared to $41.5 million for the prior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Non-GAAP net income was $23.5 million.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Adjusted EBITDA was $39.4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Interchange derived from the Expensify Card grew to $17.2 million, an increase of 54% compared to the prior year.</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Business</w: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Fourth Quarter 2024 Highlights</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Paid members</w:t>
      </w:r>
      <w:r>
        <w:rPr>
          <w:color w:val="000000"/>
        </w:rPr>
        <w:t xml:space="preserve"> </w:t>
      </w:r>
      <w:r>
        <w:rPr>
          <w:rFonts w:ascii="Times New Roman;sans-serif" w:hAnsi="Times New Roman;sans-serif"/>
          <w:b w:val="false"/>
          <w:color w:val="000000"/>
          <w:sz w:val="20"/>
        </w:rPr>
        <w:t>- Paid members were 687,000, a decrease of 4% from the same period last year, however a slight increase compared to Q3 2024's paid members of 684,000.</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Expanded AI Support</w:t>
      </w:r>
      <w:r>
        <w:rPr>
          <w:color w:val="000000"/>
        </w:rPr>
        <w:t xml:space="preserve"> </w:t>
      </w:r>
      <w:r>
        <w:rPr>
          <w:rFonts w:ascii="Times New Roman;sans-serif" w:hAnsi="Times New Roman;sans-serif"/>
          <w:b w:val="false"/>
          <w:color w:val="000000"/>
          <w:sz w:val="20"/>
        </w:rPr>
        <w:t>- expanded enterprise client relationship with OpenAI to provide 80% of tier 1 support through AI driven responses.</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Expensify Travel </w:t>
      </w:r>
      <w:r>
        <w:rPr>
          <w:rFonts w:ascii="Times New Roman;sans-serif" w:hAnsi="Times New Roman;sans-serif"/>
          <w:b w:val="false"/>
          <w:color w:val="000000"/>
          <w:sz w:val="20"/>
        </w:rPr>
        <w:t xml:space="preserve">- The company launched its travel product, adding fee-based and transactional revenue opportunities to the business. </w: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2024 Highlights</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Debt reduction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The company reduced its debt by $22.7 million in 2024. </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Share purchases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company’s employees purchased $4.1 million worth of Class A common stock via the company’s Stock Purchase and Matching Plan in 2024.</w:t>
      </w:r>
    </w:p>
    <w:p>
      <w:pPr>
        <w:pStyle w:val="TextBody"/>
        <w:bidi w:val="0"/>
        <w:spacing w:lineRule="auto" w:line="300" w:before="0" w:after="2"/>
        <w:ind w:left="0" w:right="0" w:hanging="360"/>
        <w:jc w:val="left"/>
        <w:rPr/>
      </w:pPr>
      <w:r>
        <w:rPr>
          <w:color w:val="000000"/>
        </w:rPr>
        <w:t>•</w:t>
      </w:r>
      <w:r>
        <w:rPr>
          <w:rFonts w:ascii="Times New Roman;sans-serif" w:hAnsi="Times New Roman;sans-serif"/>
          <w:b/>
          <w:color w:val="000000"/>
          <w:sz w:val="20"/>
        </w:rPr>
        <w:t>Expensify Card migration</w:t>
      </w:r>
      <w:r>
        <w:rPr>
          <w:color w:val="000000"/>
        </w:rPr>
        <w:t xml:space="preserve"> </w:t>
      </w:r>
      <w:r>
        <w:rPr>
          <w:rFonts w:ascii="Times New Roman;sans-serif" w:hAnsi="Times New Roman;sans-serif"/>
          <w:b w:val="false"/>
          <w:color w:val="000000"/>
          <w:sz w:val="20"/>
        </w:rPr>
        <w:t xml:space="preserve">- The company completed its migration to its new card program with substantially all Expensify Card spend now under the new program. </w:t>
      </w:r>
    </w:p>
    <w:p>
      <w:pPr>
        <w:pStyle w:val="TextBody"/>
        <w:bidi w:val="0"/>
        <w:spacing w:lineRule="auto" w:line="300" w:before="16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Outlook</w:t>
      </w:r>
    </w:p>
    <w:p>
      <w:pPr>
        <w:pStyle w:val="TextBody"/>
        <w:bidi w:val="0"/>
        <w:spacing w:lineRule="auto" w:line="26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Free Cash Flow</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Expensify estimates Free Cash Flow of $16.0 million - $20.0 million for the fiscal year ending December 31, 2025. </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provide a reconciliation for free cash flow estimates on a forward-looking basis because it is unable, without making unreasonable efforts, to provide a meaningful or reasonably accurate calculation or estimation of net cash provided by operating activities and certain reconciling items on a forward-looking basis, which could be significant to the Company's results.</w: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Stock Based Compensation</w:t>
      </w:r>
    </w:p>
    <w:p>
      <w:pPr>
        <w:pStyle w:val="TextBody"/>
        <w:bidi w:val="0"/>
        <w:spacing w:lineRule="auto" w:line="26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An estimate of expected stock-based compensation for the next four fiscal quarters is as follows, which is driven primarily by the pre-IPO grant of RSUs issued to all employees (which vest quarterly over eight years with approximately four years remaining).</w: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Est. stock-based compensation (millions)</w:t>
      </w:r>
    </w:p>
    <w:tbl>
      <w:tblPr>
        <w:tblW w:w="9792" w:type="dxa"/>
        <w:jc w:val="left"/>
        <w:tblInd w:w="0" w:type="dxa"/>
        <w:tblLayout w:type="fixed"/>
        <w:tblCellMar>
          <w:top w:w="28" w:type="dxa"/>
          <w:left w:w="28" w:type="dxa"/>
          <w:bottom w:w="28" w:type="dxa"/>
          <w:right w:w="28" w:type="dxa"/>
        </w:tblCellMar>
      </w:tblPr>
      <w:tblGrid>
        <w:gridCol w:w="727"/>
        <w:gridCol w:w="639"/>
        <w:gridCol w:w="644"/>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Q1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Q2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Q3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Q4 2025</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Availability of Information on Expensify’s Website</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Conference Call </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 </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Measures</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financial measures prepared in accordance with U.S. generally accepted accounting principles (“GAAP”), we provide certain non-GAAP financial measures, including adjusted EBITDA, non-GAAP net income, and free cash flow.</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pStyle w:val="TextBody"/>
        <w:bidi w:val="0"/>
        <w:spacing w:lineRule="auto" w:line="300" w:before="0" w:after="160"/>
        <w:jc w:val="left"/>
        <w:rPr/>
      </w:pPr>
      <w:r>
        <w:rPr>
          <w:rFonts w:ascii="Times New Roman;sans-serif" w:hAnsi="Times New Roman;sans-serif"/>
          <w:b/>
          <w:color w:val="000000"/>
          <w:sz w:val="20"/>
        </w:rPr>
        <w:t>Adjusted EBITDA.</w:t>
      </w:r>
      <w:r>
        <w:rPr>
          <w:color w:val="000000"/>
        </w:rPr>
        <w:t xml:space="preserve"> </w:t>
      </w:r>
      <w:r>
        <w:rPr>
          <w:rFonts w:ascii="Times New Roman;sans-serif" w:hAnsi="Times New Roman;sans-serif"/>
          <w:b w:val="false"/>
          <w:color w:val="000000"/>
          <w:sz w:val="20"/>
        </w:rPr>
        <w:t>We define adjusted EBITDA as net loss from operations excluding provision for income taxes, interest and other expenses, net, depreciation and amortization and stock-based compensation.</w:t>
      </w:r>
    </w:p>
    <w:p>
      <w:pPr>
        <w:pStyle w:val="TextBody"/>
        <w:bidi w:val="0"/>
        <w:spacing w:lineRule="auto" w:line="300" w:before="0" w:after="160"/>
        <w:jc w:val="left"/>
        <w:rPr/>
      </w:pPr>
      <w:r>
        <w:rPr>
          <w:rFonts w:ascii="Times New Roman;sans-serif" w:hAnsi="Times New Roman;sans-serif"/>
          <w:b/>
          <w:color w:val="000000"/>
          <w:sz w:val="20"/>
        </w:rPr>
        <w:t>Non-GAAP net income.</w:t>
      </w:r>
      <w:r>
        <w:rPr>
          <w:color w:val="000000"/>
        </w:rPr>
        <w:t xml:space="preserve"> </w:t>
      </w:r>
      <w:r>
        <w:rPr>
          <w:rFonts w:ascii="Times New Roman;sans-serif" w:hAnsi="Times New Roman;sans-serif"/>
          <w:b w:val="false"/>
          <w:color w:val="000000"/>
          <w:sz w:val="20"/>
        </w:rPr>
        <w:t>We define Non-GAAP net income as net loss from operations excluding stock-based compensation.</w:t>
      </w:r>
    </w:p>
    <w:p>
      <w:pPr>
        <w:pStyle w:val="TextBody"/>
        <w:bidi w:val="0"/>
        <w:spacing w:lineRule="auto" w:line="300" w:before="0" w:after="160"/>
        <w:jc w:val="left"/>
        <w:rPr/>
      </w:pPr>
      <w:r>
        <w:rPr>
          <w:rFonts w:ascii="Times New Roman;sans-serif" w:hAnsi="Times New Roman;sans-serif"/>
          <w:b/>
          <w:color w:val="000000"/>
          <w:sz w:val="20"/>
        </w:rPr>
        <w:t>Free cash flow.</w:t>
      </w:r>
      <w:r>
        <w:rPr>
          <w:color w:val="000000"/>
        </w:rPr>
        <w:t xml:space="preserve"> </w:t>
      </w:r>
      <w:r>
        <w:rPr>
          <w:rFonts w:ascii="Times New Roman;sans-serif" w:hAnsi="Times New Roman;sans-serif"/>
          <w:b w:val="false"/>
          <w:color w:val="000000"/>
          <w:sz w:val="20"/>
        </w:rPr>
        <w:t>We define Free cash flow as net cash provided by operating activities excluding changes in settlement assets and settlement liabilities, which represent funds held for customers and customer funds in transit, respectively, reduced by the purchases of property and equipment and software development costs.</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at the end of the Consolidated Financial Statements provide reconciliations to the most directly comparable GAAP financial measure to each of these non-GAAP financial measures.</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bidi w:val="0"/>
        <w:spacing w:lineRule="auto" w:line="26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future cash flow, </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projected costs, prospects, plans, objectives of management and expected market growth, product developments and their potential impact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geopolitical tensions, including the war in Ukraine and the conflict in Israel, Gaza and surrounding areas; our ability to effectively manage our exposure to fluctuations in foreign currency exchange rates; the expenses associated with being a public company; the size of our addressable markets, market share and market trends; anticipated trends, developments and challenges in our industry, business and the highly competitive markets in which we operate; any adverse impact on our business operations as a result of using artificial intelligence or other machine learning technologies in our services;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and geopolitical uncertainty and instability, and their effects on software spending;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About Expensify</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Expensify helps 15 million people worldwide track expenses, book travel, reimburse employees, manage corporate cards, send invoices, and pay bills—all in one place. Whether you're self-employed, running a small business, managing a team, or overseeing global finances, let Expensify handle your travel and expense, at the speed of chat.</w:t>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Nick Tooker</w:t>
      </w:r>
    </w:p>
    <w:p>
      <w:pPr>
        <w:pStyle w:val="TextBody"/>
        <w:bidi w:val="0"/>
        <w:spacing w:lineRule="auto" w:line="276"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investors@expensify.com</w:t>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Press Contact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Dean</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press@expensify.com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Consolidated Balance Sheets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2945"/>
        <w:gridCol w:w="2391"/>
        <w:gridCol w:w="2413"/>
        <w:gridCol w:w="196"/>
        <w:gridCol w:w="736"/>
        <w:gridCol w:w="109"/>
        <w:gridCol w:w="109"/>
        <w:gridCol w:w="109"/>
        <w:gridCol w:w="109"/>
        <w:gridCol w:w="196"/>
        <w:gridCol w:w="736"/>
        <w:gridCol w:w="156"/>
      </w:tblGrid>
      <w:tr>
        <w:trPr/>
        <w:tc>
          <w:tcPr>
            <w:tcW w:w="2945"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line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net of original issue discount and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Preferred stock, par value $0.0001; 10,000,000 shares of preferred stock authorized as of December 31, 2024 and 2023, respectively; no shares of preferred stock issued and outstanding as of December 31, 2024 and 2023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1,000,000,000 shares of Class A common stock authorized as of December 31, 2024 and 2023; 79,471,414 and 70,569,815 shares of Class A common stock issued and outstanding as of December 31, 2024 and 2023, respectively; 21,871,197 and 24,994,989 shares of LT10 common stock authorized as of December 31, 2024 and 2023, respectively; 4,209,827 and 7,333,619 shares of LT10 common stock issued and outstanding as of December 31, 2024 and 2023, respectively; 24,967,114 and 24,998,941 shares of LT50 common stock authorized as of December 31, 2024 and 2023, respectively; 7,695,524 and 7,321,894 shares of LT50 common stock issued and outstanding as of December 31, 2024 and 2023,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Consolidated Statements of Operations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1683"/>
        <w:gridCol w:w="1461"/>
        <w:gridCol w:w="1470"/>
        <w:gridCol w:w="249"/>
        <w:gridCol w:w="797"/>
        <w:gridCol w:w="131"/>
        <w:gridCol w:w="131"/>
        <w:gridCol w:w="131"/>
        <w:gridCol w:w="131"/>
        <w:gridCol w:w="249"/>
        <w:gridCol w:w="797"/>
        <w:gridCol w:w="131"/>
        <w:gridCol w:w="109"/>
        <w:gridCol w:w="109"/>
        <w:gridCol w:w="109"/>
        <w:gridCol w:w="202"/>
        <w:gridCol w:w="759"/>
        <w:gridCol w:w="109"/>
        <w:gridCol w:w="109"/>
        <w:gridCol w:w="109"/>
        <w:gridCol w:w="109"/>
        <w:gridCol w:w="202"/>
        <w:gridCol w:w="759"/>
        <w:gridCol w:w="159"/>
      </w:tblGrid>
      <w:tr>
        <w:trPr/>
        <w:tc>
          <w:tcPr>
            <w:tcW w:w="168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35,208 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ans-serif" w:hAnsi="Times New Roman;sans-serif"/>
                <w:b w:val="false"/>
                <w:color w:val="000000"/>
                <w:sz w:val="18"/>
              </w:rPr>
              <w:t>Cost of revenue, net</w:t>
            </w:r>
            <w:r>
              <w:rPr>
                <w:rFonts w:ascii="Times New Roman;sans-serif" w:hAnsi="Times New Roman;sans-serif"/>
                <w:b w:val="false"/>
                <w:color w:val="000000"/>
                <w:sz w:val="12"/>
              </w:rPr>
              <w:t>(1)</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ans-serif" w:hAnsi="Times New Roman;sans-serif"/>
                <w:b w:val="false"/>
                <w:color w:val="000000"/>
                <w:sz w:val="18"/>
              </w:rPr>
              <w:t>Research and development</w:t>
            </w:r>
            <w:r>
              <w:rPr>
                <w:rFonts w:ascii="Times New Roman;sans-serif" w:hAnsi="Times New Roman;sans-serif"/>
                <w:b w:val="false"/>
                <w:color w:val="000000"/>
                <w:sz w:val="12"/>
              </w:rPr>
              <w:t>(1)</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ans-serif" w:hAnsi="Times New Roman;sans-serif"/>
                <w:b w:val="false"/>
                <w:color w:val="000000"/>
                <w:sz w:val="18"/>
              </w:rPr>
              <w:t>General and administrative</w:t>
            </w:r>
            <w:r>
              <w:rPr>
                <w:rFonts w:ascii="Times New Roman;sans-serif" w:hAnsi="Times New Roman;sans-serif"/>
                <w:b w:val="false"/>
                <w:color w:val="000000"/>
                <w:sz w:val="12"/>
              </w:rPr>
              <w:t>(1)</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ans-serif" w:hAnsi="Times New Roman;sans-serif"/>
                <w:b w:val="false"/>
                <w:color w:val="000000"/>
                <w:sz w:val="18"/>
              </w:rPr>
              <w:t>Sales and marketing</w:t>
            </w:r>
            <w:r>
              <w:rPr>
                <w:rFonts w:ascii="Times New Roman;sans-serif" w:hAnsi="Times New Roman;sans-serif"/>
                <w:b w:val="false"/>
                <w:color w:val="000000"/>
                <w:sz w:val="12"/>
              </w:rPr>
              <w:t>(1)</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116,948 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expenses, net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of common stock used to compute net loss per share:</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89,577,172 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83,703,085 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87,380,708 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82,493,226 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center"/>
        <w:rPr>
          <w:color w:val="000000"/>
        </w:rPr>
      </w:pPr>
      <w:r>
        <w:rPr>
          <w:color w:val="000000"/>
        </w:rPr>
        <w:t>    </w:t>
      </w:r>
    </w:p>
    <w:p>
      <w:pPr>
        <w:pStyle w:val="TextBody"/>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(1)Includes stock-based compensation expense as follows:</w:t>
      </w:r>
    </w:p>
    <w:tbl>
      <w:tblPr>
        <w:tblW w:w="8370" w:type="dxa"/>
        <w:jc w:val="center"/>
        <w:tblInd w:w="0" w:type="dxa"/>
        <w:tblLayout w:type="fixed"/>
        <w:tblCellMar>
          <w:top w:w="28" w:type="dxa"/>
          <w:left w:w="28" w:type="dxa"/>
          <w:bottom w:w="28" w:type="dxa"/>
          <w:right w:w="28" w:type="dxa"/>
        </w:tblCellMar>
      </w:tblPr>
      <w:tblGrid>
        <w:gridCol w:w="1064"/>
        <w:gridCol w:w="934"/>
        <w:gridCol w:w="941"/>
        <w:gridCol w:w="249"/>
        <w:gridCol w:w="821"/>
        <w:gridCol w:w="138"/>
        <w:gridCol w:w="138"/>
        <w:gridCol w:w="138"/>
        <w:gridCol w:w="138"/>
        <w:gridCol w:w="249"/>
        <w:gridCol w:w="821"/>
        <w:gridCol w:w="138"/>
        <w:gridCol w:w="109"/>
        <w:gridCol w:w="109"/>
        <w:gridCol w:w="109"/>
        <w:gridCol w:w="196"/>
        <w:gridCol w:w="646"/>
        <w:gridCol w:w="109"/>
        <w:gridCol w:w="109"/>
        <w:gridCol w:w="109"/>
        <w:gridCol w:w="109"/>
        <w:gridCol w:w="196"/>
        <w:gridCol w:w="64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 net</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 expense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Consolidated Statements of Cash Flows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8244" w:type="dxa"/>
        <w:jc w:val="left"/>
        <w:tblInd w:w="0" w:type="dxa"/>
        <w:tblLayout w:type="fixed"/>
        <w:tblCellMar>
          <w:top w:w="28" w:type="dxa"/>
          <w:left w:w="28" w:type="dxa"/>
          <w:bottom w:w="28" w:type="dxa"/>
          <w:right w:w="28" w:type="dxa"/>
        </w:tblCellMar>
      </w:tblPr>
      <w:tblGrid>
        <w:gridCol w:w="2207"/>
        <w:gridCol w:w="1936"/>
        <w:gridCol w:w="1947"/>
        <w:gridCol w:w="181"/>
        <w:gridCol w:w="601"/>
        <w:gridCol w:w="109"/>
        <w:gridCol w:w="109"/>
        <w:gridCol w:w="109"/>
        <w:gridCol w:w="109"/>
        <w:gridCol w:w="181"/>
        <w:gridCol w:w="601"/>
        <w:gridCol w:w="154"/>
      </w:tblGrid>
      <w:tr>
        <w:trPr/>
        <w:tc>
          <w:tcPr>
            <w:tcW w:w="220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operating activities: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(41,456)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to cash provided by operating activities: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Reduction of operating lease right-of-use assets </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impairment, receivables and sale or disposal of equipment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original issue discount and debt issuance costs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tax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assets and liabilities: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net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Settlement assets, net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current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 and other liabilities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Settlement liabilities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investing activities:</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property and equipment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Software development costs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financing activities:</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of finance leases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of term loan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early exercises of common stock</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common stock purchased under Matching Plan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common stock on exercise of stock options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for debt issuance costs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for employee taxes withheld from stock-based awards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common stock</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financing activities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decrease in cash and cash equivalents and restricted cash</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and restricted cash, beginning of period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147,710 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and restricted cash,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96,658 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disclosure of cash flow information:</w:t>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investing and financing items: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capitalized as software development costs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 and capitalized software in accounts payable and accrued expenses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 acquired through operating leases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 acquired through finance leases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Cashless exercise of stock options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Reconciliation of cash and cash equivalents and restricted cash to the Consolidated Balance Sheets: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included in other current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included in settlement assets, net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21,406 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cash and cash equivalents and restricted cash</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96,658 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Reconciliation of GAAP to Non-GAAP Financial Measures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percentages)</w:t>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and Adjusted EBITDA Margin</w:t>
      </w:r>
    </w:p>
    <w:tbl>
      <w:tblPr>
        <w:tblW w:w="8502" w:type="dxa"/>
        <w:jc w:val="left"/>
        <w:tblInd w:w="0" w:type="dxa"/>
        <w:tblLayout w:type="fixed"/>
        <w:tblCellMar>
          <w:top w:w="28" w:type="dxa"/>
          <w:left w:w="28" w:type="dxa"/>
          <w:bottom w:w="28" w:type="dxa"/>
          <w:right w:w="28" w:type="dxa"/>
        </w:tblCellMar>
      </w:tblPr>
      <w:tblGrid>
        <w:gridCol w:w="949"/>
        <w:gridCol w:w="834"/>
        <w:gridCol w:w="842"/>
        <w:gridCol w:w="221"/>
        <w:gridCol w:w="730"/>
        <w:gridCol w:w="289"/>
        <w:gridCol w:w="123"/>
        <w:gridCol w:w="123"/>
        <w:gridCol w:w="123"/>
        <w:gridCol w:w="221"/>
        <w:gridCol w:w="713"/>
        <w:gridCol w:w="289"/>
        <w:gridCol w:w="109"/>
        <w:gridCol w:w="109"/>
        <w:gridCol w:w="109"/>
        <w:gridCol w:w="196"/>
        <w:gridCol w:w="721"/>
        <w:gridCol w:w="256"/>
        <w:gridCol w:w="109"/>
        <w:gridCol w:w="109"/>
        <w:gridCol w:w="109"/>
        <w:gridCol w:w="196"/>
        <w:gridCol w:w="721"/>
        <w:gridCol w:w="301"/>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margin</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8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8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expenses, net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41,212 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12,390 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5,854 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13,174 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9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Net Income and Non-GAAP Net Income Margin</w:t>
      </w:r>
    </w:p>
    <w:tbl>
      <w:tblPr>
        <w:tblW w:w="8678" w:type="dxa"/>
        <w:jc w:val="left"/>
        <w:tblInd w:w="0" w:type="dxa"/>
        <w:tblLayout w:type="fixed"/>
        <w:tblCellMar>
          <w:top w:w="28" w:type="dxa"/>
          <w:left w:w="28" w:type="dxa"/>
          <w:bottom w:w="28" w:type="dxa"/>
          <w:right w:w="28" w:type="dxa"/>
        </w:tblCellMar>
      </w:tblPr>
      <w:tblGrid>
        <w:gridCol w:w="1014"/>
        <w:gridCol w:w="890"/>
        <w:gridCol w:w="900"/>
        <w:gridCol w:w="222"/>
        <w:gridCol w:w="717"/>
        <w:gridCol w:w="291"/>
        <w:gridCol w:w="123"/>
        <w:gridCol w:w="123"/>
        <w:gridCol w:w="123"/>
        <w:gridCol w:w="222"/>
        <w:gridCol w:w="717"/>
        <w:gridCol w:w="291"/>
        <w:gridCol w:w="109"/>
        <w:gridCol w:w="109"/>
        <w:gridCol w:w="109"/>
        <w:gridCol w:w="196"/>
        <w:gridCol w:w="721"/>
        <w:gridCol w:w="256"/>
        <w:gridCol w:w="109"/>
        <w:gridCol w:w="109"/>
        <w:gridCol w:w="109"/>
        <w:gridCol w:w="196"/>
        <w:gridCol w:w="721"/>
        <w:gridCol w:w="301"/>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margin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41,212 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(loss)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(loss) margin</w:t>
            </w:r>
          </w:p>
        </w:tc>
        <w:tc>
          <w:tcPr>
            <w:tcW w:w="9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Cash Flow and Free Cash Flow</w:t>
      </w:r>
    </w:p>
    <w:tbl>
      <w:tblPr>
        <w:tblW w:w="9566" w:type="dxa"/>
        <w:jc w:val="left"/>
        <w:tblInd w:w="0" w:type="dxa"/>
        <w:tblLayout w:type="fixed"/>
        <w:tblCellMar>
          <w:top w:w="28" w:type="dxa"/>
          <w:left w:w="28" w:type="dxa"/>
          <w:bottom w:w="28" w:type="dxa"/>
          <w:right w:w="28" w:type="dxa"/>
        </w:tblCellMar>
      </w:tblPr>
      <w:tblGrid>
        <w:gridCol w:w="1424"/>
        <w:gridCol w:w="1250"/>
        <w:gridCol w:w="1256"/>
        <w:gridCol w:w="229"/>
        <w:gridCol w:w="652"/>
        <w:gridCol w:w="300"/>
        <w:gridCol w:w="127"/>
        <w:gridCol w:w="127"/>
        <w:gridCol w:w="127"/>
        <w:gridCol w:w="229"/>
        <w:gridCol w:w="740"/>
        <w:gridCol w:w="300"/>
        <w:gridCol w:w="109"/>
        <w:gridCol w:w="109"/>
        <w:gridCol w:w="109"/>
        <w:gridCol w:w="196"/>
        <w:gridCol w:w="646"/>
        <w:gridCol w:w="256"/>
        <w:gridCol w:w="109"/>
        <w:gridCol w:w="109"/>
        <w:gridCol w:w="109"/>
        <w:gridCol w:w="196"/>
        <w:gridCol w:w="556"/>
        <w:gridCol w:w="301"/>
      </w:tblGrid>
      <w:tr>
        <w:trPr/>
        <w:tc>
          <w:tcPr>
            <w:tcW w:w="142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 margin</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0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changes in assets and liabilities:</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assets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liabilities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operating cash flow</w:t>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7,203 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6,274 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 margin</w:t>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19"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21"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23"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25"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27"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29"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31"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3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descr=""/>
                    <pic:cNvPicPr>
                      <a:picLocks noChangeAspect="1" noChangeArrowheads="1"/>
                    </pic:cNvPicPr>
                  </pic:nvPicPr>
                  <pic:blipFill>
                    <a:blip r:embed="rId1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3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pPr>
      <w:r>
        <w:rPr/>
        <w:drawing>
          <wp:inline distT="0" distB="0" distL="0" distR="0">
            <wp:extent cx="9144000" cy="5143500"/>
            <wp:effectExtent l="0" t="0" r="0" b="0"/>
            <wp:docPr id="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 descr=""/>
                    <pic:cNvPicPr>
                      <a:picLocks noChangeAspect="1" noChangeArrowheads="1"/>
                    </pic:cNvPicPr>
                  </pic:nvPicPr>
                  <pic:blipFill>
                    <a:blip r:embed="rId13"/>
                    <a:stretch>
                      <a:fillRect/>
                    </a:stretch>
                  </pic:blipFill>
                  <pic:spPr bwMode="auto">
                    <a:xfrm>
                      <a:off x="0" y="0"/>
                      <a:ext cx="9144000" cy="51435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3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1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39"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1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41"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16"/>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43"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6" descr=""/>
                    <pic:cNvPicPr>
                      <a:picLocks noChangeAspect="1" noChangeArrowheads="1"/>
                    </pic:cNvPicPr>
                  </pic:nvPicPr>
                  <pic:blipFill>
                    <a:blip r:embed="rId1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45"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1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47"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1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49"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9" descr=""/>
                    <pic:cNvPicPr>
                      <a:picLocks noChangeAspect="1" noChangeArrowheads="1"/>
                    </pic:cNvPicPr>
                  </pic:nvPicPr>
                  <pic:blipFill>
                    <a:blip r:embed="rId20"/>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51"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0" descr=""/>
                    <pic:cNvPicPr>
                      <a:picLocks noChangeAspect="1" noChangeArrowheads="1"/>
                    </pic:cNvPicPr>
                  </pic:nvPicPr>
                  <pic:blipFill>
                    <a:blip r:embed="rId2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5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1" descr=""/>
                    <pic:cNvPicPr>
                      <a:picLocks noChangeAspect="1" noChangeArrowheads="1"/>
                    </pic:cNvPicPr>
                  </pic:nvPicPr>
                  <pic:blipFill>
                    <a:blip r:embed="rId2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5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2" descr=""/>
                    <pic:cNvPicPr>
                      <a:picLocks noChangeAspect="1" noChangeArrowheads="1"/>
                    </pic:cNvPicPr>
                  </pic:nvPicPr>
                  <pic:blipFill>
                    <a:blip r:embed="rId2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5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 descr=""/>
                    <pic:cNvPicPr>
                      <a:picLocks noChangeAspect="1" noChangeArrowheads="1"/>
                    </pic:cNvPicPr>
                  </pic:nvPicPr>
                  <pic:blipFill>
                    <a:blip r:embed="rId2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59"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4" descr=""/>
                    <pic:cNvPicPr>
                      <a:picLocks noChangeAspect="1" noChangeArrowheads="1"/>
                    </pic:cNvPicPr>
                  </pic:nvPicPr>
                  <pic:blipFill>
                    <a:blip r:embed="rId2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61"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5" descr=""/>
                    <pic:cNvPicPr>
                      <a:picLocks noChangeAspect="1" noChangeArrowheads="1"/>
                    </pic:cNvPicPr>
                  </pic:nvPicPr>
                  <pic:blipFill>
                    <a:blip r:embed="rId26"/>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63"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6" descr=""/>
                    <pic:cNvPicPr>
                      <a:picLocks noChangeAspect="1" noChangeArrowheads="1"/>
                    </pic:cNvPicPr>
                  </pic:nvPicPr>
                  <pic:blipFill>
                    <a:blip r:embed="rId2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65"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7" descr=""/>
                    <pic:cNvPicPr>
                      <a:picLocks noChangeAspect="1" noChangeArrowheads="1"/>
                    </pic:cNvPicPr>
                  </pic:nvPicPr>
                  <pic:blipFill>
                    <a:blip r:embed="rId2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67"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6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 descr=""/>
                    <pic:cNvPicPr>
                      <a:picLocks noChangeAspect="1" noChangeArrowheads="1"/>
                    </pic:cNvPicPr>
                  </pic:nvPicPr>
                  <pic:blipFill>
                    <a:blip r:embed="rId2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69"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7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9" descr=""/>
                    <pic:cNvPicPr>
                      <a:picLocks noChangeAspect="1" noChangeArrowheads="1"/>
                    </pic:cNvPicPr>
                  </pic:nvPicPr>
                  <pic:blipFill>
                    <a:blip r:embed="rId3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71"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7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0" descr=""/>
                    <pic:cNvPicPr>
                      <a:picLocks noChangeAspect="1" noChangeArrowheads="1"/>
                    </pic:cNvPicPr>
                  </pic:nvPicPr>
                  <pic:blipFill>
                    <a:blip r:embed="rId3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7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7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1" descr=""/>
                    <pic:cNvPicPr>
                      <a:picLocks noChangeAspect="1" noChangeArrowheads="1"/>
                    </pic:cNvPicPr>
                  </pic:nvPicPr>
                  <pic:blipFill>
                    <a:blip r:embed="rId3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7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7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2" descr=""/>
                    <pic:cNvPicPr>
                      <a:picLocks noChangeAspect="1" noChangeArrowheads="1"/>
                    </pic:cNvPicPr>
                  </pic:nvPicPr>
                  <pic:blipFill>
                    <a:blip r:embed="rId3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7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7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3" descr=""/>
                    <pic:cNvPicPr>
                      <a:picLocks noChangeAspect="1" noChangeArrowheads="1"/>
                    </pic:cNvPicPr>
                  </pic:nvPicPr>
                  <pic:blipFill>
                    <a:blip r:embed="rId3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79"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8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4" descr=""/>
                    <pic:cNvPicPr>
                      <a:picLocks noChangeAspect="1" noChangeArrowheads="1"/>
                    </pic:cNvPicPr>
                  </pic:nvPicPr>
                  <pic:blipFill>
                    <a:blip r:embed="rId3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8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8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5" descr=""/>
                    <pic:cNvPicPr>
                      <a:picLocks noChangeAspect="1" noChangeArrowheads="1"/>
                    </pic:cNvPicPr>
                  </pic:nvPicPr>
                  <pic:blipFill>
                    <a:blip r:embed="rId3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83"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8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6" descr=""/>
                    <pic:cNvPicPr>
                      <a:picLocks noChangeAspect="1" noChangeArrowheads="1"/>
                    </pic:cNvPicPr>
                  </pic:nvPicPr>
                  <pic:blipFill>
                    <a:blip r:embed="rId3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85"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8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7" descr=""/>
                    <pic:cNvPicPr>
                      <a:picLocks noChangeAspect="1" noChangeArrowheads="1"/>
                    </pic:cNvPicPr>
                  </pic:nvPicPr>
                  <pic:blipFill>
                    <a:blip r:embed="rId38"/>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87"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8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8" descr=""/>
                    <pic:cNvPicPr>
                      <a:picLocks noChangeAspect="1" noChangeArrowheads="1"/>
                    </pic:cNvPicPr>
                  </pic:nvPicPr>
                  <pic:blipFill>
                    <a:blip r:embed="rId3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89"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9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9" descr=""/>
                    <pic:cNvPicPr>
                      <a:picLocks noChangeAspect="1" noChangeArrowheads="1"/>
                    </pic:cNvPicPr>
                  </pic:nvPicPr>
                  <pic:blipFill>
                    <a:blip r:embed="rId4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1"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9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0" descr=""/>
                    <pic:cNvPicPr>
                      <a:picLocks noChangeAspect="1" noChangeArrowheads="1"/>
                    </pic:cNvPicPr>
                  </pic:nvPicPr>
                  <pic:blipFill>
                    <a:blip r:embed="rId41"/>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9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9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1" descr=""/>
                    <pic:cNvPicPr>
                      <a:picLocks noChangeAspect="1" noChangeArrowheads="1"/>
                    </pic:cNvPicPr>
                  </pic:nvPicPr>
                  <pic:blipFill>
                    <a:blip r:embed="rId4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9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9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2" descr=""/>
                    <pic:cNvPicPr>
                      <a:picLocks noChangeAspect="1" noChangeArrowheads="1"/>
                    </pic:cNvPicPr>
                  </pic:nvPicPr>
                  <pic:blipFill>
                    <a:blip r:embed="rId4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9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9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3" descr=""/>
                    <pic:cNvPicPr>
                      <a:picLocks noChangeAspect="1" noChangeArrowheads="1"/>
                    </pic:cNvPicPr>
                  </pic:nvPicPr>
                  <pic:blipFill>
                    <a:blip r:embed="rId4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99"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0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4" descr=""/>
                    <pic:cNvPicPr>
                      <a:picLocks noChangeAspect="1" noChangeArrowheads="1"/>
                    </pic:cNvPicPr>
                  </pic:nvPicPr>
                  <pic:blipFill>
                    <a:blip r:embed="rId4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0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5" descr=""/>
                    <pic:cNvPicPr>
                      <a:picLocks noChangeAspect="1" noChangeArrowheads="1"/>
                    </pic:cNvPicPr>
                  </pic:nvPicPr>
                  <pic:blipFill>
                    <a:blip r:embed="rId4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3"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0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6" descr=""/>
                    <pic:cNvPicPr>
                      <a:picLocks noChangeAspect="1" noChangeArrowheads="1"/>
                    </pic:cNvPicPr>
                  </pic:nvPicPr>
                  <pic:blipFill>
                    <a:blip r:embed="rId4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5"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0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7" descr=""/>
                    <pic:cNvPicPr>
                      <a:picLocks noChangeAspect="1" noChangeArrowheads="1"/>
                    </pic:cNvPicPr>
                  </pic:nvPicPr>
                  <pic:blipFill>
                    <a:blip r:embed="rId48"/>
                    <a:stretch>
                      <a:fillRect/>
                    </a:stretch>
                  </pic:blipFill>
                  <pic:spPr bwMode="auto">
                    <a:xfrm>
                      <a:off x="0" y="0"/>
                      <a:ext cx="9144000" cy="5143500"/>
                    </a:xfrm>
                    <a:prstGeom prst="rect">
                      <a:avLst/>
                    </a:prstGeom>
                  </pic:spPr>
                </pic:pic>
              </a:graphicData>
            </a:graphic>
          </wp:inline>
        </w:drawing>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7"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0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8" descr=""/>
                    <pic:cNvPicPr>
                      <a:picLocks noChangeAspect="1" noChangeArrowheads="1"/>
                    </pic:cNvPicPr>
                  </pic:nvPicPr>
                  <pic:blipFill>
                    <a:blip r:embed="rId49"/>
                    <a:stretch>
                      <a:fillRect/>
                    </a:stretch>
                  </pic:blipFill>
                  <pic:spPr bwMode="auto">
                    <a:xfrm>
                      <a:off x="0" y="0"/>
                      <a:ext cx="9144000" cy="5143500"/>
                    </a:xfrm>
                    <a:prstGeom prst="rect">
                      <a:avLst/>
                    </a:prstGeom>
                  </pic:spPr>
                </pic:pic>
              </a:graphicData>
            </a:graphic>
          </wp:inline>
        </w:drawing>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9"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1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9" descr=""/>
                    <pic:cNvPicPr>
                      <a:picLocks noChangeAspect="1" noChangeArrowheads="1"/>
                    </pic:cNvPicPr>
                  </pic:nvPicPr>
                  <pic:blipFill>
                    <a:blip r:embed="rId50"/>
                    <a:stretch>
                      <a:fillRect/>
                    </a:stretch>
                  </pic:blipFill>
                  <pic:spPr bwMode="auto">
                    <a:xfrm>
                      <a:off x="0" y="0"/>
                      <a:ext cx="9144000" cy="5143500"/>
                    </a:xfrm>
                    <a:prstGeom prst="rect">
                      <a:avLst/>
                    </a:prstGeom>
                  </pic:spPr>
                </pic:pic>
              </a:graphicData>
            </a:graphic>
          </wp:inline>
        </w:drawing>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1"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1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0" descr=""/>
                    <pic:cNvPicPr>
                      <a:picLocks noChangeAspect="1" noChangeArrowheads="1"/>
                    </pic:cNvPicPr>
                  </pic:nvPicPr>
                  <pic:blipFill>
                    <a:blip r:embed="rId5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1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1" descr=""/>
                    <pic:cNvPicPr>
                      <a:picLocks noChangeAspect="1" noChangeArrowheads="1"/>
                    </pic:cNvPicPr>
                  </pic:nvPicPr>
                  <pic:blipFill>
                    <a:blip r:embed="rId5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11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2" descr=""/>
                    <pic:cNvPicPr>
                      <a:picLocks noChangeAspect="1" noChangeArrowheads="1"/>
                    </pic:cNvPicPr>
                  </pic:nvPicPr>
                  <pic:blipFill>
                    <a:blip r:embed="rId53"/>
                    <a:stretch>
                      <a:fillRect/>
                    </a:stretch>
                  </pic:blipFill>
                  <pic:spPr bwMode="auto">
                    <a:xfrm>
                      <a:off x="0" y="0"/>
                      <a:ext cx="9144000" cy="5143500"/>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99.3</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ANNOUNCES SHARE REPURCHASE PROGRAM</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program authorizes up to $50 million of Class A common stock to be repurchased.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PORTLAND, Ore.--(BUSINESS WIRE)--February 27, 2025-- Expensify, Inc. (Nasdaq: EXFY), a payments superapp that helps individuals and businesses around the world simplify the way they manage money across expenses, corporate cards and bills, today announced that its Board of Directors approved a new share repurchase program with authorization to purchase up to $50 million of shares of its Class A common stock. The program replaces the company’s share repurchase program that was approved in 2022, which was set to expire in March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Given the success of this past year’s cost cutting measures and the resulting large increase in free cash flow, we believe there is an attractive potential buying opportunity for our stock. We became debt free last year, so buybacks are part of the next logical avenue to utilize our free cash flow to return value to our shareholders.” said Expensify CFO, Ryan Schaffer.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new share repurchase program is designed to return value to shareholders by offsetting dilution from stock issuances and reducing share count over time. Expensify may repurchase shares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The timing and total amount of stock repurchases will depend upon business, economic and market conditions, corporate and regulatory requirements, prevailing stock prices, restrictions under the terms of our loan agreements and other considerations. This program terminates on March 31, 2028, may be suspended or discontinued at any time and does not obligate the company to acquire any amount of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bidi w:val="0"/>
        <w:spacing w:before="0" w:after="0"/>
        <w:jc w:val="left"/>
        <w:rPr/>
      </w:pPr>
      <w:r>
        <w:rPr/>
      </w:r>
    </w:p>
    <w:p>
      <w:pPr>
        <w:pStyle w:val="TextBody"/>
        <w:bidi w:val="0"/>
        <w:spacing w:lineRule="auto" w:line="26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in this press release, which are not historical facts, are forward-looking statements within the meaning of the Private Securities Litigation Reform Act of 1955. These statements include statements regarding our our intended share repurchases and expected shareholder benefits of the program.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geopolitical tensions, including the war in Ukraine and the conflict in Israel, Gaza and surrounding areas; our ability to effectively manage our exposure to fluctuations in foreign currency exchange rates; the expenses associated with being a public company; the size of our addressable markets, market share and market trends; anticipated trends, developments and challenges in our industry, business and the highly competitive markets in which we operate; any adverse impact on our business operations as a result of using artificial intelligence or other machine learning technologies in our services; our expectations regarding our income tax liabilities and the adequacy of our reserves; our ability to effectively manage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99.3</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and geopolitical uncertainty and instability, and their effects on software spending; our protections against security breaches, technical difficulties, or interruptions to our platform; our ability to maintain, protect and enhance our intellectual property; and other risks discussed in our filings with the Securities and Exchange Commission.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About Expensify</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Expensify helps 15 million people worldwide track expenses, book travel, reimburse employees, manage corporate cards, send invoices, and pay bills—all in one place. Whether you're self-employed, running a small business, managing a team, or overseeing global finances, let Expensify handle your travel and expense, at the speed of chat.</w:t>
      </w:r>
    </w:p>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43.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6420</Words>
  <Characters>36306</Characters>
  <CharactersWithSpaces>42002</CharactersWithSpaces>
  <Paragraphs>1095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