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Christen Timothy L</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Borders>
              <w:bottom w:val="single" w:sz="8" w:color="0000EE"/>
            </w:tcBorders>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4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11/11/2025</w:t>
            </w: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5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80" w:type="dxa"/>
            <w:vAlign w:val="bottom"/>
            <w:tcBorders>
              <w:bottom w:val="single" w:sz="8" w:color="2C2C2C"/>
            </w:tcBorders>
          </w:tcPr>
          <w:p>
            <w:pPr>
              <w:spacing w:after="0"/>
              <w:rPr>
                <w:sz w:val="12"/>
                <w:szCs w:val="12"/>
                <w:color w:val="auto"/>
              </w:rPr>
            </w:pPr>
          </w:p>
        </w:tc>
        <w:tc>
          <w:tcPr>
            <w:tcW w:w="24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11/11/2025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40,000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289,754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$1.42 to $1.44, inclusive. The reporting person undertakes to provide to Expensify, Inc., any security holder of Expensify, Inc., or the staff of the Securities and Exchange Commission, upon request, full information regarding the number of shares purchased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11/13/2025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6003"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2025-11-13T17:07:26Z</dcterms:created>
  <dcterms:modified xsi:type="dcterms:W3CDTF">2025-11-13T17:07:26Z</dcterms:modified>
</cp:coreProperties>
</file>