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43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43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03/11/2024</w:t>
            </w:r>
          </w:p>
        </w:tc>
        <w:tc>
          <w:tcPr>
            <w:tcW w:w="2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03/11/2024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19,097</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135,022</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03/11/2024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7,311</w:t>
            </w:r>
            <w:r>
              <w:rPr>
                <w:rFonts w:ascii="Times New Roman" w:cs="Times New Roman" w:eastAsia="Times New Roman" w:hAnsi="Times New Roman"/>
                <w:sz w:val="22"/>
                <w:szCs w:val="22"/>
                <w:color w:val="008000"/>
                <w:vertAlign w:val="superscript"/>
              </w:rPr>
              <w:t>(3)</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2.14</w:t>
            </w:r>
            <w:r>
              <w:rPr>
                <w:rFonts w:ascii="Times New Roman" w:cs="Times New Roman" w:eastAsia="Times New Roman" w:hAnsi="Times New Roman"/>
                <w:sz w:val="22"/>
                <w:szCs w:val="22"/>
                <w:color w:val="008000"/>
                <w:w w:val="92"/>
                <w:vertAlign w:val="superscript"/>
              </w:rPr>
              <w:t>(4)</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127,711</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2,047,830</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awarded under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for shares awarded under the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$2.08 to $2.20,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2024-03-14T16:07:53Z</dcterms:created>
  <dcterms:modified xsi:type="dcterms:W3CDTF">2024-03-14T16:07:53Z</dcterms:modified>
</cp:coreProperties>
</file>