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March 30, 2022</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Expensify, Inc.</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3" w:lineRule="exact"/>
        <w:rPr>
          <w:sz w:val="24"/>
          <w:szCs w:val="24"/>
          <w:color w:val="auto"/>
        </w:rPr>
      </w:pPr>
    </w:p>
    <w:tbl>
      <w:tblPr>
        <w:tblLayout w:type="fixed"/>
        <w:tblInd w:w="1140" w:type="dxa"/>
        <w:tblCellMar>
          <w:top w:w="0" w:type="dxa"/>
          <w:left w:w="0" w:type="dxa"/>
          <w:bottom w:w="0" w:type="dxa"/>
          <w:right w:w="0" w:type="dxa"/>
        </w:tblCellMar>
      </w:tblPr>
      <w:tr>
        <w:trPr>
          <w:trHeight w:val="208"/>
        </w:trPr>
        <w:tc>
          <w:tcPr>
            <w:tcW w:w="2100" w:type="dxa"/>
            <w:vAlign w:val="bottom"/>
          </w:tcPr>
          <w:p>
            <w:pPr>
              <w:jc w:val="center"/>
              <w:ind w:right="55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900" w:type="dxa"/>
            <w:vAlign w:val="bottom"/>
          </w:tcPr>
          <w:p>
            <w:pPr>
              <w:jc w:val="center"/>
              <w:ind w:right="69"/>
              <w:spacing w:after="0"/>
              <w:rPr>
                <w:sz w:val="20"/>
                <w:szCs w:val="20"/>
                <w:color w:val="auto"/>
              </w:rPr>
            </w:pPr>
            <w:r>
              <w:rPr>
                <w:rFonts w:ascii="Times New Roman" w:cs="Times New Roman" w:eastAsia="Times New Roman" w:hAnsi="Times New Roman"/>
                <w:sz w:val="16"/>
                <w:szCs w:val="16"/>
                <w:b w:val="1"/>
                <w:bCs w:val="1"/>
                <w:color w:val="auto"/>
                <w:w w:val="98"/>
              </w:rPr>
              <w:t>001-41043</w:t>
            </w:r>
          </w:p>
        </w:tc>
        <w:tc>
          <w:tcPr>
            <w:tcW w:w="1700" w:type="dxa"/>
            <w:vAlign w:val="bottom"/>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w w:val="98"/>
              </w:rPr>
              <w:t>27-0239450</w:t>
            </w:r>
          </w:p>
        </w:tc>
      </w:tr>
      <w:tr>
        <w:trPr>
          <w:trHeight w:val="155"/>
        </w:trPr>
        <w:tc>
          <w:tcPr>
            <w:tcW w:w="2100" w:type="dxa"/>
            <w:vAlign w:val="bottom"/>
          </w:tcPr>
          <w:p>
            <w:pPr>
              <w:jc w:val="center"/>
              <w:ind w:right="552"/>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00" w:type="dxa"/>
            <w:vAlign w:val="bottom"/>
          </w:tcPr>
          <w:p>
            <w:pPr>
              <w:jc w:val="center"/>
              <w:ind w:right="89"/>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100" w:type="dxa"/>
            <w:vAlign w:val="bottom"/>
          </w:tcPr>
          <w:p>
            <w:pPr>
              <w:jc w:val="center"/>
              <w:ind w:right="55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1"/>
        </w:trPr>
        <w:tc>
          <w:tcPr>
            <w:tcW w:w="2100" w:type="dxa"/>
            <w:vAlign w:val="bottom"/>
          </w:tcPr>
          <w:p>
            <w:pPr>
              <w:spacing w:after="0"/>
              <w:rPr>
                <w:sz w:val="24"/>
                <w:szCs w:val="24"/>
                <w:color w:val="auto"/>
              </w:rPr>
            </w:pPr>
          </w:p>
        </w:tc>
        <w:tc>
          <w:tcPr>
            <w:tcW w:w="49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4"/>
              </w:rPr>
              <w:t>401 SW 5</w:t>
            </w:r>
            <w:r>
              <w:rPr>
                <w:rFonts w:ascii="Times New Roman" w:cs="Times New Roman" w:eastAsia="Times New Roman" w:hAnsi="Times New Roman"/>
                <w:sz w:val="20"/>
                <w:szCs w:val="20"/>
                <w:b w:val="1"/>
                <w:bCs w:val="1"/>
                <w:color w:val="auto"/>
                <w:w w:val="94"/>
                <w:vertAlign w:val="superscript"/>
              </w:rPr>
              <w:t>th</w:t>
            </w:r>
            <w:r>
              <w:rPr>
                <w:rFonts w:ascii="Times New Roman" w:cs="Times New Roman" w:eastAsia="Times New Roman" w:hAnsi="Times New Roman"/>
                <w:sz w:val="16"/>
                <w:szCs w:val="16"/>
                <w:b w:val="1"/>
                <w:bCs w:val="1"/>
                <w:color w:val="auto"/>
                <w:w w:val="94"/>
              </w:rPr>
              <w:t xml:space="preserve"> Ave</w:t>
            </w:r>
          </w:p>
        </w:tc>
        <w:tc>
          <w:tcPr>
            <w:tcW w:w="1700" w:type="dxa"/>
            <w:vAlign w:val="bottom"/>
          </w:tcPr>
          <w:p>
            <w:pPr>
              <w:spacing w:after="0"/>
              <w:rPr>
                <w:sz w:val="24"/>
                <w:szCs w:val="24"/>
                <w:color w:val="auto"/>
              </w:rPr>
            </w:pPr>
          </w:p>
        </w:tc>
      </w:tr>
      <w:tr>
        <w:trPr>
          <w:trHeight w:val="186"/>
        </w:trPr>
        <w:tc>
          <w:tcPr>
            <w:tcW w:w="2100" w:type="dxa"/>
            <w:vAlign w:val="bottom"/>
          </w:tcPr>
          <w:p>
            <w:pPr>
              <w:spacing w:after="0"/>
              <w:rPr>
                <w:sz w:val="16"/>
                <w:szCs w:val="16"/>
                <w:color w:val="auto"/>
              </w:rPr>
            </w:pPr>
          </w:p>
        </w:tc>
        <w:tc>
          <w:tcPr>
            <w:tcW w:w="49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Portland, Oregon 97204</w:t>
            </w:r>
          </w:p>
        </w:tc>
        <w:tc>
          <w:tcPr>
            <w:tcW w:w="1700" w:type="dxa"/>
            <w:vAlign w:val="bottom"/>
          </w:tcPr>
          <w:p>
            <w:pPr>
              <w:spacing w:after="0"/>
              <w:rPr>
                <w:sz w:val="16"/>
                <w:szCs w:val="16"/>
                <w:color w:val="auto"/>
              </w:rPr>
            </w:pPr>
          </w:p>
        </w:tc>
      </w:tr>
      <w:tr>
        <w:trPr>
          <w:trHeight w:val="166"/>
        </w:trPr>
        <w:tc>
          <w:tcPr>
            <w:tcW w:w="2100" w:type="dxa"/>
            <w:vAlign w:val="bottom"/>
          </w:tcPr>
          <w:p>
            <w:pPr>
              <w:spacing w:after="0"/>
              <w:rPr>
                <w:sz w:val="14"/>
                <w:szCs w:val="14"/>
                <w:color w:val="auto"/>
              </w:rPr>
            </w:pPr>
          </w:p>
        </w:tc>
        <w:tc>
          <w:tcPr>
            <w:tcW w:w="4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00" w:type="dxa"/>
            <w:vAlign w:val="bottom"/>
          </w:tcPr>
          <w:p>
            <w:pPr>
              <w:spacing w:after="0"/>
              <w:rPr>
                <w:sz w:val="14"/>
                <w:szCs w:val="14"/>
                <w:color w:val="auto"/>
              </w:rPr>
            </w:pPr>
          </w:p>
        </w:tc>
      </w:tr>
      <w:tr>
        <w:trPr>
          <w:trHeight w:val="259"/>
        </w:trPr>
        <w:tc>
          <w:tcPr>
            <w:tcW w:w="2100" w:type="dxa"/>
            <w:vAlign w:val="bottom"/>
          </w:tcPr>
          <w:p>
            <w:pPr>
              <w:spacing w:after="0"/>
              <w:rPr>
                <w:sz w:val="22"/>
                <w:szCs w:val="22"/>
                <w:color w:val="auto"/>
              </w:rPr>
            </w:pPr>
          </w:p>
        </w:tc>
        <w:tc>
          <w:tcPr>
            <w:tcW w:w="49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7"/>
              </w:rPr>
              <w:t>(971) 365-3939</w:t>
            </w:r>
          </w:p>
        </w:tc>
        <w:tc>
          <w:tcPr>
            <w:tcW w:w="1700" w:type="dxa"/>
            <w:vAlign w:val="bottom"/>
          </w:tcPr>
          <w:p>
            <w:pPr>
              <w:spacing w:after="0"/>
              <w:rPr>
                <w:sz w:val="22"/>
                <w:szCs w:val="22"/>
                <w:color w:val="auto"/>
              </w:rPr>
            </w:pPr>
          </w:p>
        </w:tc>
      </w:tr>
      <w:tr>
        <w:trPr>
          <w:trHeight w:val="166"/>
        </w:trPr>
        <w:tc>
          <w:tcPr>
            <w:tcW w:w="2100" w:type="dxa"/>
            <w:vAlign w:val="bottom"/>
          </w:tcPr>
          <w:p>
            <w:pPr>
              <w:spacing w:after="0"/>
              <w:rPr>
                <w:sz w:val="14"/>
                <w:szCs w:val="14"/>
                <w:color w:val="auto"/>
              </w:rPr>
            </w:pPr>
          </w:p>
        </w:tc>
        <w:tc>
          <w:tcPr>
            <w:tcW w:w="4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700" w:type="dxa"/>
            <w:vAlign w:val="bottom"/>
          </w:tcPr>
          <w:p>
            <w:pPr>
              <w:spacing w:after="0"/>
              <w:rPr>
                <w:sz w:val="14"/>
                <w:szCs w:val="14"/>
                <w:color w:val="auto"/>
              </w:rPr>
            </w:pPr>
          </w:p>
        </w:tc>
      </w:tr>
      <w:tr>
        <w:trPr>
          <w:trHeight w:val="259"/>
        </w:trPr>
        <w:tc>
          <w:tcPr>
            <w:tcW w:w="2100" w:type="dxa"/>
            <w:vAlign w:val="bottom"/>
          </w:tcPr>
          <w:p>
            <w:pPr>
              <w:spacing w:after="0"/>
              <w:rPr>
                <w:sz w:val="22"/>
                <w:szCs w:val="22"/>
                <w:color w:val="auto"/>
              </w:rPr>
            </w:pPr>
          </w:p>
        </w:tc>
        <w:tc>
          <w:tcPr>
            <w:tcW w:w="4900" w:type="dxa"/>
            <w:vAlign w:val="bottom"/>
          </w:tcPr>
          <w:p>
            <w:pPr>
              <w:jc w:val="center"/>
              <w:ind w:right="49"/>
              <w:spacing w:after="0"/>
              <w:rPr>
                <w:sz w:val="20"/>
                <w:szCs w:val="20"/>
                <w:color w:val="auto"/>
              </w:rPr>
            </w:pPr>
            <w:r>
              <w:rPr>
                <w:rFonts w:ascii="Times New Roman" w:cs="Times New Roman" w:eastAsia="Times New Roman" w:hAnsi="Times New Roman"/>
                <w:sz w:val="16"/>
                <w:szCs w:val="16"/>
                <w:b w:val="1"/>
                <w:bCs w:val="1"/>
                <w:color w:val="auto"/>
                <w:w w:val="98"/>
              </w:rPr>
              <w:t>Not applicable</w:t>
            </w:r>
          </w:p>
        </w:tc>
        <w:tc>
          <w:tcPr>
            <w:tcW w:w="1700" w:type="dxa"/>
            <w:vAlign w:val="bottom"/>
          </w:tcPr>
          <w:p>
            <w:pPr>
              <w:spacing w:after="0"/>
              <w:rPr>
                <w:sz w:val="22"/>
                <w:szCs w:val="22"/>
                <w:color w:val="auto"/>
              </w:rPr>
            </w:pPr>
          </w:p>
        </w:tc>
      </w:tr>
      <w:tr>
        <w:trPr>
          <w:trHeight w:val="166"/>
        </w:trPr>
        <w:tc>
          <w:tcPr>
            <w:tcW w:w="2100" w:type="dxa"/>
            <w:vAlign w:val="bottom"/>
          </w:tcPr>
          <w:p>
            <w:pPr>
              <w:spacing w:after="0"/>
              <w:rPr>
                <w:sz w:val="14"/>
                <w:szCs w:val="14"/>
                <w:color w:val="auto"/>
              </w:rPr>
            </w:pPr>
          </w:p>
        </w:tc>
        <w:tc>
          <w:tcPr>
            <w:tcW w:w="4900" w:type="dxa"/>
            <w:vAlign w:val="bottom"/>
          </w:tcPr>
          <w:p>
            <w:pPr>
              <w:jc w:val="center"/>
              <w:ind w:right="69"/>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00" w:type="dxa"/>
            <w:vAlign w:val="bottom"/>
          </w:tcPr>
          <w:p>
            <w:pPr>
              <w:spacing w:after="0"/>
              <w:rPr>
                <w:sz w:val="14"/>
                <w:szCs w:val="14"/>
                <w:color w:val="auto"/>
              </w:rPr>
            </w:pPr>
          </w:p>
        </w:tc>
      </w:tr>
    </w:tbl>
    <w:p>
      <w:pPr>
        <w:spacing w:after="0" w:line="7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80" w:type="dxa"/>
            <w:vAlign w:val="bottom"/>
            <w:gridSpan w:val="2"/>
          </w:tcPr>
          <w:p>
            <w:pPr>
              <w:ind w:left="1560"/>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80" w:type="dxa"/>
            <w:vAlign w:val="bottom"/>
            <w:gridSpan w:val="2"/>
          </w:tcPr>
          <w:p>
            <w:pPr>
              <w:ind w:left="1540"/>
              <w:spacing w:after="0"/>
              <w:rPr>
                <w:sz w:val="20"/>
                <w:szCs w:val="20"/>
                <w:color w:val="auto"/>
              </w:rPr>
            </w:pPr>
            <w:r>
              <w:rPr>
                <w:rFonts w:ascii="Times New Roman" w:cs="Times New Roman" w:eastAsia="Times New Roman" w:hAnsi="Times New Roman"/>
                <w:sz w:val="13"/>
                <w:szCs w:val="13"/>
                <w:b w:val="1"/>
                <w:bCs w:val="1"/>
                <w:color w:val="auto"/>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5"/>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Class A Common Stock, par value $0.0001 per share</w:t>
            </w:r>
          </w:p>
        </w:tc>
        <w:tc>
          <w:tcPr>
            <w:tcW w:w="3680" w:type="dxa"/>
            <w:vAlign w:val="bottom"/>
            <w:gridSpan w:val="2"/>
          </w:tcPr>
          <w:p>
            <w:pPr>
              <w:ind w:left="1560"/>
              <w:spacing w:after="0"/>
              <w:rPr>
                <w:sz w:val="20"/>
                <w:szCs w:val="20"/>
                <w:color w:val="auto"/>
              </w:rPr>
            </w:pPr>
            <w:r>
              <w:rPr>
                <w:rFonts w:ascii="Times New Roman" w:cs="Times New Roman" w:eastAsia="Times New Roman" w:hAnsi="Times New Roman"/>
                <w:sz w:val="16"/>
                <w:szCs w:val="16"/>
                <w:b w:val="1"/>
                <w:bCs w:val="1"/>
                <w:color w:val="auto"/>
              </w:rPr>
              <w:t>EXFY</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77"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24" w:lineRule="exact"/>
        <w:rPr>
          <w:sz w:val="24"/>
          <w:szCs w:val="24"/>
          <w:color w:val="auto"/>
        </w:rPr>
      </w:pPr>
    </w:p>
    <w:p>
      <w:pPr>
        <w:ind w:right="320"/>
        <w:spacing w:after="0" w:line="206"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818515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39" w:right="319" w:bottom="1440" w:gutter="0" w:footer="0" w:header="0"/>
        </w:sectPr>
      </w:pPr>
    </w:p>
    <w:bookmarkStart w:id="1" w:name="page2"/>
    <w:bookmarkEnd w:id="1"/>
    <w:p>
      <w:pPr>
        <w:spacing w:after="0" w:line="1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26" w:lineRule="exact"/>
        <w:rPr>
          <w:sz w:val="20"/>
          <w:szCs w:val="20"/>
          <w:color w:val="auto"/>
        </w:rPr>
      </w:pPr>
    </w:p>
    <w:p>
      <w:pPr>
        <w:ind w:left="5" w:right="60"/>
        <w:spacing w:after="0" w:line="260" w:lineRule="auto"/>
        <w:rPr>
          <w:sz w:val="20"/>
          <w:szCs w:val="20"/>
          <w:color w:val="auto"/>
        </w:rPr>
      </w:pPr>
      <w:r>
        <w:rPr>
          <w:rFonts w:ascii="Times New Roman" w:cs="Times New Roman" w:eastAsia="Times New Roman" w:hAnsi="Times New Roman"/>
          <w:sz w:val="16"/>
          <w:szCs w:val="16"/>
          <w:color w:val="auto"/>
        </w:rPr>
        <w:t>On March 30, 2022, Expensify, Inc. (“Expensify” or the “Company”) issued a press release announcing its financial results for the year and quarter ended December 31, 2022. A copy of this press release is furnished as Exhibit 99.1 to this current report on Form 8-K and is incorporated herein by reference.</w:t>
      </w:r>
    </w:p>
    <w:p>
      <w:pPr>
        <w:spacing w:after="0" w:line="167"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14" w:lineRule="exact"/>
        <w:rPr>
          <w:sz w:val="20"/>
          <w:szCs w:val="20"/>
          <w:color w:val="auto"/>
        </w:rPr>
      </w:pPr>
    </w:p>
    <w:p>
      <w:pPr>
        <w:jc w:val="both"/>
        <w:ind w:left="5" w:right="220"/>
        <w:spacing w:after="0" w:line="239" w:lineRule="auto"/>
        <w:rPr>
          <w:sz w:val="20"/>
          <w:szCs w:val="20"/>
          <w:color w:val="auto"/>
        </w:rPr>
      </w:pPr>
      <w:r>
        <w:rPr>
          <w:rFonts w:ascii="Times New Roman" w:cs="Times New Roman" w:eastAsia="Times New Roman" w:hAnsi="Times New Roman"/>
          <w:sz w:val="16"/>
          <w:szCs w:val="16"/>
          <w:color w:val="auto"/>
        </w:rPr>
        <w:t>On March 30, 2022, the Company posted an investor presentation to its website at https://ir.expensify.com (the “Investor Presentation”). A copy of the Investor Presentation is attached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spacing w:after="0" w:line="1" w:lineRule="exact"/>
        <w:rPr>
          <w:sz w:val="20"/>
          <w:szCs w:val="20"/>
          <w:color w:val="auto"/>
        </w:rPr>
      </w:pPr>
    </w:p>
    <w:p>
      <w:pPr>
        <w:ind w:left="5" w:right="140"/>
        <w:spacing w:after="0" w:line="233" w:lineRule="auto"/>
        <w:rPr>
          <w:sz w:val="20"/>
          <w:szCs w:val="20"/>
          <w:color w:val="auto"/>
        </w:rPr>
      </w:pPr>
      <w:r>
        <w:rPr>
          <w:rFonts w:ascii="Times New Roman" w:cs="Times New Roman" w:eastAsia="Times New Roman" w:hAnsi="Times New Roman"/>
          <w:sz w:val="16"/>
          <w:szCs w:val="16"/>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86" w:lineRule="exact"/>
        <w:rPr>
          <w:sz w:val="20"/>
          <w:szCs w:val="20"/>
          <w:color w:val="auto"/>
        </w:rPr>
      </w:pPr>
    </w:p>
    <w:p>
      <w:pPr>
        <w:ind w:left="5"/>
        <w:spacing w:after="0" w:line="270" w:lineRule="auto"/>
        <w:rPr>
          <w:sz w:val="20"/>
          <w:szCs w:val="20"/>
          <w:color w:val="auto"/>
        </w:rPr>
      </w:pPr>
      <w:r>
        <w:rPr>
          <w:rFonts w:ascii="Times New Roman" w:cs="Times New Roman" w:eastAsia="Times New Roman" w:hAnsi="Times New Roman"/>
          <w:sz w:val="15"/>
          <w:szCs w:val="15"/>
          <w:color w:val="auto"/>
        </w:rPr>
        <w:t>The information contained in Item 2.02 and this Item 7.01, including Exhibit 99.1 and 99.2, is being furnished and shall not be deemed “filed” for the purposed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3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26" w:lineRule="exact"/>
        <w:rPr>
          <w:sz w:val="20"/>
          <w:szCs w:val="20"/>
          <w:color w:val="auto"/>
        </w:rPr>
      </w:pPr>
    </w:p>
    <w:p>
      <w:pPr>
        <w:ind w:left="225" w:hanging="225"/>
        <w:spacing w:after="0"/>
        <w:tabs>
          <w:tab w:leader="none" w:pos="2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5"/>
        <w:spacing w:after="0"/>
        <w:tabs>
          <w:tab w:leader="none" w:pos="925"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92" w:lineRule="exact"/>
        <w:rPr>
          <w:sz w:val="20"/>
          <w:szCs w:val="20"/>
          <w:color w:val="auto"/>
        </w:rPr>
      </w:pPr>
    </w:p>
    <w:p>
      <w:pPr>
        <w:ind w:left="285"/>
        <w:spacing w:after="0"/>
        <w:tabs>
          <w:tab w:leader="none" w:pos="925"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99.1</w:t>
      </w:r>
      <w:r>
        <w:rPr>
          <w:sz w:val="20"/>
          <w:szCs w:val="20"/>
          <w:color w:val="auto"/>
        </w:rPr>
        <w:tab/>
      </w:r>
      <w:hyperlink w:anchor="page4">
        <w:r>
          <w:rPr>
            <w:rFonts w:ascii="Times New Roman" w:cs="Times New Roman" w:eastAsia="Times New Roman" w:hAnsi="Times New Roman"/>
            <w:sz w:val="15"/>
            <w:szCs w:val="15"/>
            <w:u w:val="single" w:color="auto"/>
            <w:color w:val="0000FF"/>
          </w:rPr>
          <w:t>Press Release issued by Expensify, Inc., dated March 30, 2022.</w:t>
        </w:r>
      </w:hyperlink>
    </w:p>
    <w:p>
      <w:pPr>
        <w:spacing w:after="0" w:line="88" w:lineRule="exact"/>
        <w:rPr>
          <w:sz w:val="20"/>
          <w:szCs w:val="20"/>
          <w:color w:val="auto"/>
        </w:rPr>
      </w:pPr>
    </w:p>
    <w:p>
      <w:pPr>
        <w:ind w:left="285"/>
        <w:spacing w:after="0"/>
        <w:tabs>
          <w:tab w:leader="none" w:pos="925" w:val="left"/>
        </w:tabs>
        <w:rPr>
          <w:rFonts w:ascii="Times New Roman" w:cs="Times New Roman" w:eastAsia="Times New Roman" w:hAnsi="Times New Roman"/>
          <w:sz w:val="15"/>
          <w:szCs w:val="15"/>
          <w:u w:val="single" w:color="auto"/>
          <w:color w:val="0000FF"/>
        </w:rPr>
      </w:pPr>
      <w:r>
        <w:rPr>
          <w:rFonts w:ascii="Times New Roman" w:cs="Times New Roman" w:eastAsia="Times New Roman" w:hAnsi="Times New Roman"/>
          <w:sz w:val="16"/>
          <w:szCs w:val="16"/>
          <w:color w:val="auto"/>
        </w:rPr>
        <w:t>99.2</w:t>
      </w:r>
      <w:r>
        <w:rPr>
          <w:sz w:val="20"/>
          <w:szCs w:val="20"/>
          <w:color w:val="auto"/>
        </w:rPr>
        <w:tab/>
      </w:r>
      <w:hyperlink w:anchor="page12">
        <w:r>
          <w:rPr>
            <w:rFonts w:ascii="Times New Roman" w:cs="Times New Roman" w:eastAsia="Times New Roman" w:hAnsi="Times New Roman"/>
            <w:sz w:val="15"/>
            <w:szCs w:val="15"/>
            <w:u w:val="single" w:color="auto"/>
            <w:color w:val="0000FF"/>
          </w:rPr>
          <w:t>Investor Presentation, dated March 30, 2022.</w:t>
        </w:r>
      </w:hyperlink>
    </w:p>
    <w:p>
      <w:pPr>
        <w:spacing w:after="0" w:line="88" w:lineRule="exact"/>
        <w:rPr>
          <w:sz w:val="20"/>
          <w:szCs w:val="20"/>
          <w:color w:val="auto"/>
        </w:rPr>
      </w:pPr>
    </w:p>
    <w:p>
      <w:pPr>
        <w:ind w:left="305"/>
        <w:spacing w:after="0"/>
        <w:tabs>
          <w:tab w:leader="none" w:pos="925"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835025</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5"/>
          </w:cols>
          <w:pgMar w:left="315" w:top="1440" w:right="35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18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3"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21590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March 30, 2022</w:t>
      </w:r>
    </w:p>
    <w:p>
      <w:pPr>
        <w:sectPr>
          <w:pgSz w:w="11900" w:h="16838" w:orient="portrait"/>
          <w:cols w:equalWidth="0" w:num="1">
            <w:col w:w="10720"/>
          </w:cols>
          <w:pgMar w:left="320" w:top="1256"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Expensify Announces Q4 and Full Year Fiscal 2021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Ended the year with 63% revenue growth and the largest quarterly increase in paid members since the start of the pandemic.</w:t>
      </w:r>
    </w:p>
    <w:p>
      <w:pPr>
        <w:spacing w:after="0" w:line="220" w:lineRule="exact"/>
        <w:rPr>
          <w:sz w:val="20"/>
          <w:szCs w:val="20"/>
          <w:color w:val="auto"/>
        </w:rPr>
      </w:pPr>
    </w:p>
    <w:p>
      <w:pPr>
        <w:ind w:right="280"/>
        <w:spacing w:after="0" w:line="276" w:lineRule="auto"/>
        <w:rPr>
          <w:sz w:val="20"/>
          <w:szCs w:val="20"/>
          <w:color w:val="auto"/>
        </w:rPr>
      </w:pPr>
      <w:r>
        <w:rPr>
          <w:rFonts w:ascii="Times New Roman" w:cs="Times New Roman" w:eastAsia="Times New Roman" w:hAnsi="Times New Roman"/>
          <w:sz w:val="16"/>
          <w:szCs w:val="16"/>
          <w:color w:val="auto"/>
        </w:rPr>
        <w:t>PORTLAND, Ore.–(BUSINESS WIRE)–Expensify, Inc. (Nasdaq: EXFY), a payments superapp that helps individuals and businesses around the world simplify the way they manage money across expenses, corporate cards and bills, today announced results for its fourth quarter and full year ended December 31, 2021.</w:t>
      </w:r>
    </w:p>
    <w:p>
      <w:pPr>
        <w:spacing w:after="0" w:line="8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“The major highlight of 2021 was releasing our Free Plan in October and growing it to more than 3,100 customers by year end,” says David Barrett, founder and CEO of Expensify. “We opened the floodgates into our product wider than they’ve ever been before, to individuals and businesses of all types, and it’s been a huge success in such a short amount of time. Free expense management, corporate cards, invoicing, bill pay, and travel booking all in one place – it’s the perfect foundation on which to build the reimagined, chat-centric future for our product.”</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6"/>
          <w:szCs w:val="16"/>
          <w:color w:val="auto"/>
        </w:rPr>
        <w:t>“We’re proud to have ended 2021 with a bang,” says Ryan Schaffer, Chief Financial Officer of Expensify. “The pandemic has been a sobering stress test on the resiliency of our viral business model, but we’ve shown that our bottom-up approach to member acquisition has the power to weather any storm. The results speak for themselves: product-led growth and word-of-mouth adoption propelled us to a 62% revenue increase in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Q4 2021:</w:t>
      </w:r>
    </w:p>
    <w:p>
      <w:pPr>
        <w:spacing w:after="0" w:line="24" w:lineRule="exact"/>
        <w:rPr>
          <w:sz w:val="20"/>
          <w:szCs w:val="20"/>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was $40.4 million, an increase of 56.0% from the same period last year.</w:t>
      </w:r>
    </w:p>
    <w:p>
      <w:pPr>
        <w:spacing w:after="0" w:line="10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IPO-related bonus expense of $14.2 million impacted net (loss) income.</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income was $(21.9) million, compared to $1.7 million for the same period last year. The loss was primarily due to the IPO-related bonus.</w:t>
      </w:r>
    </w:p>
    <w:p>
      <w:pPr>
        <w:spacing w:after="0" w:line="135"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$4.4 million. Non-GAAP net income excludes stock based compensation which was not excluded in prior periods.</w:t>
      </w:r>
    </w:p>
    <w:p>
      <w:pPr>
        <w:spacing w:after="0" w:line="123"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$(6.9) million, compared to $10.2 million for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excluding the IPO bonus was $7.3 million, compared to $10.2 million for the same period last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Full Year Fiscal 2021:</w:t>
      </w:r>
    </w:p>
    <w:p>
      <w:pPr>
        <w:spacing w:after="0" w:line="24" w:lineRule="exact"/>
        <w:rPr>
          <w:sz w:val="20"/>
          <w:szCs w:val="20"/>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was $142.8 million, an increase of 61.8% from the same period last year.</w:t>
      </w:r>
    </w:p>
    <w:p>
      <w:pPr>
        <w:spacing w:after="0" w:line="11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IPO-related bonus expense of $48.4 million impacted net (loss) income and Adjusted EBITDA.</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$(13.6) million, compared to $(1.7) million for the same period last year. The loss was primarily due to the IPO-related bonus.</w:t>
      </w:r>
    </w:p>
    <w:p>
      <w:pPr>
        <w:spacing w:after="0" w:line="123"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$49.4 million.</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$9.5 million, compared to $26.8 million for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excluding the IPO bonus was $58.0 million, compared to $26.8 million for the same period last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Business</w:t>
      </w:r>
    </w:p>
    <w:p>
      <w:pPr>
        <w:spacing w:after="0" w:line="124" w:lineRule="exact"/>
        <w:rPr>
          <w:sz w:val="20"/>
          <w:szCs w:val="20"/>
          <w:color w:val="auto"/>
        </w:rPr>
      </w:pPr>
    </w:p>
    <w:p>
      <w:pPr>
        <w:ind w:left="560" w:hanging="282"/>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Paid members </w:t>
      </w:r>
      <w:r>
        <w:rPr>
          <w:rFonts w:ascii="Times New Roman" w:cs="Times New Roman" w:eastAsia="Times New Roman" w:hAnsi="Times New Roman"/>
          <w:sz w:val="16"/>
          <w:szCs w:val="16"/>
          <w:color w:val="auto"/>
        </w:rPr>
        <w:t>- saw major growth, with 711 thousand in the fourth quarter of 2021.</w:t>
      </w:r>
    </w:p>
    <w:p>
      <w:pPr>
        <w:sectPr>
          <w:pgSz w:w="11900" w:h="16838" w:orient="portrait"/>
          <w:cols w:equalWidth="0" w:num="1">
            <w:col w:w="11260"/>
          </w:cols>
          <w:pgMar w:left="320" w:top="12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560" w:right="280" w:hanging="282"/>
        <w:spacing w:after="0" w:line="278"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Free plan </w:t>
      </w:r>
      <w:r>
        <w:rPr>
          <w:rFonts w:ascii="Times New Roman" w:cs="Times New Roman" w:eastAsia="Times New Roman" w:hAnsi="Times New Roman"/>
          <w:sz w:val="16"/>
          <w:szCs w:val="16"/>
          <w:color w:val="auto"/>
        </w:rPr>
        <w:t>- launched in October and grew to over 3,100 customers by December 2021. Includes expense management, the Expensify Card, next-day reimbursement,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invoicing, bill pay, and travel booking.</w:t>
      </w:r>
    </w:p>
    <w:p>
      <w:pPr>
        <w:spacing w:after="0" w:line="8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Card </w:t>
      </w:r>
      <w:r>
        <w:rPr>
          <w:rFonts w:ascii="Times New Roman" w:cs="Times New Roman" w:eastAsia="Times New Roman" w:hAnsi="Times New Roman"/>
          <w:sz w:val="16"/>
          <w:szCs w:val="16"/>
          <w:color w:val="auto"/>
        </w:rPr>
        <w:t>- adoption continued at a rapid pace and interchange increased by 185% in 2021.</w:t>
      </w:r>
    </w:p>
    <w:p>
      <w:pPr>
        <w:spacing w:after="0" w:line="123" w:lineRule="exact"/>
        <w:rPr>
          <w:rFonts w:ascii="Times New Roman" w:cs="Times New Roman" w:eastAsia="Times New Roman" w:hAnsi="Times New Roman"/>
          <w:sz w:val="16"/>
          <w:szCs w:val="16"/>
          <w:color w:val="auto"/>
        </w:rPr>
      </w:pPr>
    </w:p>
    <w:p>
      <w:pPr>
        <w:ind w:left="560" w:right="580" w:hanging="282"/>
        <w:spacing w:after="0" w:line="278"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Cash back </w:t>
      </w:r>
      <w:r>
        <w:rPr>
          <w:rFonts w:ascii="Times New Roman" w:cs="Times New Roman" w:eastAsia="Times New Roman" w:hAnsi="Times New Roman"/>
          <w:sz w:val="16"/>
          <w:szCs w:val="16"/>
          <w:color w:val="auto"/>
        </w:rPr>
        <w:t>- introduced unlimited cash back on the Expensify Card, with an introductory rate of 4% followed by an ongoing rate of 2% across all purchases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categories.</w:t>
      </w:r>
    </w:p>
    <w:p>
      <w:pPr>
        <w:spacing w:after="0" w:line="8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Invoicing and bill pay </w:t>
      </w:r>
      <w:r>
        <w:rPr>
          <w:rFonts w:ascii="Times New Roman" w:cs="Times New Roman" w:eastAsia="Times New Roman" w:hAnsi="Times New Roman"/>
          <w:sz w:val="16"/>
          <w:szCs w:val="16"/>
          <w:color w:val="auto"/>
        </w:rPr>
        <w:t>- completed Expensify’s expansion into accounts payable and receivable, rounding out its offerings as a full-service preaccounting platform.</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New.expensify.com </w:t>
      </w:r>
      <w:r>
        <w:rPr>
          <w:rFonts w:ascii="Times New Roman" w:cs="Times New Roman" w:eastAsia="Times New Roman" w:hAnsi="Times New Roman"/>
          <w:sz w:val="15"/>
          <w:szCs w:val="15"/>
          <w:color w:val="auto"/>
        </w:rPr>
        <w:t>- launched a sneak peek of Expensify’s future product that mixes chat and payments for easy financial collaboration across work and personal life.</w:t>
      </w:r>
    </w:p>
    <w:p>
      <w:pPr>
        <w:spacing w:after="0" w:line="134" w:lineRule="exact"/>
        <w:rPr>
          <w:rFonts w:ascii="Times New Roman" w:cs="Times New Roman" w:eastAsia="Times New Roman" w:hAnsi="Times New Roman"/>
          <w:sz w:val="15"/>
          <w:szCs w:val="15"/>
          <w:color w:val="auto"/>
        </w:rPr>
      </w:pPr>
    </w:p>
    <w:p>
      <w:pPr>
        <w:ind w:left="560" w:right="60" w:hanging="282"/>
        <w:spacing w:after="0" w:line="278"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Expensify.org </w:t>
      </w:r>
      <w:r>
        <w:rPr>
          <w:rFonts w:ascii="Times New Roman" w:cs="Times New Roman" w:eastAsia="Times New Roman" w:hAnsi="Times New Roman"/>
          <w:sz w:val="16"/>
          <w:szCs w:val="16"/>
          <w:color w:val="auto"/>
        </w:rPr>
        <w:t>- funded more than 50 grassroots organizations fighting injustice in their communities, reimbursed thousands of families on SNAP/EBT for groceries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COVID-19 vaccinations, and donated clothing to people experiencing homelessness.</w:t>
      </w:r>
    </w:p>
    <w:p>
      <w:pPr>
        <w:spacing w:after="0" w:line="82" w:lineRule="exact"/>
        <w:rPr>
          <w:rFonts w:ascii="Times New Roman" w:cs="Times New Roman" w:eastAsia="Times New Roman" w:hAnsi="Times New Roman"/>
          <w:sz w:val="16"/>
          <w:szCs w:val="16"/>
          <w:color w:val="auto"/>
        </w:rPr>
      </w:pPr>
    </w:p>
    <w:p>
      <w:pPr>
        <w:ind w:left="560" w:right="40" w:hanging="282"/>
        <w:spacing w:after="0" w:line="278"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Podcast </w:t>
      </w:r>
      <w:r>
        <w:rPr>
          <w:rFonts w:ascii="Times New Roman" w:cs="Times New Roman" w:eastAsia="Times New Roman" w:hAnsi="Times New Roman"/>
          <w:sz w:val="16"/>
          <w:szCs w:val="16"/>
          <w:color w:val="auto"/>
        </w:rPr>
        <w:t>- aired first season of “Live Rich, Have Fun, Save the World,” which features individual trailblazers pursuing the lofty goals aligned with Expensify’s three-part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company mission.</w:t>
      </w:r>
    </w:p>
    <w:p>
      <w:pPr>
        <w:spacing w:after="0" w:line="8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ESG </w:t>
      </w:r>
      <w:r>
        <w:rPr>
          <w:rFonts w:ascii="Times New Roman" w:cs="Times New Roman" w:eastAsia="Times New Roman" w:hAnsi="Times New Roman"/>
          <w:sz w:val="16"/>
          <w:szCs w:val="16"/>
          <w:color w:val="auto"/>
        </w:rPr>
        <w:t>- reached carbon neutrality via offsets in 2021 and set a goal of Net Zero emissions by 2030.</w:t>
      </w:r>
    </w:p>
    <w:p>
      <w:pPr>
        <w:spacing w:after="0" w:line="123"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Customer support </w:t>
      </w:r>
      <w:r>
        <w:rPr>
          <w:rFonts w:ascii="Times New Roman" w:cs="Times New Roman" w:eastAsia="Times New Roman" w:hAnsi="Times New Roman"/>
          <w:sz w:val="16"/>
          <w:szCs w:val="16"/>
          <w:color w:val="auto"/>
        </w:rPr>
        <w:t>- won “Best Customer Support” from TrustRadius.</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Operational efficiency </w:t>
      </w:r>
      <w:r>
        <w:rPr>
          <w:rFonts w:ascii="Times New Roman" w:cs="Times New Roman" w:eastAsia="Times New Roman" w:hAnsi="Times New Roman"/>
          <w:sz w:val="16"/>
          <w:szCs w:val="16"/>
          <w:color w:val="auto"/>
        </w:rPr>
        <w:t>- annualized revenue per employee topped $1.1MM.</w:t>
      </w:r>
    </w:p>
    <w:p>
      <w:pPr>
        <w:spacing w:after="0" w:line="2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Calculated as three months ended December 31, 2021 revenue multiplied by four (quarters), divided by 144 full-time employees as of December 31, 2021.</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Outlook</w:t>
      </w:r>
    </w:p>
    <w:p>
      <w:pPr>
        <w:spacing w:after="0" w:line="126"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16"/>
          <w:szCs w:val="16"/>
          <w:color w:val="auto"/>
        </w:rPr>
        <w:t>Expensify's outlook statements are based on current expectations. The following statements are forward-looking and actual results could differ materially depending on market conditions and the factors set forth under “Forward-Looking Statements” below.</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the fiscal first quarter ending March 31, 2022, Expensify expects:</w:t>
      </w:r>
    </w:p>
    <w:p>
      <w:pPr>
        <w:spacing w:after="0" w:line="206" w:lineRule="exact"/>
        <w:rPr>
          <w:sz w:val="20"/>
          <w:szCs w:val="20"/>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between $38.6 million and $39.6 million.</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Average monthly paid members between 684 thousand and 702 thousand.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Information on Expensify’s Website</w:t>
      </w:r>
    </w:p>
    <w:p>
      <w:pPr>
        <w:spacing w:after="0" w:line="13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37" w:lineRule="exact"/>
        <w:rPr>
          <w:sz w:val="20"/>
          <w:szCs w:val="20"/>
          <w:color w:val="auto"/>
        </w:rPr>
      </w:pPr>
    </w:p>
    <w:p>
      <w:pPr>
        <w:ind w:right="560"/>
        <w:spacing w:after="0" w:line="276" w:lineRule="auto"/>
        <w:rPr>
          <w:sz w:val="20"/>
          <w:szCs w:val="20"/>
          <w:color w:val="auto"/>
        </w:rPr>
      </w:pPr>
      <w:r>
        <w:rPr>
          <w:rFonts w:ascii="Times New Roman" w:cs="Times New Roman" w:eastAsia="Times New Roman" w:hAnsi="Times New Roman"/>
          <w:sz w:val="16"/>
          <w:szCs w:val="16"/>
          <w:color w:val="auto"/>
        </w:rPr>
        <w:t>Expensify will host a video call to discuss the results at 2:00 p.m. Pacific Time today. The video call information is available on Expensify’s Investor Relations website at https://ir.expensify.com. A replay of the call will be available on the site for three months.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Financial Measures</w:t>
      </w:r>
    </w:p>
    <w:p>
      <w:pPr>
        <w:sectPr>
          <w:pgSz w:w="11900" w:h="16838" w:orient="portrait"/>
          <w:cols w:equalWidth="0" w:num="1">
            <w:col w:w="11260"/>
          </w:cols>
          <w:pgMar w:left="320" w:top="12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80"/>
        <w:spacing w:after="0" w:line="322"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U.S. generally accepted accounting principles (“GAAP”), we provide certain non-GAAP financial measures, including Adjusted EBITDA, Adjusted EBITDA excluding the IPO-related bonus, and Non-GAAP net income.</w:t>
      </w:r>
    </w:p>
    <w:p>
      <w:pPr>
        <w:spacing w:after="0" w:line="145"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6"/>
          <w:szCs w:val="16"/>
          <w:color w:val="auto"/>
        </w:rPr>
        <w:t>We believe our non-GAAP financial measures are useful in evaluating our business, measuring our performance, identifying trends affecting our business, formulating business plans and making strategic decisions. Accordingly, 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95"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We define Adjusted EBITDA as net income from operations excluding provision for income taxes, interest and other expenses, net, depreciation and amortization and stock based compensation.</w:t>
      </w:r>
    </w:p>
    <w:p>
      <w:pPr>
        <w:spacing w:after="0" w:line="168"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We define Adjusted EBITDA excluding the IPO-related bonus as net income from operations excluding provision for income taxes, interest and other expenses, net, depreciation and amortization, stock based compensation, and IPO-related bonus costs.</w:t>
      </w:r>
    </w:p>
    <w:p>
      <w:pPr>
        <w:spacing w:after="0" w:line="16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5"/>
          <w:szCs w:val="15"/>
          <w:color w:val="auto"/>
        </w:rPr>
        <w:t>We define non-GAAP net income as net income from operations in accordance with US GAAP excluding stock-based compensation and IPO-related bonus costs. In prior periods, this metric only excluded IPO-related bonus costs and did not exclude expenses related to stock-based compensation. However, management now believes that further excluding stock-based compensation from non-GAAP net income is useful to better understand the financial performance of our business and to facilitate a better comparison of our results to those of peer companies over multiple periods given that this item may vary between companies for reasons unrelated to overall operating performance.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tables at the end of the Financial Statements provide reconciliations to the most directly comparable GAAP financial measure to each of these non-GAAP financial measures.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137"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6"/>
          <w:szCs w:val="16"/>
          <w:color w:val="auto"/>
        </w:rPr>
        <w:t>Forward-looking statements in this press release, which are not historical facts, are forward-looking statements within the meaning of the Private Securities Litigation Reform Act of 1955. These statements include statements regarding our strategy, future financial condition, future operations, projected costs, prospects, plans, objectives of management and expected market growth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“objective,” “seeks,” or “continue” or the negative of these words or other similar terms or expressions that concern our expectations, strategy, plans, or intentions. Such forward-looking statements are necessarily based upon estimates and</w:t>
      </w:r>
    </w:p>
    <w:p>
      <w:pPr>
        <w:sectPr>
          <w:pgSz w:w="11900" w:h="16838" w:orient="portrait"/>
          <w:cols w:equalWidth="0" w:num="1">
            <w:col w:w="11260"/>
          </w:cols>
          <w:pgMar w:left="320" w:top="12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16"/>
          <w:szCs w:val="16"/>
          <w:color w:val="auto"/>
        </w:rPr>
        <w:t>assumptions that, while considered reasonable by us and our management, are inherently uncertain. Factors that may cause actual results to differ materially from current expectations include, but are not limited to: the economic, political and social impact of, and uncertainty relating to, the COVID-19 pandemic; the war in Ukraine and escalating geopolitical tensions as a result of Russia's invasion of Ukraine;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ability to effectively manage our exposure to fluctuations in foreign currency exchange rates; the increased expenses associated with being a public company; the size of our addressable markets, market share and market trends; anticipated trends, developments and challenges in our industry, business and the highly competitive markets in which we operate;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including the societal and economic impact of the COVID-19 pandemic, and geopolitical uncertainty and instability;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Expensify</w:t>
      </w:r>
    </w:p>
    <w:p>
      <w:pPr>
        <w:spacing w:after="0" w:line="13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6"/>
          <w:szCs w:val="16"/>
          <w:color w:val="auto"/>
        </w:rPr>
        <w:t>Expensify is a payments superapp that helps individuals and businesses around the world simplify the way they manage money. More than 10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Nick Tooker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investors@expensify.com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Dean</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press@expensify.com</w:t>
      </w:r>
    </w:p>
    <w:p>
      <w:pPr>
        <w:sectPr>
          <w:pgSz w:w="11900" w:h="16838" w:orient="portrait"/>
          <w:cols w:equalWidth="0" w:num="1">
            <w:col w:w="11260"/>
          </w:cols>
          <w:pgMar w:left="320" w:top="121" w:right="31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8"/>
        </w:trPr>
        <w:tc>
          <w:tcPr>
            <w:tcW w:w="7020" w:type="dxa"/>
            <w:vAlign w:val="bottom"/>
            <w:vMerge w:val="restart"/>
          </w:tcPr>
          <w:p>
            <w:pPr>
              <w:jc w:val="center"/>
              <w:ind w:left="3028"/>
              <w:spacing w:after="0"/>
              <w:rPr>
                <w:sz w:val="20"/>
                <w:szCs w:val="20"/>
                <w:color w:val="auto"/>
              </w:rPr>
            </w:pPr>
            <w:r>
              <w:rPr>
                <w:rFonts w:ascii="Times New Roman" w:cs="Times New Roman" w:eastAsia="Times New Roman" w:hAnsi="Times New Roman"/>
                <w:sz w:val="19"/>
                <w:szCs w:val="19"/>
                <w:b w:val="1"/>
                <w:bCs w:val="1"/>
                <w:color w:val="auto"/>
                <w:w w:val="99"/>
              </w:rPr>
              <w:t>Expensify, Inc.</w:t>
            </w:r>
          </w:p>
        </w:tc>
        <w:tc>
          <w:tcPr>
            <w:tcW w:w="15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Exhibit 99.1</w:t>
            </w:r>
          </w:p>
        </w:tc>
        <w:tc>
          <w:tcPr>
            <w:tcW w:w="0" w:type="dxa"/>
            <w:vAlign w:val="bottom"/>
          </w:tcPr>
          <w:p>
            <w:pPr>
              <w:spacing w:after="0"/>
              <w:rPr>
                <w:sz w:val="1"/>
                <w:szCs w:val="1"/>
                <w:color w:val="auto"/>
              </w:rPr>
            </w:pPr>
          </w:p>
        </w:tc>
      </w:tr>
      <w:tr>
        <w:trPr>
          <w:trHeight w:val="221"/>
        </w:trPr>
        <w:tc>
          <w:tcPr>
            <w:tcW w:w="7020" w:type="dxa"/>
            <w:vAlign w:val="bottom"/>
            <w:vMerge w:val="continue"/>
          </w:tcPr>
          <w:p>
            <w:pPr>
              <w:spacing w:after="0"/>
              <w:rPr>
                <w:sz w:val="19"/>
                <w:szCs w:val="19"/>
                <w:color w:val="auto"/>
              </w:rPr>
            </w:pPr>
          </w:p>
        </w:tc>
        <w:tc>
          <w:tcPr>
            <w:tcW w:w="1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7020" w:type="dxa"/>
            <w:vAlign w:val="bottom"/>
          </w:tcPr>
          <w:p>
            <w:pPr>
              <w:jc w:val="center"/>
              <w:ind w:left="3028"/>
              <w:spacing w:after="0"/>
              <w:rPr>
                <w:sz w:val="20"/>
                <w:szCs w:val="20"/>
                <w:color w:val="auto"/>
              </w:rPr>
            </w:pPr>
            <w:r>
              <w:rPr>
                <w:rFonts w:ascii="Times New Roman" w:cs="Times New Roman" w:eastAsia="Times New Roman" w:hAnsi="Times New Roman"/>
                <w:sz w:val="19"/>
                <w:szCs w:val="19"/>
                <w:b w:val="1"/>
                <w:bCs w:val="1"/>
                <w:color w:val="auto"/>
                <w:w w:val="99"/>
              </w:rPr>
              <w:t>Consolidated Balance Sheets</w:t>
            </w:r>
          </w:p>
        </w:tc>
        <w:tc>
          <w:tcPr>
            <w:tcW w:w="15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020" w:type="dxa"/>
            <w:vAlign w:val="bottom"/>
          </w:tcPr>
          <w:p>
            <w:pPr>
              <w:jc w:val="center"/>
              <w:ind w:left="3028"/>
              <w:spacing w:after="0"/>
              <w:rPr>
                <w:sz w:val="20"/>
                <w:szCs w:val="20"/>
                <w:color w:val="auto"/>
              </w:rPr>
            </w:pPr>
            <w:r>
              <w:rPr>
                <w:rFonts w:ascii="Times New Roman" w:cs="Times New Roman" w:eastAsia="Times New Roman" w:hAnsi="Times New Roman"/>
                <w:sz w:val="16"/>
                <w:szCs w:val="16"/>
                <w:color w:val="auto"/>
                <w:w w:val="98"/>
              </w:rPr>
              <w:t>(unaudited, in thousands, except share and per share data)</w:t>
            </w: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23"/>
        </w:trPr>
        <w:tc>
          <w:tcPr>
            <w:tcW w:w="70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40" w:type="dxa"/>
            <w:vAlign w:val="bottom"/>
            <w:gridSpan w:val="3"/>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702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2021</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9"/>
        </w:trPr>
        <w:tc>
          <w:tcPr>
            <w:tcW w:w="7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5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52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98,398</w:t>
            </w:r>
          </w:p>
        </w:tc>
        <w:tc>
          <w:tcPr>
            <w:tcW w:w="100" w:type="dxa"/>
            <w:vAlign w:val="bottom"/>
          </w:tcPr>
          <w:p>
            <w:pPr>
              <w:spacing w:after="0"/>
              <w:rPr>
                <w:sz w:val="17"/>
                <w:szCs w:val="17"/>
                <w:color w:val="auto"/>
              </w:rPr>
            </w:pPr>
          </w:p>
        </w:tc>
        <w:tc>
          <w:tcPr>
            <w:tcW w:w="158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Accounts receivable, net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15,713</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Settlement assets</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21,880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Prepaid expenses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Related party loan receivable, current</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 current assets</w:t>
            </w:r>
          </w:p>
        </w:tc>
        <w:tc>
          <w:tcPr>
            <w:tcW w:w="15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14,201</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Total current assets</w:t>
            </w:r>
          </w:p>
        </w:tc>
        <w:tc>
          <w:tcPr>
            <w:tcW w:w="15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157,642</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Capitalized software, net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Lease right-of-use assets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Deferred tax assets, net</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 assets</w:t>
            </w:r>
          </w:p>
        </w:tc>
        <w:tc>
          <w:tcPr>
            <w:tcW w:w="15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0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Total assets</w:t>
            </w:r>
          </w:p>
        </w:tc>
        <w:tc>
          <w:tcPr>
            <w:tcW w:w="1520" w:type="dxa"/>
            <w:vAlign w:val="bottom"/>
            <w:tcBorders>
              <w:top w:val="single" w:sz="8" w:color="auto"/>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183,213</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b w:val="1"/>
                <w:bCs w:val="1"/>
                <w:color w:val="auto"/>
              </w:rPr>
              <w:t>Liabilities, convertible preferred stock and stockholders' equity (deficit)</w:t>
            </w:r>
          </w:p>
        </w:tc>
        <w:tc>
          <w:tcPr>
            <w:tcW w:w="152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Accounts payable</w:t>
            </w:r>
          </w:p>
        </w:tc>
        <w:tc>
          <w:tcPr>
            <w:tcW w:w="1520" w:type="dxa"/>
            <w:vAlign w:val="bottom"/>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3,752</w:t>
            </w:r>
          </w:p>
        </w:tc>
        <w:tc>
          <w:tcPr>
            <w:tcW w:w="100" w:type="dxa"/>
            <w:vAlign w:val="bottom"/>
          </w:tcPr>
          <w:p>
            <w:pPr>
              <w:spacing w:after="0"/>
              <w:rPr>
                <w:sz w:val="17"/>
                <w:szCs w:val="17"/>
                <w:color w:val="auto"/>
              </w:rPr>
            </w:pPr>
          </w:p>
        </w:tc>
        <w:tc>
          <w:tcPr>
            <w:tcW w:w="1580" w:type="dxa"/>
            <w:vAlign w:val="bottom"/>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11,046</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Borrowings under line of credit</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Current portion of long-term debt, net of issuance costs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Lease liabilities, current</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1,549</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Settlement liabilities</w:t>
            </w:r>
          </w:p>
        </w:tc>
        <w:tc>
          <w:tcPr>
            <w:tcW w:w="15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21,680</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7020" w:type="dxa"/>
            <w:vAlign w:val="bottom"/>
          </w:tcPr>
          <w:p>
            <w:pPr>
              <w:ind w:left="12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5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53,576</w:t>
            </w:r>
          </w:p>
        </w:tc>
        <w:tc>
          <w:tcPr>
            <w:tcW w:w="100" w:type="dxa"/>
            <w:vAlign w:val="bottom"/>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Lease liabilities, non-current</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1520" w:type="dxa"/>
            <w:vAlign w:val="bottom"/>
          </w:tcPr>
          <w:p>
            <w:pPr>
              <w:spacing w:after="0"/>
              <w:rPr>
                <w:sz w:val="17"/>
                <w:szCs w:val="17"/>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Other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Long-term debt, net of issuance costs</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52,067</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7020" w:type="dxa"/>
            <w:vAlign w:val="bottom"/>
            <w:tcBorders>
              <w:bottom w:val="single" w:sz="8" w:color="CCEEFF"/>
            </w:tcBorders>
            <w:shd w:val="clear" w:color="auto" w:fill="CCEEFF"/>
          </w:tcPr>
          <w:p>
            <w:pPr>
              <w:ind w:left="1240"/>
              <w:spacing w:after="0"/>
              <w:rPr>
                <w:sz w:val="20"/>
                <w:szCs w:val="20"/>
                <w:color w:val="auto"/>
              </w:rPr>
            </w:pPr>
            <w:r>
              <w:rPr>
                <w:rFonts w:ascii="Times New Roman" w:cs="Times New Roman" w:eastAsia="Times New Roman" w:hAnsi="Times New Roman"/>
                <w:sz w:val="14"/>
                <w:szCs w:val="14"/>
                <w:color w:val="auto"/>
              </w:rPr>
              <w:t>Total liabilities</w:t>
            </w:r>
          </w:p>
        </w:tc>
        <w:tc>
          <w:tcPr>
            <w:tcW w:w="152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106,598</w:t>
            </w:r>
          </w:p>
        </w:tc>
        <w:tc>
          <w:tcPr>
            <w:tcW w:w="10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Commitments and contingencies (Note 12)</w:t>
            </w: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preferred stock, par value $0.0001; 0 and 4,203,139 shares authorized, issued and outstanding as of December</w:t>
            </w:r>
          </w:p>
        </w:tc>
        <w:tc>
          <w:tcPr>
            <w:tcW w:w="1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31, 2021 and 2020, respectively; (aggregate liquidation preference of $0 and $24,929,457 as of December 31, 2021 and</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2020, respectively)</w:t>
            </w:r>
          </w:p>
        </w:tc>
        <w:tc>
          <w:tcPr>
            <w:tcW w:w="152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Stockholders' equity (deficit):</w:t>
            </w:r>
          </w:p>
        </w:tc>
        <w:tc>
          <w:tcPr>
            <w:tcW w:w="1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Common stock, par value $0.0001; 1,000,000,000 and 95,000,000 shares of Class A common stock authorized as of</w:t>
            </w:r>
          </w:p>
        </w:tc>
        <w:tc>
          <w:tcPr>
            <w:tcW w:w="152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December 31, 2021 and 2020, respectively; 67,844,060 and 29,366,940 shares of Class A common stock issued and</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outstanding as of December 31, 2021 and 2020, respectively; 25,000,000 and 0 shares of LT10 common stock</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authorized as of December 31, 2021 and 2020, respectively; 7,332,640 and 0 shares of LT10 common stock issued and</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outstanding as of December 31, 2021 and 2020, respectively; 25,000,000 and 0 shares of LT50 common stock</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0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authorized as of December 31, 2021 and 2020, respectively; 6,224,160 and 0 shares of LT50 common stock issued and</w:t>
            </w:r>
          </w:p>
        </w:tc>
        <w:tc>
          <w:tcPr>
            <w:tcW w:w="15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7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outstanding as of December 31, 2021 and 2020, respectively</w:t>
            </w:r>
          </w:p>
        </w:tc>
        <w:tc>
          <w:tcPr>
            <w:tcW w:w="15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16"/>
                <w:szCs w:val="16"/>
                <w:color w:val="auto"/>
              </w:rPr>
            </w:pPr>
          </w:p>
        </w:tc>
        <w:tc>
          <w:tcPr>
            <w:tcW w:w="15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2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52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142,515</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7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7020" w:type="dxa"/>
            <w:vAlign w:val="bottom"/>
            <w:tcBorders>
              <w:bottom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Accumulated deficit</w:t>
            </w:r>
          </w:p>
        </w:tc>
        <w:tc>
          <w:tcPr>
            <w:tcW w:w="152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(65,906)</w:t>
            </w:r>
          </w:p>
        </w:tc>
        <w:tc>
          <w:tcPr>
            <w:tcW w:w="10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702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Total stockholders' equity (deficit)</w:t>
            </w:r>
          </w:p>
        </w:tc>
        <w:tc>
          <w:tcPr>
            <w:tcW w:w="152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76,615</w:t>
            </w:r>
          </w:p>
        </w:tc>
        <w:tc>
          <w:tcPr>
            <w:tcW w:w="100" w:type="dxa"/>
            <w:vAlign w:val="bottom"/>
          </w:tcPr>
          <w:p>
            <w:pPr>
              <w:spacing w:after="0"/>
              <w:rPr>
                <w:sz w:val="16"/>
                <w:szCs w:val="16"/>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9"/>
        </w:trPr>
        <w:tc>
          <w:tcPr>
            <w:tcW w:w="702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9"/>
        </w:trPr>
        <w:tc>
          <w:tcPr>
            <w:tcW w:w="70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Total liabilities, convertible preferred stock and stockholders' equity (deficit)</w:t>
            </w:r>
          </w:p>
        </w:tc>
        <w:tc>
          <w:tcPr>
            <w:tcW w:w="152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183,213</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86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0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780"/>
          </w:cols>
          <w:pgMar w:left="880" w:top="121"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100" w:type="dxa"/>
            <w:vAlign w:val="bottom"/>
          </w:tcPr>
          <w:p>
            <w:pPr>
              <w:spacing w:after="0"/>
              <w:rPr>
                <w:sz w:val="18"/>
                <w:szCs w:val="18"/>
                <w:color w:val="auto"/>
              </w:rPr>
            </w:pPr>
          </w:p>
        </w:tc>
        <w:tc>
          <w:tcPr>
            <w:tcW w:w="2900" w:type="dxa"/>
            <w:vAlign w:val="bottom"/>
            <w:gridSpan w:val="4"/>
            <w:vMerge w:val="restart"/>
          </w:tcPr>
          <w:p>
            <w:pPr>
              <w:jc w:val="center"/>
              <w:ind w:left="57"/>
              <w:spacing w:after="0"/>
              <w:rPr>
                <w:sz w:val="20"/>
                <w:szCs w:val="20"/>
                <w:color w:val="auto"/>
              </w:rPr>
            </w:pPr>
            <w:r>
              <w:rPr>
                <w:rFonts w:ascii="Times New Roman" w:cs="Times New Roman" w:eastAsia="Times New Roman" w:hAnsi="Times New Roman"/>
                <w:sz w:val="19"/>
                <w:szCs w:val="19"/>
                <w:b w:val="1"/>
                <w:bCs w:val="1"/>
                <w:color w:val="auto"/>
                <w:w w:val="99"/>
              </w:rPr>
              <w:t>Expensify, Inc.</w:t>
            </w:r>
          </w:p>
        </w:tc>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tc>
        <w:tc>
          <w:tcPr>
            <w:tcW w:w="0" w:type="dxa"/>
            <w:vAlign w:val="bottom"/>
          </w:tcPr>
          <w:p>
            <w:pPr>
              <w:spacing w:after="0"/>
              <w:rPr>
                <w:sz w:val="1"/>
                <w:szCs w:val="1"/>
                <w:color w:val="auto"/>
              </w:rPr>
            </w:pPr>
          </w:p>
        </w:tc>
      </w:tr>
      <w:tr>
        <w:trPr>
          <w:trHeight w:val="221"/>
        </w:trPr>
        <w:tc>
          <w:tcPr>
            <w:tcW w:w="4100" w:type="dxa"/>
            <w:vAlign w:val="bottom"/>
          </w:tcPr>
          <w:p>
            <w:pPr>
              <w:spacing w:after="0"/>
              <w:rPr>
                <w:sz w:val="19"/>
                <w:szCs w:val="19"/>
                <w:color w:val="auto"/>
              </w:rPr>
            </w:pPr>
          </w:p>
        </w:tc>
        <w:tc>
          <w:tcPr>
            <w:tcW w:w="2900" w:type="dxa"/>
            <w:vAlign w:val="bottom"/>
            <w:gridSpan w:val="4"/>
            <w:vMerge w:val="continue"/>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4100" w:type="dxa"/>
            <w:vAlign w:val="bottom"/>
          </w:tcPr>
          <w:p>
            <w:pPr>
              <w:spacing w:after="0"/>
              <w:rPr>
                <w:sz w:val="20"/>
                <w:szCs w:val="20"/>
                <w:color w:val="auto"/>
              </w:rPr>
            </w:pPr>
          </w:p>
        </w:tc>
        <w:tc>
          <w:tcPr>
            <w:tcW w:w="3420" w:type="dxa"/>
            <w:vAlign w:val="bottom"/>
            <w:gridSpan w:val="5"/>
          </w:tcPr>
          <w:p>
            <w:pPr>
              <w:jc w:val="center"/>
              <w:ind w:right="289"/>
              <w:spacing w:after="0"/>
              <w:rPr>
                <w:sz w:val="20"/>
                <w:szCs w:val="20"/>
                <w:color w:val="auto"/>
              </w:rPr>
            </w:pPr>
            <w:r>
              <w:rPr>
                <w:rFonts w:ascii="Times New Roman" w:cs="Times New Roman" w:eastAsia="Times New Roman" w:hAnsi="Times New Roman"/>
                <w:sz w:val="19"/>
                <w:szCs w:val="19"/>
                <w:b w:val="1"/>
                <w:bCs w:val="1"/>
                <w:color w:val="auto"/>
                <w:w w:val="99"/>
              </w:rPr>
              <w:t>Consolidated Statements of Income</w:t>
            </w: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7520" w:type="dxa"/>
            <w:vAlign w:val="bottom"/>
            <w:gridSpan w:val="6"/>
          </w:tcPr>
          <w:p>
            <w:pPr>
              <w:jc w:val="center"/>
              <w:ind w:left="3649"/>
              <w:spacing w:after="0"/>
              <w:rPr>
                <w:sz w:val="20"/>
                <w:szCs w:val="20"/>
                <w:color w:val="auto"/>
              </w:rPr>
            </w:pPr>
            <w:r>
              <w:rPr>
                <w:rFonts w:ascii="Times New Roman" w:cs="Times New Roman" w:eastAsia="Times New Roman" w:hAnsi="Times New Roman"/>
                <w:sz w:val="16"/>
                <w:szCs w:val="16"/>
                <w:color w:val="auto"/>
                <w:w w:val="98"/>
              </w:rPr>
              <w:t>(unaudited, in thousands, except share and per share data)</w:t>
            </w: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3"/>
        </w:trPr>
        <w:tc>
          <w:tcPr>
            <w:tcW w:w="4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720" w:type="dxa"/>
            <w:vAlign w:val="bottom"/>
            <w:gridSpan w:val="4"/>
          </w:tcPr>
          <w:p>
            <w:pPr>
              <w:jc w:val="right"/>
              <w:ind w:right="369"/>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20" w:type="dxa"/>
            <w:vAlign w:val="bottom"/>
          </w:tcPr>
          <w:p>
            <w:pPr>
              <w:spacing w:after="0"/>
              <w:rPr>
                <w:sz w:val="24"/>
                <w:szCs w:val="24"/>
                <w:color w:val="auto"/>
              </w:rPr>
            </w:pPr>
          </w:p>
        </w:tc>
        <w:tc>
          <w:tcPr>
            <w:tcW w:w="2500" w:type="dxa"/>
            <w:vAlign w:val="bottom"/>
            <w:gridSpan w:val="4"/>
          </w:tcPr>
          <w:p>
            <w:pPr>
              <w:jc w:val="right"/>
              <w:ind w:right="569"/>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4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2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20" w:type="dxa"/>
            <w:vAlign w:val="bottom"/>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2020</w:t>
            </w:r>
          </w:p>
        </w:tc>
        <w:tc>
          <w:tcPr>
            <w:tcW w:w="32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62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40,364</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25,737</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142,835</w:t>
            </w:r>
          </w:p>
        </w:tc>
        <w:tc>
          <w:tcPr>
            <w:tcW w:w="3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88,072</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 net</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8,533</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53,693</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32,414</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margin</w:t>
            </w:r>
          </w:p>
        </w:tc>
        <w:tc>
          <w:tcPr>
            <w:tcW w:w="136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20,439</w:t>
            </w:r>
          </w:p>
        </w:tc>
        <w:tc>
          <w:tcPr>
            <w:tcW w:w="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17,204</w:t>
            </w:r>
          </w:p>
        </w:tc>
        <w:tc>
          <w:tcPr>
            <w:tcW w:w="3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89,142</w:t>
            </w:r>
          </w:p>
        </w:tc>
        <w:tc>
          <w:tcPr>
            <w:tcW w:w="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55,658</w:t>
            </w:r>
          </w:p>
        </w:tc>
        <w:tc>
          <w:tcPr>
            <w:tcW w:w="0" w:type="dxa"/>
            <w:vAlign w:val="bottom"/>
          </w:tcPr>
          <w:p>
            <w:pPr>
              <w:spacing w:after="0"/>
              <w:rPr>
                <w:sz w:val="1"/>
                <w:szCs w:val="1"/>
                <w:color w:val="auto"/>
              </w:rPr>
            </w:pPr>
          </w:p>
        </w:tc>
      </w:tr>
      <w:tr>
        <w:trPr>
          <w:trHeight w:val="17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136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2,850</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10,988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6,728</w:t>
            </w:r>
          </w:p>
        </w:tc>
        <w:tc>
          <w:tcPr>
            <w:tcW w:w="0" w:type="dxa"/>
            <w:vAlign w:val="bottom"/>
          </w:tcPr>
          <w:p>
            <w:pPr>
              <w:spacing w:after="0"/>
              <w:rPr>
                <w:sz w:val="1"/>
                <w:szCs w:val="1"/>
                <w:color w:val="auto"/>
              </w:rPr>
            </w:pPr>
          </w:p>
        </w:tc>
      </w:tr>
      <w:tr>
        <w:trPr>
          <w:trHeight w:val="196"/>
        </w:trPr>
        <w:tc>
          <w:tcPr>
            <w:tcW w:w="41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24,915</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8,655</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60,742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33,372</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4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Sales and marketing</w:t>
            </w:r>
          </w:p>
        </w:tc>
        <w:tc>
          <w:tcPr>
            <w:tcW w:w="1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13,109</w:t>
            </w:r>
          </w:p>
        </w:tc>
        <w:tc>
          <w:tcPr>
            <w:tcW w:w="8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2,074</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27,664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9,888</w:t>
            </w:r>
          </w:p>
        </w:tc>
        <w:tc>
          <w:tcPr>
            <w:tcW w:w="0" w:type="dxa"/>
            <w:vAlign w:val="bottom"/>
          </w:tcPr>
          <w:p>
            <w:pPr>
              <w:spacing w:after="0"/>
              <w:rPr>
                <w:sz w:val="1"/>
                <w:szCs w:val="1"/>
                <w:color w:val="auto"/>
              </w:rPr>
            </w:pPr>
          </w:p>
        </w:tc>
      </w:tr>
      <w:tr>
        <w:trPr>
          <w:trHeight w:val="188"/>
        </w:trPr>
        <w:tc>
          <w:tcPr>
            <w:tcW w:w="41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136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40,874</w:t>
            </w:r>
          </w:p>
        </w:tc>
        <w:tc>
          <w:tcPr>
            <w:tcW w:w="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12,812</w:t>
            </w:r>
          </w:p>
        </w:tc>
        <w:tc>
          <w:tcPr>
            <w:tcW w:w="3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99,394</w:t>
            </w:r>
          </w:p>
        </w:tc>
        <w:tc>
          <w:tcPr>
            <w:tcW w:w="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49,988</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from operations</w:t>
            </w: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(20,435)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4,392</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(10,252)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expenses, net</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(920)</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(3,480)</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(2,718)</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income before income taxes</w:t>
            </w:r>
          </w:p>
        </w:tc>
        <w:tc>
          <w:tcPr>
            <w:tcW w:w="13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(21,355)</w:t>
            </w:r>
          </w:p>
        </w:tc>
        <w:tc>
          <w:tcPr>
            <w:tcW w:w="8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3,834</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2,952</w:t>
            </w: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(provision) for income taxes</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(2,092)</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(4,662)</w:t>
            </w:r>
          </w:p>
        </w:tc>
        <w:tc>
          <w:tcPr>
            <w:tcW w:w="0" w:type="dxa"/>
            <w:vAlign w:val="bottom"/>
          </w:tcPr>
          <w:p>
            <w:pPr>
              <w:spacing w:after="0"/>
              <w:rPr>
                <w:sz w:val="1"/>
                <w:szCs w:val="1"/>
                <w:color w:val="auto"/>
              </w:rPr>
            </w:pPr>
          </w:p>
        </w:tc>
      </w:tr>
      <w:tr>
        <w:trPr>
          <w:trHeight w:val="29"/>
        </w:trPr>
        <w:tc>
          <w:tcPr>
            <w:tcW w:w="4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1620" w:type="dxa"/>
            <w:vAlign w:val="bottom"/>
            <w:gridSpan w:val="2"/>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(21,887)</w:t>
            </w:r>
          </w:p>
        </w:tc>
        <w:tc>
          <w:tcPr>
            <w:tcW w:w="8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380" w:type="dxa"/>
            <w:vAlign w:val="bottom"/>
            <w:gridSpan w:val="2"/>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1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income allocated to participating securities</w:t>
            </w:r>
          </w:p>
        </w:tc>
        <w:tc>
          <w:tcPr>
            <w:tcW w:w="1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(1,742)</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attributable to Class A, LT10 and LT50 common stockholders</w:t>
            </w:r>
          </w:p>
        </w:tc>
        <w:tc>
          <w:tcPr>
            <w:tcW w:w="1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(21,887)</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(13,558)</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(1,710)</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 attributable to Class A, LT10 and LT50 common stockholders:</w:t>
            </w: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(0.82)</w:t>
            </w:r>
          </w:p>
        </w:tc>
        <w:tc>
          <w:tcPr>
            <w:tcW w:w="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(0.36)</w:t>
            </w:r>
          </w:p>
        </w:tc>
        <w:tc>
          <w:tcPr>
            <w:tcW w:w="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(0.06)</w:t>
            </w:r>
          </w:p>
        </w:tc>
        <w:tc>
          <w:tcPr>
            <w:tcW w:w="0" w:type="dxa"/>
            <w:vAlign w:val="bottom"/>
          </w:tcPr>
          <w:p>
            <w:pPr>
              <w:spacing w:after="0"/>
              <w:rPr>
                <w:sz w:val="1"/>
                <w:szCs w:val="1"/>
                <w:color w:val="auto"/>
              </w:rPr>
            </w:pPr>
          </w:p>
        </w:tc>
      </w:tr>
      <w:tr>
        <w:trPr>
          <w:trHeight w:val="20"/>
        </w:trPr>
        <w:tc>
          <w:tcPr>
            <w:tcW w:w="410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460" w:type="dxa"/>
            <w:vAlign w:val="bottom"/>
            <w:gridSpan w:val="2"/>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rPr>
              <w:t>Weighted-average shares of common stock used to compute net loss per share attributable to</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3"/>
        </w:trPr>
        <w:tc>
          <w:tcPr>
            <w:tcW w:w="4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Class A, LT10 and LT50 common stockholders:</w:t>
            </w:r>
          </w:p>
        </w:tc>
        <w:tc>
          <w:tcPr>
            <w:tcW w:w="13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and diluted</w:t>
            </w: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26,776,561</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28,402,996</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38,039,222</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27,424,480</w:t>
            </w:r>
          </w:p>
        </w:tc>
        <w:tc>
          <w:tcPr>
            <w:tcW w:w="0" w:type="dxa"/>
            <w:vAlign w:val="bottom"/>
          </w:tcPr>
          <w:p>
            <w:pPr>
              <w:spacing w:after="0"/>
              <w:rPr>
                <w:sz w:val="1"/>
                <w:szCs w:val="1"/>
                <w:color w:val="auto"/>
              </w:rPr>
            </w:pPr>
          </w:p>
        </w:tc>
      </w:tr>
      <w:tr>
        <w:trPr>
          <w:trHeight w:val="76"/>
        </w:trPr>
        <w:tc>
          <w:tcPr>
            <w:tcW w:w="410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0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121" w:right="31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8460" w:type="dxa"/>
            <w:vAlign w:val="bottom"/>
            <w:vMerge w:val="restart"/>
          </w:tcPr>
          <w:p>
            <w:pPr>
              <w:jc w:val="center"/>
              <w:ind w:left="2716"/>
              <w:spacing w:after="0"/>
              <w:rPr>
                <w:sz w:val="20"/>
                <w:szCs w:val="20"/>
                <w:color w:val="auto"/>
              </w:rPr>
            </w:pPr>
            <w:r>
              <w:rPr>
                <w:rFonts w:ascii="Times New Roman" w:cs="Times New Roman" w:eastAsia="Times New Roman" w:hAnsi="Times New Roman"/>
                <w:sz w:val="19"/>
                <w:szCs w:val="19"/>
                <w:b w:val="1"/>
                <w:bCs w:val="1"/>
                <w:color w:val="auto"/>
                <w:w w:val="99"/>
              </w:rPr>
              <w:t>Expensify, Inc.</w:t>
            </w:r>
          </w:p>
        </w:tc>
        <w:tc>
          <w:tcPr>
            <w:tcW w:w="8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tc>
        <w:tc>
          <w:tcPr>
            <w:tcW w:w="0" w:type="dxa"/>
            <w:vAlign w:val="bottom"/>
          </w:tcPr>
          <w:p>
            <w:pPr>
              <w:spacing w:after="0"/>
              <w:rPr>
                <w:sz w:val="1"/>
                <w:szCs w:val="1"/>
                <w:color w:val="auto"/>
              </w:rPr>
            </w:pPr>
          </w:p>
        </w:tc>
      </w:tr>
      <w:tr>
        <w:trPr>
          <w:trHeight w:val="221"/>
        </w:trPr>
        <w:tc>
          <w:tcPr>
            <w:tcW w:w="8460" w:type="dxa"/>
            <w:vAlign w:val="bottom"/>
            <w:vMerge w:val="continue"/>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8460" w:type="dxa"/>
            <w:vAlign w:val="bottom"/>
          </w:tcPr>
          <w:p>
            <w:pPr>
              <w:jc w:val="center"/>
              <w:ind w:left="2736"/>
              <w:spacing w:after="0"/>
              <w:rPr>
                <w:sz w:val="20"/>
                <w:szCs w:val="20"/>
                <w:color w:val="auto"/>
              </w:rPr>
            </w:pPr>
            <w:r>
              <w:rPr>
                <w:rFonts w:ascii="Times New Roman" w:cs="Times New Roman" w:eastAsia="Times New Roman" w:hAnsi="Times New Roman"/>
                <w:sz w:val="19"/>
                <w:szCs w:val="19"/>
                <w:b w:val="1"/>
                <w:bCs w:val="1"/>
                <w:color w:val="auto"/>
                <w:w w:val="99"/>
              </w:rPr>
              <w:t>Consolidated Statements of Cash Flows</w:t>
            </w:r>
          </w:p>
        </w:tc>
        <w:tc>
          <w:tcPr>
            <w:tcW w:w="8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460" w:type="dxa"/>
            <w:vAlign w:val="bottom"/>
          </w:tcPr>
          <w:p>
            <w:pPr>
              <w:jc w:val="center"/>
              <w:ind w:left="2716"/>
              <w:spacing w:after="0"/>
              <w:rPr>
                <w:sz w:val="20"/>
                <w:szCs w:val="20"/>
                <w:color w:val="auto"/>
              </w:rPr>
            </w:pPr>
            <w:r>
              <w:rPr>
                <w:rFonts w:ascii="Times New Roman" w:cs="Times New Roman" w:eastAsia="Times New Roman" w:hAnsi="Times New Roman"/>
                <w:sz w:val="16"/>
                <w:szCs w:val="16"/>
                <w:color w:val="auto"/>
                <w:w w:val="98"/>
              </w:rPr>
              <w:t>(unaudited, in thousands)</w:t>
            </w:r>
          </w:p>
        </w:tc>
        <w:tc>
          <w:tcPr>
            <w:tcW w:w="8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846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460" w:type="dxa"/>
            <w:vAlign w:val="bottom"/>
          </w:tcPr>
          <w:p>
            <w:pPr>
              <w:spacing w:after="0"/>
              <w:rPr>
                <w:sz w:val="15"/>
                <w:szCs w:val="15"/>
                <w:color w:val="auto"/>
              </w:rPr>
            </w:pPr>
          </w:p>
        </w:tc>
        <w:tc>
          <w:tcPr>
            <w:tcW w:w="2800" w:type="dxa"/>
            <w:vAlign w:val="bottom"/>
            <w:gridSpan w:val="5"/>
          </w:tcPr>
          <w:p>
            <w:pPr>
              <w:jc w:val="right"/>
              <w:ind w:right="637"/>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84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2020</w:t>
            </w:r>
          </w:p>
        </w:tc>
        <w:tc>
          <w:tcPr>
            <w:tcW w:w="0" w:type="dxa"/>
            <w:vAlign w:val="bottom"/>
          </w:tcPr>
          <w:p>
            <w:pPr>
              <w:spacing w:after="0"/>
              <w:rPr>
                <w:sz w:val="1"/>
                <w:szCs w:val="1"/>
                <w:color w:val="auto"/>
              </w:rPr>
            </w:pPr>
          </w:p>
        </w:tc>
      </w:tr>
      <w:tr>
        <w:trPr>
          <w:trHeight w:val="21"/>
        </w:trPr>
        <w:tc>
          <w:tcPr>
            <w:tcW w:w="8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operating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(loss) income</w:t>
            </w: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(13,558)</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(1,710)</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Adjustments to reconcile net loss to net cash provided by operating activities: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3,248</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Reduction of operating lease right-of-use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1,311</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Loss on impairment, receivables and sale or disposal of equipment</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162</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Stock-based compensation</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14,574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17,837</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Amortization of debt issuance costs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2,437</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916</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assets and liabilities: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(2,170)</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2,878</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(1,393)</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Related party loan receivable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(714)</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liabilities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7,372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(16,548)</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w:t>
            </w:r>
          </w:p>
        </w:tc>
        <w:tc>
          <w:tcPr>
            <w:tcW w:w="0" w:type="dxa"/>
            <w:vAlign w:val="bottom"/>
          </w:tcPr>
          <w:p>
            <w:pPr>
              <w:spacing w:after="0"/>
              <w:rPr>
                <w:sz w:val="1"/>
                <w:szCs w:val="1"/>
                <w:color w:val="auto"/>
              </w:rPr>
            </w:pPr>
          </w:p>
        </w:tc>
      </w:tr>
      <w:tr>
        <w:trPr>
          <w:trHeight w:val="21"/>
        </w:trPr>
        <w:tc>
          <w:tcPr>
            <w:tcW w:w="8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operating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5,486</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7,585</w:t>
            </w:r>
          </w:p>
        </w:tc>
        <w:tc>
          <w:tcPr>
            <w:tcW w:w="0" w:type="dxa"/>
            <w:vAlign w:val="bottom"/>
          </w:tcPr>
          <w:p>
            <w:pPr>
              <w:spacing w:after="0"/>
              <w:rPr>
                <w:sz w:val="1"/>
                <w:szCs w:val="1"/>
                <w:color w:val="auto"/>
              </w:rPr>
            </w:pPr>
          </w:p>
        </w:tc>
      </w:tr>
      <w:tr>
        <w:trPr>
          <w:trHeight w:val="16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8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(2,488)</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sale or disposal of property and equipment</w:t>
            </w:r>
          </w:p>
        </w:tc>
        <w:tc>
          <w:tcPr>
            <w:tcW w:w="8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Software development costs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(1,809)</w:t>
            </w:r>
          </w:p>
        </w:tc>
        <w:tc>
          <w:tcPr>
            <w:tcW w:w="0" w:type="dxa"/>
            <w:vAlign w:val="bottom"/>
          </w:tcPr>
          <w:p>
            <w:pPr>
              <w:spacing w:after="0"/>
              <w:rPr>
                <w:sz w:val="1"/>
                <w:szCs w:val="1"/>
                <w:color w:val="auto"/>
              </w:rPr>
            </w:pPr>
          </w:p>
        </w:tc>
      </w:tr>
      <w:tr>
        <w:trPr>
          <w:trHeight w:val="172"/>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cash used by investing activities</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(7,614)</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(4,295)</w:t>
            </w:r>
          </w:p>
        </w:tc>
        <w:tc>
          <w:tcPr>
            <w:tcW w:w="0" w:type="dxa"/>
            <w:vAlign w:val="bottom"/>
          </w:tcPr>
          <w:p>
            <w:pPr>
              <w:spacing w:after="0"/>
              <w:rPr>
                <w:sz w:val="1"/>
                <w:szCs w:val="1"/>
                <w:color w:val="auto"/>
              </w:rPr>
            </w:pPr>
          </w:p>
        </w:tc>
      </w:tr>
      <w:tr>
        <w:trPr>
          <w:trHeight w:val="21"/>
        </w:trPr>
        <w:tc>
          <w:tcPr>
            <w:tcW w:w="8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840" w:type="dxa"/>
            <w:vAlign w:val="bottom"/>
            <w:tcBorders>
              <w:bottom w:val="single" w:sz="8" w:color="CCEEFF"/>
            </w:tcBorders>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Principal payments of finance leases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(808)</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payments of term loan</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(25,191)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term loan</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payments of line of credit</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line of credit</w:t>
            </w:r>
          </w:p>
        </w:tc>
        <w:tc>
          <w:tcPr>
            <w:tcW w:w="840" w:type="dxa"/>
            <w:vAlign w:val="bottom"/>
          </w:tcPr>
          <w:p>
            <w:pPr>
              <w:spacing w:after="0"/>
              <w:rPr>
                <w:sz w:val="15"/>
                <w:szCs w:val="15"/>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9,613</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84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Vesting of restricted common stock</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initial public offering, net of underwriters' discounts and commissions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57,458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issuance of common stock on exercise of stock options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1,301</w:t>
            </w:r>
          </w:p>
        </w:tc>
        <w:tc>
          <w:tcPr>
            <w:tcW w:w="0" w:type="dxa"/>
            <w:vAlign w:val="bottom"/>
          </w:tcPr>
          <w:p>
            <w:pPr>
              <w:spacing w:after="0"/>
              <w:rPr>
                <w:sz w:val="1"/>
                <w:szCs w:val="1"/>
                <w:color w:val="auto"/>
              </w:rPr>
            </w:pPr>
          </w:p>
        </w:tc>
      </w:tr>
      <w:tr>
        <w:trPr>
          <w:trHeight w:val="21"/>
        </w:trPr>
        <w:tc>
          <w:tcPr>
            <w:tcW w:w="8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cash provided by financing activities</w:t>
            </w:r>
          </w:p>
        </w:tc>
        <w:tc>
          <w:tcPr>
            <w:tcW w:w="84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80,565</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8,787</w:t>
            </w:r>
          </w:p>
        </w:tc>
        <w:tc>
          <w:tcPr>
            <w:tcW w:w="0" w:type="dxa"/>
            <w:vAlign w:val="bottom"/>
          </w:tcPr>
          <w:p>
            <w:pPr>
              <w:spacing w:after="0"/>
              <w:rPr>
                <w:sz w:val="1"/>
                <w:szCs w:val="1"/>
                <w:color w:val="auto"/>
              </w:rPr>
            </w:pPr>
          </w:p>
        </w:tc>
      </w:tr>
      <w:tr>
        <w:trPr>
          <w:trHeight w:val="172"/>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increase in cash and cash equivalents</w:t>
            </w:r>
          </w:p>
        </w:tc>
        <w:tc>
          <w:tcPr>
            <w:tcW w:w="8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78,437</w:t>
            </w:r>
          </w:p>
        </w:tc>
        <w:tc>
          <w:tcPr>
            <w:tcW w:w="8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12,077</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beginning of period</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46,878</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34,801</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and restricted cash, end of period</w:t>
            </w: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125,315</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46,878</w:t>
            </w:r>
          </w:p>
        </w:tc>
        <w:tc>
          <w:tcPr>
            <w:tcW w:w="0" w:type="dxa"/>
            <w:vAlign w:val="bottom"/>
          </w:tcPr>
          <w:p>
            <w:pPr>
              <w:spacing w:after="0"/>
              <w:rPr>
                <w:sz w:val="1"/>
                <w:szCs w:val="1"/>
                <w:color w:val="auto"/>
              </w:rPr>
            </w:pPr>
          </w:p>
        </w:tc>
      </w:tr>
      <w:tr>
        <w:trPr>
          <w:trHeight w:val="20"/>
        </w:trPr>
        <w:tc>
          <w:tcPr>
            <w:tcW w:w="84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60" w:type="dxa"/>
            <w:vAlign w:val="bottom"/>
            <w:tcBorders>
              <w:bottom w:val="single" w:sz="8" w:color="CCEEFF"/>
            </w:tcBorders>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Supplemental disclosure of cash flow information:</w:t>
            </w:r>
          </w:p>
        </w:tc>
        <w:tc>
          <w:tcPr>
            <w:tcW w:w="84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10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paid for interest</w:t>
            </w: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2,929</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paid for income taxes</w:t>
            </w:r>
          </w:p>
        </w:tc>
        <w:tc>
          <w:tcPr>
            <w:tcW w:w="840" w:type="dxa"/>
            <w:vAlign w:val="bottom"/>
            <w:tcBorders>
              <w:bottom w:val="single" w:sz="8" w:color="CCEEFF"/>
            </w:tcBorders>
            <w:shd w:val="clear" w:color="auto" w:fill="CCEEFF"/>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6,922</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Noncash investing and financing items:</w:t>
            </w: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Commercial building and land acquired with long-term debt (net of issuance costs of $8,226)</w:t>
            </w:r>
          </w:p>
        </w:tc>
        <w:tc>
          <w:tcPr>
            <w:tcW w:w="840" w:type="dxa"/>
            <w:vAlign w:val="bottom"/>
            <w:tcBorders>
              <w:bottom w:val="single" w:sz="8" w:color="CCEEFF"/>
            </w:tcBorders>
            <w:shd w:val="clear" w:color="auto" w:fill="CCEEFF"/>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Right-of-use assets acquired with lease liabilities</w:t>
            </w: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1,260</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Reconciliation of cash, cash equivalents and restricted cash to the consolidated balance sheets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840" w:type="dxa"/>
            <w:vAlign w:val="bottom"/>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98,398</w:t>
            </w:r>
          </w:p>
        </w:tc>
        <w:tc>
          <w:tcPr>
            <w:tcW w:w="80" w:type="dxa"/>
            <w:vAlign w:val="bottom"/>
          </w:tcPr>
          <w:p>
            <w:pPr>
              <w:spacing w:after="0"/>
              <w:rPr>
                <w:sz w:val="15"/>
                <w:szCs w:val="15"/>
                <w:color w:val="auto"/>
              </w:rPr>
            </w:pPr>
          </w:p>
        </w:tc>
        <w:tc>
          <w:tcPr>
            <w:tcW w:w="30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34,401</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current assets</w:t>
            </w:r>
          </w:p>
        </w:tc>
        <w:tc>
          <w:tcPr>
            <w:tcW w:w="8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0" w:type="dxa"/>
            <w:vAlign w:val="bottom"/>
          </w:tcPr>
          <w:p>
            <w:pPr>
              <w:spacing w:after="0"/>
              <w:rPr>
                <w:sz w:val="1"/>
                <w:szCs w:val="1"/>
                <w:color w:val="auto"/>
              </w:rPr>
            </w:pPr>
          </w:p>
        </w:tc>
      </w:tr>
      <w:tr>
        <w:trPr>
          <w:trHeight w:val="180"/>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Restricted cash included in other assets</w:t>
            </w:r>
          </w:p>
        </w:tc>
        <w:tc>
          <w:tcPr>
            <w:tcW w:w="8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0" w:type="dxa"/>
            <w:vAlign w:val="bottom"/>
          </w:tcPr>
          <w:p>
            <w:pPr>
              <w:spacing w:after="0"/>
              <w:rPr>
                <w:sz w:val="1"/>
                <w:szCs w:val="1"/>
                <w:color w:val="auto"/>
              </w:rPr>
            </w:pPr>
          </w:p>
        </w:tc>
      </w:tr>
      <w:tr>
        <w:trPr>
          <w:trHeight w:val="21"/>
        </w:trPr>
        <w:tc>
          <w:tcPr>
            <w:tcW w:w="8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cash included in settlement assets</w:t>
            </w:r>
          </w:p>
        </w:tc>
        <w:tc>
          <w:tcPr>
            <w:tcW w:w="8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18,219</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10,474</w:t>
            </w:r>
          </w:p>
        </w:tc>
        <w:tc>
          <w:tcPr>
            <w:tcW w:w="0" w:type="dxa"/>
            <w:vAlign w:val="bottom"/>
          </w:tcPr>
          <w:p>
            <w:pPr>
              <w:spacing w:after="0"/>
              <w:rPr>
                <w:sz w:val="1"/>
                <w:szCs w:val="1"/>
                <w:color w:val="auto"/>
              </w:rPr>
            </w:pPr>
          </w:p>
        </w:tc>
      </w:tr>
      <w:tr>
        <w:trPr>
          <w:trHeight w:val="193"/>
        </w:trPr>
        <w:tc>
          <w:tcPr>
            <w:tcW w:w="8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840" w:type="dxa"/>
            <w:vAlign w:val="bottom"/>
            <w:tcBorders>
              <w:top w:val="single" w:sz="8" w:color="auto"/>
              <w:bottom w:val="single" w:sz="8" w:color="auto"/>
            </w:tcBorders>
          </w:tcPr>
          <w:p>
            <w:pPr>
              <w:jc w:val="right"/>
              <w:ind w:right="725"/>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125,315</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46,878</w:t>
            </w:r>
          </w:p>
        </w:tc>
        <w:tc>
          <w:tcPr>
            <w:tcW w:w="0" w:type="dxa"/>
            <w:vAlign w:val="bottom"/>
          </w:tcPr>
          <w:p>
            <w:pPr>
              <w:spacing w:after="0"/>
              <w:rPr>
                <w:sz w:val="1"/>
                <w:szCs w:val="1"/>
                <w:color w:val="auto"/>
              </w:rPr>
            </w:pPr>
          </w:p>
        </w:tc>
      </w:tr>
      <w:tr>
        <w:trPr>
          <w:trHeight w:val="20"/>
        </w:trPr>
        <w:tc>
          <w:tcPr>
            <w:tcW w:w="84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121" w:right="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29845</wp:posOffset>
            </wp:positionV>
            <wp:extent cx="714946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780" w:type="dxa"/>
            <w:vAlign w:val="bottom"/>
          </w:tcPr>
          <w:p>
            <w:pPr>
              <w:spacing w:after="0"/>
              <w:rPr>
                <w:sz w:val="14"/>
                <w:szCs w:val="14"/>
                <w:color w:val="auto"/>
              </w:rPr>
            </w:pPr>
          </w:p>
        </w:tc>
        <w:tc>
          <w:tcPr>
            <w:tcW w:w="264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40" w:type="dxa"/>
            <w:vAlign w:val="bottom"/>
            <w:gridSpan w:val="3"/>
          </w:tcPr>
          <w:p>
            <w:pPr>
              <w:jc w:val="center"/>
              <w:ind w:left="441"/>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920" w:type="dxa"/>
            <w:vAlign w:val="bottom"/>
          </w:tcPr>
          <w:p>
            <w:pPr>
              <w:spacing w:after="0"/>
              <w:rPr>
                <w:sz w:val="14"/>
                <w:szCs w:val="14"/>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w w:val="92"/>
              </w:rPr>
              <w:t>2020</w:t>
            </w:r>
          </w:p>
        </w:tc>
      </w:tr>
      <w:tr>
        <w:trPr>
          <w:trHeight w:val="21"/>
        </w:trPr>
        <w:tc>
          <w:tcPr>
            <w:tcW w:w="4780" w:type="dxa"/>
            <w:vAlign w:val="bottom"/>
          </w:tcPr>
          <w:p>
            <w:pPr>
              <w:spacing w:after="0" w:line="20" w:lineRule="exact"/>
              <w:rPr>
                <w:sz w:val="1"/>
                <w:szCs w:val="1"/>
                <w:color w:val="auto"/>
              </w:rPr>
            </w:pPr>
          </w:p>
        </w:tc>
        <w:tc>
          <w:tcPr>
            <w:tcW w:w="264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(in thousands, except percentages)</w:t>
            </w: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1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4,662</w:t>
            </w:r>
          </w:p>
        </w:tc>
      </w:tr>
      <w:tr>
        <w:trPr>
          <w:trHeight w:val="25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r>
      <w:tr>
        <w:trPr>
          <w:trHeight w:val="2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r>
      <w:tr>
        <w:trPr>
          <w:trHeight w:val="25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12,079</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14,574</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17,837</w:t>
            </w:r>
          </w:p>
        </w:tc>
      </w:tr>
      <w:tr>
        <w:trPr>
          <w:trHeight w:val="28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(6,891)</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10,173</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9,536</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26,755</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48"/>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EBITDA Excluding the IPO-Related Bonus</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4780" w:type="dxa"/>
            <w:vAlign w:val="bottom"/>
          </w:tcPr>
          <w:p>
            <w:pPr>
              <w:spacing w:after="0"/>
              <w:rPr>
                <w:sz w:val="15"/>
                <w:szCs w:val="15"/>
                <w:color w:val="auto"/>
              </w:rPr>
            </w:pPr>
          </w:p>
        </w:tc>
        <w:tc>
          <w:tcPr>
            <w:tcW w:w="264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center"/>
              <w:ind w:left="441"/>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920" w:type="dxa"/>
            <w:vAlign w:val="bottom"/>
          </w:tcPr>
          <w:p>
            <w:pPr>
              <w:spacing w:after="0"/>
              <w:rPr>
                <w:sz w:val="15"/>
                <w:szCs w:val="15"/>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w w:val="92"/>
              </w:rPr>
              <w:t>2020</w:t>
            </w:r>
          </w:p>
        </w:tc>
      </w:tr>
      <w:tr>
        <w:trPr>
          <w:trHeight w:val="21"/>
        </w:trPr>
        <w:tc>
          <w:tcPr>
            <w:tcW w:w="4780" w:type="dxa"/>
            <w:vAlign w:val="bottom"/>
          </w:tcPr>
          <w:p>
            <w:pPr>
              <w:spacing w:after="0" w:line="20" w:lineRule="exact"/>
              <w:rPr>
                <w:sz w:val="1"/>
                <w:szCs w:val="1"/>
                <w:color w:val="auto"/>
              </w:rPr>
            </w:pPr>
          </w:p>
        </w:tc>
        <w:tc>
          <w:tcPr>
            <w:tcW w:w="2640" w:type="dxa"/>
            <w:vAlign w:val="bottom"/>
            <w:tcBorders>
              <w:bottom w:val="single" w:sz="8" w:color="auto"/>
            </w:tcBorders>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2640" w:type="dxa"/>
            <w:vAlign w:val="bottom"/>
            <w:gridSpan w:val="4"/>
          </w:tcPr>
          <w:p>
            <w:pPr>
              <w:ind w:left="700"/>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4"/>
          </w:tcPr>
          <w:p>
            <w:pPr>
              <w:jc w:val="center"/>
              <w:ind w:right="297"/>
              <w:spacing w:after="0"/>
              <w:rPr>
                <w:sz w:val="20"/>
                <w:szCs w:val="20"/>
                <w:color w:val="auto"/>
              </w:rPr>
            </w:pPr>
            <w:r>
              <w:rPr>
                <w:rFonts w:ascii="Times New Roman" w:cs="Times New Roman" w:eastAsia="Times New Roman" w:hAnsi="Times New Roman"/>
                <w:sz w:val="13"/>
                <w:szCs w:val="13"/>
                <w:b w:val="1"/>
                <w:bCs w:val="1"/>
                <w:color w:val="auto"/>
                <w:w w:val="96"/>
              </w:rPr>
              <w:t>(in thousands, except percentages)</w:t>
            </w: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1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(Benefit) provision for income taxes</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2,092</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4,662</w:t>
            </w:r>
          </w:p>
        </w:tc>
      </w:tr>
      <w:tr>
        <w:trPr>
          <w:trHeight w:val="25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and other expenses, net</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2,718</w:t>
            </w:r>
          </w:p>
        </w:tc>
      </w:tr>
      <w:tr>
        <w:trPr>
          <w:trHeight w:val="27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20" w:type="dxa"/>
            <w:vAlign w:val="bottom"/>
            <w:shd w:val="clear" w:color="auto" w:fill="CCEEFF"/>
          </w:tcPr>
          <w:p>
            <w:pPr>
              <w:spacing w:after="0"/>
              <w:rPr>
                <w:sz w:val="23"/>
                <w:szCs w:val="2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w:t>
            </w: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380" w:type="dxa"/>
            <w:vAlign w:val="bottom"/>
            <w:shd w:val="clear" w:color="auto" w:fill="CCEEFF"/>
          </w:tcPr>
          <w:p>
            <w:pPr>
              <w:spacing w:after="0"/>
              <w:rPr>
                <w:sz w:val="23"/>
                <w:szCs w:val="23"/>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5,197</w:t>
            </w:r>
          </w:p>
        </w:tc>
        <w:tc>
          <w:tcPr>
            <w:tcW w:w="10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r>
      <w:tr>
        <w:trPr>
          <w:trHeight w:val="251"/>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12,079</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14,574</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17,837</w:t>
            </w:r>
          </w:p>
        </w:tc>
      </w:tr>
      <w:tr>
        <w:trPr>
          <w:trHeight w:val="261"/>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IPO-related bonus expense</w:t>
            </w:r>
          </w:p>
        </w:tc>
        <w:tc>
          <w:tcPr>
            <w:tcW w:w="920" w:type="dxa"/>
            <w:vAlign w:val="bottom"/>
            <w:tcBorders>
              <w:bottom w:val="single" w:sz="8" w:color="auto"/>
            </w:tcBorders>
            <w:shd w:val="clear" w:color="auto" w:fill="CCEEFF"/>
          </w:tcPr>
          <w:p>
            <w:pPr>
              <w:spacing w:after="0"/>
              <w:rPr>
                <w:sz w:val="22"/>
                <w:szCs w:val="2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14,190</w:t>
            </w:r>
          </w:p>
        </w:tc>
        <w:tc>
          <w:tcPr>
            <w:tcW w:w="1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48,416</w:t>
            </w:r>
          </w:p>
        </w:tc>
        <w:tc>
          <w:tcPr>
            <w:tcW w:w="100" w:type="dxa"/>
            <w:vAlign w:val="bottom"/>
            <w:tcBorders>
              <w:bottom w:val="single" w:sz="8" w:color="auto"/>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0"/>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16"/>
                <w:szCs w:val="16"/>
                <w:i w:val="1"/>
                <w:iCs w:val="1"/>
                <w:color w:val="auto"/>
              </w:rPr>
              <w:t>Excluding the IPO-Related Bonus</w:t>
            </w:r>
          </w:p>
        </w:tc>
        <w:tc>
          <w:tcPr>
            <w:tcW w:w="920" w:type="dxa"/>
            <w:vAlign w:val="bottom"/>
            <w:tcBorders>
              <w:bottom w:val="single" w:sz="8" w:color="auto"/>
            </w:tcBorders>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7,299</w:t>
            </w:r>
          </w:p>
        </w:tc>
        <w:tc>
          <w:tcPr>
            <w:tcW w:w="1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10,173</w:t>
            </w:r>
          </w:p>
        </w:tc>
        <w:tc>
          <w:tcPr>
            <w:tcW w:w="3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57,952</w:t>
            </w:r>
          </w:p>
        </w:tc>
        <w:tc>
          <w:tcPr>
            <w:tcW w:w="1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26,755</w:t>
            </w: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68"/>
        </w:trPr>
        <w:tc>
          <w:tcPr>
            <w:tcW w:w="47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Non-GAAP net income</w:t>
            </w: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4"/>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80"/>
        </w:trPr>
        <w:tc>
          <w:tcPr>
            <w:tcW w:w="4780" w:type="dxa"/>
            <w:vAlign w:val="bottom"/>
          </w:tcPr>
          <w:p>
            <w:pPr>
              <w:spacing w:after="0"/>
              <w:rPr>
                <w:sz w:val="15"/>
                <w:szCs w:val="15"/>
                <w:color w:val="auto"/>
              </w:rPr>
            </w:pPr>
          </w:p>
        </w:tc>
        <w:tc>
          <w:tcPr>
            <w:tcW w:w="2640" w:type="dxa"/>
            <w:vAlign w:val="bottom"/>
            <w:gridSpan w:val="4"/>
          </w:tcPr>
          <w:p>
            <w:pPr>
              <w:ind w:left="680"/>
              <w:spacing w:after="0"/>
              <w:rPr>
                <w:sz w:val="20"/>
                <w:szCs w:val="20"/>
                <w:color w:val="auto"/>
              </w:rPr>
            </w:pPr>
            <w:r>
              <w:rPr>
                <w:rFonts w:ascii="Times New Roman" w:cs="Times New Roman" w:eastAsia="Times New Roman" w:hAnsi="Times New Roman"/>
                <w:sz w:val="13"/>
                <w:szCs w:val="13"/>
                <w:b w:val="1"/>
                <w:bCs w:val="1"/>
                <w:color w:val="auto"/>
              </w:rPr>
              <w:t>Three months ended December 31,</w:t>
            </w: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40" w:type="dxa"/>
            <w:vAlign w:val="bottom"/>
            <w:gridSpan w:val="3"/>
          </w:tcPr>
          <w:p>
            <w:pPr>
              <w:jc w:val="center"/>
              <w:ind w:left="441"/>
              <w:spacing w:after="0"/>
              <w:rPr>
                <w:sz w:val="20"/>
                <w:szCs w:val="20"/>
                <w:color w:val="auto"/>
              </w:rPr>
            </w:pPr>
            <w:r>
              <w:rPr>
                <w:rFonts w:ascii="Times New Roman" w:cs="Times New Roman" w:eastAsia="Times New Roman" w:hAnsi="Times New Roman"/>
                <w:sz w:val="13"/>
                <w:szCs w:val="13"/>
                <w:b w:val="1"/>
                <w:bCs w:val="1"/>
                <w:color w:val="auto"/>
                <w:w w:val="96"/>
              </w:rPr>
              <w:t>Year ended December 31,</w:t>
            </w:r>
          </w:p>
        </w:tc>
        <w:tc>
          <w:tcPr>
            <w:tcW w:w="920" w:type="dxa"/>
            <w:vAlign w:val="bottom"/>
          </w:tcPr>
          <w:p>
            <w:pPr>
              <w:spacing w:after="0"/>
              <w:rPr>
                <w:sz w:val="15"/>
                <w:szCs w:val="15"/>
                <w:color w:val="auto"/>
              </w:rPr>
            </w:pP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2021</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2020</w:t>
            </w:r>
          </w:p>
        </w:tc>
        <w:tc>
          <w:tcPr>
            <w:tcW w:w="6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581"/>
              <w:spacing w:after="0"/>
              <w:rPr>
                <w:sz w:val="20"/>
                <w:szCs w:val="20"/>
                <w:color w:val="auto"/>
              </w:rPr>
            </w:pPr>
            <w:r>
              <w:rPr>
                <w:rFonts w:ascii="Times New Roman" w:cs="Times New Roman" w:eastAsia="Times New Roman" w:hAnsi="Times New Roman"/>
                <w:sz w:val="13"/>
                <w:szCs w:val="13"/>
                <w:b w:val="1"/>
                <w:bCs w:val="1"/>
                <w:color w:val="auto"/>
              </w:rPr>
              <w:t>2021</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tcPr>
          <w:p>
            <w:pPr>
              <w:jc w:val="right"/>
              <w:ind w:right="577"/>
              <w:spacing w:after="0"/>
              <w:rPr>
                <w:sz w:val="20"/>
                <w:szCs w:val="20"/>
                <w:color w:val="auto"/>
              </w:rPr>
            </w:pPr>
            <w:r>
              <w:rPr>
                <w:rFonts w:ascii="Times New Roman" w:cs="Times New Roman" w:eastAsia="Times New Roman" w:hAnsi="Times New Roman"/>
                <w:sz w:val="13"/>
                <w:szCs w:val="13"/>
                <w:b w:val="1"/>
                <w:bCs w:val="1"/>
                <w:color w:val="auto"/>
                <w:w w:val="92"/>
              </w:rPr>
              <w:t>2020</w:t>
            </w:r>
          </w:p>
        </w:tc>
      </w:tr>
      <w:tr>
        <w:trPr>
          <w:trHeight w:val="21"/>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4"/>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60" w:type="dxa"/>
            <w:vAlign w:val="bottom"/>
            <w:tcBorders>
              <w:bottom w:val="single" w:sz="8" w:color="auto"/>
            </w:tcBorders>
            <w:gridSpan w:val="4"/>
          </w:tcPr>
          <w:p>
            <w:pPr>
              <w:spacing w:after="0" w:line="20" w:lineRule="exact"/>
              <w:rPr>
                <w:sz w:val="1"/>
                <w:szCs w:val="1"/>
                <w:color w:val="auto"/>
              </w:rPr>
            </w:pPr>
          </w:p>
        </w:tc>
      </w:tr>
      <w:tr>
        <w:trPr>
          <w:trHeight w:val="172"/>
        </w:trPr>
        <w:tc>
          <w:tcPr>
            <w:tcW w:w="4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c>
          <w:tcPr>
            <w:tcW w:w="380" w:type="dxa"/>
            <w:vAlign w:val="bottom"/>
          </w:tcPr>
          <w:p>
            <w:pPr>
              <w:spacing w:after="0"/>
              <w:rPr>
                <w:sz w:val="14"/>
                <w:szCs w:val="14"/>
                <w:color w:val="auto"/>
              </w:rPr>
            </w:pPr>
          </w:p>
        </w:tc>
        <w:tc>
          <w:tcPr>
            <w:tcW w:w="28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 except percentages)</w:t>
            </w:r>
          </w:p>
        </w:tc>
      </w:tr>
      <w:tr>
        <w:trPr>
          <w:trHeight w:val="21"/>
        </w:trPr>
        <w:tc>
          <w:tcPr>
            <w:tcW w:w="47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52"/>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income</w:t>
            </w:r>
          </w:p>
        </w:tc>
        <w:tc>
          <w:tcPr>
            <w:tcW w:w="920" w:type="dxa"/>
            <w:vAlign w:val="bottom"/>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(21,887)</w:t>
            </w:r>
          </w:p>
        </w:tc>
        <w:tc>
          <w:tcPr>
            <w:tcW w:w="10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1,742</w:t>
            </w: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(13,558)</w:t>
            </w:r>
          </w:p>
        </w:tc>
        <w:tc>
          <w:tcPr>
            <w:tcW w:w="10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(1,710)</w:t>
            </w:r>
          </w:p>
        </w:tc>
      </w:tr>
      <w:tr>
        <w:trPr>
          <w:trHeight w:val="214"/>
        </w:trPr>
        <w:tc>
          <w:tcPr>
            <w:tcW w:w="4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9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
        </w:trPr>
        <w:tc>
          <w:tcPr>
            <w:tcW w:w="4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60"/>
        </w:trPr>
        <w:tc>
          <w:tcPr>
            <w:tcW w:w="4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2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12,079</w:t>
            </w:r>
          </w:p>
        </w:tc>
        <w:tc>
          <w:tcPr>
            <w:tcW w:w="1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4,886</w:t>
            </w:r>
          </w:p>
        </w:tc>
        <w:tc>
          <w:tcPr>
            <w:tcW w:w="3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14,574</w:t>
            </w:r>
          </w:p>
        </w:tc>
        <w:tc>
          <w:tcPr>
            <w:tcW w:w="10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17,837</w:t>
            </w:r>
          </w:p>
        </w:tc>
      </w:tr>
      <w:tr>
        <w:trPr>
          <w:trHeight w:val="252"/>
        </w:trPr>
        <w:tc>
          <w:tcPr>
            <w:tcW w:w="4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IPO-related bonus expense</w:t>
            </w:r>
          </w:p>
        </w:tc>
        <w:tc>
          <w:tcPr>
            <w:tcW w:w="9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14,190</w:t>
            </w:r>
          </w:p>
        </w:tc>
        <w:tc>
          <w:tcPr>
            <w:tcW w:w="10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48,416</w:t>
            </w:r>
          </w:p>
        </w:tc>
        <w:tc>
          <w:tcPr>
            <w:tcW w:w="100" w:type="dxa"/>
            <w:vAlign w:val="bottom"/>
            <w:tcBorders>
              <w:bottom w:val="single" w:sz="8" w:color="CCEEFF"/>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85"/>
        </w:trPr>
        <w:tc>
          <w:tcPr>
            <w:tcW w:w="4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920" w:type="dxa"/>
            <w:vAlign w:val="bottom"/>
            <w:tcBorders>
              <w:bottom w:val="single" w:sz="8" w:color="auto"/>
            </w:tcBorders>
            <w:shd w:val="clear" w:color="auto" w:fill="CCEEFF"/>
          </w:tcPr>
          <w:p>
            <w:pPr>
              <w:jc w:val="right"/>
              <w:ind w:right="745"/>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4,382</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800"/>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6,628</w:t>
            </w: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49,432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16,127</w:t>
            </w: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60"/>
          </w:cols>
          <w:pgMar w:left="320" w:top="121" w:right="31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433705</wp:posOffset>
            </wp:positionV>
            <wp:extent cx="7204075" cy="40551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140"/>
          </w:cols>
          <w:pgMar w:left="1440" w:top="124"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40"/>
          </w:cols>
          <w:pgMar w:left="1440" w:top="124"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40"/>
          </w:cols>
          <w:pgMar w:left="1440" w:top="124"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40"/>
          </w:cols>
          <w:pgMar w:left="1440" w:top="124"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40"/>
          </w:cols>
          <w:pgMar w:left="1440" w:top="124" w:right="3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40"/>
          </w:cols>
          <w:pgMar w:left="1440" w:top="124"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40"/>
          </w:cols>
          <w:pgMar w:left="1440" w:top="124" w:right="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40"/>
          </w:cols>
          <w:pgMar w:left="1440" w:top="124" w:right="3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140"/>
          </w:cols>
          <w:pgMar w:left="1440" w:top="124" w:right="3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140"/>
          </w:cols>
          <w:pgMar w:left="1440" w:top="124" w:right="3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40"/>
          </w:cols>
          <w:pgMar w:left="1440" w:top="124"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140"/>
          </w:cols>
          <w:pgMar w:left="1440" w:top="124"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140"/>
          </w:cols>
          <w:pgMar w:left="1440" w:top="124"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140"/>
          </w:cols>
          <w:pgMar w:left="1440" w:top="124"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0140"/>
          </w:cols>
          <w:pgMar w:left="1440" w:top="124"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140"/>
          </w:cols>
          <w:pgMar w:left="1440" w:top="124"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40"/>
          </w:cols>
          <w:pgMar w:left="1440" w:top="124"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0140"/>
          </w:cols>
          <w:pgMar w:left="1440" w:top="124"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19</w:t>
      </w:r>
    </w:p>
    <w:p>
      <w:pPr>
        <w:sectPr>
          <w:pgSz w:w="11900" w:h="16838" w:orient="portrait"/>
          <w:cols w:equalWidth="0" w:num="1">
            <w:col w:w="10140"/>
          </w:cols>
          <w:pgMar w:left="1440" w:top="124"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20</w:t>
      </w:r>
    </w:p>
    <w:p>
      <w:pPr>
        <w:sectPr>
          <w:pgSz w:w="11900" w:h="16838" w:orient="portrait"/>
          <w:cols w:equalWidth="0" w:num="1">
            <w:col w:w="10140"/>
          </w:cols>
          <w:pgMar w:left="1440" w:top="124" w:right="31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21</w:t>
      </w:r>
    </w:p>
    <w:p>
      <w:pPr>
        <w:sectPr>
          <w:pgSz w:w="11900" w:h="16838" w:orient="portrait"/>
          <w:cols w:equalWidth="0" w:num="1">
            <w:col w:w="10140"/>
          </w:cols>
          <w:pgMar w:left="1440" w:top="124" w:right="31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22</w:t>
      </w:r>
    </w:p>
    <w:p>
      <w:pPr>
        <w:sectPr>
          <w:pgSz w:w="11900" w:h="16838" w:orient="portrait"/>
          <w:cols w:equalWidth="0" w:num="1">
            <w:col w:w="10140"/>
          </w:cols>
          <w:pgMar w:left="1440" w:top="124" w:right="3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23</w:t>
      </w:r>
    </w:p>
    <w:p>
      <w:pPr>
        <w:sectPr>
          <w:pgSz w:w="11900" w:h="16838" w:orient="portrait"/>
          <w:cols w:equalWidth="0" w:num="1">
            <w:col w:w="10140"/>
          </w:cols>
          <w:pgMar w:left="1440" w:top="124" w:right="31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24</w:t>
      </w:r>
    </w:p>
    <w:p>
      <w:pPr>
        <w:sectPr>
          <w:pgSz w:w="11900" w:h="16838" w:orient="portrait"/>
          <w:cols w:equalWidth="0" w:num="1">
            <w:col w:w="10140"/>
          </w:cols>
          <w:pgMar w:left="1440" w:top="124" w:right="31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25</w:t>
      </w:r>
    </w:p>
    <w:p>
      <w:pPr>
        <w:sectPr>
          <w:pgSz w:w="11900" w:h="16838" w:orient="portrait"/>
          <w:cols w:equalWidth="0" w:num="1">
            <w:col w:w="10140"/>
          </w:cols>
          <w:pgMar w:left="1440" w:top="124" w:right="31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26</w:t>
      </w:r>
    </w:p>
    <w:p>
      <w:pPr>
        <w:sectPr>
          <w:pgSz w:w="11900" w:h="16838" w:orient="portrait"/>
          <w:cols w:equalWidth="0" w:num="1">
            <w:col w:w="10140"/>
          </w:cols>
          <w:pgMar w:left="1440" w:top="124" w:right="3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27</w:t>
      </w:r>
    </w:p>
    <w:sectPr>
      <w:pgSz w:w="11900" w:h="16838" w:orient="portrait"/>
      <w:cols w:equalWidth="0" w:num="1">
        <w:col w:w="10140"/>
      </w:cols>
      <w:pgMar w:left="144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2022-03-30T15:50:21Z</dcterms:created>
  <dcterms:modified xsi:type="dcterms:W3CDTF">2022-03-30T15:50:21Z</dcterms:modified>
</cp:coreProperties>
</file>