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657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Vidal Daniel</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5"/>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Expensify,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EXFY</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80" w:type="dxa"/>
            <w:vAlign w:val="bottom"/>
            <w:gridSpan w:val="7"/>
            <w:vMerge w:val="restart"/>
          </w:tcPr>
          <w:p>
            <w:pPr>
              <w:ind w:left="60"/>
              <w:spacing w:after="0"/>
              <w:rPr>
                <w:sz w:val="20"/>
                <w:szCs w:val="20"/>
                <w:color w:val="auto"/>
              </w:rPr>
            </w:pPr>
            <w:r>
              <w:rPr>
                <w:rFonts w:ascii="Arial" w:cs="Arial" w:eastAsia="Arial" w:hAnsi="Arial"/>
                <w:sz w:val="13"/>
                <w:szCs w:val="13"/>
                <w:color w:val="auto"/>
                <w:w w:val="99"/>
              </w:rPr>
              <w:t>3. Date of Earliest Transaction (Month/Day/Year)</w:t>
            </w: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480" w:type="dxa"/>
            <w:vAlign w:val="bottom"/>
            <w:gridSpan w:val="5"/>
            <w:vMerge w:val="restart"/>
          </w:tcPr>
          <w:p>
            <w:pPr>
              <w:ind w:left="240"/>
              <w:spacing w:after="0"/>
              <w:rPr>
                <w:sz w:val="20"/>
                <w:szCs w:val="20"/>
                <w:color w:val="auto"/>
              </w:rPr>
            </w:pPr>
            <w:r>
              <w:rPr>
                <w:rFonts w:ascii="Arial" w:cs="Arial" w:eastAsia="Arial" w:hAnsi="Arial"/>
                <w:sz w:val="17"/>
                <w:szCs w:val="17"/>
                <w:color w:val="0000FF"/>
              </w:rPr>
              <w:t>12/15/2022</w:t>
            </w: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EXPENSIFY, INC.</w:t>
            </w:r>
          </w:p>
        </w:tc>
        <w:tc>
          <w:tcPr>
            <w:tcW w:w="11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vMerge w:val="restart"/>
          </w:tcPr>
          <w:p>
            <w:pPr>
              <w:ind w:left="20"/>
              <w:spacing w:after="0"/>
              <w:rPr>
                <w:sz w:val="20"/>
                <w:szCs w:val="20"/>
                <w:color w:val="auto"/>
              </w:rPr>
            </w:pPr>
            <w:r>
              <w:rPr>
                <w:rFonts w:ascii="Arial" w:cs="Arial" w:eastAsia="Arial" w:hAnsi="Arial"/>
                <w:sz w:val="17"/>
                <w:szCs w:val="17"/>
                <w:color w:val="0000FF"/>
                <w:w w:val="98"/>
              </w:rPr>
              <w:t>401 SW 5TH AVE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00" w:type="dxa"/>
            <w:vAlign w:val="bottom"/>
            <w:gridSpan w:val="8"/>
            <w:vMerge w:val="restart"/>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400" w:type="dxa"/>
            <w:vAlign w:val="bottom"/>
            <w:gridSpan w:val="4"/>
            <w:vMerge w:val="restart"/>
          </w:tcPr>
          <w:p>
            <w:pPr>
              <w:ind w:left="160"/>
              <w:spacing w:after="0" w:line="180" w:lineRule="exact"/>
              <w:rPr>
                <w:sz w:val="20"/>
                <w:szCs w:val="20"/>
                <w:color w:val="auto"/>
              </w:rPr>
            </w:pPr>
            <w:r>
              <w:rPr>
                <w:rFonts w:ascii="Arial" w:cs="Arial" w:eastAsia="Arial" w:hAnsi="Arial"/>
                <w:sz w:val="17"/>
                <w:szCs w:val="17"/>
                <w:color w:val="0000FF"/>
              </w:rPr>
              <w:t>12/19/2022</w:t>
            </w: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gridSpan w:val="10"/>
          </w:tcPr>
          <w:p>
            <w:pPr>
              <w:ind w:left="260"/>
              <w:spacing w:after="0" w:line="18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PORTLAND</w:t>
            </w:r>
          </w:p>
        </w:tc>
        <w:tc>
          <w:tcPr>
            <w:tcW w:w="1220" w:type="dxa"/>
            <w:vAlign w:val="bottom"/>
            <w:gridSpan w:val="2"/>
          </w:tcPr>
          <w:p>
            <w:pPr>
              <w:spacing w:after="0"/>
              <w:rPr>
                <w:sz w:val="20"/>
                <w:szCs w:val="20"/>
                <w:color w:val="auto"/>
              </w:rPr>
            </w:pPr>
            <w:r>
              <w:rPr>
                <w:rFonts w:ascii="Arial" w:cs="Arial" w:eastAsia="Arial" w:hAnsi="Arial"/>
                <w:sz w:val="17"/>
                <w:szCs w:val="17"/>
                <w:color w:val="0000FF"/>
              </w:rPr>
              <w:t>OR</w:t>
            </w:r>
          </w:p>
        </w:tc>
        <w:tc>
          <w:tcPr>
            <w:tcW w:w="1100" w:type="dxa"/>
            <w:vAlign w:val="bottom"/>
          </w:tcPr>
          <w:p>
            <w:pPr>
              <w:spacing w:after="0"/>
              <w:rPr>
                <w:sz w:val="20"/>
                <w:szCs w:val="20"/>
                <w:color w:val="auto"/>
              </w:rPr>
            </w:pPr>
            <w:r>
              <w:rPr>
                <w:rFonts w:ascii="Arial" w:cs="Arial" w:eastAsia="Arial" w:hAnsi="Arial"/>
                <w:sz w:val="17"/>
                <w:szCs w:val="17"/>
                <w:color w:val="0000FF"/>
              </w:rPr>
              <w:t>97204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760" w:type="dxa"/>
            <w:vAlign w:val="bottom"/>
            <w:tcBorders>
              <w:bottom w:val="single" w:sz="8" w:color="2C2C2C"/>
            </w:tcBorders>
            <w:gridSpan w:val="9"/>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80" w:type="dxa"/>
            <w:vAlign w:val="bottom"/>
          </w:tcPr>
          <w:p>
            <w:pPr>
              <w:jc w:val="center"/>
              <w:ind w:right="203"/>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jc w:val="center"/>
              <w:ind w:right="203"/>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82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4060" w:type="dxa"/>
            <w:vAlign w:val="bottom"/>
            <w:tcBorders>
              <w:bottom w:val="single" w:sz="8" w:color="2C2C2C"/>
            </w:tcBorders>
            <w:gridSpan w:val="10"/>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jc w:val="center"/>
              <w:ind w:left="7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15"/>
          </w:tcPr>
          <w:p>
            <w:pPr>
              <w:jc w:val="center"/>
              <w:ind w:left="43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4"/>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jc w:val="center"/>
              <w:ind w:left="22"/>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LT50</w:t>
            </w:r>
          </w:p>
        </w:tc>
        <w:tc>
          <w:tcPr>
            <w:tcW w:w="460" w:type="dxa"/>
            <w:vAlign w:val="bottom"/>
            <w:vMerge w:val="restart"/>
          </w:tcPr>
          <w:p>
            <w:pPr>
              <w:ind w:left="340"/>
              <w:spacing w:after="0"/>
              <w:rPr>
                <w:sz w:val="20"/>
                <w:szCs w:val="20"/>
                <w:color w:val="auto"/>
              </w:rPr>
            </w:pPr>
            <w:r>
              <w:rPr>
                <w:rFonts w:ascii="Arial" w:cs="Arial" w:eastAsia="Arial" w:hAnsi="Arial"/>
                <w:sz w:val="11"/>
                <w:szCs w:val="11"/>
                <w:color w:val="008000"/>
                <w:w w:val="74"/>
              </w:rPr>
              <w:t>(1)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vMerge w:val="restart"/>
          </w:tcPr>
          <w:p>
            <w:pPr>
              <w:jc w:val="center"/>
              <w:ind w:right="143"/>
              <w:spacing w:after="0"/>
              <w:rPr>
                <w:sz w:val="20"/>
                <w:szCs w:val="20"/>
                <w:color w:val="auto"/>
              </w:rPr>
            </w:pPr>
            <w:r>
              <w:rPr>
                <w:rFonts w:ascii="Arial" w:cs="Arial" w:eastAsia="Arial" w:hAnsi="Arial"/>
                <w:sz w:val="11"/>
                <w:szCs w:val="11"/>
                <w:color w:val="008000"/>
                <w:w w:val="88"/>
              </w:rPr>
              <w:t>(1)</w:t>
            </w:r>
          </w:p>
        </w:tc>
        <w:tc>
          <w:tcPr>
            <w:tcW w:w="320" w:type="dxa"/>
            <w:vAlign w:val="bottom"/>
          </w:tcPr>
          <w:p>
            <w:pPr>
              <w:spacing w:after="0"/>
              <w:rPr>
                <w:sz w:val="16"/>
                <w:szCs w:val="16"/>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color w:val="008000"/>
              </w:rPr>
              <w:t>(1)</w:t>
            </w: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0000FF"/>
                <w:w w:val="94"/>
              </w:rPr>
              <w:t>126,767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3"/>
                <w:szCs w:val="13"/>
                <w:color w:val="0000FF"/>
              </w:rPr>
              <w:t>126,767</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w w:val="92"/>
              </w:rPr>
              <w:t>See note</w:t>
            </w:r>
            <w:r>
              <w:rPr>
                <w:rFonts w:ascii="Arial" w:cs="Arial" w:eastAsia="Arial" w:hAnsi="Arial"/>
                <w:sz w:val="21"/>
                <w:szCs w:val="21"/>
                <w:color w:val="008000"/>
                <w:w w:val="92"/>
                <w:vertAlign w:val="superscript"/>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Common</w:t>
            </w:r>
          </w:p>
        </w:tc>
        <w:tc>
          <w:tcPr>
            <w:tcW w:w="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tcPr>
          <w:p>
            <w:pPr>
              <w:ind w:left="20"/>
              <w:spacing w:after="0" w:line="142" w:lineRule="exact"/>
              <w:rPr>
                <w:sz w:val="20"/>
                <w:szCs w:val="20"/>
                <w:color w:val="auto"/>
              </w:rPr>
            </w:pPr>
            <w:r>
              <w:rPr>
                <w:rFonts w:ascii="Arial" w:cs="Arial" w:eastAsia="Arial" w:hAnsi="Arial"/>
                <w:sz w:val="13"/>
                <w:szCs w:val="13"/>
                <w:color w:val="0000FF"/>
              </w:rPr>
              <w:t>Common</w:t>
            </w:r>
          </w:p>
        </w:tc>
        <w:tc>
          <w:tcPr>
            <w:tcW w:w="6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8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19, 2022, the reporting person filed a Form 4 which inadvertently reported that, following the vesting and settlement of 2,826 restricted stock units representing the contingent right to receive</w:t>
      </w:r>
    </w:p>
    <w:p>
      <w:pPr>
        <w:spacing w:after="0" w:line="14"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1"/>
          <w:szCs w:val="11"/>
          <w:color w:val="008000"/>
        </w:rPr>
        <w:t>2,826 shares of LT50 common stock, the reporting person owned 2,826 shares of LT50 common stock. In fact, as reported in this amendment, the reporting person owned 126,767 shares of LT50 common stock.</w:t>
      </w:r>
    </w:p>
    <w:p>
      <w:pPr>
        <w:spacing w:after="0" w:line="57"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Deposited into the Expensify Voting Trust (the "Voting Trust"). The Reporting Person retains investment control and dispositive power over the shares deposited into the Voting Trust.</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4"/>
              </w:rPr>
              <w:t>/s/ Ryan Schaffer,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03/17/2023</w:t>
            </w: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90"/>
              </w:rPr>
              <w:t>in-fact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4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2023-03-17T18:46:20Z</dcterms:created>
  <dcterms:modified xsi:type="dcterms:W3CDTF">2023-03-17T18:46:20Z</dcterms:modified>
</cp:coreProperties>
</file>