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1589405</wp:posOffset>
            </wp:positionV>
            <wp:extent cx="257175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71750"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20"/>
        <w:spacing w:after="0"/>
        <w:rPr>
          <w:sz w:val="20"/>
          <w:szCs w:val="20"/>
          <w:color w:val="auto"/>
        </w:rPr>
      </w:pPr>
      <w:r>
        <w:rPr>
          <w:rFonts w:ascii="Arial" w:cs="Arial" w:eastAsia="Arial" w:hAnsi="Arial"/>
          <w:sz w:val="22"/>
          <w:szCs w:val="22"/>
          <w:color w:val="auto"/>
        </w:rPr>
        <w:t>November 1, 2021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20"/>
        <w:spacing w:after="0"/>
        <w:rPr>
          <w:sz w:val="20"/>
          <w:szCs w:val="20"/>
          <w:color w:val="auto"/>
        </w:rPr>
      </w:pPr>
      <w:r>
        <w:rPr>
          <w:rFonts w:ascii="Arial" w:cs="Arial" w:eastAsia="Arial" w:hAnsi="Arial"/>
          <w:sz w:val="22"/>
          <w:szCs w:val="22"/>
          <w:b w:val="1"/>
          <w:bCs w:val="1"/>
          <w:color w:val="auto"/>
        </w:rPr>
        <w:t>VIA EDGAR</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9"/>
          <w:szCs w:val="19"/>
          <w:color w:val="auto"/>
        </w:rPr>
        <w:t>United States 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2"/>
          <w:szCs w:val="22"/>
          <w:color w:val="auto"/>
        </w:rPr>
        <w:t>Division of Corporation Finance</w:t>
      </w:r>
    </w:p>
    <w:p>
      <w:pPr>
        <w:ind w:left="20"/>
        <w:spacing w:after="0" w:line="230" w:lineRule="auto"/>
        <w:rPr>
          <w:sz w:val="20"/>
          <w:szCs w:val="20"/>
          <w:color w:val="auto"/>
        </w:rPr>
      </w:pPr>
      <w:r>
        <w:rPr>
          <w:rFonts w:ascii="Arial" w:cs="Arial" w:eastAsia="Arial" w:hAnsi="Arial"/>
          <w:sz w:val="22"/>
          <w:szCs w:val="22"/>
          <w:color w:val="auto"/>
        </w:rPr>
        <w:t>Office of Technology</w:t>
      </w:r>
    </w:p>
    <w:p>
      <w:pPr>
        <w:ind w:left="20"/>
        <w:spacing w:after="0" w:line="231" w:lineRule="auto"/>
        <w:rPr>
          <w:sz w:val="20"/>
          <w:szCs w:val="20"/>
          <w:color w:val="auto"/>
        </w:rPr>
      </w:pPr>
      <w:r>
        <w:rPr>
          <w:rFonts w:ascii="Arial" w:cs="Arial" w:eastAsia="Arial" w:hAnsi="Arial"/>
          <w:sz w:val="22"/>
          <w:szCs w:val="22"/>
          <w:color w:val="auto"/>
        </w:rPr>
        <w:t>100 F Street, N.E.</w:t>
      </w:r>
    </w:p>
    <w:p>
      <w:pPr>
        <w:ind w:left="2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3"/>
          <w:szCs w:val="13"/>
          <w:color w:val="auto"/>
        </w:rPr>
        <w:t>140 Scott Drive</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53" w:lineRule="exact"/>
        <w:rPr>
          <w:sz w:val="24"/>
          <w:szCs w:val="24"/>
          <w:color w:val="auto"/>
        </w:rPr>
      </w:pPr>
    </w:p>
    <w:p>
      <w:pPr>
        <w:spacing w:after="0"/>
        <w:rPr>
          <w:sz w:val="20"/>
          <w:szCs w:val="20"/>
          <w:color w:val="auto"/>
        </w:rPr>
      </w:pPr>
      <w:r>
        <w:rPr>
          <w:rFonts w:ascii="Arial" w:cs="Arial" w:eastAsia="Arial" w:hAnsi="Arial"/>
          <w:sz w:val="12"/>
          <w:szCs w:val="12"/>
          <w:color w:val="auto"/>
        </w:rPr>
        <w:t>Tel: +1.650.328.4600 Fax: +1.650.463.2600</w:t>
      </w:r>
    </w:p>
    <w:p>
      <w:pPr>
        <w:spacing w:after="0" w:line="65" w:lineRule="exact"/>
        <w:rPr>
          <w:sz w:val="24"/>
          <w:szCs w:val="24"/>
          <w:color w:val="auto"/>
        </w:rPr>
      </w:pPr>
    </w:p>
    <w:p>
      <w:pPr>
        <w:spacing w:after="0"/>
        <w:rPr>
          <w:sz w:val="20"/>
          <w:szCs w:val="20"/>
          <w:color w:val="auto"/>
        </w:rPr>
      </w:pPr>
      <w:r>
        <w:rPr>
          <w:rFonts w:ascii="Arial" w:cs="Arial" w:eastAsia="Arial" w:hAnsi="Arial"/>
          <w:sz w:val="13"/>
          <w:szCs w:val="13"/>
          <w:color w:val="auto"/>
        </w:rPr>
        <w:t>www.lw.com</w:t>
      </w: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40"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40"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40"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40"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40"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0"/>
          <w:szCs w:val="10"/>
          <w:color w:val="auto"/>
        </w:rPr>
        <w:t>Tokyo</w:t>
      </w:r>
    </w:p>
    <w:p>
      <w:pPr>
        <w:spacing w:after="0" w:line="53" w:lineRule="exact"/>
        <w:rPr>
          <w:sz w:val="24"/>
          <w:szCs w:val="24"/>
          <w:color w:val="auto"/>
        </w:rPr>
      </w:pPr>
    </w:p>
    <w:p>
      <w:pPr>
        <w:spacing w:after="0"/>
        <w:tabs>
          <w:tab w:leader="none" w:pos="126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53" w:lineRule="exact"/>
        <w:rPr>
          <w:sz w:val="24"/>
          <w:szCs w:val="24"/>
          <w:color w:val="auto"/>
        </w:rPr>
      </w:pPr>
    </w:p>
    <w:p>
      <w:pPr>
        <w:jc w:val="center"/>
        <w:ind w:right="3360"/>
        <w:spacing w:after="0"/>
        <w:rPr>
          <w:sz w:val="20"/>
          <w:szCs w:val="20"/>
          <w:color w:val="auto"/>
        </w:rPr>
      </w:pPr>
      <w:r>
        <w:rPr>
          <w:rFonts w:ascii="Arial" w:cs="Arial" w:eastAsia="Arial" w:hAnsi="Arial"/>
          <w:sz w:val="12"/>
          <w:szCs w:val="12"/>
          <w:color w:val="auto"/>
        </w:rPr>
        <w:t>Milan</w:t>
      </w:r>
    </w:p>
    <w:p>
      <w:pPr>
        <w:spacing w:after="0" w:line="1289" w:lineRule="exact"/>
        <w:rPr>
          <w:sz w:val="24"/>
          <w:szCs w:val="24"/>
          <w:color w:val="auto"/>
        </w:rPr>
      </w:pPr>
    </w:p>
    <w:p>
      <w:pPr>
        <w:sectPr>
          <w:pgSz w:w="11900" w:h="16838" w:orient="portrait"/>
          <w:cols w:equalWidth="0" w:num="2">
            <w:col w:w="6860" w:space="720"/>
            <w:col w:w="3660"/>
          </w:cols>
          <w:pgMar w:left="320" w:top="1440" w:right="339" w:bottom="1440" w:gutter="0" w:footer="0" w:header="0"/>
        </w:sectPr>
      </w:pPr>
    </w:p>
    <w:p>
      <w:pPr>
        <w:spacing w:after="0" w:line="110" w:lineRule="exact"/>
        <w:rPr>
          <w:sz w:val="24"/>
          <w:szCs w:val="24"/>
          <w:color w:val="auto"/>
        </w:rPr>
      </w:pPr>
    </w:p>
    <w:p>
      <w:pPr>
        <w:ind w:left="20"/>
        <w:spacing w:after="0"/>
        <w:tabs>
          <w:tab w:leader="none" w:pos="18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Lisa Etheredge</w:t>
      </w:r>
    </w:p>
    <w:p>
      <w:pPr>
        <w:spacing w:after="0" w:line="44" w:lineRule="exact"/>
        <w:rPr>
          <w:sz w:val="24"/>
          <w:szCs w:val="24"/>
          <w:color w:val="auto"/>
        </w:rPr>
      </w:pPr>
    </w:p>
    <w:p>
      <w:pPr>
        <w:ind w:left="1880"/>
        <w:spacing w:after="0"/>
        <w:rPr>
          <w:sz w:val="20"/>
          <w:szCs w:val="20"/>
          <w:color w:val="auto"/>
        </w:rPr>
      </w:pPr>
      <w:r>
        <w:rPr>
          <w:rFonts w:ascii="Arial" w:cs="Arial" w:eastAsia="Arial" w:hAnsi="Arial"/>
          <w:sz w:val="22"/>
          <w:szCs w:val="22"/>
          <w:color w:val="auto"/>
        </w:rPr>
        <w:t>Robert Littlepage</w:t>
      </w:r>
    </w:p>
    <w:p>
      <w:pPr>
        <w:spacing w:after="0" w:line="44" w:lineRule="exact"/>
        <w:rPr>
          <w:sz w:val="24"/>
          <w:szCs w:val="24"/>
          <w:color w:val="auto"/>
        </w:rPr>
      </w:pPr>
    </w:p>
    <w:p>
      <w:pPr>
        <w:ind w:left="1880"/>
        <w:spacing w:after="0"/>
        <w:rPr>
          <w:sz w:val="20"/>
          <w:szCs w:val="20"/>
          <w:color w:val="auto"/>
        </w:rPr>
      </w:pPr>
      <w:r>
        <w:rPr>
          <w:rFonts w:ascii="Arial" w:cs="Arial" w:eastAsia="Arial" w:hAnsi="Arial"/>
          <w:sz w:val="22"/>
          <w:szCs w:val="22"/>
          <w:color w:val="auto"/>
        </w:rPr>
        <w:t>Alexandra Barone</w:t>
      </w:r>
    </w:p>
    <w:p>
      <w:pPr>
        <w:spacing w:after="0" w:line="44" w:lineRule="exact"/>
        <w:rPr>
          <w:sz w:val="24"/>
          <w:szCs w:val="24"/>
          <w:color w:val="auto"/>
        </w:rPr>
      </w:pPr>
    </w:p>
    <w:p>
      <w:pPr>
        <w:ind w:left="1880"/>
        <w:spacing w:after="0"/>
        <w:rPr>
          <w:sz w:val="20"/>
          <w:szCs w:val="20"/>
          <w:color w:val="auto"/>
        </w:rPr>
      </w:pPr>
      <w:r>
        <w:rPr>
          <w:rFonts w:ascii="Arial" w:cs="Arial" w:eastAsia="Arial" w:hAnsi="Arial"/>
          <w:sz w:val="22"/>
          <w:szCs w:val="22"/>
          <w:color w:val="auto"/>
        </w:rPr>
        <w:t>Jeffrey Kauten</w:t>
      </w:r>
    </w:p>
    <w:p>
      <w:pPr>
        <w:spacing w:after="0" w:line="308" w:lineRule="exact"/>
        <w:rPr>
          <w:sz w:val="24"/>
          <w:szCs w:val="24"/>
          <w:color w:val="auto"/>
        </w:rPr>
      </w:pPr>
    </w:p>
    <w:p>
      <w:pPr>
        <w:ind w:left="980"/>
        <w:spacing w:after="0"/>
        <w:tabs>
          <w:tab w:leader="none" w:pos="18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Expensify, Inc.</w:t>
      </w:r>
    </w:p>
    <w:p>
      <w:pPr>
        <w:spacing w:after="0" w:line="44" w:lineRule="exact"/>
        <w:rPr>
          <w:sz w:val="24"/>
          <w:szCs w:val="24"/>
          <w:color w:val="auto"/>
        </w:rPr>
      </w:pPr>
    </w:p>
    <w:p>
      <w:pPr>
        <w:ind w:left="1880"/>
        <w:spacing w:after="0"/>
        <w:rPr>
          <w:sz w:val="20"/>
          <w:szCs w:val="20"/>
          <w:color w:val="auto"/>
        </w:rPr>
      </w:pPr>
      <w:r>
        <w:rPr>
          <w:rFonts w:ascii="Arial" w:cs="Arial" w:eastAsia="Arial" w:hAnsi="Arial"/>
          <w:sz w:val="22"/>
          <w:szCs w:val="22"/>
          <w:b w:val="1"/>
          <w:bCs w:val="1"/>
          <w:color w:val="auto"/>
        </w:rPr>
        <w:t>Amendment No. 1 to Registration Statement on Form S-1</w:t>
      </w:r>
    </w:p>
    <w:p>
      <w:pPr>
        <w:spacing w:after="0" w:line="44" w:lineRule="exact"/>
        <w:rPr>
          <w:sz w:val="24"/>
          <w:szCs w:val="24"/>
          <w:color w:val="auto"/>
        </w:rPr>
      </w:pPr>
    </w:p>
    <w:p>
      <w:pPr>
        <w:ind w:left="1880"/>
        <w:spacing w:after="0"/>
        <w:rPr>
          <w:sz w:val="20"/>
          <w:szCs w:val="20"/>
          <w:color w:val="auto"/>
        </w:rPr>
      </w:pPr>
      <w:r>
        <w:rPr>
          <w:rFonts w:ascii="Arial" w:cs="Arial" w:eastAsia="Arial" w:hAnsi="Arial"/>
          <w:sz w:val="22"/>
          <w:szCs w:val="22"/>
          <w:b w:val="1"/>
          <w:bCs w:val="1"/>
          <w:color w:val="auto"/>
        </w:rPr>
        <w:t>Filed October 18, 2021</w:t>
      </w:r>
    </w:p>
    <w:p>
      <w:pPr>
        <w:spacing w:after="0" w:line="44" w:lineRule="exact"/>
        <w:rPr>
          <w:sz w:val="24"/>
          <w:szCs w:val="24"/>
          <w:color w:val="auto"/>
        </w:rPr>
      </w:pPr>
    </w:p>
    <w:p>
      <w:pPr>
        <w:ind w:left="1880"/>
        <w:spacing w:after="0"/>
        <w:rPr>
          <w:sz w:val="20"/>
          <w:szCs w:val="20"/>
          <w:color w:val="auto"/>
        </w:rPr>
      </w:pPr>
      <w:r>
        <w:rPr>
          <w:rFonts w:ascii="Arial" w:cs="Arial" w:eastAsia="Arial" w:hAnsi="Arial"/>
          <w:sz w:val="22"/>
          <w:szCs w:val="22"/>
          <w:b w:val="1"/>
          <w:bCs w:val="1"/>
          <w:color w:val="auto"/>
        </w:rPr>
        <w:t>File No. 333-260297</w:t>
      </w:r>
    </w:p>
    <w:p>
      <w:pPr>
        <w:spacing w:after="0" w:line="266"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52" w:lineRule="exact"/>
        <w:rPr>
          <w:sz w:val="24"/>
          <w:szCs w:val="24"/>
          <w:color w:val="auto"/>
        </w:rPr>
      </w:pPr>
    </w:p>
    <w:p>
      <w:pPr>
        <w:ind w:right="60"/>
        <w:spacing w:after="0" w:line="235" w:lineRule="auto"/>
        <w:rPr>
          <w:sz w:val="20"/>
          <w:szCs w:val="20"/>
          <w:color w:val="auto"/>
        </w:rPr>
      </w:pPr>
      <w:r>
        <w:rPr>
          <w:rFonts w:ascii="Arial" w:cs="Arial" w:eastAsia="Arial" w:hAnsi="Arial"/>
          <w:sz w:val="22"/>
          <w:szCs w:val="22"/>
          <w:color w:val="auto"/>
        </w:rPr>
        <w:t>On behalf of our client, Expensify,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we are hereby filing with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Amendment No. 2 to the Registration Statement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on Form S-1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No. 2</w:t>
      </w:r>
      <w:r>
        <w:rPr>
          <w:rFonts w:ascii="Arial" w:cs="Arial" w:eastAsia="Arial" w:hAnsi="Arial"/>
          <w:sz w:val="22"/>
          <w:szCs w:val="22"/>
          <w:color w:val="auto"/>
        </w:rPr>
        <w:t>”). The Company previously filed the Registration Statement on October 14, 2021, as amended by Amendment No. 1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Submission submitted on October 18, 2021 (“</w:t>
      </w:r>
      <w:r>
        <w:rPr>
          <w:rFonts w:ascii="Arial" w:cs="Arial" w:eastAsia="Arial" w:hAnsi="Arial"/>
          <w:sz w:val="22"/>
          <w:szCs w:val="22"/>
          <w:b w:val="1"/>
          <w:bCs w:val="1"/>
          <w:i w:val="1"/>
          <w:iCs w:val="1"/>
          <w:color w:val="auto"/>
        </w:rPr>
        <w:t>Amendment No. 1</w:t>
      </w:r>
      <w:r>
        <w:rPr>
          <w:rFonts w:ascii="Arial" w:cs="Arial" w:eastAsia="Arial" w:hAnsi="Arial"/>
          <w:sz w:val="22"/>
          <w:szCs w:val="22"/>
          <w:color w:val="auto"/>
        </w:rPr>
        <w:t>”). Amendment No. 2 to the Registration Statement has been revised to reflect the Company’s responses to the comment letter to Amendment No. 1 received on October 28, 2021 from the staff of the Commission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w:t>
      </w:r>
    </w:p>
    <w:p>
      <w:pPr>
        <w:spacing w:after="0" w:line="13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For ease of review, we have set forth below each of the numbered comments of your letter in bold type followed by the Company’s responses thereto.</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3"/>
          <w:szCs w:val="13"/>
          <w:color w:val="auto"/>
        </w:rPr>
        <w:t>November 1, 2021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8874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Amendment No.1 to Form S-1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Capitalization, page 73</w:t>
      </w:r>
    </w:p>
    <w:p>
      <w:pPr>
        <w:spacing w:after="0" w:line="146" w:lineRule="exact"/>
        <w:rPr>
          <w:sz w:val="20"/>
          <w:szCs w:val="20"/>
          <w:color w:val="auto"/>
        </w:rPr>
      </w:pPr>
    </w:p>
    <w:p>
      <w:pPr>
        <w:jc w:val="both"/>
        <w:ind w:left="660" w:hanging="328"/>
        <w:spacing w:after="0" w:line="300" w:lineRule="auto"/>
        <w:tabs>
          <w:tab w:leader="none" w:pos="66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We note your response to prior comment three as well as your corresponding revisions made throughout the filing. Please tell us how you considered the need to include an adjustment for cash bonuses to be paid with proceeds from this offering as part of your capitalization calculation as of June 30, 2021 on a pro forma, as adjusted basis.</w:t>
      </w:r>
    </w:p>
    <w:p>
      <w:pPr>
        <w:spacing w:after="0" w:line="78"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i w:val="1"/>
          <w:iCs w:val="1"/>
          <w:color w:val="auto"/>
        </w:rPr>
        <w:t>Response</w:t>
      </w:r>
      <w:r>
        <w:rPr>
          <w:rFonts w:ascii="Arial" w:cs="Arial" w:eastAsia="Arial" w:hAnsi="Arial"/>
          <w:sz w:val="22"/>
          <w:szCs w:val="22"/>
          <w:color w:val="auto"/>
        </w:rPr>
        <w:t>: In response to the Staff’s comment, the Company has revised the disclosure on pages 18 and 70 of Amendment</w:t>
      </w:r>
      <w:r>
        <w:rPr>
          <w:rFonts w:ascii="Arial" w:cs="Arial" w:eastAsia="Arial" w:hAnsi="Arial"/>
          <w:sz w:val="22"/>
          <w:szCs w:val="22"/>
          <w:i w:val="1"/>
          <w:iCs w:val="1"/>
          <w:color w:val="auto"/>
        </w:rPr>
        <w:t xml:space="preserve"> </w:t>
      </w:r>
      <w:r>
        <w:rPr>
          <w:rFonts w:ascii="Arial" w:cs="Arial" w:eastAsia="Arial" w:hAnsi="Arial"/>
          <w:sz w:val="22"/>
          <w:szCs w:val="22"/>
          <w:color w:val="auto"/>
        </w:rPr>
        <w:t>No. 2.</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Description of Capital Stock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The Voting Trust, page 178</w:t>
      </w:r>
    </w:p>
    <w:p>
      <w:pPr>
        <w:spacing w:after="0" w:line="128" w:lineRule="exact"/>
        <w:rPr>
          <w:sz w:val="20"/>
          <w:szCs w:val="20"/>
          <w:color w:val="auto"/>
        </w:rPr>
      </w:pPr>
    </w:p>
    <w:p>
      <w:pPr>
        <w:jc w:val="both"/>
        <w:ind w:left="660" w:hanging="328"/>
        <w:spacing w:after="0" w:line="243"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We note that section 17 of the voting trust agreement contains an arbitration provision. Please expand your disclosure to confirm that this provision does not impact a shareholder’s rights to pursue claims under the United States federal securities laws.</w:t>
      </w:r>
    </w:p>
    <w:p>
      <w:pPr>
        <w:spacing w:after="0" w:line="128"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i w:val="1"/>
          <w:iCs w:val="1"/>
          <w:color w:val="auto"/>
        </w:rPr>
        <w:t>Response</w:t>
      </w:r>
      <w:r>
        <w:rPr>
          <w:rFonts w:ascii="Arial" w:cs="Arial" w:eastAsia="Arial" w:hAnsi="Arial"/>
          <w:sz w:val="19"/>
          <w:szCs w:val="19"/>
          <w:color w:val="auto"/>
        </w:rPr>
        <w:t>: In response to the Staff’s comment, the Company has revised the disclosure on page 181 of Amendment No. 2.</w:t>
      </w:r>
    </w:p>
    <w:p>
      <w:pPr>
        <w:spacing w:after="0" w:line="186" w:lineRule="exact"/>
        <w:rPr>
          <w:rFonts w:ascii="Arial" w:cs="Arial" w:eastAsia="Arial" w:hAnsi="Arial"/>
          <w:sz w:val="22"/>
          <w:szCs w:val="22"/>
          <w:b w:val="1"/>
          <w:bCs w:val="1"/>
          <w:color w:val="auto"/>
        </w:rPr>
      </w:pPr>
    </w:p>
    <w:p>
      <w:pPr>
        <w:ind w:left="5400"/>
        <w:spacing w:after="0"/>
        <w:rPr>
          <w:rFonts w:ascii="Arial" w:cs="Arial" w:eastAsia="Arial" w:hAnsi="Arial"/>
          <w:sz w:val="22"/>
          <w:szCs w:val="22"/>
          <w:b w:val="1"/>
          <w:bCs w:val="1"/>
          <w:color w:val="auto"/>
        </w:rPr>
      </w:pPr>
      <w:r>
        <w:rPr>
          <w:rFonts w:ascii="Arial" w:cs="Arial" w:eastAsia="Arial" w:hAnsi="Arial"/>
          <w:sz w:val="22"/>
          <w:szCs w:val="22"/>
          <w:color w:val="auto"/>
        </w:rPr>
        <w:t>* * *</w:t>
      </w:r>
    </w:p>
    <w:p>
      <w:pPr>
        <w:sectPr>
          <w:pgSz w:w="11900" w:h="16838" w:orient="portrait"/>
          <w:cols w:equalWidth="0" w:num="1">
            <w:col w:w="11240"/>
          </w:cols>
          <w:pgMar w:left="320" w:top="215"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3"/>
          <w:szCs w:val="13"/>
          <w:color w:val="auto"/>
        </w:rPr>
        <w:t>November 1, 2021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8874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We hope the foregoing answers are responsive to your comments. Please do not hesitate to contact me by telephone at (650) 463-3060 or by fax at (650) 463-2600 with any questions or comments regarding this correspondence.</w:t>
      </w:r>
    </w:p>
    <w:p>
      <w:pPr>
        <w:spacing w:after="0" w:line="15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Best regards,</w:t>
      </w:r>
    </w:p>
    <w:p>
      <w:pPr>
        <w:spacing w:after="0" w:line="31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Tad J. Freese</w:t>
      </w:r>
    </w:p>
    <w:p>
      <w:pPr>
        <w:spacing w:after="0" w:line="31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Tad J. Freese</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of LATHAM &amp; WATKINS LLP</w:t>
      </w:r>
    </w:p>
    <w:p>
      <w:pPr>
        <w:spacing w:after="0" w:line="200" w:lineRule="exact"/>
        <w:rPr>
          <w:sz w:val="20"/>
          <w:szCs w:val="20"/>
          <w:color w:val="auto"/>
        </w:rPr>
      </w:pPr>
    </w:p>
    <w:p>
      <w:pPr>
        <w:spacing w:after="0" w:line="236" w:lineRule="exact"/>
        <w:rPr>
          <w:sz w:val="20"/>
          <w:szCs w:val="20"/>
          <w:color w:val="auto"/>
        </w:rPr>
      </w:pPr>
    </w:p>
    <w:p>
      <w:pPr>
        <w:ind w:left="580" w:hanging="554"/>
        <w:spacing w:after="0"/>
        <w:tabs>
          <w:tab w:leader="none" w:pos="580" w:val="left"/>
        </w:tabs>
        <w:numPr>
          <w:ilvl w:val="0"/>
          <w:numId w:val="3"/>
        </w:numPr>
        <w:rPr>
          <w:rFonts w:ascii="Arial" w:cs="Arial" w:eastAsia="Arial" w:hAnsi="Arial"/>
          <w:sz w:val="22"/>
          <w:szCs w:val="22"/>
          <w:color w:val="auto"/>
        </w:rPr>
      </w:pPr>
      <w:r>
        <w:rPr>
          <w:rFonts w:ascii="Arial" w:cs="Arial" w:eastAsia="Arial" w:hAnsi="Arial"/>
          <w:sz w:val="22"/>
          <w:szCs w:val="22"/>
          <w:color w:val="auto"/>
        </w:rPr>
        <w:t>(via email)</w:t>
      </w:r>
    </w:p>
    <w:p>
      <w:pPr>
        <w:spacing w:after="0" w:line="44" w:lineRule="exact"/>
        <w:rPr>
          <w:rFonts w:ascii="Arial" w:cs="Arial" w:eastAsia="Arial" w:hAnsi="Arial"/>
          <w:sz w:val="22"/>
          <w:szCs w:val="22"/>
          <w:color w:val="auto"/>
        </w:rPr>
      </w:pPr>
    </w:p>
    <w:p>
      <w:pPr>
        <w:ind w:left="580" w:right="5920"/>
        <w:spacing w:after="0" w:line="295" w:lineRule="auto"/>
        <w:rPr>
          <w:rFonts w:ascii="Arial" w:cs="Arial" w:eastAsia="Arial" w:hAnsi="Arial"/>
          <w:sz w:val="22"/>
          <w:szCs w:val="22"/>
          <w:color w:val="auto"/>
        </w:rPr>
      </w:pPr>
      <w:r>
        <w:rPr>
          <w:rFonts w:ascii="Arial" w:cs="Arial" w:eastAsia="Arial" w:hAnsi="Arial"/>
          <w:sz w:val="21"/>
          <w:szCs w:val="21"/>
          <w:color w:val="auto"/>
        </w:rPr>
        <w:t>Ryan Schaffer, Chief Financial Officer, Expensify, Inc. Alexa M. Berlin, Latham &amp; Watkins LLP Benjamin A. Potter, Latham &amp; Watkins LLP Christopher Shoff, Latham &amp; Watkins LLP</w:t>
      </w:r>
    </w:p>
    <w:p>
      <w:pPr>
        <w:ind w:left="580" w:right="7920"/>
        <w:spacing w:after="0" w:line="311" w:lineRule="auto"/>
        <w:rPr>
          <w:rFonts w:ascii="Arial" w:cs="Arial" w:eastAsia="Arial" w:hAnsi="Arial"/>
          <w:sz w:val="22"/>
          <w:szCs w:val="22"/>
          <w:color w:val="auto"/>
        </w:rPr>
      </w:pPr>
      <w:r>
        <w:rPr>
          <w:rFonts w:ascii="Arial" w:cs="Arial" w:eastAsia="Arial" w:hAnsi="Arial"/>
          <w:sz w:val="21"/>
          <w:szCs w:val="21"/>
          <w:color w:val="auto"/>
        </w:rPr>
        <w:t>Dave Peinsipp, Cooley LLP Kristin VanderPas, Cooley LLP Denny Won, Cooley LLP</w:t>
      </w:r>
    </w:p>
    <w:sectPr>
      <w:pgSz w:w="11900" w:h="16838" w:orient="portrait"/>
      <w:cols w:equalWidth="0" w:num="1">
        <w:col w:w="11240"/>
      </w:cols>
      <w:pgMar w:left="320" w:top="2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2021-12-09T23:07:37Z</dcterms:created>
  <dcterms:modified xsi:type="dcterms:W3CDTF">2021-12-09T23:07:37Z</dcterms:modified>
</cp:coreProperties>
</file>