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p>
      <w:pPr>
        <w:pStyle w:val="TextBody"/>
        <w:bidi w:val="0"/>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CURRENT REPORT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May 8, 2025</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Expensify,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001-41043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27-0239450</w:t>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0" w:after="0"/>
        <w:jc w:val="center"/>
        <w:rPr/>
      </w:pPr>
      <w:r>
        <w:rPr>
          <w:rFonts w:ascii="Times New Roman;sans-serif" w:hAnsi="Times New Roman;sans-serif"/>
          <w:b/>
          <w:color w:val="000000"/>
          <w:sz w:val="20"/>
        </w:rPr>
        <w:t>401 SW 5</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Ave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Portland, Oregon 97204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(971) 365-3939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 xml:space="preserve">(Former Name or Former Address, if Changed Since Last Report)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tbl>
      <w:tblPr>
        <w:tblW w:w="989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811"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816"/>
        <w:gridCol w:w="816"/>
        <w:gridCol w:w="1157"/>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0" w:after="1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16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8, 2025, Expensify, Inc. (“Expensify” or the “Company”) issued a press release announcing its financial results for the quarter ended March 31, 2025. A copy of this press release is furnished as Exhibit 99.1 to this current report on Form 8-K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8, 2025, the Company posted an investor presentation to its website at https://ir.expensify.com (the “Investor Presentation”). A copy of the Investor Presentation is furnished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pStyle w:val="TextBody"/>
        <w:bidi w:val="0"/>
        <w:spacing w:before="0" w:after="0"/>
        <w:jc w:val="left"/>
        <w:rPr/>
      </w:pPr>
      <w:r>
        <w:rPr/>
      </w:r>
    </w:p>
    <w:p>
      <w:pPr>
        <w:pStyle w:val="TextBody"/>
        <w:bidi w:val="0"/>
        <w:spacing w:lineRule="auto" w:line="276"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Item 2.02 and this Item 7.01, including Exhibits 99.1 and 99.2, is being furnished and shall not be deemed “filed” for purposes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9.01 Financial Statements and Exhibits. </w:t>
      </w:r>
    </w:p>
    <w:p>
      <w:pPr>
        <w:pStyle w:val="TextBody"/>
        <w:bidi w:val="0"/>
        <w:spacing w:lineRule="auto" w:line="276" w:before="0" w:after="16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Exhibits</w:t>
      </w:r>
      <w:r>
        <w:rPr>
          <w:rFonts w:ascii="Times New Roman;sans-serif" w:hAnsi="Times New Roman;sans-serif"/>
          <w:b w:val="false"/>
          <w:color w:val="000000"/>
          <w:sz w:val="20"/>
        </w:rPr>
        <w:t xml:space="preserve">. </w:t>
      </w:r>
    </w:p>
    <w:tbl>
      <w:tblPr>
        <w:tblW w:w="7916"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39"/>
        <w:gridCol w:w="1939"/>
        <w:gridCol w:w="276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1-8xkq125earnings.htm">
              <w:r>
                <w:rPr>
                  <w:rStyle w:val="InternetLink"/>
                  <w:rFonts w:ascii="Times New Roman;sans-serif" w:hAnsi="Times New Roman;sans-serif"/>
                  <w:b w:val="false"/>
                  <w:color w:val="0000FF"/>
                  <w:sz w:val="20"/>
                  <w:u w:val="single"/>
                </w:rPr>
                <w:t>Press Release issued by Expensify, Inc., dated May 8, 2025.</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2-8xkq125investor.htm">
              <w:r>
                <w:rPr>
                  <w:rStyle w:val="InternetLink"/>
                  <w:rFonts w:ascii="Times New Roman;sans-serif" w:hAnsi="Times New Roman;sans-serif"/>
                  <w:b w:val="false"/>
                  <w:color w:val="000080"/>
                  <w:sz w:val="20"/>
                  <w:u w:val="single"/>
                </w:rPr>
                <w:t xml:space="preserve">Investor Presentation, dated </w:t>
              </w:r>
            </w:hyperlink>
            <w:hyperlink w:anchor="exhibit992-8xkq125investor.htm">
              <w:r>
                <w:rPr>
                  <w:rStyle w:val="InternetLink"/>
                  <w:rFonts w:ascii="Times New Roman;sans-serif" w:hAnsi="Times New Roman;sans-serif"/>
                  <w:b w:val="false"/>
                  <w:color w:val="000080"/>
                  <w:sz w:val="20"/>
                  <w:u w:val="single"/>
                </w:rPr>
                <w:t>Ma</w:t>
              </w:r>
            </w:hyperlink>
            <w:hyperlink w:anchor="exhibit992-8xkq125investor.htm">
              <w:r>
                <w:rPr>
                  <w:rStyle w:val="InternetLink"/>
                  <w:rFonts w:ascii="Times New Roman;sans-serif" w:hAnsi="Times New Roman;sans-serif"/>
                  <w:b w:val="false"/>
                  <w:color w:val="000080"/>
                  <w:sz w:val="20"/>
                  <w:u w:val="single"/>
                </w:rPr>
                <w:t xml:space="preserve">y </w:t>
              </w:r>
            </w:hyperlink>
            <w:hyperlink w:anchor="exhibit992-8xkq125investor.htm">
              <w:r>
                <w:rPr>
                  <w:rStyle w:val="InternetLink"/>
                  <w:rFonts w:ascii="Times New Roman;sans-serif" w:hAnsi="Times New Roman;sans-serif"/>
                  <w:b w:val="false"/>
                  <w:color w:val="000080"/>
                  <w:sz w:val="20"/>
                  <w:u w:val="single"/>
                </w:rPr>
                <w:t>8</w:t>
              </w:r>
            </w:hyperlink>
            <w:hyperlink w:anchor="exhibit992-8xkq125investor.htm">
              <w:r>
                <w:rPr>
                  <w:rStyle w:val="InternetLink"/>
                  <w:rFonts w:ascii="Times New Roman;sans-serif" w:hAnsi="Times New Roman;sans-serif"/>
                  <w:b w:val="false"/>
                  <w:color w:val="000080"/>
                  <w:sz w:val="20"/>
                  <w:u w:val="single"/>
                </w:rPr>
                <w:t>, 2025</w:t>
              </w:r>
            </w:hyperlink>
            <w:hyperlink w:anchor="exhibit992-8xkq125investor.htm">
              <w:r>
                <w:rPr>
                  <w:rStyle w:val="InternetLink"/>
                  <w:rFonts w:ascii="Times New Roman;sans-serif" w:hAnsi="Times New Roman;sans-serif"/>
                  <w:b w:val="false"/>
                  <w:color w:val="000080"/>
                  <w:sz w:val="20"/>
                  <w:u w:val="single"/>
                </w:rPr>
                <w:t>.</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SIGNATURE </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086" w:type="dxa"/>
        <w:jc w:val="right"/>
        <w:tblInd w:w="0" w:type="dxa"/>
        <w:tblLayout w:type="fixed"/>
        <w:tblCellMar>
          <w:top w:w="28" w:type="dxa"/>
          <w:left w:w="28" w:type="dxa"/>
          <w:bottom w:w="28" w:type="dxa"/>
          <w:right w:w="28" w:type="dxa"/>
        </w:tblCellMar>
      </w:tblPr>
      <w:tblGrid>
        <w:gridCol w:w="255"/>
        <w:gridCol w:w="194"/>
        <w:gridCol w:w="196"/>
        <w:gridCol w:w="144"/>
        <w:gridCol w:w="144"/>
        <w:gridCol w:w="144"/>
        <w:gridCol w:w="587"/>
        <w:gridCol w:w="587"/>
        <w:gridCol w:w="835"/>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086"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Expensify,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ans-serif" w:hAnsi="Times New Roman;sans-serif"/>
          <w:b/>
          <w:color w:val="000000"/>
          <w:sz w:val="20"/>
        </w:rPr>
      </w:pPr>
      <w:r>
        <w:rPr>
          <w:rFonts w:ascii="Times New Roman;sans-serif" w:hAnsi="Times New Roman;sans-serif"/>
          <w:b/>
          <w:color w:val="000000"/>
          <w:sz w:val="20"/>
        </w:rPr>
        <w:t>EXPENSIFY ANNOUNCES Q1 2025 RESULTS</w:t>
      </w:r>
    </w:p>
    <w:p>
      <w:pPr>
        <w:pStyle w:val="TextBody"/>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Total interchange derived from the Expensify Card grew to $5.1 million, an increase of 43% as compared to the same period last year.</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PORTLAND, Ore.--(BUSINESS WIRE)--May 8, 2025-- Expensify, Inc. (Nasdaq: EXFY), a payments superapp that helps individuals and businesses around the world simplify the way they manage money across expenses, corporate cards and bills, today released a letter to shareholders from Founder and CEO David Barrett alongside results for its quarter ended March 31, 2025.</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u w:val="single"/>
        </w:rPr>
      </w:pPr>
      <w:r>
        <w:rPr>
          <w:rFonts w:ascii="Times New Roman;sans-serif" w:hAnsi="Times New Roman;sans-serif"/>
          <w:b/>
          <w:color w:val="000000"/>
          <w:sz w:val="20"/>
          <w:u w:val="single"/>
        </w:rPr>
        <w:t>A Message From Our Founder</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Q1'25 was another strong quarter. Though seasonally affected as expected, on an annual basis this quarter saw an 8% increase in revenue, 43% increase in interchange, 38% increase in cash from operating activities and 75% increase in free cash flow from the same quarter last year. In fact, this quarter produced $4.8 million of cash from operating activities and $9.1 million in FCF – over 50% of the bottom end of our FCF forecast for the entire year. As such we are increasing our full year 2025 FCF guidance to $17.0 million - $21.0 million.</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On top of that strong performance was a 166% increase in quarterly travel bookings, which is now fully launched to all customers and seeing strong pickup from customers new and old. Indeed, though still very early days, we're seeing companies adopt travel at over twice the rate they adopted the Expensify Card at launch.</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Our main effort for Q1'25 was in preparing for the upcoming F1 premier on June 25th, in which Expensify is the top sponsor of Brad Pitt's F1 team. This is Apple's largest movie launch to date, and we are extremely excited for the visibility we will get in the movie and lead up advertising: this gives us incredible exposure on a global basis, and we believe it is possibly one of the best brand placement opportunities ever. Accordingly, we are battening down the hatches in preparation for what we hope will be a wave of new leads that puts our servers, sales team, and customer success to the test.</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Finally, we are executing on the Concierge AI plan held out last quarter, adding the ability to not just resolve basic violations using natural language chat (via email or SMS, without even needing to open the app), but also giving Concierge actual voice with a "Talk to Concierge" button that lets you speak directly to the AI out loud.</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All in all, it was another solid quarter relative to last year, despite a challenging backdrop. We couldn't be more excited for what's coming next. See you in theaters June 25th!</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-david</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Founder and CEO of Expensify</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ans-serif" w:hAnsi="Times New Roman;sans-serif"/>
          <w:b/>
          <w:color w:val="000000"/>
          <w:sz w:val="20"/>
        </w:rPr>
      </w:pPr>
      <w:r>
        <w:rPr>
          <w:rFonts w:ascii="Times New Roman;sans-serif" w:hAnsi="Times New Roman;sans-serif"/>
          <w:b/>
          <w:color w:val="000000"/>
          <w:sz w:val="20"/>
        </w:rPr>
        <w:t>First Quarter 2025 Highlights</w: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Financial:</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Revenue was $36.1 million, an increase of 8% compared to the same period last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 xml:space="preserve">Generated $4.8 million of cash from operating activities. </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Free cash flow was $9.1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Net loss was $3.2 million, compared to $3.8 million for the same period last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Non-GAAP net income was $4.8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Adjusted EBITDA was $8.4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Total interchange derived from the Expensify Card grew to $5.1 million, an increase of 43% compared to the same period last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See Financial Outlook section for Free Cash Flow guidance for fiscal year ending December 31, 2025.</w: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Business:</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Paid members</w:t>
      </w:r>
      <w:r>
        <w:rPr>
          <w:color w:val="000000"/>
        </w:rPr>
        <w:t xml:space="preserve">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Paid members were 657,000, a decrease of 5% from the same period last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Expensify Travel</w:t>
      </w:r>
      <w:r>
        <w:rPr>
          <w:color w:val="000000"/>
        </w:rPr>
        <w:t xml:space="preserve"> </w:t>
      </w:r>
      <w:r>
        <w:rPr>
          <w:rFonts w:ascii="Times New Roman;sans-serif" w:hAnsi="Times New Roman;sans-serif"/>
          <w:b w:val="false"/>
          <w:color w:val="000000"/>
          <w:sz w:val="20"/>
        </w:rPr>
        <w:t>- Expensify travel saw a 166% Q/Q increase in quarterly travel bookings.</w:t>
      </w:r>
    </w:p>
    <w:p>
      <w:pPr>
        <w:pStyle w:val="TextBody"/>
        <w:bidi w:val="0"/>
        <w:spacing w:lineRule="auto" w:line="300" w:before="0" w:after="2"/>
        <w:ind w:left="0" w:right="0" w:hanging="360"/>
        <w:jc w:val="left"/>
        <w:rPr/>
      </w:pPr>
      <w:r>
        <w:rPr>
          <w:color w:val="000000"/>
        </w:rPr>
        <w:t>•</w:t>
      </w:r>
      <w:r>
        <w:rPr>
          <w:rFonts w:ascii="Times New Roman;sans-serif" w:hAnsi="Times New Roman;sans-serif"/>
          <w:b/>
          <w:color w:val="000000"/>
          <w:sz w:val="20"/>
        </w:rPr>
        <w:t>Pricing</w:t>
      </w:r>
      <w:r>
        <w:rPr>
          <w:color w:val="000000"/>
        </w:rPr>
        <w:t xml:space="preserve"> </w:t>
      </w:r>
      <w:r>
        <w:rPr>
          <w:rFonts w:ascii="Times New Roman;sans-serif" w:hAnsi="Times New Roman;sans-serif"/>
          <w:b w:val="false"/>
          <w:color w:val="000000"/>
          <w:sz w:val="20"/>
        </w:rPr>
        <w:t xml:space="preserve">- The company announced an update to its Collect plan pricing: a simple, transparent flat rate of $5 per member per month.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Financial Outlook</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Free Cash Flow</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Expensify estimates Free Cash Flow of $17.0 million to $21.0 million for the fiscal year ending December 31, 2025.</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provide a reconciliation for free cash flow estimates on a forward-looking basis because it is unable, without making unreasonable efforts, to provide a meaningful or reasonably accurate calculation or estimation of net cash provided by operating activities and certain reconciling items on a forward-looking basis, which could be significant to the Company's results.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Stock Based Compensation Expense</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estimate of expected stock-based compensation expense for the next four fiscal quarters is as follows, which is driven primarily by the pre-IPO grant of RSUs issued to all employees (which vest quarterly over eight years with approximately four years remaining).</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Est. stock-based compensation expense (millions)</w:t>
      </w:r>
    </w:p>
    <w:tbl>
      <w:tblPr>
        <w:tblW w:w="8484" w:type="dxa"/>
        <w:jc w:val="left"/>
        <w:tblInd w:w="0" w:type="dxa"/>
        <w:tblLayout w:type="fixed"/>
        <w:tblCellMar>
          <w:top w:w="28" w:type="dxa"/>
          <w:left w:w="28" w:type="dxa"/>
          <w:bottom w:w="28" w:type="dxa"/>
          <w:right w:w="28" w:type="dxa"/>
        </w:tblCellMar>
      </w:tblPr>
      <w:tblGrid>
        <w:gridCol w:w="727"/>
        <w:gridCol w:w="639"/>
        <w:gridCol w:w="644"/>
        <w:gridCol w:w="196"/>
        <w:gridCol w:w="376"/>
        <w:gridCol w:w="109"/>
        <w:gridCol w:w="196"/>
        <w:gridCol w:w="376"/>
        <w:gridCol w:w="109"/>
        <w:gridCol w:w="109"/>
        <w:gridCol w:w="109"/>
        <w:gridCol w:w="109"/>
        <w:gridCol w:w="196"/>
        <w:gridCol w:w="376"/>
        <w:gridCol w:w="109"/>
        <w:gridCol w:w="196"/>
        <w:gridCol w:w="376"/>
        <w:gridCol w:w="109"/>
        <w:gridCol w:w="109"/>
        <w:gridCol w:w="109"/>
        <w:gridCol w:w="109"/>
        <w:gridCol w:w="196"/>
        <w:gridCol w:w="376"/>
        <w:gridCol w:w="109"/>
        <w:gridCol w:w="196"/>
        <w:gridCol w:w="376"/>
        <w:gridCol w:w="109"/>
        <w:gridCol w:w="109"/>
        <w:gridCol w:w="109"/>
        <w:gridCol w:w="109"/>
        <w:gridCol w:w="196"/>
        <w:gridCol w:w="376"/>
        <w:gridCol w:w="109"/>
        <w:gridCol w:w="196"/>
        <w:gridCol w:w="37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9" w:type="dxa"/>
            <w:gridSpan w:val="24"/>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Q2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Q3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Q4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Q1 2026</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Availability of Information on Expensify’s Website</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pStyle w:val="TextBody"/>
        <w:bidi w:val="0"/>
        <w:spacing w:before="0" w:after="0"/>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Conference Call </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 </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Non-GAAP Financial Measures</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financial measures prepared in accordance with U.S. generally accepted accounting principles (“GAAP”), we provide certain non-GAAP financial measures, including adjusted EBITDA, non-GAAP net loss, and free cash flow.</w:t>
      </w:r>
    </w:p>
    <w:p>
      <w:pPr>
        <w:pStyle w:val="TextBody"/>
        <w:bidi w:val="0"/>
        <w:spacing w:before="0" w:after="0"/>
        <w:jc w:val="left"/>
        <w:rPr/>
      </w:pPr>
      <w:r>
        <w:rPr/>
      </w:r>
    </w:p>
    <w:p>
      <w:pPr>
        <w:pStyle w:val="TextBody"/>
        <w:bidi w:val="0"/>
        <w:spacing w:lineRule="auto" w:line="3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w:t>
      </w: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pStyle w:val="TextBody"/>
        <w:bidi w:val="0"/>
        <w:spacing w:before="0" w:after="0"/>
        <w:jc w:val="left"/>
        <w:rPr/>
      </w:pPr>
      <w:r>
        <w:rPr/>
      </w:r>
    </w:p>
    <w:p>
      <w:pPr>
        <w:pStyle w:val="TextBody"/>
        <w:bidi w:val="0"/>
        <w:spacing w:lineRule="auto" w:line="300" w:before="0" w:after="0"/>
        <w:jc w:val="left"/>
        <w:rPr/>
      </w:pPr>
      <w:r>
        <w:rPr>
          <w:rFonts w:ascii="Times New Roman;sans-serif" w:hAnsi="Times New Roman;sans-serif"/>
          <w:b/>
          <w:color w:val="000000"/>
          <w:sz w:val="20"/>
        </w:rPr>
        <w:t>Adjusted EBITDA.</w:t>
      </w:r>
      <w:r>
        <w:rPr>
          <w:color w:val="000000"/>
        </w:rPr>
        <w:t xml:space="preserve"> </w:t>
      </w:r>
      <w:r>
        <w:rPr>
          <w:rFonts w:ascii="Times New Roman;sans-serif" w:hAnsi="Times New Roman;sans-serif"/>
          <w:b w:val="false"/>
          <w:color w:val="000000"/>
          <w:sz w:val="20"/>
        </w:rPr>
        <w:t>We define adjusted EBITDA as net loss excluding provision for income taxes, other income (expenses), net, depreciation and amortization, and stock-based compensation expense.</w:t>
      </w:r>
    </w:p>
    <w:p>
      <w:pPr>
        <w:pStyle w:val="TextBody"/>
        <w:bidi w:val="0"/>
        <w:spacing w:before="0" w:after="0"/>
        <w:jc w:val="left"/>
        <w:rPr/>
      </w:pPr>
      <w:r>
        <w:rPr/>
      </w:r>
    </w:p>
    <w:p>
      <w:pPr>
        <w:pStyle w:val="TextBody"/>
        <w:bidi w:val="0"/>
        <w:spacing w:lineRule="auto" w:line="300" w:before="0" w:after="0"/>
        <w:jc w:val="left"/>
        <w:rPr/>
      </w:pPr>
      <w:r>
        <w:rPr>
          <w:rFonts w:ascii="Times New Roman;sans-serif" w:hAnsi="Times New Roman;sans-serif"/>
          <w:b/>
          <w:color w:val="000000"/>
          <w:sz w:val="20"/>
        </w:rPr>
        <w:t>Non-GAAP net income.</w:t>
      </w:r>
      <w:r>
        <w:rPr>
          <w:color w:val="000000"/>
        </w:rPr>
        <w:t xml:space="preserve"> </w:t>
      </w:r>
      <w:r>
        <w:rPr>
          <w:rFonts w:ascii="Times New Roman;sans-serif" w:hAnsi="Times New Roman;sans-serif"/>
          <w:b w:val="false"/>
          <w:color w:val="000000"/>
          <w:sz w:val="20"/>
        </w:rPr>
        <w:t>We define non-GAAP net income as net loss excluding stock-based compensation expense.</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color w:val="000000"/>
          <w:sz w:val="20"/>
        </w:rPr>
        <w:t>Free cash flow.</w:t>
      </w:r>
      <w:r>
        <w:rPr>
          <w:color w:val="000000"/>
        </w:rPr>
        <w:t xml:space="preserve"> </w:t>
      </w:r>
      <w:r>
        <w:rPr>
          <w:rFonts w:ascii="Times New Roman;sans-serif" w:hAnsi="Times New Roman;sans-serif"/>
          <w:b w:val="false"/>
          <w:color w:val="000000"/>
          <w:sz w:val="20"/>
        </w:rPr>
        <w:t>We define free cash flow as net cash provided by operating activities excluding changes in settlement assets and settlement liabilities, which represent funds held for customers and customer funds in transit, respectively, reduced by the purchases of property and equipment and software development costs.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tables at the end of the Condensed Consolidated Financial Statements provide reconciliations to the most directly comparable GAAP financial measure to each of these non-GAAP financial measures.</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Forward-Looking Statements</w:t>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in this press release, or made during the earnings call, which are not historical facts, are forward-looking statements within the meaning of the Private Securities Litigation Reform Act of 1955. These statements include statements regarding our strategy, future financial condition, future operations, future cash flow, projected costs, prospects, plans, objectives of management and expected market growth, product developments and their potential impact and our stock-based compensation estimates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“ambition,”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impact on inflation on us and our members; our borrowing costs, which have and may continue to increase as a result of increases in interest rates;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cash flows, the prevailing stock prices, general economic and market conditions and other considerations that could affect the specific timing, price and size of repurchases under our stock repurchase program or our ability to fund any stock repurchases; geopolitical tensions, including the war in Ukraine and the conflict in Israel, Gaza and surrounding areas; our ability </w:t>
      </w: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effectively manage our exposure to fluctuations in foreign currency exchange rates; the size of our addressable markets, market share and market trends; anticipated trends, developments and challenges in our industry, business and the highly competitive markets in which we operate; any adverse impact on our business operations as a result of using artificial intelligence or other machine learning technologies in our services;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including geopolitical uncertainty and instability, and their effects on software spending; our ability to protect against security incidents, technical difficulties, or interruptions to our platform; our ability to maintain, protect and enhance our intellectual property; the impact of tariffs and global trade disruptions on us, our customers and our vendors, including the impact on inflation, supply chains and consumer sentiment;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About Expensify</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Expensify is a payments superapp that helps individuals and businesses around the world simplify the way they manage money. More than 12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pStyle w:val="TextBody"/>
        <w:bidi w:val="0"/>
        <w:spacing w:before="0" w:after="2"/>
        <w:jc w:val="left"/>
        <w:rPr/>
      </w:pPr>
      <w:r>
        <w:rPr/>
      </w:r>
    </w:p>
    <w:p>
      <w:pPr>
        <w:pStyle w:val="TextBody"/>
        <w:bidi w:val="0"/>
        <w:spacing w:lineRule="auto" w:line="276" w:before="0" w:after="160"/>
        <w:jc w:val="left"/>
        <w:rPr>
          <w:rFonts w:ascii="Times New Roman;sans-serif" w:hAnsi="Times New Roman;sans-serif"/>
          <w:b/>
          <w:color w:val="000000"/>
          <w:sz w:val="20"/>
        </w:rPr>
      </w:pPr>
      <w:r>
        <w:rPr>
          <w:rFonts w:ascii="Times New Roman;sans-serif" w:hAnsi="Times New Roman;sans-serif"/>
          <w:b/>
          <w:color w:val="000000"/>
          <w:sz w:val="20"/>
        </w:rPr>
        <w:t>Investor Relations Contact</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Nick Tooker</w:t>
      </w:r>
    </w:p>
    <w:p>
      <w:pPr>
        <w:pStyle w:val="TextBody"/>
        <w:bidi w:val="0"/>
        <w:spacing w:lineRule="auto" w:line="276"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investors@expensify.com</w:t>
      </w:r>
    </w:p>
    <w:p>
      <w:pPr>
        <w:pStyle w:val="TextBody"/>
        <w:bidi w:val="0"/>
        <w:spacing w:lineRule="auto" w:line="276" w:before="0" w:after="160"/>
        <w:jc w:val="left"/>
        <w:rPr>
          <w:rFonts w:ascii="Times New Roman;sans-serif" w:hAnsi="Times New Roman;sans-serif"/>
          <w:b/>
          <w:color w:val="000000"/>
          <w:sz w:val="20"/>
        </w:rPr>
      </w:pPr>
      <w:r>
        <w:rPr>
          <w:rFonts w:ascii="Times New Roman;sans-serif" w:hAnsi="Times New Roman;sans-serif"/>
          <w:b/>
          <w:color w:val="000000"/>
          <w:sz w:val="20"/>
        </w:rPr>
        <w:t>Press Contact</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Dean</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press@expensify.com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Balance Sheets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thousands, except share data) </w:t>
      </w:r>
    </w:p>
    <w:tbl>
      <w:tblPr>
        <w:tblW w:w="10205" w:type="dxa"/>
        <w:jc w:val="center"/>
        <w:tblInd w:w="0" w:type="dxa"/>
        <w:tblLayout w:type="fixed"/>
        <w:tblCellMar>
          <w:top w:w="28" w:type="dxa"/>
          <w:left w:w="28" w:type="dxa"/>
          <w:bottom w:w="28" w:type="dxa"/>
          <w:right w:w="28" w:type="dxa"/>
        </w:tblCellMar>
      </w:tblPr>
      <w:tblGrid>
        <w:gridCol w:w="2755"/>
        <w:gridCol w:w="2326"/>
        <w:gridCol w:w="2361"/>
        <w:gridCol w:w="215"/>
        <w:gridCol w:w="808"/>
        <w:gridCol w:w="119"/>
        <w:gridCol w:w="109"/>
        <w:gridCol w:w="109"/>
        <w:gridCol w:w="109"/>
        <w:gridCol w:w="233"/>
        <w:gridCol w:w="875"/>
        <w:gridCol w:w="186"/>
      </w:tblGrid>
      <w:tr>
        <w:trPr/>
        <w:tc>
          <w:tcPr>
            <w:tcW w:w="2755"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1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48,772 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assets,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12,089 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20,908 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153,711 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136,876 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software,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16,232 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right-of-use assets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173,680 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1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 current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liabilities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28,845 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47,261 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38,010 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 non-current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54,585 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45,437 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w:t>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par value $0.0001; 10,000,000 shares authorized as of March 31, 2025 and December 31, 2024; no shares issued and outstanding as of March 31, 2025 and December 31, 2024</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w:t>
            </w:r>
          </w:p>
          <w:p>
            <w:pPr>
              <w:pStyle w:val="TableContents"/>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1,000,000,000 shares authorized as of March 31, 2025 and December 31, 2024; 80,380,404 and 79,471,414 shares issued and outstanding as of March 31, 2025 and December 31, 2024, respectively</w:t>
            </w:r>
          </w:p>
          <w:p>
            <w:pPr>
              <w:pStyle w:val="TableContents"/>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LT10 common stock; 21,871,197 shares authorized as of March 31, 2025 and December 31, 2024; 4,209,827 shares issued and outstanding as of March 31, 2025 and December 31, 2024</w:t>
            </w:r>
          </w:p>
          <w:p>
            <w:pPr>
              <w:pStyle w:val="TableContents"/>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LT50 common stock; 24,967,114 shares authorized as of March 31, 2025 and December 31, 2024; 7,793,436 and 7,695,524 shares issued and outstanding as of March 31, 2025 and December 31, 2024, respectively</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288,639 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279,062 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(153,997)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(150,828)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134,651 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128,243 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189,236 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173,680 </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Operations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thousands, except share and per share data) </w:t>
      </w:r>
    </w:p>
    <w:tbl>
      <w:tblPr>
        <w:tblW w:w="9187" w:type="dxa"/>
        <w:jc w:val="center"/>
        <w:tblInd w:w="0" w:type="dxa"/>
        <w:tblLayout w:type="fixed"/>
        <w:tblCellMar>
          <w:top w:w="28" w:type="dxa"/>
          <w:left w:w="28" w:type="dxa"/>
          <w:bottom w:w="28" w:type="dxa"/>
          <w:right w:w="28" w:type="dxa"/>
        </w:tblCellMar>
      </w:tblPr>
      <w:tblGrid>
        <w:gridCol w:w="2327"/>
        <w:gridCol w:w="2049"/>
        <w:gridCol w:w="2059"/>
        <w:gridCol w:w="244"/>
        <w:gridCol w:w="837"/>
        <w:gridCol w:w="109"/>
        <w:gridCol w:w="109"/>
        <w:gridCol w:w="109"/>
        <w:gridCol w:w="109"/>
        <w:gridCol w:w="244"/>
        <w:gridCol w:w="837"/>
        <w:gridCol w:w="154"/>
      </w:tblGrid>
      <w:tr>
        <w:trPr/>
        <w:tc>
          <w:tcPr>
            <w:tcW w:w="2327"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Cost of revenue, net </w:t>
            </w:r>
            <w:r>
              <w:rPr>
                <w:rFonts w:ascii="Times New Roman;sans-serif" w:hAnsi="Times New Roman;sans-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Research and development </w:t>
            </w:r>
            <w:r>
              <w:rPr>
                <w:rFonts w:ascii="Times New Roman;sans-serif" w:hAnsi="Times New Roman;sans-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General and administrative </w:t>
            </w:r>
            <w:r>
              <w:rPr>
                <w:rFonts w:ascii="Times New Roman;sans-serif" w:hAnsi="Times New Roman;sans-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Sales and marketing </w:t>
            </w:r>
            <w:r>
              <w:rPr>
                <w:rFonts w:ascii="Times New Roman;sans-serif" w:hAnsi="Times New Roman;sans-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(expenses),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used to compute net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91,501,083 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85,141,411 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(1)Includes stock-based compensation expense as follows:</w:t>
      </w:r>
    </w:p>
    <w:tbl>
      <w:tblPr>
        <w:tblW w:w="5380" w:type="dxa"/>
        <w:jc w:val="center"/>
        <w:tblInd w:w="0" w:type="dxa"/>
        <w:tblLayout w:type="fixed"/>
        <w:tblCellMar>
          <w:top w:w="28" w:type="dxa"/>
          <w:left w:w="28" w:type="dxa"/>
          <w:bottom w:w="28" w:type="dxa"/>
          <w:right w:w="28" w:type="dxa"/>
        </w:tblCellMar>
      </w:tblPr>
      <w:tblGrid>
        <w:gridCol w:w="1064"/>
        <w:gridCol w:w="934"/>
        <w:gridCol w:w="941"/>
        <w:gridCol w:w="228"/>
        <w:gridCol w:w="649"/>
        <w:gridCol w:w="127"/>
        <w:gridCol w:w="127"/>
        <w:gridCol w:w="127"/>
        <w:gridCol w:w="127"/>
        <w:gridCol w:w="228"/>
        <w:gridCol w:w="649"/>
        <w:gridCol w:w="179"/>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 net</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stock-based compensation expense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tbl>
      <w:tblPr>
        <w:tblW w:w="8498" w:type="dxa"/>
        <w:jc w:val="left"/>
        <w:tblInd w:w="0" w:type="dxa"/>
        <w:tblLayout w:type="fixed"/>
        <w:tblCellMar>
          <w:top w:w="28" w:type="dxa"/>
          <w:left w:w="28" w:type="dxa"/>
          <w:bottom w:w="28" w:type="dxa"/>
          <w:right w:w="28" w:type="dxa"/>
        </w:tblCellMar>
      </w:tblPr>
      <w:tblGrid>
        <w:gridCol w:w="2342"/>
        <w:gridCol w:w="2055"/>
        <w:gridCol w:w="2067"/>
        <w:gridCol w:w="181"/>
        <w:gridCol w:w="541"/>
        <w:gridCol w:w="109"/>
        <w:gridCol w:w="109"/>
        <w:gridCol w:w="109"/>
        <w:gridCol w:w="109"/>
        <w:gridCol w:w="181"/>
        <w:gridCol w:w="541"/>
        <w:gridCol w:w="154"/>
      </w:tblGrid>
      <w:tr>
        <w:trPr/>
        <w:tc>
          <w:tcPr>
            <w:tcW w:w="2342"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operating activities:</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loss to net cash provided by operating activities: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Reduction of operating lease right-of-use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on impairment, receivables and sale or disposal of equipment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original issue discount and debt issuance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tax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assets and liabilities: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Settlement assets,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current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expenses and other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Settlement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operating activities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investing activities: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Software development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investing activities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financing activities:</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payments of finance leases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payments of outstanding debt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for debt issuance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Repurchases of early exercised stock options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common stock purchased under Matching Plan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issuance of common stock on exercise of stock options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financing activities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increase in cash and cash equivalents and restricted cash</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and restricted cash, beginning of period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and restricted cash, end of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98,145 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Supplemental disclosure of cash flow information:</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interest</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income taxes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investing and financing items: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capitalized as software development costs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property and equipment and capitalized software in accounts payable and accrued expenses</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Reconciliation of cash and cash equivalents and restricted cash to the Condensed Consolidated Balance Sheets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49,340 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 included in other current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 included in settlement assets,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cash, cash equivalents and restricted cash</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Reconciliation of GAAP to Non-GAAP Financial Measures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percentages)</w:t>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 and Adjusted EBITDA Margin</w:t>
      </w:r>
    </w:p>
    <w:tbl>
      <w:tblPr>
        <w:tblW w:w="5718" w:type="dxa"/>
        <w:jc w:val="left"/>
        <w:tblInd w:w="0" w:type="dxa"/>
        <w:tblLayout w:type="fixed"/>
        <w:tblCellMar>
          <w:top w:w="28" w:type="dxa"/>
          <w:left w:w="28" w:type="dxa"/>
          <w:bottom w:w="28" w:type="dxa"/>
          <w:right w:w="28" w:type="dxa"/>
        </w:tblCellMar>
      </w:tblPr>
      <w:tblGrid>
        <w:gridCol w:w="1088"/>
        <w:gridCol w:w="950"/>
        <w:gridCol w:w="962"/>
        <w:gridCol w:w="211"/>
        <w:gridCol w:w="691"/>
        <w:gridCol w:w="271"/>
        <w:gridCol w:w="109"/>
        <w:gridCol w:w="109"/>
        <w:gridCol w:w="109"/>
        <w:gridCol w:w="211"/>
        <w:gridCol w:w="691"/>
        <w:gridCol w:w="316"/>
      </w:tblGrid>
      <w:tr>
        <w:trPr/>
        <w:tc>
          <w:tcPr>
            <w:tcW w:w="108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margin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w:t>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Net Income and Non-GAAP Net Income Margin</w:t>
      </w:r>
    </w:p>
    <w:tbl>
      <w:tblPr>
        <w:tblW w:w="5718" w:type="dxa"/>
        <w:jc w:val="left"/>
        <w:tblInd w:w="0" w:type="dxa"/>
        <w:tblLayout w:type="fixed"/>
        <w:tblCellMar>
          <w:top w:w="28" w:type="dxa"/>
          <w:left w:w="28" w:type="dxa"/>
          <w:bottom w:w="28" w:type="dxa"/>
          <w:right w:w="28" w:type="dxa"/>
        </w:tblCellMar>
      </w:tblPr>
      <w:tblGrid>
        <w:gridCol w:w="1088"/>
        <w:gridCol w:w="951"/>
        <w:gridCol w:w="961"/>
        <w:gridCol w:w="211"/>
        <w:gridCol w:w="691"/>
        <w:gridCol w:w="271"/>
        <w:gridCol w:w="109"/>
        <w:gridCol w:w="109"/>
        <w:gridCol w:w="109"/>
        <w:gridCol w:w="211"/>
        <w:gridCol w:w="691"/>
        <w:gridCol w:w="316"/>
      </w:tblGrid>
      <w:tr>
        <w:trPr/>
        <w:tc>
          <w:tcPr>
            <w:tcW w:w="108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margin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margin</w:t>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Free Cash Flow and Free Cash Flow Margin</w:t>
      </w:r>
    </w:p>
    <w:tbl>
      <w:tblPr>
        <w:tblW w:w="7067" w:type="dxa"/>
        <w:jc w:val="left"/>
        <w:tblInd w:w="0" w:type="dxa"/>
        <w:tblLayout w:type="fixed"/>
        <w:tblCellMar>
          <w:top w:w="28" w:type="dxa"/>
          <w:left w:w="28" w:type="dxa"/>
          <w:bottom w:w="28" w:type="dxa"/>
          <w:right w:w="28" w:type="dxa"/>
        </w:tblCellMar>
      </w:tblPr>
      <w:tblGrid>
        <w:gridCol w:w="1628"/>
        <w:gridCol w:w="1434"/>
        <w:gridCol w:w="1437"/>
        <w:gridCol w:w="211"/>
        <w:gridCol w:w="616"/>
        <w:gridCol w:w="271"/>
        <w:gridCol w:w="109"/>
        <w:gridCol w:w="109"/>
        <w:gridCol w:w="109"/>
        <w:gridCol w:w="211"/>
        <w:gridCol w:w="616"/>
        <w:gridCol w:w="316"/>
      </w:tblGrid>
      <w:tr>
        <w:trPr/>
        <w:tc>
          <w:tcPr>
            <w:tcW w:w="162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changes in assets and liabilities: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margin</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18"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20"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22"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24"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26"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28"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0"/>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30"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11"/>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3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12"/>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3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13"/>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36"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14"/>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38"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4" descr=""/>
                    <pic:cNvPicPr>
                      <a:picLocks noChangeAspect="1" noChangeArrowheads="1"/>
                    </pic:cNvPicPr>
                  </pic:nvPicPr>
                  <pic:blipFill>
                    <a:blip r:embed="rId15"/>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40"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pPr>
      <w:r>
        <w:rPr/>
        <w:drawing>
          <wp:inline distT="0" distB="0" distL="0" distR="0">
            <wp:extent cx="9144000" cy="5143500"/>
            <wp:effectExtent l="0" t="0" r="0" b="0"/>
            <wp:docPr id="4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5" descr=""/>
                    <pic:cNvPicPr>
                      <a:picLocks noChangeAspect="1" noChangeArrowheads="1"/>
                    </pic:cNvPicPr>
                  </pic:nvPicPr>
                  <pic:blipFill>
                    <a:blip r:embed="rId16"/>
                    <a:stretch>
                      <a:fillRect/>
                    </a:stretch>
                  </pic:blipFill>
                  <pic:spPr bwMode="auto">
                    <a:xfrm>
                      <a:off x="0" y="0"/>
                      <a:ext cx="9144000" cy="5143500"/>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42"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17"/>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44"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18"/>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46"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8" descr=""/>
                    <pic:cNvPicPr>
                      <a:picLocks noChangeAspect="1" noChangeArrowheads="1"/>
                    </pic:cNvPicPr>
                  </pic:nvPicPr>
                  <pic:blipFill>
                    <a:blip r:embed="rId19"/>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48"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9" descr=""/>
                    <pic:cNvPicPr>
                      <a:picLocks noChangeAspect="1" noChangeArrowheads="1"/>
                    </pic:cNvPicPr>
                  </pic:nvPicPr>
                  <pic:blipFill>
                    <a:blip r:embed="rId20"/>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0"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0" descr=""/>
                    <pic:cNvPicPr>
                      <a:picLocks noChangeAspect="1" noChangeArrowheads="1"/>
                    </pic:cNvPicPr>
                  </pic:nvPicPr>
                  <pic:blipFill>
                    <a:blip r:embed="rId21"/>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1" descr=""/>
                    <pic:cNvPicPr>
                      <a:picLocks noChangeAspect="1" noChangeArrowheads="1"/>
                    </pic:cNvPicPr>
                  </pic:nvPicPr>
                  <pic:blipFill>
                    <a:blip r:embed="rId22"/>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5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2" descr=""/>
                    <pic:cNvPicPr>
                      <a:picLocks noChangeAspect="1" noChangeArrowheads="1"/>
                    </pic:cNvPicPr>
                  </pic:nvPicPr>
                  <pic:blipFill>
                    <a:blip r:embed="rId23"/>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5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3" descr=""/>
                    <pic:cNvPicPr>
                      <a:picLocks noChangeAspect="1" noChangeArrowheads="1"/>
                    </pic:cNvPicPr>
                  </pic:nvPicPr>
                  <pic:blipFill>
                    <a:blip r:embed="rId24"/>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58"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4" descr=""/>
                    <pic:cNvPicPr>
                      <a:picLocks noChangeAspect="1" noChangeArrowheads="1"/>
                    </pic:cNvPicPr>
                  </pic:nvPicPr>
                  <pic:blipFill>
                    <a:blip r:embed="rId25"/>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0"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6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5" descr=""/>
                    <pic:cNvPicPr>
                      <a:picLocks noChangeAspect="1" noChangeArrowheads="1"/>
                    </pic:cNvPicPr>
                  </pic:nvPicPr>
                  <pic:blipFill>
                    <a:blip r:embed="rId26"/>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2"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6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6" descr=""/>
                    <pic:cNvPicPr>
                      <a:picLocks noChangeAspect="1" noChangeArrowheads="1"/>
                    </pic:cNvPicPr>
                  </pic:nvPicPr>
                  <pic:blipFill>
                    <a:blip r:embed="rId27"/>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4"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6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7" descr=""/>
                    <pic:cNvPicPr>
                      <a:picLocks noChangeAspect="1" noChangeArrowheads="1"/>
                    </pic:cNvPicPr>
                  </pic:nvPicPr>
                  <pic:blipFill>
                    <a:blip r:embed="rId28"/>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6"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6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8" descr=""/>
                    <pic:cNvPicPr>
                      <a:picLocks noChangeAspect="1" noChangeArrowheads="1"/>
                    </pic:cNvPicPr>
                  </pic:nvPicPr>
                  <pic:blipFill>
                    <a:blip r:embed="rId29"/>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8"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6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9" descr=""/>
                    <pic:cNvPicPr>
                      <a:picLocks noChangeAspect="1" noChangeArrowheads="1"/>
                    </pic:cNvPicPr>
                  </pic:nvPicPr>
                  <pic:blipFill>
                    <a:blip r:embed="rId30"/>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0"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7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0" descr=""/>
                    <pic:cNvPicPr>
                      <a:picLocks noChangeAspect="1" noChangeArrowheads="1"/>
                    </pic:cNvPicPr>
                  </pic:nvPicPr>
                  <pic:blipFill>
                    <a:blip r:embed="rId31"/>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7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1" descr=""/>
                    <pic:cNvPicPr>
                      <a:picLocks noChangeAspect="1" noChangeArrowheads="1"/>
                    </pic:cNvPicPr>
                  </pic:nvPicPr>
                  <pic:blipFill>
                    <a:blip r:embed="rId32"/>
                    <a:stretch>
                      <a:fillRect/>
                    </a:stretch>
                  </pic:blipFill>
                  <pic:spPr bwMode="auto">
                    <a:xfrm>
                      <a:off x="0" y="0"/>
                      <a:ext cx="9144000" cy="51435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25.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4294</Words>
  <Characters>24091</Characters>
  <CharactersWithSpaces>27857</CharactersWithSpaces>
  <Paragraphs>789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