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November 8, 2021.</w:t>
      </w:r>
    </w:p>
    <w:p>
      <w:pPr>
        <w:spacing w:after="0" w:line="26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333-260297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1456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20955</wp:posOffset>
            </wp:positionV>
            <wp:extent cx="71456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AMENDMENT NO. 3</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2527300</wp:posOffset>
            </wp:positionH>
            <wp:positionV relativeFrom="paragraph">
              <wp:posOffset>54610</wp:posOffset>
            </wp:positionV>
            <wp:extent cx="2026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EXPENSIFY,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42" w:lineRule="exact"/>
        <w:rPr>
          <w:sz w:val="24"/>
          <w:szCs w:val="24"/>
          <w:color w:val="auto"/>
        </w:rPr>
      </w:pPr>
    </w:p>
    <w:tbl>
      <w:tblPr>
        <w:tblLayout w:type="fixed"/>
        <w:tblInd w:w="1080" w:type="dxa"/>
        <w:tblCellMar>
          <w:top w:w="0" w:type="dxa"/>
          <w:left w:w="0" w:type="dxa"/>
          <w:bottom w:w="0" w:type="dxa"/>
          <w:right w:w="0" w:type="dxa"/>
        </w:tblCellMar>
      </w:tblPr>
      <w:tr>
        <w:trPr>
          <w:trHeight w:val="151"/>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Delaware</w:t>
            </w:r>
          </w:p>
        </w:tc>
        <w:tc>
          <w:tcPr>
            <w:tcW w:w="4560" w:type="dxa"/>
            <w:vAlign w:val="bottom"/>
            <w:gridSpan w:val="2"/>
          </w:tcPr>
          <w:p>
            <w:pPr>
              <w:jc w:val="center"/>
              <w:ind w:left="1243"/>
              <w:spacing w:after="0"/>
              <w:rPr>
                <w:sz w:val="20"/>
                <w:szCs w:val="20"/>
                <w:color w:val="auto"/>
              </w:rPr>
            </w:pPr>
            <w:r>
              <w:rPr>
                <w:rFonts w:ascii="Arial" w:cs="Arial" w:eastAsia="Arial" w:hAnsi="Arial"/>
                <w:sz w:val="11"/>
                <w:szCs w:val="11"/>
                <w:b w:val="1"/>
                <w:bCs w:val="1"/>
                <w:color w:val="auto"/>
              </w:rPr>
              <w:t>7372</w:t>
            </w:r>
          </w:p>
        </w:tc>
        <w:tc>
          <w:tcPr>
            <w:tcW w:w="12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27-0239450</w:t>
            </w:r>
          </w:p>
        </w:tc>
      </w:tr>
      <w:tr>
        <w:trPr>
          <w:trHeight w:val="180"/>
        </w:trPr>
        <w:tc>
          <w:tcPr>
            <w:tcW w:w="1600" w:type="dxa"/>
            <w:vAlign w:val="bottom"/>
          </w:tcPr>
          <w:p>
            <w:pPr>
              <w:jc w:val="center"/>
              <w:ind w:right="3"/>
              <w:spacing w:after="0"/>
              <w:rPr>
                <w:sz w:val="20"/>
                <w:szCs w:val="20"/>
                <w:color w:val="auto"/>
              </w:rPr>
            </w:pPr>
            <w:r>
              <w:rPr>
                <w:rFonts w:ascii="Arial" w:cs="Arial" w:eastAsia="Arial" w:hAnsi="Arial"/>
                <w:sz w:val="11"/>
                <w:szCs w:val="11"/>
                <w:color w:val="auto"/>
              </w:rPr>
              <w:t>(State or other jurisdiction of</w:t>
            </w:r>
          </w:p>
        </w:tc>
        <w:tc>
          <w:tcPr>
            <w:tcW w:w="1320" w:type="dxa"/>
            <w:vAlign w:val="bottom"/>
          </w:tcPr>
          <w:p>
            <w:pPr>
              <w:spacing w:after="0"/>
              <w:rPr>
                <w:sz w:val="15"/>
                <w:szCs w:val="15"/>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(Primary Standard Industrial</w:t>
            </w:r>
          </w:p>
        </w:tc>
        <w:tc>
          <w:tcPr>
            <w:tcW w:w="1720" w:type="dxa"/>
            <w:vAlign w:val="bottom"/>
          </w:tcPr>
          <w:p>
            <w:pPr>
              <w:jc w:val="center"/>
              <w:spacing w:after="0"/>
              <w:rPr>
                <w:sz w:val="20"/>
                <w:szCs w:val="20"/>
                <w:color w:val="auto"/>
              </w:rPr>
            </w:pPr>
            <w:r>
              <w:rPr>
                <w:rFonts w:ascii="Arial" w:cs="Arial" w:eastAsia="Arial" w:hAnsi="Arial"/>
                <w:sz w:val="11"/>
                <w:szCs w:val="11"/>
                <w:color w:val="auto"/>
              </w:rPr>
              <w:t>(I.R.S. Employer</w:t>
            </w:r>
          </w:p>
        </w:tc>
      </w:tr>
      <w:tr>
        <w:trPr>
          <w:trHeight w:val="137"/>
        </w:trPr>
        <w:tc>
          <w:tcPr>
            <w:tcW w:w="1600" w:type="dxa"/>
            <w:vAlign w:val="bottom"/>
          </w:tcPr>
          <w:p>
            <w:pPr>
              <w:jc w:val="center"/>
              <w:ind w:right="23"/>
              <w:spacing w:after="0"/>
              <w:rPr>
                <w:sz w:val="20"/>
                <w:szCs w:val="20"/>
                <w:color w:val="auto"/>
              </w:rPr>
            </w:pPr>
            <w:r>
              <w:rPr>
                <w:rFonts w:ascii="Arial" w:cs="Arial" w:eastAsia="Arial" w:hAnsi="Arial"/>
                <w:sz w:val="11"/>
                <w:szCs w:val="11"/>
                <w:color w:val="auto"/>
              </w:rPr>
              <w:t>incorporation or organization)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Classification Code Number)</w:t>
            </w:r>
          </w:p>
        </w:tc>
        <w:tc>
          <w:tcPr>
            <w:tcW w:w="1720" w:type="dxa"/>
            <w:vAlign w:val="bottom"/>
          </w:tcPr>
          <w:p>
            <w:pPr>
              <w:jc w:val="center"/>
              <w:spacing w:after="0"/>
              <w:rPr>
                <w:sz w:val="20"/>
                <w:szCs w:val="20"/>
                <w:color w:val="auto"/>
              </w:rPr>
            </w:pPr>
            <w:r>
              <w:rPr>
                <w:rFonts w:ascii="Arial" w:cs="Arial" w:eastAsia="Arial" w:hAnsi="Arial"/>
                <w:sz w:val="11"/>
                <w:szCs w:val="11"/>
                <w:color w:val="auto"/>
              </w:rPr>
              <w:t>Identification No.)</w:t>
            </w:r>
          </w:p>
        </w:tc>
      </w:tr>
      <w:tr>
        <w:trPr>
          <w:trHeight w:val="227"/>
        </w:trPr>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w w:val="99"/>
              </w:rPr>
              <w:t>401 SW 5</w:t>
            </w:r>
            <w:r>
              <w:rPr>
                <w:rFonts w:ascii="Arial" w:cs="Arial" w:eastAsia="Arial" w:hAnsi="Arial"/>
                <w:sz w:val="14"/>
                <w:szCs w:val="14"/>
                <w:b w:val="1"/>
                <w:bCs w:val="1"/>
                <w:color w:val="auto"/>
                <w:w w:val="99"/>
                <w:vertAlign w:val="superscript"/>
              </w:rPr>
              <w:t>th</w:t>
            </w:r>
            <w:r>
              <w:rPr>
                <w:rFonts w:ascii="Arial" w:cs="Arial" w:eastAsia="Arial" w:hAnsi="Arial"/>
                <w:sz w:val="11"/>
                <w:szCs w:val="11"/>
                <w:b w:val="1"/>
                <w:bCs w:val="1"/>
                <w:color w:val="auto"/>
                <w:w w:val="99"/>
              </w:rPr>
              <w:t xml:space="preserve"> Ave</w:t>
            </w:r>
          </w:p>
        </w:tc>
        <w:tc>
          <w:tcPr>
            <w:tcW w:w="1720" w:type="dxa"/>
            <w:vAlign w:val="bottom"/>
          </w:tcPr>
          <w:p>
            <w:pPr>
              <w:spacing w:after="0"/>
              <w:rPr>
                <w:sz w:val="19"/>
                <w:szCs w:val="19"/>
                <w:color w:val="auto"/>
              </w:rPr>
            </w:pPr>
          </w:p>
        </w:tc>
      </w:tr>
      <w:tr>
        <w:trPr>
          <w:trHeight w:val="134"/>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11"/>
                <w:szCs w:val="11"/>
                <w:color w:val="auto"/>
              </w:rPr>
            </w:pPr>
          </w:p>
        </w:tc>
      </w:tr>
      <w:tr>
        <w:trPr>
          <w:trHeight w:val="148"/>
        </w:trPr>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2"/>
                <w:szCs w:val="12"/>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63"/>
        </w:trPr>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David Barrett</w:t>
            </w:r>
          </w:p>
        </w:tc>
        <w:tc>
          <w:tcPr>
            <w:tcW w:w="1720" w:type="dxa"/>
            <w:vAlign w:val="bottom"/>
          </w:tcPr>
          <w:p>
            <w:pPr>
              <w:spacing w:after="0"/>
              <w:rPr>
                <w:sz w:val="14"/>
                <w:szCs w:val="14"/>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Chief Executive Officer</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60"/>
              <w:spacing w:after="0" w:line="110" w:lineRule="exact"/>
              <w:rPr>
                <w:sz w:val="20"/>
                <w:szCs w:val="20"/>
                <w:color w:val="auto"/>
              </w:rPr>
            </w:pPr>
            <w:r>
              <w:rPr>
                <w:rFonts w:ascii="Arial" w:cs="Arial" w:eastAsia="Arial" w:hAnsi="Arial"/>
                <w:sz w:val="11"/>
                <w:szCs w:val="11"/>
                <w:b w:val="1"/>
                <w:bCs w:val="1"/>
                <w:color w:val="auto"/>
              </w:rPr>
              <w:t>Expensify, Inc.</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0"/>
                <w:szCs w:val="10"/>
                <w:b w:val="1"/>
                <w:bCs w:val="1"/>
                <w:color w:val="auto"/>
              </w:rPr>
              <w:t>401 SW 5</w:t>
            </w:r>
            <w:r>
              <w:rPr>
                <w:rFonts w:ascii="Arial" w:cs="Arial" w:eastAsia="Arial" w:hAnsi="Arial"/>
                <w:sz w:val="12"/>
                <w:szCs w:val="12"/>
                <w:b w:val="1"/>
                <w:bCs w:val="1"/>
                <w:color w:val="auto"/>
                <w:vertAlign w:val="superscript"/>
              </w:rPr>
              <w:t>th</w:t>
            </w:r>
            <w:r>
              <w:rPr>
                <w:rFonts w:ascii="Arial" w:cs="Arial" w:eastAsia="Arial" w:hAnsi="Arial"/>
                <w:sz w:val="10"/>
                <w:szCs w:val="10"/>
                <w:b w:val="1"/>
                <w:bCs w:val="1"/>
                <w:color w:val="auto"/>
              </w:rPr>
              <w:t xml:space="preserve"> Ave</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9"/>
                <w:szCs w:val="9"/>
                <w:color w:val="auto"/>
              </w:rPr>
            </w:pPr>
          </w:p>
        </w:tc>
      </w:tr>
      <w:tr>
        <w:trPr>
          <w:trHeight w:val="129"/>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1"/>
                <w:szCs w:val="11"/>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97"/>
        </w:trPr>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Copies to:</w:t>
            </w:r>
          </w:p>
        </w:tc>
        <w:tc>
          <w:tcPr>
            <w:tcW w:w="1720" w:type="dxa"/>
            <w:vAlign w:val="bottom"/>
          </w:tcPr>
          <w:p>
            <w:pPr>
              <w:spacing w:after="0"/>
              <w:rPr>
                <w:sz w:val="17"/>
                <w:szCs w:val="17"/>
                <w:color w:val="auto"/>
              </w:rPr>
            </w:pPr>
          </w:p>
        </w:tc>
      </w:tr>
      <w:tr>
        <w:trPr>
          <w:trHeight w:val="166"/>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Tad J. Freese</w:t>
            </w: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Ryan Schaffer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Dave Peinsipp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Alexa M. Berlin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Chief Financial Officer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Kristin VanderPas</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Benjamin A. Potter</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Expensify, Inc.</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Denny Won</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Christopher Shoff</w:t>
            </w: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401 SW 5th Ave</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Cooley LLP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Latham &amp; Watkins LLP</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101 California Street, 5th Floor</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140 Scott Drive</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San Francisco, California 94111</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Menlo Park, California 94025</w:t>
            </w:r>
          </w:p>
        </w:tc>
        <w:tc>
          <w:tcPr>
            <w:tcW w:w="13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Telephone: (415) 693-2000</w:t>
            </w:r>
          </w:p>
        </w:tc>
      </w:tr>
      <w:tr>
        <w:trPr>
          <w:trHeight w:val="151"/>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Telephone: (650) 328-4600</w:t>
            </w:r>
          </w:p>
        </w:tc>
        <w:tc>
          <w:tcPr>
            <w:tcW w:w="13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117475</wp:posOffset>
            </wp:positionV>
            <wp:extent cx="2026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63500</wp:posOffset>
            </wp:positionV>
            <wp:extent cx="2026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09" w:lineRule="exact"/>
        <w:rPr>
          <w:sz w:val="24"/>
          <w:szCs w:val="24"/>
          <w:color w:val="auto"/>
        </w:rPr>
      </w:pPr>
    </w:p>
    <w:p>
      <w:pPr>
        <w:ind w:right="420"/>
        <w:spacing w:after="0" w:line="142"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9" w:lineRule="exact"/>
        <w:rPr>
          <w:sz w:val="24"/>
          <w:szCs w:val="24"/>
          <w:color w:val="auto"/>
        </w:rPr>
      </w:pPr>
    </w:p>
    <w:p>
      <w:pPr>
        <w:ind w:right="220"/>
        <w:spacing w:after="0" w:line="27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651" w:right="319" w:bottom="1440" w:gutter="0" w:footer="0" w:header="0"/>
        </w:sectPr>
      </w:pPr>
    </w:p>
    <w:p>
      <w:pPr>
        <w:spacing w:after="0" w:line="61"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b w:val="1"/>
          <w:bCs w:val="1"/>
          <w:color w:val="auto"/>
        </w:rPr>
        <w:t xml:space="preserve">Large accelerated filer </w:t>
      </w:r>
      <w:r>
        <w:rPr>
          <w:rFonts w:ascii="MS PGothic" w:cs="MS PGothic" w:eastAsia="MS PGothic" w:hAnsi="MS PGothic"/>
          <w:sz w:val="11"/>
          <w:szCs w:val="11"/>
          <w:color w:val="auto"/>
          <w:highlight w:val="black"/>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27" w:lineRule="exact"/>
        <w:rPr>
          <w:sz w:val="20"/>
          <w:szCs w:val="20"/>
          <w:color w:val="auto"/>
        </w:rPr>
      </w:pPr>
      <w:r>
        <w:rPr>
          <w:rFonts w:ascii="Arial" w:cs="Arial" w:eastAsia="Arial" w:hAnsi="Arial"/>
          <w:sz w:val="11"/>
          <w:szCs w:val="11"/>
          <w:b w:val="1"/>
          <w:bCs w:val="1"/>
          <w:color w:val="auto"/>
        </w:rPr>
        <w:t xml:space="preserve">Accelerated filer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sectPr>
          <w:pgSz w:w="11900" w:h="16838" w:orient="portrait"/>
          <w:cols w:equalWidth="0" w:num="2">
            <w:col w:w="7340" w:space="720"/>
            <w:col w:w="3200"/>
          </w:cols>
          <w:pgMar w:left="320" w:top="651" w:right="319" w:bottom="1440" w:gutter="0" w:footer="0" w:header="0"/>
          <w:type w:val="continuous"/>
        </w:sectPr>
      </w:pPr>
    </w:p>
    <w:p>
      <w:pPr>
        <w:ind w:left="20"/>
        <w:spacing w:after="0" w:line="127" w:lineRule="exact"/>
        <w:rPr>
          <w:sz w:val="20"/>
          <w:szCs w:val="20"/>
          <w:color w:val="auto"/>
        </w:rPr>
      </w:pPr>
      <w:r>
        <w:rPr>
          <w:rFonts w:ascii="Arial" w:cs="Arial" w:eastAsia="Arial" w:hAnsi="Arial"/>
          <w:sz w:val="11"/>
          <w:szCs w:val="11"/>
          <w:b w:val="1"/>
          <w:bCs w:val="1"/>
          <w:color w:val="auto"/>
        </w:rPr>
        <w:t xml:space="preserve">Non-accelerated filer </w:t>
      </w:r>
      <w:r>
        <w:rPr>
          <w:rFonts w:ascii="MS PGothic" w:cs="MS PGothic" w:eastAsia="MS PGothic" w:hAnsi="MS PGothic"/>
          <w:sz w:val="11"/>
          <w:szCs w:val="11"/>
          <w:color w:val="auto"/>
          <w:highlight w:val="black"/>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b w:val="1"/>
          <w:bCs w:val="1"/>
          <w:color w:val="auto"/>
        </w:rPr>
        <w:t xml:space="preserve">Smaller reporting company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sectPr>
          <w:pgSz w:w="11900" w:h="16838" w:orient="portrait"/>
          <w:cols w:equalWidth="0" w:num="2">
            <w:col w:w="7340" w:space="720"/>
            <w:col w:w="3200"/>
          </w:cols>
          <w:pgMar w:left="320" w:top="651" w:right="319" w:bottom="1440" w:gutter="0" w:footer="0" w:header="0"/>
          <w:type w:val="continuous"/>
        </w:sectPr>
      </w:pPr>
    </w:p>
    <w:p>
      <w:pPr>
        <w:ind w:left="20"/>
        <w:spacing w:after="0" w:line="127" w:lineRule="exact"/>
        <w:rPr>
          <w:sz w:val="20"/>
          <w:szCs w:val="20"/>
          <w:color w:val="auto"/>
        </w:rPr>
      </w:pPr>
      <w:r>
        <w:rPr>
          <w:rFonts w:ascii="Arial" w:cs="Arial" w:eastAsia="Arial" w:hAnsi="Arial"/>
          <w:sz w:val="11"/>
          <w:szCs w:val="11"/>
          <w:b w:val="1"/>
          <w:bCs w:val="1"/>
          <w:color w:val="auto"/>
        </w:rPr>
        <w:t xml:space="preserve">Emerging growth company </w:t>
      </w:r>
      <w:r>
        <w:rPr>
          <w:rFonts w:ascii="MS PGothic" w:cs="MS PGothic" w:eastAsia="MS PGothic" w:hAnsi="MS PGothic"/>
          <w:sz w:val="11"/>
          <w:szCs w:val="11"/>
          <w:color w:val="auto"/>
          <w:highlight w:val="black"/>
        </w:rPr>
        <w:t>☒</w:t>
      </w:r>
    </w:p>
    <w:p>
      <w:pPr>
        <w:sectPr>
          <w:pgSz w:w="11900" w:h="16838" w:orient="portrait"/>
          <w:cols w:equalWidth="0" w:num="1">
            <w:col w:w="11260"/>
          </w:cols>
          <w:pgMar w:left="320" w:top="651" w:right="319" w:bottom="1440" w:gutter="0" w:footer="0" w:header="0"/>
          <w:type w:val="continuous"/>
        </w:sectPr>
      </w:pPr>
    </w:p>
    <w:p>
      <w:pPr>
        <w:spacing w:after="0" w:line="146" w:lineRule="exact"/>
        <w:rPr>
          <w:sz w:val="24"/>
          <w:szCs w:val="24"/>
          <w:color w:val="auto"/>
        </w:rPr>
      </w:pPr>
    </w:p>
    <w:p>
      <w:pPr>
        <w:ind w:right="140"/>
        <w:spacing w:after="0" w:line="176"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36195</wp:posOffset>
            </wp:positionV>
            <wp:extent cx="2026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gridSpan w:val="4"/>
          </w:tcPr>
          <w:p>
            <w:pPr>
              <w:ind w:left="280"/>
              <w:spacing w:after="0"/>
              <w:rPr>
                <w:sz w:val="20"/>
                <w:szCs w:val="20"/>
                <w:color w:val="auto"/>
              </w:rPr>
            </w:pPr>
            <w:r>
              <w:rPr>
                <w:rFonts w:ascii="Arial" w:cs="Arial" w:eastAsia="Arial" w:hAnsi="Arial"/>
                <w:sz w:val="11"/>
                <w:szCs w:val="11"/>
                <w:b w:val="1"/>
                <w:bCs w:val="1"/>
                <w:color w:val="auto"/>
              </w:rPr>
              <w:t>CALCULATION OF REGISTRATION FEE</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Proposed</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42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Title of each class of</w:t>
            </w: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Proposed maximum offering</w:t>
            </w:r>
          </w:p>
        </w:tc>
        <w:tc>
          <w:tcPr>
            <w:tcW w:w="180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rPr>
              <w:t>maximum</w:t>
            </w:r>
          </w:p>
        </w:tc>
        <w:tc>
          <w:tcPr>
            <w:tcW w:w="1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 of</w:t>
            </w:r>
          </w:p>
        </w:tc>
        <w:tc>
          <w:tcPr>
            <w:tcW w:w="0" w:type="dxa"/>
            <w:vAlign w:val="bottom"/>
          </w:tcPr>
          <w:p>
            <w:pPr>
              <w:spacing w:after="0"/>
              <w:rPr>
                <w:sz w:val="1"/>
                <w:szCs w:val="1"/>
                <w:color w:val="auto"/>
              </w:rPr>
            </w:pPr>
          </w:p>
        </w:tc>
      </w:tr>
      <w:tr>
        <w:trPr>
          <w:trHeight w:val="110"/>
        </w:trPr>
        <w:tc>
          <w:tcPr>
            <w:tcW w:w="4280" w:type="dxa"/>
            <w:vAlign w:val="bottom"/>
            <w:gridSpan w:val="2"/>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 to be registered</w:t>
            </w:r>
            <w:r>
              <w:rPr>
                <w:rFonts w:ascii="Arial" w:cs="Arial" w:eastAsia="Arial" w:hAnsi="Arial"/>
                <w:sz w:val="14"/>
                <w:szCs w:val="14"/>
                <w:b w:val="1"/>
                <w:bCs w:val="1"/>
                <w:color w:val="auto"/>
                <w:vertAlign w:val="superscript"/>
              </w:rPr>
              <w:t>(1)</w:t>
            </w:r>
          </w:p>
        </w:tc>
        <w:tc>
          <w:tcPr>
            <w:tcW w:w="100" w:type="dxa"/>
            <w:vAlign w:val="bottom"/>
            <w:vMerge w:val="restart"/>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8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rPr>
              <w:t>aggregate</w:t>
            </w: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securities to be registered</w:t>
            </w:r>
          </w:p>
        </w:tc>
        <w:tc>
          <w:tcPr>
            <w:tcW w:w="100" w:type="dxa"/>
            <w:vAlign w:val="bottom"/>
          </w:tcPr>
          <w:p>
            <w:pPr>
              <w:spacing w:after="0"/>
              <w:rPr>
                <w:sz w:val="13"/>
                <w:szCs w:val="13"/>
                <w:color w:val="auto"/>
              </w:rPr>
            </w:pPr>
          </w:p>
        </w:tc>
        <w:tc>
          <w:tcPr>
            <w:tcW w:w="1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price per share</w:t>
            </w:r>
          </w:p>
        </w:tc>
        <w:tc>
          <w:tcPr>
            <w:tcW w:w="100" w:type="dxa"/>
            <w:vAlign w:val="bottom"/>
          </w:tcPr>
          <w:p>
            <w:pPr>
              <w:spacing w:after="0"/>
              <w:rPr>
                <w:sz w:val="13"/>
                <w:szCs w:val="13"/>
                <w:color w:val="auto"/>
              </w:rPr>
            </w:pPr>
          </w:p>
        </w:tc>
        <w:tc>
          <w:tcPr>
            <w:tcW w:w="17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rPr>
              <w:t>offering price</w:t>
            </w:r>
            <w:r>
              <w:rPr>
                <w:rFonts w:ascii="Arial" w:cs="Arial" w:eastAsia="Arial" w:hAnsi="Arial"/>
                <w:sz w:val="14"/>
                <w:szCs w:val="14"/>
                <w:b w:val="1"/>
                <w:bCs w:val="1"/>
                <w:color w:val="auto"/>
                <w:vertAlign w:val="superscript"/>
              </w:rPr>
              <w:t>(2)</w:t>
            </w:r>
          </w:p>
        </w:tc>
        <w:tc>
          <w:tcPr>
            <w:tcW w:w="100" w:type="dxa"/>
            <w:vAlign w:val="bottom"/>
          </w:tcPr>
          <w:p>
            <w:pPr>
              <w:spacing w:after="0"/>
              <w:rPr>
                <w:sz w:val="13"/>
                <w:szCs w:val="13"/>
                <w:color w:val="auto"/>
              </w:rPr>
            </w:pPr>
          </w:p>
        </w:tc>
        <w:tc>
          <w:tcPr>
            <w:tcW w:w="17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187"/>
        </w:trPr>
        <w:tc>
          <w:tcPr>
            <w:tcW w:w="4280" w:type="dxa"/>
            <w:vAlign w:val="bottom"/>
            <w:gridSpan w:val="2"/>
          </w:tcPr>
          <w:p>
            <w:pPr>
              <w:jc w:val="center"/>
              <w:ind w:right="80"/>
              <w:spacing w:after="0"/>
              <w:rPr>
                <w:sz w:val="20"/>
                <w:szCs w:val="20"/>
                <w:color w:val="auto"/>
              </w:rPr>
            </w:pPr>
            <w:r>
              <w:rPr>
                <w:rFonts w:ascii="Arial" w:cs="Arial" w:eastAsia="Arial" w:hAnsi="Arial"/>
                <w:sz w:val="11"/>
                <w:szCs w:val="11"/>
                <w:color w:val="auto"/>
              </w:rPr>
              <w:t>Class A Common Stock, par value $0.0001 per share</w:t>
            </w:r>
          </w:p>
        </w:tc>
        <w:tc>
          <w:tcPr>
            <w:tcW w:w="1640" w:type="dxa"/>
            <w:vAlign w:val="bottom"/>
          </w:tcPr>
          <w:p>
            <w:pPr>
              <w:jc w:val="right"/>
              <w:ind w:right="483"/>
              <w:spacing w:after="0"/>
              <w:rPr>
                <w:sz w:val="20"/>
                <w:szCs w:val="20"/>
                <w:color w:val="auto"/>
              </w:rPr>
            </w:pPr>
            <w:r>
              <w:rPr>
                <w:rFonts w:ascii="Arial" w:cs="Arial" w:eastAsia="Arial" w:hAnsi="Arial"/>
                <w:sz w:val="11"/>
                <w:szCs w:val="11"/>
                <w:color w:val="auto"/>
              </w:rPr>
              <w:t>11,190,392</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1"/>
                <w:szCs w:val="11"/>
                <w:color w:val="auto"/>
              </w:rPr>
              <w:t>$27.00</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1"/>
                <w:szCs w:val="11"/>
                <w:color w:val="auto"/>
              </w:rPr>
              <w:t>$302,140,584</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1"/>
                <w:szCs w:val="11"/>
                <w:color w:val="auto"/>
                <w:w w:val="97"/>
              </w:rPr>
              <w:t>$28,009</w:t>
            </w:r>
            <w:r>
              <w:rPr>
                <w:rFonts w:ascii="Arial" w:cs="Arial" w:eastAsia="Arial" w:hAnsi="Arial"/>
                <w:sz w:val="14"/>
                <w:szCs w:val="14"/>
                <w:color w:val="auto"/>
                <w:w w:val="97"/>
                <w:vertAlign w:val="superscript"/>
              </w:rPr>
              <w:t>(3)</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580" w:hanging="290"/>
        <w:spacing w:after="0"/>
        <w:tabs>
          <w:tab w:leader="none" w:pos="580" w:val="left"/>
        </w:tabs>
        <w:numPr>
          <w:ilvl w:val="0"/>
          <w:numId w:val="1"/>
        </w:numPr>
        <w:rPr>
          <w:rFonts w:ascii="Arial" w:cs="Arial" w:eastAsia="Arial" w:hAnsi="Arial"/>
          <w:sz w:val="10"/>
          <w:szCs w:val="10"/>
          <w:color w:val="auto"/>
        </w:rPr>
      </w:pPr>
      <w:r>
        <w:rPr>
          <w:rFonts w:ascii="Arial" w:cs="Arial" w:eastAsia="Arial" w:hAnsi="Arial"/>
          <w:sz w:val="10"/>
          <w:szCs w:val="10"/>
          <w:color w:val="auto"/>
        </w:rPr>
        <w:t>Includes the aggregate offering price of 1,459,616 additional shares that the underwriters have the option to purchase.</w:t>
      </w:r>
    </w:p>
    <w:p>
      <w:pPr>
        <w:ind w:left="580" w:hanging="290"/>
        <w:spacing w:after="0" w:line="228" w:lineRule="auto"/>
        <w:tabs>
          <w:tab w:leader="none" w:pos="58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calculating the registration fee in accordance with Rule 457(a) under the Securities Act of 1933, as amended.</w:t>
      </w:r>
    </w:p>
    <w:p>
      <w:pPr>
        <w:ind w:left="580" w:hanging="290"/>
        <w:spacing w:after="0"/>
        <w:tabs>
          <w:tab w:leader="none" w:pos="580" w:val="left"/>
        </w:tabs>
        <w:numPr>
          <w:ilvl w:val="0"/>
          <w:numId w:val="1"/>
        </w:numPr>
        <w:rPr>
          <w:rFonts w:ascii="Arial" w:cs="Arial" w:eastAsia="Arial" w:hAnsi="Arial"/>
          <w:sz w:val="10"/>
          <w:szCs w:val="10"/>
          <w:color w:val="auto"/>
        </w:rPr>
      </w:pPr>
      <w:r>
        <w:rPr>
          <w:rFonts w:ascii="Arial" w:cs="Arial" w:eastAsia="Arial" w:hAnsi="Arial"/>
          <w:sz w:val="10"/>
          <w:szCs w:val="10"/>
          <w:color w:val="auto"/>
        </w:rPr>
        <w:t>The registrant previously paid $25,934 in connection with the previous filings of the registration statement.</w:t>
      </w:r>
    </w:p>
    <w:p>
      <w:pPr>
        <w:spacing w:after="0" w:line="27" w:lineRule="exact"/>
        <w:rPr>
          <w:sz w:val="24"/>
          <w:szCs w:val="24"/>
          <w:color w:val="auto"/>
        </w:rPr>
      </w:pPr>
    </w:p>
    <w:p>
      <w:pPr>
        <w:ind w:right="20"/>
        <w:spacing w:after="0" w:line="277"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456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5080</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51" w:right="319" w:bottom="1440" w:gutter="0" w:footer="0" w:header="0"/>
          <w:type w:val="continuous"/>
        </w:sectPr>
      </w:pPr>
    </w:p>
    <w:bookmarkStart w:id="1" w:name="page2"/>
    <w:bookmarkEnd w:id="1"/>
    <w:p>
      <w:pPr>
        <w:ind w:left="500" w:right="859"/>
        <w:spacing w:after="0" w:line="247" w:lineRule="auto"/>
        <w:rPr>
          <w:sz w:val="20"/>
          <w:szCs w:val="20"/>
          <w:color w:val="auto"/>
        </w:rPr>
      </w:pPr>
      <w:r>
        <w:rPr>
          <w:rFonts w:ascii="Arial" w:cs="Arial" w:eastAsia="Arial" w:hAnsi="Arial"/>
          <w:sz w:val="15"/>
          <w:szCs w:val="15"/>
          <w:b w:val="1"/>
          <w:bCs w:val="1"/>
          <w:color w:val="A6555F"/>
        </w:rPr>
        <w:drawing>
          <wp:anchor simplePos="0" relativeHeight="251657728" behindDoc="1" locked="0" layoutInCell="0" allowOverlap="1">
            <wp:simplePos x="0" y="0"/>
            <wp:positionH relativeFrom="page">
              <wp:posOffset>619125</wp:posOffset>
            </wp:positionH>
            <wp:positionV relativeFrom="page">
              <wp:posOffset>328930</wp:posOffset>
            </wp:positionV>
            <wp:extent cx="6310630" cy="8189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0630" cy="8189595"/>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6555F"/>
        </w:rPr>
        <w:t>Subject to completion, dated November 8, 2021</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5"/>
          <w:szCs w:val="15"/>
          <w:color w:val="FFFFFF"/>
        </w:rPr>
        <w:t>Preliminary prospectus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26"/>
          <w:szCs w:val="26"/>
          <w:b w:val="1"/>
          <w:bCs w:val="1"/>
          <w:i w:val="1"/>
          <w:iCs w:val="1"/>
          <w:color w:val="FFFFFF"/>
        </w:rPr>
        <w:t>9,730,776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spacing w:after="0"/>
        <w:rPr>
          <w:sz w:val="20"/>
          <w:szCs w:val="20"/>
          <w:color w:val="auto"/>
        </w:rPr>
      </w:pPr>
      <w:r>
        <w:rPr>
          <w:rFonts w:ascii="Arial" w:cs="Arial" w:eastAsia="Arial" w:hAnsi="Arial"/>
          <w:sz w:val="26"/>
          <w:szCs w:val="26"/>
          <w:b w:val="1"/>
          <w:bCs w:val="1"/>
          <w:color w:val="FFFFFF"/>
        </w:rPr>
        <w:t>Expensify, Inc.</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FFFFFF"/>
        </w:rPr>
        <w:t>Class A common stock</w:t>
      </w:r>
    </w:p>
    <w:p>
      <w:pPr>
        <w:spacing w:after="0" w:line="167" w:lineRule="exact"/>
        <w:rPr>
          <w:sz w:val="20"/>
          <w:szCs w:val="20"/>
          <w:color w:val="auto"/>
        </w:rPr>
      </w:pPr>
    </w:p>
    <w:p>
      <w:pPr>
        <w:ind w:left="500" w:right="599"/>
        <w:spacing w:after="0" w:line="261" w:lineRule="auto"/>
        <w:rPr>
          <w:sz w:val="20"/>
          <w:szCs w:val="20"/>
          <w:color w:val="auto"/>
        </w:rPr>
      </w:pPr>
      <w:r>
        <w:rPr>
          <w:rFonts w:ascii="Arial" w:cs="Arial" w:eastAsia="Arial" w:hAnsi="Arial"/>
          <w:sz w:val="14"/>
          <w:szCs w:val="14"/>
          <w:color w:val="FFFFFF"/>
        </w:rPr>
        <w:t>This is an initial public offering of shares of Class A common stock by Expensify, Inc. We are offering 2,608,696 shares of our Class A common stock and the selling stockholders identified in this prospectus are offering an additional 7,122,080 shares of Class A common stock. We will not receive any proceeds from the sale of shares by the selling stockholders. We currently expect the initial public offering price to be between $25.00 and $27.00 per share of common stock.</w:t>
      </w:r>
    </w:p>
    <w:p>
      <w:pPr>
        <w:spacing w:after="0" w:line="116"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Prior to this offering, there has been no public market for our common stock. We have applied to list our Class A common stock on The Nasdaq Global Market ("Nasdaq") under the symbol “EXFY.”</w:t>
      </w:r>
    </w:p>
    <w:p>
      <w:pPr>
        <w:spacing w:after="0" w:line="91" w:lineRule="exact"/>
        <w:rPr>
          <w:sz w:val="20"/>
          <w:szCs w:val="20"/>
          <w:color w:val="auto"/>
        </w:rPr>
      </w:pPr>
    </w:p>
    <w:p>
      <w:pPr>
        <w:ind w:left="500" w:right="559"/>
        <w:spacing w:after="0" w:line="238" w:lineRule="auto"/>
        <w:rPr>
          <w:sz w:val="20"/>
          <w:szCs w:val="20"/>
          <w:color w:val="auto"/>
        </w:rPr>
      </w:pPr>
      <w:r>
        <w:rPr>
          <w:rFonts w:ascii="Arial" w:cs="Arial" w:eastAsia="Arial" w:hAnsi="Arial"/>
          <w:sz w:val="15"/>
          <w:szCs w:val="15"/>
          <w:color w:val="FFFFFF"/>
        </w:rPr>
        <w:t xml:space="preserve">Following this offering, we will have three classes of common stock: Class A, LT10 and LT50 common stock. This is a novel capital structure that differs significantly from those of other companies that have dual or multiple class capital structures. The rights of holders of Class A, LT10 and LT50 common stock are identical, except for voting, transfer and conversion rights. Each share of Class A common stock is entitled to one vote. Each share of LT10 and LT50 common stock is entitled to </w:t>
      </w:r>
      <w:r>
        <w:rPr>
          <w:rFonts w:ascii="Arial" w:cs="Arial" w:eastAsia="Arial" w:hAnsi="Arial"/>
          <w:sz w:val="15"/>
          <w:szCs w:val="15"/>
          <w:b w:val="1"/>
          <w:bCs w:val="1"/>
          <w:color w:val="FFFFFF"/>
        </w:rPr>
        <w:t>10</w:t>
      </w:r>
      <w:r>
        <w:rPr>
          <w:rFonts w:ascii="Arial" w:cs="Arial" w:eastAsia="Arial" w:hAnsi="Arial"/>
          <w:sz w:val="15"/>
          <w:szCs w:val="15"/>
          <w:color w:val="FFFFFF"/>
        </w:rPr>
        <w:t xml:space="preserve"> and </w:t>
      </w:r>
      <w:r>
        <w:rPr>
          <w:rFonts w:ascii="Arial" w:cs="Arial" w:eastAsia="Arial" w:hAnsi="Arial"/>
          <w:sz w:val="15"/>
          <w:szCs w:val="15"/>
          <w:b w:val="1"/>
          <w:bCs w:val="1"/>
          <w:color w:val="FFFFFF"/>
        </w:rPr>
        <w:t>50</w:t>
      </w:r>
      <w:r>
        <w:rPr>
          <w:rFonts w:ascii="Arial" w:cs="Arial" w:eastAsia="Arial" w:hAnsi="Arial"/>
          <w:sz w:val="15"/>
          <w:szCs w:val="15"/>
          <w:color w:val="FFFFFF"/>
        </w:rPr>
        <w:t xml:space="preserve"> votes, respectively, and is convertible into one share of Class A common stock only upon, and generally cannot be transferred without, satisfaction of certain notice and other requirements, including a restricted period of </w:t>
      </w:r>
      <w:r>
        <w:rPr>
          <w:rFonts w:ascii="Arial" w:cs="Arial" w:eastAsia="Arial" w:hAnsi="Arial"/>
          <w:sz w:val="15"/>
          <w:szCs w:val="15"/>
          <w:b w:val="1"/>
          <w:bCs w:val="1"/>
          <w:color w:val="FFFFFF"/>
        </w:rPr>
        <w:t>10</w:t>
      </w:r>
      <w:r>
        <w:rPr>
          <w:rFonts w:ascii="Arial" w:cs="Arial" w:eastAsia="Arial" w:hAnsi="Arial"/>
          <w:sz w:val="15"/>
          <w:szCs w:val="15"/>
          <w:color w:val="FFFFFF"/>
        </w:rPr>
        <w:t xml:space="preserve"> </w:t>
      </w:r>
      <w:r>
        <w:rPr>
          <w:rFonts w:ascii="Arial" w:cs="Arial" w:eastAsia="Arial" w:hAnsi="Arial"/>
          <w:sz w:val="15"/>
          <w:szCs w:val="15"/>
          <w:b w:val="1"/>
          <w:bCs w:val="1"/>
          <w:color w:val="FFFFFF"/>
        </w:rPr>
        <w:t xml:space="preserve">months </w:t>
      </w:r>
      <w:r>
        <w:rPr>
          <w:rFonts w:ascii="Arial" w:cs="Arial" w:eastAsia="Arial" w:hAnsi="Arial"/>
          <w:sz w:val="15"/>
          <w:szCs w:val="15"/>
          <w:color w:val="FFFFFF"/>
        </w:rPr>
        <w:t>and</w:t>
      </w:r>
      <w:r>
        <w:rPr>
          <w:rFonts w:ascii="Arial" w:cs="Arial" w:eastAsia="Arial" w:hAnsi="Arial"/>
          <w:sz w:val="15"/>
          <w:szCs w:val="15"/>
          <w:b w:val="1"/>
          <w:bCs w:val="1"/>
          <w:color w:val="FFFFFF"/>
        </w:rPr>
        <w:t xml:space="preserve"> 50 months</w:t>
      </w:r>
      <w:r>
        <w:rPr>
          <w:rFonts w:ascii="Arial" w:cs="Arial" w:eastAsia="Arial" w:hAnsi="Arial"/>
          <w:sz w:val="15"/>
          <w:szCs w:val="15"/>
          <w:color w:val="FFFFFF"/>
        </w:rPr>
        <w:t>, respectively. All of the shares of LT10 and LT50 common stock will be held by a voting trust</w:t>
      </w:r>
      <w:r>
        <w:rPr>
          <w:rFonts w:ascii="Arial" w:cs="Arial" w:eastAsia="Arial" w:hAnsi="Arial"/>
          <w:sz w:val="15"/>
          <w:szCs w:val="15"/>
          <w:b w:val="1"/>
          <w:bCs w:val="1"/>
          <w:color w:val="FFFFFF"/>
        </w:rPr>
        <w:t xml:space="preserve"> </w:t>
      </w:r>
      <w:r>
        <w:rPr>
          <w:rFonts w:ascii="Arial" w:cs="Arial" w:eastAsia="Arial" w:hAnsi="Arial"/>
          <w:sz w:val="15"/>
          <w:szCs w:val="15"/>
          <w:color w:val="FFFFFF"/>
        </w:rPr>
        <w:t>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92"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We are an “emerging growth company” as defined under the federal securities laws and, as such, have elected to comply with certain reduced reporting requirements.</w:t>
      </w:r>
    </w:p>
    <w:p>
      <w:pPr>
        <w:spacing w:after="0" w:line="138" w:lineRule="exact"/>
        <w:rPr>
          <w:sz w:val="20"/>
          <w:szCs w:val="20"/>
          <w:color w:val="auto"/>
        </w:rPr>
      </w:pPr>
    </w:p>
    <w:tbl>
      <w:tblPr>
        <w:tblLayout w:type="fixed"/>
        <w:tblInd w:w="480" w:type="dxa"/>
        <w:tblCellMar>
          <w:top w:w="0" w:type="dxa"/>
          <w:left w:w="0" w:type="dxa"/>
          <w:bottom w:w="0" w:type="dxa"/>
          <w:right w:w="0" w:type="dxa"/>
        </w:tblCellMar>
      </w:tblPr>
      <w:tr>
        <w:trPr>
          <w:trHeight w:val="49"/>
        </w:trPr>
        <w:tc>
          <w:tcPr>
            <w:tcW w:w="2640" w:type="dxa"/>
            <w:vAlign w:val="bottom"/>
            <w:shd w:val="clear" w:color="auto" w:fill="0B1B34"/>
          </w:tcPr>
          <w:p>
            <w:pPr>
              <w:spacing w:after="0"/>
              <w:rPr>
                <w:sz w:val="4"/>
                <w:szCs w:val="4"/>
                <w:color w:val="auto"/>
              </w:rPr>
            </w:pPr>
          </w:p>
        </w:tc>
        <w:tc>
          <w:tcPr>
            <w:tcW w:w="26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9"/>
        </w:trPr>
        <w:tc>
          <w:tcPr>
            <w:tcW w:w="2640" w:type="dxa"/>
            <w:vAlign w:val="bottom"/>
            <w:shd w:val="clear" w:color="auto" w:fill="0B1B34"/>
          </w:tcPr>
          <w:p>
            <w:pPr>
              <w:spacing w:after="0"/>
              <w:rPr>
                <w:sz w:val="20"/>
                <w:szCs w:val="20"/>
                <w:color w:val="auto"/>
              </w:rPr>
            </w:pPr>
          </w:p>
        </w:tc>
        <w:tc>
          <w:tcPr>
            <w:tcW w:w="2600" w:type="dxa"/>
            <w:vAlign w:val="bottom"/>
            <w:shd w:val="clear" w:color="auto" w:fill="0B1B34"/>
          </w:tcPr>
          <w:p>
            <w:pPr>
              <w:spacing w:after="0"/>
              <w:rPr>
                <w:sz w:val="20"/>
                <w:szCs w:val="20"/>
                <w:color w:val="auto"/>
              </w:rPr>
            </w:pPr>
          </w:p>
        </w:tc>
        <w:tc>
          <w:tcPr>
            <w:tcW w:w="1400" w:type="dxa"/>
            <w:vAlign w:val="bottom"/>
            <w:shd w:val="clear" w:color="auto" w:fill="0B1B34"/>
          </w:tcPr>
          <w:p>
            <w:pPr>
              <w:jc w:val="right"/>
              <w:ind w:right="247"/>
              <w:spacing w:after="0"/>
              <w:rPr>
                <w:sz w:val="20"/>
                <w:szCs w:val="20"/>
                <w:color w:val="auto"/>
              </w:rPr>
            </w:pPr>
            <w:r>
              <w:rPr>
                <w:rFonts w:ascii="Arial" w:cs="Arial" w:eastAsia="Arial" w:hAnsi="Arial"/>
                <w:sz w:val="15"/>
                <w:szCs w:val="15"/>
                <w:b w:val="1"/>
                <w:bCs w:val="1"/>
                <w:color w:val="FFFFFF"/>
              </w:rPr>
              <w:t>Per share</w:t>
            </w:r>
          </w:p>
        </w:tc>
        <w:tc>
          <w:tcPr>
            <w:tcW w:w="1400" w:type="dxa"/>
            <w:vAlign w:val="bottom"/>
            <w:shd w:val="clear" w:color="auto" w:fill="0B1B34"/>
          </w:tcPr>
          <w:p>
            <w:pPr>
              <w:jc w:val="right"/>
              <w:ind w:right="407"/>
              <w:spacing w:after="0"/>
              <w:rPr>
                <w:sz w:val="20"/>
                <w:szCs w:val="20"/>
                <w:color w:val="auto"/>
              </w:rPr>
            </w:pPr>
            <w:r>
              <w:rPr>
                <w:rFonts w:ascii="Arial" w:cs="Arial" w:eastAsia="Arial" w:hAnsi="Arial"/>
                <w:sz w:val="15"/>
                <w:szCs w:val="15"/>
                <w:b w:val="1"/>
                <w:bCs w:val="1"/>
                <w:color w:val="FFFFFF"/>
              </w:rPr>
              <w:t>Total</w:t>
            </w:r>
          </w:p>
        </w:tc>
      </w:tr>
      <w:tr>
        <w:trPr>
          <w:trHeight w:val="207"/>
        </w:trPr>
        <w:tc>
          <w:tcPr>
            <w:tcW w:w="524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Initial public offering price</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200"/>
        </w:trPr>
        <w:tc>
          <w:tcPr>
            <w:tcW w:w="5240" w:type="dxa"/>
            <w:vAlign w:val="bottom"/>
            <w:gridSpan w:val="2"/>
            <w:shd w:val="clear" w:color="auto" w:fill="0B1B34"/>
          </w:tcPr>
          <w:p>
            <w:pPr>
              <w:ind w:left="20"/>
              <w:spacing w:after="0" w:line="200" w:lineRule="exact"/>
              <w:rPr>
                <w:sz w:val="20"/>
                <w:szCs w:val="20"/>
                <w:color w:val="auto"/>
              </w:rPr>
            </w:pPr>
            <w:r>
              <w:rPr>
                <w:rFonts w:ascii="Arial" w:cs="Arial" w:eastAsia="Arial" w:hAnsi="Arial"/>
                <w:sz w:val="15"/>
                <w:szCs w:val="15"/>
                <w:color w:val="FFFFFF"/>
              </w:rPr>
              <w:t>Underwriting discounts and commissions</w:t>
            </w:r>
            <w:r>
              <w:rPr>
                <w:rFonts w:ascii="Arial" w:cs="Arial" w:eastAsia="Arial" w:hAnsi="Arial"/>
                <w:sz w:val="18"/>
                <w:szCs w:val="18"/>
                <w:color w:val="FFFFFF"/>
                <w:vertAlign w:val="superscript"/>
              </w:rPr>
              <w:t>(1)</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0"/>
        </w:trPr>
        <w:tc>
          <w:tcPr>
            <w:tcW w:w="524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Expensify, Inc., before expenses</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5"/>
        </w:trPr>
        <w:tc>
          <w:tcPr>
            <w:tcW w:w="524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the selling stockholders, before expenses</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53"/>
        </w:trPr>
        <w:tc>
          <w:tcPr>
            <w:tcW w:w="2640" w:type="dxa"/>
            <w:vAlign w:val="bottom"/>
            <w:shd w:val="clear" w:color="auto" w:fill="0B1B34"/>
          </w:tcPr>
          <w:p>
            <w:pPr>
              <w:spacing w:after="0"/>
              <w:rPr>
                <w:sz w:val="4"/>
                <w:szCs w:val="4"/>
                <w:color w:val="auto"/>
              </w:rPr>
            </w:pPr>
          </w:p>
        </w:tc>
        <w:tc>
          <w:tcPr>
            <w:tcW w:w="2600" w:type="dxa"/>
            <w:vAlign w:val="bottom"/>
            <w:shd w:val="clear" w:color="auto" w:fill="0B1B34"/>
          </w:tcPr>
          <w:p>
            <w:pPr>
              <w:spacing w:after="0"/>
              <w:rPr>
                <w:sz w:val="4"/>
                <w:szCs w:val="4"/>
                <w:color w:val="auto"/>
              </w:rPr>
            </w:pPr>
          </w:p>
        </w:tc>
        <w:tc>
          <w:tcPr>
            <w:tcW w:w="1400" w:type="dxa"/>
            <w:vAlign w:val="bottom"/>
            <w:shd w:val="clear" w:color="auto" w:fill="0B1B34"/>
          </w:tcPr>
          <w:p>
            <w:pPr>
              <w:spacing w:after="0"/>
              <w:rPr>
                <w:sz w:val="4"/>
                <w:szCs w:val="4"/>
                <w:color w:val="auto"/>
              </w:rPr>
            </w:pPr>
          </w:p>
        </w:tc>
        <w:tc>
          <w:tcPr>
            <w:tcW w:w="1400" w:type="dxa"/>
            <w:vAlign w:val="bottom"/>
            <w:shd w:val="clear" w:color="auto" w:fill="0B1B34"/>
          </w:tcPr>
          <w:p>
            <w:pPr>
              <w:spacing w:after="0"/>
              <w:rPr>
                <w:sz w:val="4"/>
                <w:szCs w:val="4"/>
                <w:color w:val="auto"/>
              </w:rPr>
            </w:pPr>
          </w:p>
        </w:tc>
      </w:tr>
    </w:tbl>
    <w:p>
      <w:pPr>
        <w:spacing w:after="0" w:line="36" w:lineRule="exact"/>
        <w:rPr>
          <w:sz w:val="20"/>
          <w:szCs w:val="20"/>
          <w:color w:val="auto"/>
        </w:rPr>
      </w:pPr>
    </w:p>
    <w:p>
      <w:pPr>
        <w:ind w:left="500"/>
        <w:spacing w:after="0"/>
        <w:tabs>
          <w:tab w:leader="none" w:pos="760" w:val="left"/>
        </w:tabs>
        <w:rPr>
          <w:sz w:val="20"/>
          <w:szCs w:val="20"/>
          <w:color w:val="auto"/>
        </w:rPr>
      </w:pPr>
      <w:r>
        <w:rPr>
          <w:rFonts w:ascii="Arial" w:cs="Arial" w:eastAsia="Arial" w:hAnsi="Arial"/>
          <w:sz w:val="12"/>
          <w:szCs w:val="12"/>
          <w:color w:val="FFFFFF"/>
        </w:rPr>
        <w:t>(1)</w:t>
        <w:tab/>
        <w:t>See “Underwriting” for a description of the compensation payable to the underwriters.</w:t>
      </w:r>
    </w:p>
    <w:p>
      <w:pPr>
        <w:spacing w:after="0" w:line="132" w:lineRule="exact"/>
        <w:rPr>
          <w:sz w:val="20"/>
          <w:szCs w:val="20"/>
          <w:color w:val="auto"/>
        </w:rPr>
      </w:pPr>
    </w:p>
    <w:p>
      <w:pPr>
        <w:jc w:val="both"/>
        <w:ind w:left="500" w:right="799"/>
        <w:spacing w:after="0" w:line="239" w:lineRule="auto"/>
        <w:rPr>
          <w:sz w:val="20"/>
          <w:szCs w:val="20"/>
          <w:color w:val="auto"/>
        </w:rPr>
      </w:pPr>
      <w:r>
        <w:rPr>
          <w:rFonts w:ascii="Arial" w:cs="Arial" w:eastAsia="Arial" w:hAnsi="Arial"/>
          <w:sz w:val="15"/>
          <w:szCs w:val="15"/>
          <w:color w:val="FFFFFF"/>
        </w:rPr>
        <w:t>Certain of the selling stockholders have granted the underwriters the option for a period of 30 days to purchase up to an additional 1,459,616 shares from them, in each case at the initial price to the public less the underwriting discounts and commissions.</w:t>
      </w:r>
    </w:p>
    <w:p>
      <w:pPr>
        <w:spacing w:after="0" w:line="112" w:lineRule="exact"/>
        <w:rPr>
          <w:sz w:val="20"/>
          <w:szCs w:val="20"/>
          <w:color w:val="auto"/>
        </w:rPr>
      </w:pPr>
    </w:p>
    <w:p>
      <w:pPr>
        <w:ind w:left="500"/>
        <w:spacing w:after="0"/>
        <w:rPr>
          <w:rFonts w:ascii="Arial" w:cs="Arial" w:eastAsia="Arial" w:hAnsi="Arial"/>
          <w:sz w:val="15"/>
          <w:szCs w:val="15"/>
          <w:b w:val="1"/>
          <w:bCs w:val="1"/>
          <w:color w:val="FFFFFF"/>
        </w:rPr>
      </w:pPr>
      <w:r>
        <w:rPr>
          <w:rFonts w:ascii="Arial" w:cs="Arial" w:eastAsia="Arial" w:hAnsi="Arial"/>
          <w:sz w:val="15"/>
          <w:szCs w:val="15"/>
          <w:b w:val="1"/>
          <w:bCs w:val="1"/>
          <w:color w:val="FFFFFF"/>
        </w:rPr>
        <w:t xml:space="preserve">Investing in our common stock involves a high degree of risk. See “Risk factors” beginning on page </w:t>
      </w:r>
      <w:hyperlink w:anchor="page33">
        <w:r>
          <w:rPr>
            <w:rFonts w:ascii="Arial" w:cs="Arial" w:eastAsia="Arial" w:hAnsi="Arial"/>
            <w:sz w:val="15"/>
            <w:szCs w:val="15"/>
            <w:b w:val="1"/>
            <w:bCs w:val="1"/>
            <w:color w:val="FFFFFF"/>
          </w:rPr>
          <w:t>21.</w:t>
        </w:r>
      </w:hyperlink>
    </w:p>
    <w:p>
      <w:pPr>
        <w:spacing w:after="0" w:line="132" w:lineRule="exact"/>
        <w:rPr>
          <w:sz w:val="20"/>
          <w:szCs w:val="20"/>
          <w:color w:val="auto"/>
        </w:rPr>
      </w:pPr>
    </w:p>
    <w:p>
      <w:pPr>
        <w:ind w:left="500" w:right="559"/>
        <w:spacing w:after="0" w:line="252" w:lineRule="auto"/>
        <w:rPr>
          <w:sz w:val="20"/>
          <w:szCs w:val="20"/>
          <w:color w:val="auto"/>
        </w:rPr>
      </w:pPr>
      <w:r>
        <w:rPr>
          <w:rFonts w:ascii="Arial" w:cs="Arial" w:eastAsia="Arial" w:hAnsi="Arial"/>
          <w:sz w:val="15"/>
          <w:szCs w:val="15"/>
          <w:b w:val="1"/>
          <w:bCs w:val="1"/>
          <w:color w:val="FFFFFF"/>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4940" w:type="dxa"/>
            <w:vAlign w:val="bottom"/>
          </w:tcPr>
          <w:p>
            <w:pPr>
              <w:spacing w:after="0"/>
              <w:rPr>
                <w:sz w:val="20"/>
                <w:szCs w:val="20"/>
                <w:color w:val="auto"/>
              </w:rPr>
            </w:pPr>
            <w:r>
              <w:rPr>
                <w:rFonts w:ascii="Arial" w:cs="Arial" w:eastAsia="Arial" w:hAnsi="Arial"/>
                <w:sz w:val="15"/>
                <w:szCs w:val="15"/>
                <w:color w:val="FFFFFF"/>
              </w:rPr>
              <w:t>The underwriters expect to deliver the shares to purchasers on or about</w:t>
            </w:r>
          </w:p>
        </w:tc>
        <w:tc>
          <w:tcPr>
            <w:tcW w:w="740" w:type="dxa"/>
            <w:vAlign w:val="bottom"/>
          </w:tcPr>
          <w:p>
            <w:pPr>
              <w:jc w:val="right"/>
              <w:spacing w:after="0"/>
              <w:rPr>
                <w:sz w:val="20"/>
                <w:szCs w:val="20"/>
                <w:color w:val="auto"/>
              </w:rPr>
            </w:pPr>
            <w:r>
              <w:rPr>
                <w:rFonts w:ascii="Arial" w:cs="Arial" w:eastAsia="Arial" w:hAnsi="Arial"/>
                <w:sz w:val="15"/>
                <w:szCs w:val="15"/>
                <w:color w:val="FFFFFF"/>
              </w:rPr>
              <w:t>, 2021.</w:t>
            </w:r>
          </w:p>
        </w:tc>
      </w:tr>
    </w:tbl>
    <w:p>
      <w:pPr>
        <w:spacing w:after="0" w:line="127" w:lineRule="exact"/>
        <w:rPr>
          <w:sz w:val="20"/>
          <w:szCs w:val="20"/>
          <w:color w:val="auto"/>
        </w:rPr>
      </w:pPr>
    </w:p>
    <w:tbl>
      <w:tblPr>
        <w:tblLayout w:type="fixed"/>
        <w:tblInd w:w="480" w:type="dxa"/>
        <w:tblCellMar>
          <w:top w:w="0" w:type="dxa"/>
          <w:left w:w="0" w:type="dxa"/>
          <w:bottom w:w="0" w:type="dxa"/>
          <w:right w:w="0" w:type="dxa"/>
        </w:tblCellMar>
      </w:tblPr>
      <w:tr>
        <w:trPr>
          <w:trHeight w:val="341"/>
        </w:trPr>
        <w:tc>
          <w:tcPr>
            <w:tcW w:w="2640" w:type="dxa"/>
            <w:vAlign w:val="bottom"/>
            <w:shd w:val="clear" w:color="auto" w:fill="0B1B34"/>
          </w:tcPr>
          <w:p>
            <w:pPr>
              <w:ind w:left="20"/>
              <w:spacing w:after="0"/>
              <w:rPr>
                <w:sz w:val="20"/>
                <w:szCs w:val="20"/>
                <w:color w:val="auto"/>
              </w:rPr>
            </w:pPr>
            <w:r>
              <w:rPr>
                <w:rFonts w:ascii="Arial" w:cs="Arial" w:eastAsia="Arial" w:hAnsi="Arial"/>
                <w:sz w:val="29"/>
                <w:szCs w:val="29"/>
                <w:color w:val="FFFFFF"/>
              </w:rPr>
              <w:t>J.P. Morgan</w:t>
            </w:r>
          </w:p>
        </w:tc>
        <w:tc>
          <w:tcPr>
            <w:tcW w:w="2660" w:type="dxa"/>
            <w:vAlign w:val="bottom"/>
          </w:tcPr>
          <w:p>
            <w:pPr>
              <w:jc w:val="center"/>
              <w:spacing w:after="0"/>
              <w:rPr>
                <w:sz w:val="20"/>
                <w:szCs w:val="20"/>
                <w:color w:val="auto"/>
              </w:rPr>
            </w:pPr>
            <w:r>
              <w:rPr>
                <w:rFonts w:ascii="Arial" w:cs="Arial" w:eastAsia="Arial" w:hAnsi="Arial"/>
                <w:sz w:val="29"/>
                <w:szCs w:val="29"/>
                <w:color w:val="FFFFFF"/>
                <w:w w:val="99"/>
              </w:rPr>
              <w:t>Citigroup</w:t>
            </w:r>
          </w:p>
        </w:tc>
        <w:tc>
          <w:tcPr>
            <w:tcW w:w="2740" w:type="dxa"/>
            <w:vAlign w:val="bottom"/>
          </w:tcPr>
          <w:p>
            <w:pPr>
              <w:jc w:val="right"/>
              <w:spacing w:after="0"/>
              <w:rPr>
                <w:sz w:val="20"/>
                <w:szCs w:val="20"/>
                <w:color w:val="auto"/>
              </w:rPr>
            </w:pPr>
            <w:r>
              <w:rPr>
                <w:rFonts w:ascii="Arial" w:cs="Arial" w:eastAsia="Arial" w:hAnsi="Arial"/>
                <w:sz w:val="29"/>
                <w:szCs w:val="29"/>
                <w:color w:val="FFFFFF"/>
              </w:rPr>
              <w:t>BofA Securities</w:t>
            </w:r>
          </w:p>
        </w:tc>
      </w:tr>
      <w:tr>
        <w:trPr>
          <w:trHeight w:val="241"/>
        </w:trPr>
        <w:tc>
          <w:tcPr>
            <w:tcW w:w="2640" w:type="dxa"/>
            <w:vAlign w:val="bottom"/>
            <w:shd w:val="clear" w:color="auto" w:fill="0B1B34"/>
          </w:tcPr>
          <w:p>
            <w:pPr>
              <w:ind w:left="20"/>
              <w:spacing w:after="0"/>
              <w:rPr>
                <w:sz w:val="20"/>
                <w:szCs w:val="20"/>
                <w:color w:val="auto"/>
              </w:rPr>
            </w:pPr>
            <w:r>
              <w:rPr>
                <w:rFonts w:ascii="Arial" w:cs="Arial" w:eastAsia="Arial" w:hAnsi="Arial"/>
                <w:sz w:val="19"/>
                <w:szCs w:val="19"/>
                <w:color w:val="FFFFFF"/>
              </w:rPr>
              <w:t>Piper Sandler</w:t>
            </w:r>
          </w:p>
        </w:tc>
        <w:tc>
          <w:tcPr>
            <w:tcW w:w="2660" w:type="dxa"/>
            <w:vAlign w:val="bottom"/>
            <w:shd w:val="clear" w:color="auto" w:fill="0B1B34"/>
          </w:tcPr>
          <w:p>
            <w:pPr>
              <w:jc w:val="center"/>
              <w:spacing w:after="0"/>
              <w:rPr>
                <w:sz w:val="20"/>
                <w:szCs w:val="20"/>
                <w:color w:val="auto"/>
              </w:rPr>
            </w:pPr>
            <w:r>
              <w:rPr>
                <w:rFonts w:ascii="Arial" w:cs="Arial" w:eastAsia="Arial" w:hAnsi="Arial"/>
                <w:sz w:val="19"/>
                <w:szCs w:val="19"/>
                <w:color w:val="FFFFFF"/>
              </w:rPr>
              <w:t>JMP Securities</w:t>
            </w:r>
          </w:p>
        </w:tc>
        <w:tc>
          <w:tcPr>
            <w:tcW w:w="2740" w:type="dxa"/>
            <w:vAlign w:val="bottom"/>
            <w:shd w:val="clear" w:color="auto" w:fill="0B1B34"/>
          </w:tcPr>
          <w:p>
            <w:pPr>
              <w:jc w:val="right"/>
              <w:spacing w:after="0"/>
              <w:rPr>
                <w:sz w:val="20"/>
                <w:szCs w:val="20"/>
                <w:color w:val="auto"/>
              </w:rPr>
            </w:pPr>
            <w:r>
              <w:rPr>
                <w:rFonts w:ascii="Arial" w:cs="Arial" w:eastAsia="Arial" w:hAnsi="Arial"/>
                <w:sz w:val="19"/>
                <w:szCs w:val="19"/>
                <w:color w:val="FFFFFF"/>
              </w:rPr>
              <w:t>Loop Capital Markets</w:t>
            </w:r>
          </w:p>
        </w:tc>
      </w:tr>
      <w:tr>
        <w:trPr>
          <w:trHeight w:val="234"/>
        </w:trPr>
        <w:tc>
          <w:tcPr>
            <w:tcW w:w="2640" w:type="dxa"/>
            <w:vAlign w:val="bottom"/>
            <w:shd w:val="clear" w:color="auto" w:fill="0B1B34"/>
          </w:tcPr>
          <w:p>
            <w:pPr>
              <w:jc w:val="right"/>
              <w:ind w:right="1572"/>
              <w:spacing w:after="0"/>
              <w:rPr>
                <w:sz w:val="20"/>
                <w:szCs w:val="20"/>
                <w:color w:val="auto"/>
              </w:rPr>
            </w:pPr>
            <w:r>
              <w:rPr>
                <w:rFonts w:ascii="Arial" w:cs="Arial" w:eastAsia="Arial" w:hAnsi="Arial"/>
                <w:sz w:val="16"/>
                <w:szCs w:val="16"/>
                <w:color w:val="FFFFFF"/>
              </w:rPr>
              <w:t>, 2021.</w:t>
            </w:r>
          </w:p>
        </w:tc>
        <w:tc>
          <w:tcPr>
            <w:tcW w:w="2660" w:type="dxa"/>
            <w:vAlign w:val="bottom"/>
            <w:shd w:val="clear" w:color="auto" w:fill="0B1B34"/>
          </w:tcPr>
          <w:p>
            <w:pPr>
              <w:spacing w:after="0"/>
              <w:rPr>
                <w:sz w:val="20"/>
                <w:szCs w:val="20"/>
                <w:color w:val="auto"/>
              </w:rPr>
            </w:pPr>
          </w:p>
        </w:tc>
        <w:tc>
          <w:tcPr>
            <w:tcW w:w="2740" w:type="dxa"/>
            <w:vAlign w:val="bottom"/>
            <w:shd w:val="clear" w:color="auto" w:fill="0B1B34"/>
          </w:tcPr>
          <w:p>
            <w:pPr>
              <w:spacing w:after="0"/>
              <w:rPr>
                <w:sz w:val="20"/>
                <w:szCs w:val="20"/>
                <w:color w:val="auto"/>
              </w:rPr>
            </w:pPr>
          </w:p>
        </w:tc>
      </w:tr>
      <w:tr>
        <w:trPr>
          <w:trHeight w:val="293"/>
        </w:trPr>
        <w:tc>
          <w:tcPr>
            <w:tcW w:w="2640" w:type="dxa"/>
            <w:vAlign w:val="bottom"/>
            <w:shd w:val="clear" w:color="auto" w:fill="0B1B34"/>
          </w:tcPr>
          <w:p>
            <w:pPr>
              <w:spacing w:after="0"/>
              <w:rPr>
                <w:sz w:val="24"/>
                <w:szCs w:val="24"/>
                <w:color w:val="auto"/>
              </w:rPr>
            </w:pPr>
          </w:p>
        </w:tc>
        <w:tc>
          <w:tcPr>
            <w:tcW w:w="2660" w:type="dxa"/>
            <w:vAlign w:val="bottom"/>
            <w:shd w:val="clear" w:color="auto" w:fill="0B1B34"/>
          </w:tcPr>
          <w:p>
            <w:pPr>
              <w:spacing w:after="0"/>
              <w:rPr>
                <w:sz w:val="24"/>
                <w:szCs w:val="24"/>
                <w:color w:val="auto"/>
              </w:rPr>
            </w:pPr>
          </w:p>
        </w:tc>
        <w:tc>
          <w:tcPr>
            <w:tcW w:w="2740" w:type="dxa"/>
            <w:vAlign w:val="bottom"/>
            <w:shd w:val="clear" w:color="auto" w:fill="0B1B34"/>
          </w:tcPr>
          <w:p>
            <w:pPr>
              <w:spacing w:after="0"/>
              <w:rPr>
                <w:sz w:val="24"/>
                <w:szCs w:val="24"/>
                <w:color w:val="auto"/>
              </w:rPr>
            </w:pPr>
          </w:p>
        </w:tc>
      </w:tr>
    </w:tbl>
    <w:p>
      <w:pPr>
        <w:sectPr>
          <w:pgSz w:w="11900" w:h="16838" w:orient="portrait"/>
          <w:cols w:equalWidth="0" w:num="1">
            <w:col w:w="9019"/>
          </w:cols>
          <w:pgMar w:left="1440" w:top="817"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26"/>
          <w:szCs w:val="26"/>
          <w:b w:val="1"/>
          <w:bCs w:val="1"/>
          <w:color w:val="auto"/>
        </w:rPr>
        <w:t>Table of contents</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400" w:type="dxa"/>
            <w:vAlign w:val="bottom"/>
            <w:gridSpan w:val="17"/>
          </w:tcPr>
          <w:p>
            <w:pPr>
              <w:spacing w:after="0" w:line="171" w:lineRule="exact"/>
              <w:rPr>
                <w:rFonts w:ascii="Arial" w:cs="Arial" w:eastAsia="Arial" w:hAnsi="Arial"/>
                <w:sz w:val="16"/>
                <w:szCs w:val="16"/>
                <w:color w:val="0000FF"/>
              </w:rPr>
            </w:pPr>
            <w:hyperlink w:anchor="page13">
              <w:r>
                <w:rPr>
                  <w:rFonts w:ascii="Arial" w:cs="Arial" w:eastAsia="Arial" w:hAnsi="Arial"/>
                  <w:sz w:val="16"/>
                  <w:szCs w:val="16"/>
                  <w:color w:val="0000FF"/>
                </w:rPr>
                <w:t>PROSPECTUS SUMMARY</w:t>
              </w:r>
            </w:hyperlink>
          </w:p>
        </w:tc>
        <w:tc>
          <w:tcPr>
            <w:tcW w:w="740" w:type="dxa"/>
            <w:vAlign w:val="bottom"/>
            <w:gridSpan w:val="4"/>
          </w:tcPr>
          <w:p>
            <w:pPr>
              <w:jc w:val="right"/>
              <w:spacing w:after="0" w:line="171" w:lineRule="exact"/>
              <w:rPr>
                <w:rFonts w:ascii="Arial" w:cs="Arial" w:eastAsia="Arial" w:hAnsi="Arial"/>
                <w:sz w:val="16"/>
                <w:szCs w:val="16"/>
                <w:color w:val="0000FF"/>
              </w:rPr>
            </w:pPr>
            <w:hyperlink w:anchor="page13">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80" w:type="dxa"/>
            <w:vAlign w:val="bottom"/>
            <w:gridSpan w:val="9"/>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RISK FACTORS</w:t>
              </w:r>
            </w:hyperlink>
          </w:p>
        </w:tc>
        <w:tc>
          <w:tcPr>
            <w:tcW w:w="2420" w:type="dxa"/>
            <w:vAlign w:val="bottom"/>
            <w:gridSpan w:val="8"/>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21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CAUTIONARY NOTE REGARDING FORWARD-</w:t>
              </w:r>
            </w:hyperlink>
          </w:p>
        </w:tc>
        <w:tc>
          <w:tcPr>
            <w:tcW w:w="560" w:type="dxa"/>
            <w:vAlign w:val="bottom"/>
            <w:gridSpan w:val="2"/>
            <w:vMerge w:val="restart"/>
          </w:tcPr>
          <w:p>
            <w:pPr>
              <w:spacing w:after="0"/>
              <w:rPr>
                <w:sz w:val="16"/>
                <w:szCs w:val="16"/>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78">
              <w:r>
                <w:rPr>
                  <w:rFonts w:ascii="Arial" w:cs="Arial" w:eastAsia="Arial" w:hAnsi="Arial"/>
                  <w:sz w:val="16"/>
                  <w:szCs w:val="16"/>
                  <w:color w:val="0000FF"/>
                  <w:w w:val="89"/>
                </w:rPr>
                <w:t>66</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860" w:type="dxa"/>
            <w:vAlign w:val="bottom"/>
            <w:tcBorders>
              <w:top w:val="single" w:sz="8" w:color="0000FF"/>
              <w:bottom w:val="single" w:sz="8" w:color="0000FF"/>
            </w:tcBorders>
            <w:gridSpan w:val="9"/>
          </w:tcPr>
          <w:p>
            <w:pPr>
              <w:spacing w:after="0" w:line="138" w:lineRule="exact"/>
              <w:rPr>
                <w:rFonts w:ascii="Arial" w:cs="Arial" w:eastAsia="Arial" w:hAnsi="Arial"/>
                <w:sz w:val="16"/>
                <w:szCs w:val="16"/>
                <w:color w:val="0000FF"/>
                <w:w w:val="99"/>
              </w:rPr>
            </w:pPr>
            <w:hyperlink w:anchor="page78">
              <w:r>
                <w:rPr>
                  <w:rFonts w:ascii="Arial" w:cs="Arial" w:eastAsia="Arial" w:hAnsi="Arial"/>
                  <w:sz w:val="16"/>
                  <w:szCs w:val="16"/>
                  <w:color w:val="0000FF"/>
                  <w:w w:val="99"/>
                </w:rPr>
                <w:t>LOOKING STATEMENTS</w:t>
              </w:r>
            </w:hyperlink>
          </w:p>
        </w:tc>
        <w:tc>
          <w:tcPr>
            <w:tcW w:w="1500" w:type="dxa"/>
            <w:vAlign w:val="bottom"/>
            <w:tcBorders>
              <w:top w:val="single" w:sz="8" w:color="0000FF"/>
            </w:tcBorders>
            <w:gridSpan w:val="4"/>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MARKET AND INDUSTRY DATA</w:t>
              </w:r>
            </w:hyperlink>
          </w:p>
        </w:tc>
        <w:tc>
          <w:tcPr>
            <w:tcW w:w="740" w:type="dxa"/>
            <w:vAlign w:val="bottom"/>
            <w:gridSpan w:val="4"/>
          </w:tcPr>
          <w:p>
            <w:pPr>
              <w:jc w:val="right"/>
              <w:spacing w:after="0"/>
              <w:rPr>
                <w:rFonts w:ascii="Arial" w:cs="Arial" w:eastAsia="Arial" w:hAnsi="Arial"/>
                <w:sz w:val="16"/>
                <w:szCs w:val="16"/>
                <w:color w:val="0000FF"/>
              </w:rPr>
            </w:pPr>
            <w:hyperlink w:anchor="page80">
              <w:r>
                <w:rPr>
                  <w:rFonts w:ascii="Arial" w:cs="Arial" w:eastAsia="Arial" w:hAnsi="Arial"/>
                  <w:sz w:val="16"/>
                  <w:szCs w:val="16"/>
                  <w:color w:val="0000FF"/>
                </w:rPr>
                <w:t>68</w:t>
              </w:r>
            </w:hyperlink>
          </w:p>
        </w:tc>
        <w:tc>
          <w:tcPr>
            <w:tcW w:w="0" w:type="dxa"/>
            <w:vAlign w:val="bottom"/>
          </w:tcPr>
          <w:p>
            <w:pPr>
              <w:spacing w:after="0"/>
              <w:rPr>
                <w:sz w:val="1"/>
                <w:szCs w:val="1"/>
                <w:color w:val="auto"/>
              </w:rPr>
            </w:pPr>
          </w:p>
        </w:tc>
      </w:tr>
      <w:tr>
        <w:trPr>
          <w:trHeight w:val="187"/>
        </w:trPr>
        <w:tc>
          <w:tcPr>
            <w:tcW w:w="156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USE OF PROCEEDS</w:t>
              </w:r>
            </w:hyperlink>
          </w:p>
        </w:tc>
        <w:tc>
          <w:tcPr>
            <w:tcW w:w="820" w:type="dxa"/>
            <w:vAlign w:val="bottom"/>
            <w:tcBorders>
              <w:top w:val="single" w:sz="8" w:color="0000FF"/>
            </w:tcBorders>
            <w:gridSpan w:val="3"/>
          </w:tcPr>
          <w:p>
            <w:pPr>
              <w:spacing w:after="0"/>
              <w:rPr>
                <w:sz w:val="16"/>
                <w:szCs w:val="16"/>
                <w:color w:val="auto"/>
              </w:rPr>
            </w:pPr>
          </w:p>
        </w:tc>
        <w:tc>
          <w:tcPr>
            <w:tcW w:w="2020" w:type="dxa"/>
            <w:vAlign w:val="bottom"/>
            <w:gridSpan w:val="6"/>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69</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CAPITALIZATION</w:t>
              </w:r>
            </w:hyperlink>
          </w:p>
        </w:tc>
        <w:tc>
          <w:tcPr>
            <w:tcW w:w="740" w:type="dxa"/>
            <w:vAlign w:val="bottom"/>
            <w:gridSpan w:val="4"/>
          </w:tcPr>
          <w:p>
            <w:pPr>
              <w:jc w:val="right"/>
              <w:spacing w:after="0"/>
              <w:rPr>
                <w:rFonts w:ascii="Arial" w:cs="Arial" w:eastAsia="Arial" w:hAnsi="Arial"/>
                <w:sz w:val="16"/>
                <w:szCs w:val="16"/>
                <w:color w:val="0000FF"/>
              </w:rPr>
            </w:pPr>
            <w:hyperlink w:anchor="page82">
              <w:r>
                <w:rPr>
                  <w:rFonts w:ascii="Arial" w:cs="Arial" w:eastAsia="Arial" w:hAnsi="Arial"/>
                  <w:sz w:val="16"/>
                  <w:szCs w:val="16"/>
                  <w:color w:val="0000FF"/>
                </w:rPr>
                <w:t>70</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DIVIDEND POLICY</w:t>
              </w:r>
            </w:hyperlink>
          </w:p>
        </w:tc>
        <w:tc>
          <w:tcPr>
            <w:tcW w:w="740" w:type="dxa"/>
            <w:vAlign w:val="bottom"/>
            <w:gridSpan w:val="4"/>
          </w:tcPr>
          <w:p>
            <w:pPr>
              <w:jc w:val="right"/>
              <w:spacing w:after="0"/>
              <w:rPr>
                <w:rFonts w:ascii="Arial" w:cs="Arial" w:eastAsia="Arial" w:hAnsi="Arial"/>
                <w:sz w:val="16"/>
                <w:szCs w:val="16"/>
                <w:color w:val="0000FF"/>
              </w:rPr>
            </w:pPr>
            <w:hyperlink w:anchor="page85">
              <w:r>
                <w:rPr>
                  <w:rFonts w:ascii="Arial" w:cs="Arial" w:eastAsia="Arial" w:hAnsi="Arial"/>
                  <w:sz w:val="16"/>
                  <w:szCs w:val="16"/>
                  <w:color w:val="0000FF"/>
                </w:rPr>
                <w:t>73</w:t>
              </w:r>
            </w:hyperlink>
          </w:p>
        </w:tc>
        <w:tc>
          <w:tcPr>
            <w:tcW w:w="0" w:type="dxa"/>
            <w:vAlign w:val="bottom"/>
          </w:tcPr>
          <w:p>
            <w:pPr>
              <w:spacing w:after="0"/>
              <w:rPr>
                <w:sz w:val="1"/>
                <w:szCs w:val="1"/>
                <w:color w:val="auto"/>
              </w:rPr>
            </w:pPr>
          </w:p>
        </w:tc>
      </w:tr>
      <w:tr>
        <w:trPr>
          <w:trHeight w:val="187"/>
        </w:trPr>
        <w:tc>
          <w:tcPr>
            <w:tcW w:w="82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DILUTION</w:t>
              </w:r>
            </w:hyperlink>
          </w:p>
        </w:tc>
        <w:tc>
          <w:tcPr>
            <w:tcW w:w="580" w:type="dxa"/>
            <w:vAlign w:val="bottom"/>
            <w:tcBorders>
              <w:top w:val="single" w:sz="8" w:color="0000FF"/>
            </w:tcBorders>
            <w:gridSpan w:val="4"/>
          </w:tcPr>
          <w:p>
            <w:pPr>
              <w:spacing w:after="0"/>
              <w:rPr>
                <w:sz w:val="16"/>
                <w:szCs w:val="16"/>
                <w:color w:val="auto"/>
              </w:rPr>
            </w:pPr>
          </w:p>
        </w:tc>
        <w:tc>
          <w:tcPr>
            <w:tcW w:w="3000" w:type="dxa"/>
            <w:vAlign w:val="bottom"/>
            <w:gridSpan w:val="10"/>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6">
              <w:r>
                <w:rPr>
                  <w:rFonts w:ascii="Arial" w:cs="Arial" w:eastAsia="Arial" w:hAnsi="Arial"/>
                  <w:sz w:val="16"/>
                  <w:szCs w:val="16"/>
                  <w:color w:val="0000FF"/>
                  <w:w w:val="89"/>
                </w:rPr>
                <w:t>74</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SELECTED CONSOLIDATED FINANCIAL AND OTHER</w:t>
              </w:r>
            </w:hyperlink>
          </w:p>
        </w:tc>
        <w:tc>
          <w:tcPr>
            <w:tcW w:w="740" w:type="dxa"/>
            <w:vAlign w:val="bottom"/>
            <w:gridSpan w:val="4"/>
            <w:vMerge w:val="restart"/>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77</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920" w:type="dxa"/>
            <w:vAlign w:val="bottom"/>
            <w:tcBorders>
              <w:top w:val="single" w:sz="8" w:color="0000FF"/>
            </w:tcBorders>
            <w:gridSpan w:val="15"/>
          </w:tcPr>
          <w:p>
            <w:pPr>
              <w:spacing w:after="0" w:line="138" w:lineRule="exact"/>
              <w:rPr>
                <w:rFonts w:ascii="Arial" w:cs="Arial" w:eastAsia="Arial" w:hAnsi="Arial"/>
                <w:sz w:val="16"/>
                <w:szCs w:val="16"/>
                <w:color w:val="0000FF"/>
              </w:rPr>
            </w:pPr>
            <w:hyperlink w:anchor="page89">
              <w:r>
                <w:rPr>
                  <w:rFonts w:ascii="Arial" w:cs="Arial" w:eastAsia="Arial" w:hAnsi="Arial"/>
                  <w:sz w:val="16"/>
                  <w:szCs w:val="16"/>
                  <w:color w:val="0000FF"/>
                </w:rPr>
                <w:t>DATA</w:t>
              </w:r>
            </w:hyperlink>
          </w:p>
        </w:tc>
        <w:tc>
          <w:tcPr>
            <w:tcW w:w="3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MANAGEMENT’S DISCUSSION AND ANALYSIS OF</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gridSpan w:val="14"/>
          </w:tcPr>
          <w:p>
            <w:pPr>
              <w:spacing w:after="0" w:line="138" w:lineRule="exact"/>
              <w:rPr>
                <w:rFonts w:ascii="Arial" w:cs="Arial" w:eastAsia="Arial" w:hAnsi="Arial"/>
                <w:sz w:val="16"/>
                <w:szCs w:val="16"/>
                <w:color w:val="0000FF"/>
              </w:rPr>
            </w:pPr>
            <w:hyperlink w:anchor="page94">
              <w:r>
                <w:rPr>
                  <w:rFonts w:ascii="Arial" w:cs="Arial" w:eastAsia="Arial" w:hAnsi="Arial"/>
                  <w:sz w:val="16"/>
                  <w:szCs w:val="16"/>
                  <w:color w:val="0000FF"/>
                </w:rPr>
                <w:t>FINANCIAL CONDITION AND RESULTS OF</w:t>
              </w:r>
            </w:hyperlink>
          </w:p>
        </w:tc>
        <w:tc>
          <w:tcPr>
            <w:tcW w:w="560" w:type="dxa"/>
            <w:vAlign w:val="bottom"/>
            <w:gridSpan w:val="2"/>
          </w:tcPr>
          <w:p>
            <w:pPr>
              <w:spacing w:after="0"/>
              <w:rPr>
                <w:sz w:val="12"/>
                <w:szCs w:val="12"/>
                <w:color w:val="auto"/>
              </w:rPr>
            </w:pPr>
          </w:p>
        </w:tc>
        <w:tc>
          <w:tcPr>
            <w:tcW w:w="560" w:type="dxa"/>
            <w:vAlign w:val="bottom"/>
            <w:gridSpan w:val="2"/>
            <w:vMerge w:val="restart"/>
          </w:tcPr>
          <w:p>
            <w:pPr>
              <w:spacing w:after="0"/>
              <w:rPr>
                <w:sz w:val="12"/>
                <w:szCs w:val="12"/>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94">
              <w:r>
                <w:rPr>
                  <w:rFonts w:ascii="Arial" w:cs="Arial" w:eastAsia="Arial" w:hAnsi="Arial"/>
                  <w:sz w:val="16"/>
                  <w:szCs w:val="16"/>
                  <w:color w:val="0000FF"/>
                  <w:w w:val="89"/>
                </w:rPr>
                <w:t>82</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4"/>
          </w:tcPr>
          <w:p>
            <w:pPr>
              <w:spacing w:after="0" w:line="138" w:lineRule="exact"/>
              <w:rPr>
                <w:rFonts w:ascii="Arial" w:cs="Arial" w:eastAsia="Arial" w:hAnsi="Arial"/>
                <w:sz w:val="16"/>
                <w:szCs w:val="16"/>
                <w:color w:val="0000FF"/>
                <w:w w:val="99"/>
              </w:rPr>
            </w:pPr>
            <w:hyperlink w:anchor="page94">
              <w:r>
                <w:rPr>
                  <w:rFonts w:ascii="Arial" w:cs="Arial" w:eastAsia="Arial" w:hAnsi="Arial"/>
                  <w:sz w:val="16"/>
                  <w:szCs w:val="16"/>
                  <w:color w:val="0000FF"/>
                  <w:w w:val="99"/>
                </w:rPr>
                <w:t>OPERATIONS</w:t>
              </w:r>
            </w:hyperlink>
          </w:p>
        </w:tc>
        <w:tc>
          <w:tcPr>
            <w:tcW w:w="2180" w:type="dxa"/>
            <w:vAlign w:val="bottom"/>
            <w:tcBorders>
              <w:top w:val="single" w:sz="8" w:color="0000FF"/>
            </w:tcBorders>
            <w:gridSpan w:val="8"/>
          </w:tcPr>
          <w:p>
            <w:pPr>
              <w:spacing w:after="0"/>
              <w:rPr>
                <w:sz w:val="12"/>
                <w:szCs w:val="12"/>
                <w:color w:val="auto"/>
              </w:rPr>
            </w:pPr>
          </w:p>
        </w:tc>
        <w:tc>
          <w:tcPr>
            <w:tcW w:w="1020" w:type="dxa"/>
            <w:vAlign w:val="bottom"/>
            <w:gridSpan w:val="4"/>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80" w:type="dxa"/>
            <w:vAlign w:val="bottom"/>
            <w:gridSpan w:val="12"/>
          </w:tcPr>
          <w:p>
            <w:pPr>
              <w:spacing w:after="0"/>
              <w:rPr>
                <w:rFonts w:ascii="Arial" w:cs="Arial" w:eastAsia="Arial" w:hAnsi="Arial"/>
                <w:sz w:val="16"/>
                <w:szCs w:val="16"/>
                <w:color w:val="0000FF"/>
              </w:rPr>
            </w:pPr>
            <w:hyperlink w:anchor="page121">
              <w:r>
                <w:rPr>
                  <w:rFonts w:ascii="Arial" w:cs="Arial" w:eastAsia="Arial" w:hAnsi="Arial"/>
                  <w:sz w:val="16"/>
                  <w:szCs w:val="16"/>
                  <w:color w:val="0000FF"/>
                </w:rPr>
                <w:t>LETTER FROM OUR FOUNDER AND CEO</w:t>
              </w:r>
            </w:hyperlink>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21">
              <w:r>
                <w:rPr>
                  <w:rFonts w:ascii="Arial" w:cs="Arial" w:eastAsia="Arial" w:hAnsi="Arial"/>
                  <w:sz w:val="16"/>
                  <w:szCs w:val="16"/>
                  <w:color w:val="0000FF"/>
                </w:rPr>
                <w:t>109</w:t>
              </w:r>
            </w:hyperlink>
          </w:p>
        </w:tc>
        <w:tc>
          <w:tcPr>
            <w:tcW w:w="0" w:type="dxa"/>
            <w:vAlign w:val="bottom"/>
          </w:tcPr>
          <w:p>
            <w:pPr>
              <w:spacing w:after="0"/>
              <w:rPr>
                <w:sz w:val="1"/>
                <w:szCs w:val="1"/>
                <w:color w:val="auto"/>
              </w:rPr>
            </w:pPr>
          </w:p>
        </w:tc>
      </w:tr>
      <w:tr>
        <w:trPr>
          <w:trHeight w:val="20"/>
        </w:trPr>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0" w:type="dxa"/>
            <w:vAlign w:val="bottom"/>
            <w:gridSpan w:val="3"/>
          </w:tcPr>
          <w:p>
            <w:pPr>
              <w:spacing w:after="0"/>
              <w:rPr>
                <w:rFonts w:ascii="Arial" w:cs="Arial" w:eastAsia="Arial" w:hAnsi="Arial"/>
                <w:sz w:val="16"/>
                <w:szCs w:val="16"/>
                <w:color w:val="0000FF"/>
                <w:w w:val="96"/>
              </w:rPr>
            </w:pPr>
            <w:hyperlink w:anchor="page127">
              <w:r>
                <w:rPr>
                  <w:rFonts w:ascii="Arial" w:cs="Arial" w:eastAsia="Arial" w:hAnsi="Arial"/>
                  <w:sz w:val="16"/>
                  <w:szCs w:val="16"/>
                  <w:color w:val="0000FF"/>
                  <w:w w:val="96"/>
                </w:rPr>
                <w:t>BUSINESS</w:t>
              </w:r>
            </w:hyperlink>
          </w:p>
        </w:tc>
        <w:tc>
          <w:tcPr>
            <w:tcW w:w="2360" w:type="dxa"/>
            <w:vAlign w:val="bottom"/>
            <w:gridSpan w:val="9"/>
          </w:tcPr>
          <w:p>
            <w:pPr>
              <w:spacing w:after="0"/>
              <w:rPr>
                <w:sz w:val="16"/>
                <w:szCs w:val="16"/>
                <w:color w:val="auto"/>
              </w:rPr>
            </w:pPr>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27">
              <w:r>
                <w:rPr>
                  <w:rFonts w:ascii="Arial" w:cs="Arial" w:eastAsia="Arial" w:hAnsi="Arial"/>
                  <w:sz w:val="16"/>
                  <w:szCs w:val="16"/>
                  <w:color w:val="0000FF"/>
                </w:rPr>
                <w:t>115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080" w:type="dxa"/>
            <w:vAlign w:val="bottom"/>
            <w:gridSpan w:val="15"/>
          </w:tcPr>
          <w:p>
            <w:pPr>
              <w:spacing w:after="0" w:line="171" w:lineRule="exact"/>
              <w:rPr>
                <w:rFonts w:ascii="Arial" w:cs="Arial" w:eastAsia="Arial" w:hAnsi="Arial"/>
                <w:sz w:val="16"/>
                <w:szCs w:val="16"/>
                <w:color w:val="0000FF"/>
              </w:rPr>
            </w:pPr>
            <w:hyperlink w:anchor="page163">
              <w:r>
                <w:rPr>
                  <w:rFonts w:ascii="Arial" w:cs="Arial" w:eastAsia="Arial" w:hAnsi="Arial"/>
                  <w:sz w:val="16"/>
                  <w:szCs w:val="16"/>
                  <w:color w:val="0000FF"/>
                </w:rPr>
                <w:t>MANAGEMENT</w:t>
              </w:r>
            </w:hyperlink>
          </w:p>
        </w:tc>
        <w:tc>
          <w:tcPr>
            <w:tcW w:w="1080" w:type="dxa"/>
            <w:vAlign w:val="bottom"/>
            <w:gridSpan w:val="2"/>
          </w:tcPr>
          <w:p>
            <w:pPr>
              <w:jc w:val="right"/>
              <w:spacing w:after="0" w:line="171" w:lineRule="exact"/>
              <w:rPr>
                <w:rFonts w:ascii="Arial" w:cs="Arial" w:eastAsia="Arial" w:hAnsi="Arial"/>
                <w:sz w:val="16"/>
                <w:szCs w:val="16"/>
                <w:color w:val="0000FF"/>
              </w:rPr>
            </w:pPr>
            <w:hyperlink w:anchor="page163">
              <w:r>
                <w:rPr>
                  <w:rFonts w:ascii="Arial" w:cs="Arial" w:eastAsia="Arial" w:hAnsi="Arial"/>
                  <w:sz w:val="16"/>
                  <w:szCs w:val="16"/>
                  <w:color w:val="0000FF"/>
                </w:rPr>
                <w:t>151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80" w:type="dxa"/>
            <w:vAlign w:val="bottom"/>
            <w:tcBorders>
              <w:bottom w:val="single" w:sz="8" w:color="0000FF"/>
            </w:tcBorders>
            <w:gridSpan w:val="7"/>
          </w:tcPr>
          <w:p>
            <w:pPr>
              <w:spacing w:after="0"/>
              <w:rPr>
                <w:rFonts w:ascii="Arial" w:cs="Arial" w:eastAsia="Arial" w:hAnsi="Arial"/>
                <w:sz w:val="16"/>
                <w:szCs w:val="16"/>
                <w:color w:val="0000FF"/>
              </w:rPr>
            </w:pPr>
            <w:hyperlink w:anchor="page168">
              <w:r>
                <w:rPr>
                  <w:rFonts w:ascii="Arial" w:cs="Arial" w:eastAsia="Arial" w:hAnsi="Arial"/>
                  <w:sz w:val="16"/>
                  <w:szCs w:val="16"/>
                  <w:color w:val="0000FF"/>
                </w:rPr>
                <w:t>EXECUTIVE COMPENSATION</w:t>
              </w:r>
            </w:hyperlink>
          </w:p>
        </w:tc>
        <w:tc>
          <w:tcPr>
            <w:tcW w:w="1800" w:type="dxa"/>
            <w:vAlign w:val="bottom"/>
            <w:gridSpan w:val="8"/>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168">
              <w:r>
                <w:rPr>
                  <w:rFonts w:ascii="Arial" w:cs="Arial" w:eastAsia="Arial" w:hAnsi="Arial"/>
                  <w:sz w:val="16"/>
                  <w:szCs w:val="16"/>
                  <w:color w:val="0000FF"/>
                  <w:w w:val="82"/>
                </w:rPr>
                <w:t>156</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81">
              <w:r>
                <w:rPr>
                  <w:rFonts w:ascii="Arial" w:cs="Arial" w:eastAsia="Arial" w:hAnsi="Arial"/>
                  <w:sz w:val="16"/>
                  <w:szCs w:val="16"/>
                  <w:color w:val="0000FF"/>
                </w:rPr>
                <w:t>CERTAIN RELATIONSHIPS AND RELATED PARTY</w:t>
              </w:r>
            </w:hyperlink>
          </w:p>
        </w:tc>
        <w:tc>
          <w:tcPr>
            <w:tcW w:w="840" w:type="dxa"/>
            <w:vAlign w:val="bottom"/>
            <w:vMerge w:val="restart"/>
          </w:tcPr>
          <w:p>
            <w:pPr>
              <w:spacing w:after="0"/>
              <w:rPr>
                <w:sz w:val="16"/>
                <w:szCs w:val="16"/>
                <w:color w:val="auto"/>
              </w:rPr>
            </w:pPr>
          </w:p>
        </w:tc>
        <w:tc>
          <w:tcPr>
            <w:tcW w:w="240" w:type="dxa"/>
            <w:vAlign w:val="bottom"/>
            <w:vMerge w:val="restart"/>
          </w:tcPr>
          <w:p>
            <w:pPr>
              <w:jc w:val="right"/>
              <w:spacing w:after="0"/>
              <w:rPr>
                <w:rFonts w:ascii="Arial" w:cs="Arial" w:eastAsia="Arial" w:hAnsi="Arial"/>
                <w:sz w:val="16"/>
                <w:szCs w:val="16"/>
                <w:color w:val="0000FF"/>
                <w:w w:val="82"/>
              </w:rPr>
            </w:pPr>
            <w:hyperlink w:anchor="page181">
              <w:r>
                <w:rPr>
                  <w:rFonts w:ascii="Arial" w:cs="Arial" w:eastAsia="Arial" w:hAnsi="Arial"/>
                  <w:sz w:val="16"/>
                  <w:szCs w:val="16"/>
                  <w:color w:val="0000FF"/>
                  <w:w w:val="82"/>
                </w:rPr>
                <w:t>169</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28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rPr>
            </w:pPr>
            <w:hyperlink w:anchor="page181">
              <w:r>
                <w:rPr>
                  <w:rFonts w:ascii="Arial" w:cs="Arial" w:eastAsia="Arial" w:hAnsi="Arial"/>
                  <w:sz w:val="16"/>
                  <w:szCs w:val="16"/>
                  <w:color w:val="0000FF"/>
                </w:rPr>
                <w:t>TRANSACTIONS</w:t>
              </w:r>
            </w:hyperlink>
          </w:p>
        </w:tc>
        <w:tc>
          <w:tcPr>
            <w:tcW w:w="2360" w:type="dxa"/>
            <w:vAlign w:val="bottom"/>
            <w:tcBorders>
              <w:top w:val="single" w:sz="8" w:color="0000FF"/>
            </w:tcBorders>
            <w:gridSpan w:val="8"/>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86">
              <w:r>
                <w:rPr>
                  <w:rFonts w:ascii="Arial" w:cs="Arial" w:eastAsia="Arial" w:hAnsi="Arial"/>
                  <w:sz w:val="16"/>
                  <w:szCs w:val="16"/>
                  <w:color w:val="0000FF"/>
                </w:rPr>
                <w:t>PRINCIPAL AND SELLING STOCKHOLDERS</w:t>
              </w:r>
            </w:hyperlink>
          </w:p>
        </w:tc>
        <w:tc>
          <w:tcPr>
            <w:tcW w:w="1080" w:type="dxa"/>
            <w:vAlign w:val="bottom"/>
            <w:gridSpan w:val="2"/>
          </w:tcPr>
          <w:p>
            <w:pPr>
              <w:jc w:val="right"/>
              <w:spacing w:after="0"/>
              <w:rPr>
                <w:rFonts w:ascii="Arial" w:cs="Arial" w:eastAsia="Arial" w:hAnsi="Arial"/>
                <w:sz w:val="16"/>
                <w:szCs w:val="16"/>
                <w:color w:val="0000FF"/>
              </w:rPr>
            </w:pPr>
            <w:hyperlink w:anchor="page186">
              <w:r>
                <w:rPr>
                  <w:rFonts w:ascii="Arial" w:cs="Arial" w:eastAsia="Arial" w:hAnsi="Arial"/>
                  <w:sz w:val="16"/>
                  <w:szCs w:val="16"/>
                  <w:color w:val="0000FF"/>
                </w:rPr>
                <w:t>174</w:t>
              </w:r>
            </w:hyperlink>
          </w:p>
        </w:tc>
        <w:tc>
          <w:tcPr>
            <w:tcW w:w="0" w:type="dxa"/>
            <w:vAlign w:val="bottom"/>
          </w:tcPr>
          <w:p>
            <w:pPr>
              <w:spacing w:after="0"/>
              <w:rPr>
                <w:sz w:val="1"/>
                <w:szCs w:val="1"/>
                <w:color w:val="auto"/>
              </w:rPr>
            </w:pPr>
          </w:p>
        </w:tc>
      </w:tr>
      <w:tr>
        <w:trPr>
          <w:trHeight w:val="187"/>
        </w:trPr>
        <w:tc>
          <w:tcPr>
            <w:tcW w:w="270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189">
              <w:r>
                <w:rPr>
                  <w:rFonts w:ascii="Arial" w:cs="Arial" w:eastAsia="Arial" w:hAnsi="Arial"/>
                  <w:sz w:val="16"/>
                  <w:szCs w:val="16"/>
                  <w:color w:val="0000FF"/>
                </w:rPr>
                <w:t>DESCRIPTION OF CAPITAL STOCK</w:t>
              </w:r>
            </w:hyperlink>
          </w:p>
        </w:tc>
        <w:tc>
          <w:tcPr>
            <w:tcW w:w="640" w:type="dxa"/>
            <w:vAlign w:val="bottom"/>
            <w:tcBorders>
              <w:top w:val="single" w:sz="8" w:color="0000FF"/>
            </w:tcBorders>
            <w:gridSpan w:val="3"/>
          </w:tcPr>
          <w:p>
            <w:pPr>
              <w:spacing w:after="0"/>
              <w:rPr>
                <w:sz w:val="16"/>
                <w:szCs w:val="16"/>
                <w:color w:val="auto"/>
              </w:rPr>
            </w:pPr>
          </w:p>
        </w:tc>
        <w:tc>
          <w:tcPr>
            <w:tcW w:w="740" w:type="dxa"/>
            <w:vAlign w:val="bottom"/>
            <w:gridSpan w:val="4"/>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6"/>
                <w:szCs w:val="16"/>
                <w:color w:val="0000FF"/>
                <w:w w:val="82"/>
              </w:rPr>
            </w:pPr>
            <w:hyperlink w:anchor="page189">
              <w:r>
                <w:rPr>
                  <w:rFonts w:ascii="Arial" w:cs="Arial" w:eastAsia="Arial" w:hAnsi="Arial"/>
                  <w:sz w:val="16"/>
                  <w:szCs w:val="16"/>
                  <w:color w:val="0000FF"/>
                  <w:w w:val="82"/>
                </w:rPr>
                <w:t>177</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98">
              <w:r>
                <w:rPr>
                  <w:rFonts w:ascii="Arial" w:cs="Arial" w:eastAsia="Arial" w:hAnsi="Arial"/>
                  <w:sz w:val="16"/>
                  <w:szCs w:val="16"/>
                  <w:color w:val="0000FF"/>
                </w:rPr>
                <w:t>SHARES ELIGIBLE FOR FUTURE SALE</w:t>
              </w:r>
            </w:hyperlink>
          </w:p>
        </w:tc>
        <w:tc>
          <w:tcPr>
            <w:tcW w:w="1080" w:type="dxa"/>
            <w:vAlign w:val="bottom"/>
            <w:gridSpan w:val="2"/>
          </w:tcPr>
          <w:p>
            <w:pPr>
              <w:jc w:val="right"/>
              <w:spacing w:after="0"/>
              <w:rPr>
                <w:rFonts w:ascii="Arial" w:cs="Arial" w:eastAsia="Arial" w:hAnsi="Arial"/>
                <w:sz w:val="16"/>
                <w:szCs w:val="16"/>
                <w:color w:val="0000FF"/>
              </w:rPr>
            </w:pPr>
            <w:hyperlink w:anchor="page198">
              <w:r>
                <w:rPr>
                  <w:rFonts w:ascii="Arial" w:cs="Arial" w:eastAsia="Arial" w:hAnsi="Arial"/>
                  <w:sz w:val="16"/>
                  <w:szCs w:val="16"/>
                  <w:color w:val="0000FF"/>
                </w:rPr>
                <w:t>186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00" w:type="dxa"/>
            <w:vAlign w:val="bottom"/>
            <w:tcBorders>
              <w:bottom w:val="single" w:sz="8" w:color="0000FF"/>
            </w:tcBorders>
            <w:gridSpan w:val="10"/>
          </w:tcPr>
          <w:p>
            <w:pPr>
              <w:spacing w:after="0"/>
              <w:rPr>
                <w:rFonts w:ascii="Arial" w:cs="Arial" w:eastAsia="Arial" w:hAnsi="Arial"/>
                <w:sz w:val="16"/>
                <w:szCs w:val="16"/>
                <w:color w:val="0000FF"/>
              </w:rPr>
            </w:pPr>
            <w:hyperlink w:anchor="page201">
              <w:r>
                <w:rPr>
                  <w:rFonts w:ascii="Arial" w:cs="Arial" w:eastAsia="Arial" w:hAnsi="Arial"/>
                  <w:sz w:val="16"/>
                  <w:szCs w:val="16"/>
                  <w:color w:val="0000FF"/>
                </w:rPr>
                <w:t>MATERIAL U.S. FEDERAL INCOME TAX</w:t>
              </w:r>
            </w:hyperlink>
          </w:p>
        </w:tc>
        <w:tc>
          <w:tcPr>
            <w:tcW w:w="1080" w:type="dxa"/>
            <w:vAlign w:val="bottom"/>
            <w:gridSpan w:val="5"/>
          </w:tcPr>
          <w:p>
            <w:pPr>
              <w:spacing w:after="0"/>
              <w:rPr>
                <w:sz w:val="16"/>
                <w:szCs w:val="16"/>
                <w:color w:val="auto"/>
              </w:rPr>
            </w:pPr>
          </w:p>
        </w:tc>
        <w:tc>
          <w:tcPr>
            <w:tcW w:w="1080" w:type="dxa"/>
            <w:vAlign w:val="bottom"/>
            <w:gridSpan w:val="2"/>
            <w:vMerge w:val="restart"/>
          </w:tcPr>
          <w:p>
            <w:pPr>
              <w:jc w:val="right"/>
              <w:spacing w:after="0"/>
              <w:rPr>
                <w:rFonts w:ascii="Arial" w:cs="Arial" w:eastAsia="Arial" w:hAnsi="Arial"/>
                <w:sz w:val="16"/>
                <w:szCs w:val="16"/>
                <w:color w:val="0000FF"/>
              </w:rPr>
            </w:pPr>
            <w:hyperlink w:anchor="page201">
              <w:r>
                <w:rPr>
                  <w:rFonts w:ascii="Arial" w:cs="Arial" w:eastAsia="Arial" w:hAnsi="Arial"/>
                  <w:sz w:val="16"/>
                  <w:szCs w:val="16"/>
                  <w:color w:val="0000FF"/>
                </w:rPr>
                <w:t>189</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3940" w:type="dxa"/>
            <w:vAlign w:val="bottom"/>
            <w:gridSpan w:val="14"/>
          </w:tcPr>
          <w:p>
            <w:pPr>
              <w:spacing w:after="0" w:line="138" w:lineRule="exact"/>
              <w:rPr>
                <w:rFonts w:ascii="Arial" w:cs="Arial" w:eastAsia="Arial" w:hAnsi="Arial"/>
                <w:sz w:val="16"/>
                <w:szCs w:val="16"/>
                <w:color w:val="0000FF"/>
              </w:rPr>
            </w:pPr>
            <w:hyperlink w:anchor="page201">
              <w:r>
                <w:rPr>
                  <w:rFonts w:ascii="Arial" w:cs="Arial" w:eastAsia="Arial" w:hAnsi="Arial"/>
                  <w:sz w:val="16"/>
                  <w:szCs w:val="16"/>
                  <w:color w:val="0000FF"/>
                </w:rPr>
                <w:t>CONSEQUENCES TO NON-U.S. HOLDERS</w:t>
              </w:r>
            </w:hyperlink>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8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205">
              <w:r>
                <w:rPr>
                  <w:rFonts w:ascii="Arial" w:cs="Arial" w:eastAsia="Arial" w:hAnsi="Arial"/>
                  <w:sz w:val="16"/>
                  <w:szCs w:val="16"/>
                  <w:color w:val="0000FF"/>
                  <w:w w:val="99"/>
                </w:rPr>
                <w:t>UNDERWRITING</w:t>
              </w:r>
            </w:hyperlink>
          </w:p>
        </w:tc>
        <w:tc>
          <w:tcPr>
            <w:tcW w:w="2800" w:type="dxa"/>
            <w:vAlign w:val="bottom"/>
            <w:gridSpan w:val="11"/>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05">
              <w:r>
                <w:rPr>
                  <w:rFonts w:ascii="Arial" w:cs="Arial" w:eastAsia="Arial" w:hAnsi="Arial"/>
                  <w:sz w:val="16"/>
                  <w:szCs w:val="16"/>
                  <w:color w:val="0000FF"/>
                  <w:w w:val="82"/>
                </w:rPr>
                <w:t>193</w:t>
              </w:r>
            </w:hyperlink>
          </w:p>
        </w:tc>
        <w:tc>
          <w:tcPr>
            <w:tcW w:w="0" w:type="dxa"/>
            <w:vAlign w:val="bottom"/>
          </w:tcPr>
          <w:p>
            <w:pPr>
              <w:spacing w:after="0"/>
              <w:rPr>
                <w:sz w:val="1"/>
                <w:szCs w:val="1"/>
                <w:color w:val="auto"/>
              </w:rPr>
            </w:pPr>
          </w:p>
        </w:tc>
      </w:tr>
      <w:tr>
        <w:trPr>
          <w:trHeight w:val="187"/>
        </w:trPr>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216">
              <w:r>
                <w:rPr>
                  <w:rFonts w:ascii="Arial" w:cs="Arial" w:eastAsia="Arial" w:hAnsi="Arial"/>
                  <w:sz w:val="16"/>
                  <w:szCs w:val="16"/>
                  <w:color w:val="0000FF"/>
                  <w:w w:val="99"/>
                </w:rPr>
                <w:t>LEGAL MATTERS</w:t>
              </w:r>
            </w:hyperlink>
          </w:p>
        </w:tc>
        <w:tc>
          <w:tcPr>
            <w:tcW w:w="2740" w:type="dxa"/>
            <w:vAlign w:val="bottom"/>
            <w:gridSpan w:val="10"/>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6">
              <w:r>
                <w:rPr>
                  <w:rFonts w:ascii="Arial" w:cs="Arial" w:eastAsia="Arial" w:hAnsi="Arial"/>
                  <w:sz w:val="16"/>
                  <w:szCs w:val="16"/>
                  <w:color w:val="0000FF"/>
                  <w:w w:val="82"/>
                </w:rPr>
                <w:t>204</w:t>
              </w:r>
            </w:hyperlink>
          </w:p>
        </w:tc>
        <w:tc>
          <w:tcPr>
            <w:tcW w:w="0" w:type="dxa"/>
            <w:vAlign w:val="bottom"/>
          </w:tcPr>
          <w:p>
            <w:pPr>
              <w:spacing w:after="0"/>
              <w:rPr>
                <w:sz w:val="1"/>
                <w:szCs w:val="1"/>
                <w:color w:val="auto"/>
              </w:rPr>
            </w:pPr>
          </w:p>
        </w:tc>
      </w:tr>
      <w:tr>
        <w:trPr>
          <w:trHeight w:val="187"/>
        </w:trPr>
        <w:tc>
          <w:tcPr>
            <w:tcW w:w="76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217">
              <w:r>
                <w:rPr>
                  <w:rFonts w:ascii="Arial" w:cs="Arial" w:eastAsia="Arial" w:hAnsi="Arial"/>
                  <w:sz w:val="16"/>
                  <w:szCs w:val="16"/>
                  <w:color w:val="0000FF"/>
                  <w:w w:val="99"/>
                </w:rPr>
                <w:t>EXPERTS</w:t>
              </w:r>
            </w:hyperlink>
          </w:p>
        </w:tc>
        <w:tc>
          <w:tcPr>
            <w:tcW w:w="3320" w:type="dxa"/>
            <w:vAlign w:val="bottom"/>
            <w:gridSpan w:val="13"/>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7">
              <w:r>
                <w:rPr>
                  <w:rFonts w:ascii="Arial" w:cs="Arial" w:eastAsia="Arial" w:hAnsi="Arial"/>
                  <w:sz w:val="16"/>
                  <w:szCs w:val="16"/>
                  <w:color w:val="0000FF"/>
                  <w:w w:val="82"/>
                </w:rPr>
                <w:t>204</w:t>
              </w:r>
            </w:hyperlink>
          </w:p>
        </w:tc>
        <w:tc>
          <w:tcPr>
            <w:tcW w:w="0" w:type="dxa"/>
            <w:vAlign w:val="bottom"/>
          </w:tcPr>
          <w:p>
            <w:pPr>
              <w:spacing w:after="0"/>
              <w:rPr>
                <w:sz w:val="1"/>
                <w:szCs w:val="1"/>
                <w:color w:val="auto"/>
              </w:rPr>
            </w:pPr>
          </w:p>
        </w:tc>
      </w:tr>
      <w:tr>
        <w:trPr>
          <w:trHeight w:val="187"/>
        </w:trPr>
        <w:tc>
          <w:tcPr>
            <w:tcW w:w="3520" w:type="dxa"/>
            <w:vAlign w:val="bottom"/>
            <w:tcBorders>
              <w:bottom w:val="single" w:sz="8" w:color="0000FF"/>
            </w:tcBorders>
            <w:gridSpan w:val="13"/>
          </w:tcPr>
          <w:p>
            <w:pPr>
              <w:spacing w:after="0"/>
              <w:rPr>
                <w:rFonts w:ascii="Arial" w:cs="Arial" w:eastAsia="Arial" w:hAnsi="Arial"/>
                <w:sz w:val="16"/>
                <w:szCs w:val="16"/>
                <w:color w:val="0000FF"/>
              </w:rPr>
            </w:pPr>
            <w:hyperlink w:anchor="page217">
              <w:r>
                <w:rPr>
                  <w:rFonts w:ascii="Arial" w:cs="Arial" w:eastAsia="Arial" w:hAnsi="Arial"/>
                  <w:sz w:val="16"/>
                  <w:szCs w:val="16"/>
                  <w:color w:val="0000FF"/>
                </w:rPr>
                <w:t>WHERE YOU CAN FIND MORE INFORMATION</w:t>
              </w:r>
            </w:hyperlink>
          </w:p>
        </w:tc>
        <w:tc>
          <w:tcPr>
            <w:tcW w:w="5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7">
              <w:r>
                <w:rPr>
                  <w:rFonts w:ascii="Arial" w:cs="Arial" w:eastAsia="Arial" w:hAnsi="Arial"/>
                  <w:sz w:val="16"/>
                  <w:szCs w:val="16"/>
                  <w:color w:val="0000FF"/>
                  <w:w w:val="82"/>
                </w:rPr>
                <w:t>204</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w w:val="99"/>
              </w:rPr>
            </w:pPr>
            <w:hyperlink w:anchor="page217">
              <w:r>
                <w:rPr>
                  <w:rFonts w:ascii="Arial" w:cs="Arial" w:eastAsia="Arial" w:hAnsi="Arial"/>
                  <w:sz w:val="16"/>
                  <w:szCs w:val="16"/>
                  <w:color w:val="0000FF"/>
                  <w:w w:val="99"/>
                </w:rPr>
                <w:t>INDEX TO CONSOLIDATED FINANCIAL STATEMENTS</w:t>
              </w:r>
            </w:hyperlink>
          </w:p>
        </w:tc>
        <w:tc>
          <w:tcPr>
            <w:tcW w:w="840" w:type="dxa"/>
            <w:vAlign w:val="bottom"/>
          </w:tcPr>
          <w:p>
            <w:pPr>
              <w:spacing w:after="0"/>
              <w:rPr>
                <w:sz w:val="16"/>
                <w:szCs w:val="16"/>
                <w:color w:val="auto"/>
              </w:rPr>
            </w:pPr>
          </w:p>
        </w:tc>
        <w:tc>
          <w:tcPr>
            <w:tcW w:w="240" w:type="dxa"/>
            <w:vAlign w:val="bottom"/>
          </w:tcPr>
          <w:p>
            <w:pPr>
              <w:jc w:val="right"/>
              <w:spacing w:after="0"/>
              <w:rPr>
                <w:rFonts w:ascii="Arial" w:cs="Arial" w:eastAsia="Arial" w:hAnsi="Arial"/>
                <w:sz w:val="16"/>
                <w:szCs w:val="16"/>
                <w:color w:val="0000FF"/>
                <w:w w:val="91"/>
              </w:rPr>
            </w:pPr>
            <w:hyperlink w:anchor="page217">
              <w:r>
                <w:rPr>
                  <w:rFonts w:ascii="Arial" w:cs="Arial" w:eastAsia="Arial" w:hAnsi="Arial"/>
                  <w:sz w:val="16"/>
                  <w:szCs w:val="16"/>
                  <w:color w:val="0000FF"/>
                  <w:w w:val="91"/>
                </w:rPr>
                <w:t>F-1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6" w:lineRule="exact"/>
        <w:rPr>
          <w:sz w:val="20"/>
          <w:szCs w:val="20"/>
          <w:color w:val="auto"/>
        </w:rPr>
      </w:pPr>
    </w:p>
    <w:p>
      <w:pPr>
        <w:sectPr>
          <w:pgSz w:w="11900" w:h="16838" w:orient="portrait"/>
          <w:cols w:equalWidth="0" w:num="2">
            <w:col w:w="5240" w:space="720"/>
            <w:col w:w="5280"/>
          </w:cols>
          <w:pgMar w:left="320" w:top="1407" w:right="339" w:bottom="1440" w:gutter="0" w:footer="0" w:header="0"/>
        </w:sectPr>
      </w:pPr>
    </w:p>
    <w:p>
      <w:pPr>
        <w:spacing w:after="0" w:line="152"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__________________</w:t>
      </w:r>
    </w:p>
    <w:p>
      <w:pPr>
        <w:spacing w:after="0" w:line="125"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b w:val="1"/>
          <w:bCs w:val="1"/>
          <w:color w:val="auto"/>
        </w:rPr>
        <w:t>Through and including</w:t>
      </w:r>
      <w:r>
        <w:rPr>
          <w:sz w:val="20"/>
          <w:szCs w:val="20"/>
          <w:color w:val="auto"/>
        </w:rPr>
        <w:tab/>
      </w:r>
      <w:r>
        <w:rPr>
          <w:rFonts w:ascii="Arial" w:cs="Arial" w:eastAsia="Arial" w:hAnsi="Arial"/>
          <w:sz w:val="16"/>
          <w:szCs w:val="16"/>
          <w:b w:val="1"/>
          <w:bCs w:val="1"/>
          <w:color w:val="auto"/>
        </w:rPr>
        <w:t>, 2021 (the 25th day after the date of this prospectus), all dealers effecting transactions in these securities,</w:t>
      </w:r>
    </w:p>
    <w:p>
      <w:pPr>
        <w:spacing w:after="0" w:line="31" w:lineRule="exact"/>
        <w:rPr>
          <w:sz w:val="20"/>
          <w:szCs w:val="20"/>
          <w:color w:val="auto"/>
        </w:rPr>
      </w:pPr>
    </w:p>
    <w:p>
      <w:pPr>
        <w:ind w:right="580"/>
        <w:spacing w:after="0" w:line="254" w:lineRule="auto"/>
        <w:rPr>
          <w:sz w:val="20"/>
          <w:szCs w:val="20"/>
          <w:color w:val="auto"/>
        </w:rPr>
      </w:pPr>
      <w:r>
        <w:rPr>
          <w:rFonts w:ascii="Arial" w:cs="Arial" w:eastAsia="Arial" w:hAnsi="Arial"/>
          <w:sz w:val="16"/>
          <w:szCs w:val="16"/>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ind w:left="4820"/>
        <w:spacing w:after="0"/>
        <w:rPr>
          <w:sz w:val="20"/>
          <w:szCs w:val="20"/>
          <w:color w:val="auto"/>
        </w:rPr>
      </w:pPr>
      <w:r>
        <w:rPr>
          <w:rFonts w:ascii="Arial" w:cs="Arial" w:eastAsia="Arial" w:hAnsi="Arial"/>
          <w:sz w:val="16"/>
          <w:szCs w:val="16"/>
          <w:color w:val="auto"/>
        </w:rPr>
        <w:t>__________________</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10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40"/>
          </w:cols>
          <w:pgMar w:left="320" w:top="1407"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76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617601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Prospectus summary</w:t>
      </w:r>
    </w:p>
    <w:p>
      <w:pPr>
        <w:spacing w:after="0" w:line="28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316" w:lineRule="exact"/>
        <w:rPr>
          <w:sz w:val="20"/>
          <w:szCs w:val="20"/>
          <w:color w:val="auto"/>
        </w:rPr>
      </w:pPr>
    </w:p>
    <w:p>
      <w:pPr>
        <w:jc w:val="both"/>
        <w:ind w:right="500"/>
        <w:spacing w:after="0" w:line="261"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040"/>
          </w:cols>
          <w:pgMar w:left="920" w:top="1440" w:right="9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15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6315710"/>
                    </a:xfrm>
                    <a:prstGeom prst="rect">
                      <a:avLst/>
                    </a:prstGeom>
                    <a:noFill/>
                  </pic:spPr>
                </pic:pic>
              </a:graphicData>
            </a:graphic>
          </wp:anchor>
        </w:drawing>
      </w:r>
    </w:p>
    <w:p>
      <w:pPr>
        <w:spacing w:after="0" w:line="399" w:lineRule="exact"/>
        <w:rPr>
          <w:sz w:val="20"/>
          <w:szCs w:val="20"/>
          <w:color w:val="auto"/>
        </w:rPr>
      </w:pPr>
    </w:p>
    <w:p>
      <w:pPr>
        <w:ind w:left="2" w:right="100"/>
        <w:spacing w:after="0" w:line="255" w:lineRule="auto"/>
        <w:rPr>
          <w:sz w:val="20"/>
          <w:szCs w:val="20"/>
          <w:color w:val="auto"/>
        </w:rPr>
      </w:pPr>
      <w:r>
        <w:rPr>
          <w:rFonts w:ascii="Arial" w:cs="Arial" w:eastAsia="Arial" w:hAnsi="Arial"/>
          <w:sz w:val="16"/>
          <w:szCs w:val="16"/>
          <w:color w:val="auto"/>
        </w:rPr>
        <w:t>people committed to a long-term vision. We are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28" w:lineRule="exact"/>
        <w:rPr>
          <w:sz w:val="20"/>
          <w:szCs w:val="20"/>
          <w:color w:val="auto"/>
        </w:rPr>
      </w:pPr>
    </w:p>
    <w:p>
      <w:pPr>
        <w:ind w:left="2" w:right="10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65" w:lineRule="exact"/>
        <w:rPr>
          <w:sz w:val="20"/>
          <w:szCs w:val="20"/>
          <w:color w:val="auto"/>
        </w:rPr>
      </w:pPr>
    </w:p>
    <w:p>
      <w:pPr>
        <w:ind w:left="2" w:right="200"/>
        <w:spacing w:after="0" w:line="268" w:lineRule="auto"/>
        <w:rPr>
          <w:sz w:val="20"/>
          <w:szCs w:val="20"/>
          <w:color w:val="auto"/>
        </w:rPr>
      </w:pPr>
      <w:r>
        <w:rPr>
          <w:rFonts w:ascii="Arial" w:cs="Arial" w:eastAsia="Arial" w:hAnsi="Arial"/>
          <w:sz w:val="16"/>
          <w:szCs w:val="16"/>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101"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302" w:right="60" w:hanging="302"/>
        <w:spacing w:after="0" w:line="294" w:lineRule="auto"/>
        <w:tabs>
          <w:tab w:leader="none" w:pos="29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Easy to discover. </w:t>
      </w:r>
      <w:r>
        <w:rPr>
          <w:rFonts w:ascii="Arial" w:cs="Arial" w:eastAsia="Arial" w:hAnsi="Arial"/>
          <w:sz w:val="16"/>
          <w:szCs w:val="16"/>
          <w:color w:val="auto"/>
        </w:rPr>
        <w:t>SMBs increasingly rely on online channels for finding new technologies and heavily consider recommendations from</w:t>
      </w:r>
      <w:r>
        <w:rPr>
          <w:rFonts w:ascii="Arial" w:cs="Arial" w:eastAsia="Arial" w:hAnsi="Arial"/>
          <w:sz w:val="16"/>
          <w:szCs w:val="16"/>
          <w:b w:val="1"/>
          <w:bCs w:val="1"/>
          <w:color w:val="auto"/>
        </w:rPr>
        <w:t xml:space="preserve"> </w:t>
      </w:r>
      <w:r>
        <w:rPr>
          <w:rFonts w:ascii="Arial" w:cs="Arial" w:eastAsia="Arial" w:hAnsi="Arial"/>
          <w:sz w:val="16"/>
          <w:szCs w:val="16"/>
          <w:color w:val="auto"/>
        </w:rPr>
        <w:t>experts, friends and colleagues.</w:t>
      </w:r>
    </w:p>
    <w:p>
      <w:pPr>
        <w:spacing w:after="0" w:line="72" w:lineRule="exact"/>
        <w:rPr>
          <w:rFonts w:ascii="Arial" w:cs="Arial" w:eastAsia="Arial" w:hAnsi="Arial"/>
          <w:sz w:val="16"/>
          <w:szCs w:val="16"/>
          <w:color w:val="auto"/>
        </w:rPr>
      </w:pPr>
    </w:p>
    <w:p>
      <w:pPr>
        <w:ind w:left="302" w:right="160" w:hanging="302"/>
        <w:spacing w:after="0" w:line="294" w:lineRule="auto"/>
        <w:tabs>
          <w:tab w:leader="none" w:pos="29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w:t>
      </w:r>
      <w:r>
        <w:rPr>
          <w:rFonts w:ascii="Arial" w:cs="Arial" w:eastAsia="Arial" w:hAnsi="Arial"/>
          <w:sz w:val="16"/>
          <w:szCs w:val="16"/>
          <w:b w:val="1"/>
          <w:bCs w:val="1"/>
          <w:color w:val="auto"/>
        </w:rPr>
        <w:t xml:space="preserve"> </w:t>
      </w:r>
      <w:r>
        <w:rPr>
          <w:rFonts w:ascii="Arial" w:cs="Arial" w:eastAsia="Arial" w:hAnsi="Arial"/>
          <w:sz w:val="16"/>
          <w:szCs w:val="16"/>
          <w:color w:val="auto"/>
        </w:rPr>
        <w:t>time away from their business to support cumbersome implementation, maintenance and training requirements.</w:t>
      </w:r>
    </w:p>
    <w:p>
      <w:pPr>
        <w:spacing w:after="0" w:line="60" w:lineRule="exact"/>
        <w:rPr>
          <w:rFonts w:ascii="Arial" w:cs="Arial" w:eastAsia="Arial" w:hAnsi="Arial"/>
          <w:sz w:val="16"/>
          <w:szCs w:val="16"/>
          <w:color w:val="auto"/>
        </w:rPr>
      </w:pPr>
    </w:p>
    <w:p>
      <w:pPr>
        <w:ind w:left="302" w:right="260" w:hanging="302"/>
        <w:spacing w:after="0" w:line="294" w:lineRule="auto"/>
        <w:tabs>
          <w:tab w:leader="none" w:pos="29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w:t>
      </w:r>
      <w:r>
        <w:rPr>
          <w:rFonts w:ascii="Arial" w:cs="Arial" w:eastAsia="Arial" w:hAnsi="Arial"/>
          <w:sz w:val="16"/>
          <w:szCs w:val="16"/>
          <w:b w:val="1"/>
          <w:bCs w:val="1"/>
          <w:color w:val="auto"/>
        </w:rPr>
        <w:t xml:space="preserve"> </w:t>
      </w:r>
      <w:r>
        <w:rPr>
          <w:rFonts w:ascii="Arial" w:cs="Arial" w:eastAsia="Arial" w:hAnsi="Arial"/>
          <w:sz w:val="16"/>
          <w:szCs w:val="16"/>
          <w:color w:val="auto"/>
        </w:rPr>
        <w:t>often prefer vendors with transparent, self-service monthly subscription plans that can be paid by credit card.</w:t>
      </w:r>
    </w:p>
    <w:p>
      <w:pPr>
        <w:spacing w:after="0" w:line="72" w:lineRule="exact"/>
        <w:rPr>
          <w:rFonts w:ascii="Arial" w:cs="Arial" w:eastAsia="Arial" w:hAnsi="Arial"/>
          <w:sz w:val="16"/>
          <w:szCs w:val="16"/>
          <w:color w:val="auto"/>
        </w:rPr>
      </w:pPr>
    </w:p>
    <w:p>
      <w:pPr>
        <w:ind w:left="282" w:hanging="282"/>
        <w:spacing w:after="0"/>
        <w:tabs>
          <w:tab w:leader="none" w:pos="28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Easy to manage. </w:t>
      </w:r>
      <w:r>
        <w:rPr>
          <w:rFonts w:ascii="Arial" w:cs="Arial" w:eastAsia="Arial" w:hAnsi="Arial"/>
          <w:sz w:val="16"/>
          <w:szCs w:val="16"/>
          <w:color w:val="auto"/>
        </w:rPr>
        <w:t>SMBs prefer a single, comprehensive platform from one provider that can solve multiple pain points.</w:t>
      </w:r>
    </w:p>
    <w:p>
      <w:pPr>
        <w:spacing w:after="0" w:line="144" w:lineRule="exact"/>
        <w:rPr>
          <w:rFonts w:ascii="Arial" w:cs="Arial" w:eastAsia="Arial" w:hAnsi="Arial"/>
          <w:sz w:val="16"/>
          <w:szCs w:val="16"/>
          <w:color w:val="auto"/>
        </w:rPr>
      </w:pPr>
    </w:p>
    <w:p>
      <w:pPr>
        <w:ind w:left="302" w:right="140" w:hanging="302"/>
        <w:spacing w:after="0" w:line="294" w:lineRule="auto"/>
        <w:tabs>
          <w:tab w:leader="none" w:pos="29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w:t>
      </w:r>
      <w:r>
        <w:rPr>
          <w:rFonts w:ascii="Arial" w:cs="Arial" w:eastAsia="Arial" w:hAnsi="Arial"/>
          <w:sz w:val="16"/>
          <w:szCs w:val="16"/>
          <w:b w:val="1"/>
          <w:bCs w:val="1"/>
          <w:color w:val="auto"/>
        </w:rPr>
        <w:t xml:space="preserve"> </w:t>
      </w:r>
      <w:r>
        <w:rPr>
          <w:rFonts w:ascii="Arial" w:cs="Arial" w:eastAsia="Arial" w:hAnsi="Arial"/>
          <w:sz w:val="16"/>
          <w:szCs w:val="16"/>
          <w:color w:val="auto"/>
        </w:rPr>
        <w:t>that require no training or expertise to operate.</w:t>
      </w:r>
    </w:p>
    <w:p>
      <w:pPr>
        <w:spacing w:after="0" w:line="6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2" w:right="40"/>
        <w:spacing w:after="0" w:line="268"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Despite the mission criticality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042"/>
          </w:cols>
          <w:pgMar w:left="918" w:top="1440" w:right="9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6"/>
          <w:szCs w:val="16"/>
          <w:color w:val="auto"/>
        </w:rPr>
        <w:t>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2" w:right="60"/>
        <w:spacing w:after="0" w:line="256"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2" w:right="18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2"/>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21" w:lineRule="exact"/>
        <w:rPr>
          <w:sz w:val="20"/>
          <w:szCs w:val="20"/>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 designed for the employee;</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Multiple, disparate product lines for different features;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Inaccurate receipt scanning;</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Lack purposeful automation;</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Lack integration with key systems and applications; and</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Partitioned database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042"/>
          </w:cols>
          <w:pgMar w:left="918" w:top="1440" w:right="9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895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6895465"/>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This type of approach poses key challenges for traditional software providers, including:</w:t>
      </w:r>
    </w:p>
    <w:p>
      <w:pPr>
        <w:spacing w:after="0" w:line="86" w:lineRule="exact"/>
        <w:rPr>
          <w:sz w:val="20"/>
          <w:szCs w:val="20"/>
          <w:color w:val="auto"/>
        </w:rPr>
      </w:pPr>
    </w:p>
    <w:p>
      <w:pPr>
        <w:ind w:left="302" w:right="480" w:hanging="302"/>
        <w:spacing w:after="0" w:line="294" w:lineRule="auto"/>
        <w:tabs>
          <w:tab w:leader="none" w:pos="298"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requiring an ever-increasing pipeline of sales talent.</w:t>
      </w:r>
    </w:p>
    <w:p>
      <w:pPr>
        <w:spacing w:after="0" w:line="72" w:lineRule="exact"/>
        <w:rPr>
          <w:rFonts w:ascii="Arial" w:cs="Arial" w:eastAsia="Arial" w:hAnsi="Arial"/>
          <w:sz w:val="16"/>
          <w:szCs w:val="16"/>
          <w:color w:val="auto"/>
        </w:rPr>
      </w:pPr>
    </w:p>
    <w:p>
      <w:pPr>
        <w:ind w:left="302" w:hanging="302"/>
        <w:spacing w:after="0" w:line="274" w:lineRule="auto"/>
        <w:tabs>
          <w:tab w:leader="none" w:pos="298"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Discovering and buying software is typically not the core job function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at most SMBs, and software providers leveraging a top-down approach struggle to identify, engage with and sell to key decision makers at SMBs.</w:t>
      </w:r>
    </w:p>
    <w:p>
      <w:pPr>
        <w:spacing w:after="0" w:line="88" w:lineRule="exact"/>
        <w:rPr>
          <w:rFonts w:ascii="Arial" w:cs="Arial" w:eastAsia="Arial" w:hAnsi="Arial"/>
          <w:sz w:val="16"/>
          <w:szCs w:val="16"/>
          <w:color w:val="auto"/>
        </w:rPr>
      </w:pPr>
    </w:p>
    <w:p>
      <w:pPr>
        <w:ind w:left="302" w:right="860" w:hanging="302"/>
        <w:spacing w:after="0" w:line="294" w:lineRule="auto"/>
        <w:tabs>
          <w:tab w:leader="none" w:pos="298"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processes, which emphasize pricing and control features over the user experience.</w:t>
      </w:r>
    </w:p>
    <w:p>
      <w:pPr>
        <w:spacing w:after="0" w:line="60" w:lineRule="exact"/>
        <w:rPr>
          <w:rFonts w:ascii="Arial" w:cs="Arial" w:eastAsia="Arial" w:hAnsi="Arial"/>
          <w:sz w:val="16"/>
          <w:szCs w:val="16"/>
          <w:color w:val="auto"/>
        </w:rPr>
      </w:pPr>
    </w:p>
    <w:p>
      <w:pPr>
        <w:ind w:left="302" w:right="380" w:hanging="302"/>
        <w:spacing w:after="0" w:line="294" w:lineRule="auto"/>
        <w:tabs>
          <w:tab w:leader="none" w:pos="298"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This company-centric legal approach acts as an impediment to viral employee adoption within and across organizations.</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in 2020.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022"/>
          </w:cols>
          <w:pgMar w:left="918" w:top="1440" w:right="9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excludes the U.S. market opportunity for companies with greater than 1,000 employees, which we estimate to be $7.1 billion using the same methodology described above.</w:t>
      </w:r>
    </w:p>
    <w:p>
      <w:pPr>
        <w:spacing w:after="0" w:line="113" w:lineRule="exact"/>
        <w:rPr>
          <w:sz w:val="20"/>
          <w:szCs w:val="20"/>
          <w:color w:val="auto"/>
        </w:rPr>
      </w:pPr>
    </w:p>
    <w:p>
      <w:pPr>
        <w:ind w:left="2" w:right="80"/>
        <w:spacing w:after="0" w:line="255"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16" w:lineRule="exact"/>
        <w:rPr>
          <w:sz w:val="20"/>
          <w:szCs w:val="20"/>
          <w:color w:val="auto"/>
        </w:rPr>
      </w:pPr>
    </w:p>
    <w:p>
      <w:pPr>
        <w:ind w:left="2" w:right="28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25" w:lineRule="exact"/>
        <w:rPr>
          <w:sz w:val="20"/>
          <w:szCs w:val="20"/>
          <w:color w:val="auto"/>
        </w:rPr>
      </w:pPr>
    </w:p>
    <w:p>
      <w:pPr>
        <w:ind w:left="302" w:hanging="302"/>
        <w:spacing w:after="0" w:line="267"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then launched fully in early 2020.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82" w:lineRule="exact"/>
        <w:rPr>
          <w:rFonts w:ascii="Arial" w:cs="Arial" w:eastAsia="Arial" w:hAnsi="Arial"/>
          <w:sz w:val="16"/>
          <w:szCs w:val="16"/>
          <w:color w:val="auto"/>
        </w:rPr>
      </w:pPr>
    </w:p>
    <w:p>
      <w:pPr>
        <w:ind w:left="302" w:right="60" w:hanging="302"/>
        <w:spacing w:after="0" w:line="267"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expansion. </w:t>
      </w:r>
      <w:r>
        <w:rPr>
          <w:rFonts w:ascii="Arial" w:cs="Arial" w:eastAsia="Arial" w:hAnsi="Arial"/>
          <w:sz w:val="16"/>
          <w:szCs w:val="16"/>
          <w:color w:val="auto"/>
        </w:rPr>
        <w:t>While expense management tends to touch the majority of company employees at least once or twice in a given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4"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approach</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25" w:lineRule="exact"/>
        <w:rPr>
          <w:sz w:val="20"/>
          <w:szCs w:val="20"/>
          <w:color w:val="auto"/>
        </w:rPr>
      </w:pPr>
    </w:p>
    <w:p>
      <w:pPr>
        <w:ind w:left="302" w:right="640" w:hanging="302"/>
        <w:spacing w:after="0" w:line="294"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within an organization, not just decision makers or managers.</w:t>
      </w:r>
    </w:p>
    <w:p>
      <w:pPr>
        <w:spacing w:after="0" w:line="72" w:lineRule="exact"/>
        <w:rPr>
          <w:rFonts w:ascii="Arial" w:cs="Arial" w:eastAsia="Arial" w:hAnsi="Arial"/>
          <w:sz w:val="16"/>
          <w:szCs w:val="16"/>
          <w:color w:val="auto"/>
        </w:rPr>
      </w:pPr>
    </w:p>
    <w:p>
      <w:pPr>
        <w:ind w:left="302" w:right="280" w:hanging="302"/>
        <w:spacing w:after="0" w:line="267"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pacing w:after="0" w:line="82" w:lineRule="exact"/>
        <w:rPr>
          <w:rFonts w:ascii="Arial" w:cs="Arial" w:eastAsia="Arial" w:hAnsi="Arial"/>
          <w:sz w:val="16"/>
          <w:szCs w:val="16"/>
          <w:color w:val="auto"/>
        </w:rPr>
      </w:pPr>
    </w:p>
    <w:p>
      <w:pPr>
        <w:ind w:left="302" w:right="260" w:hanging="302"/>
        <w:spacing w:after="0" w:line="274"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We strive to build a superior platform that makes the lives of employees and admins easier so that they become our champions and promote us to other individuals and organizations. We deploy large scale brand advertising to build on this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042"/>
          </w:cols>
          <w:pgMar w:left="918" w:top="1440" w:right="9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253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6253480"/>
                    </a:xfrm>
                    <a:prstGeom prst="rect">
                      <a:avLst/>
                    </a:prstGeom>
                    <a:noFill/>
                  </pic:spPr>
                </pic:pic>
              </a:graphicData>
            </a:graphic>
          </wp:anchor>
        </w:drawing>
      </w:r>
    </w:p>
    <w:p>
      <w:pPr>
        <w:spacing w:after="0" w:line="39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superiority and help create market consensus that Expensify is the category leader for expense management software.</w:t>
      </w:r>
    </w:p>
    <w:p>
      <w:pPr>
        <w:spacing w:after="0" w:line="125" w:lineRule="exact"/>
        <w:rPr>
          <w:sz w:val="20"/>
          <w:szCs w:val="20"/>
          <w:color w:val="auto"/>
        </w:rPr>
      </w:pPr>
    </w:p>
    <w:p>
      <w:pPr>
        <w:ind w:left="302" w:right="680" w:hanging="302"/>
        <w:spacing w:after="0" w:line="294"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culture and intense focus on the long-term happiness of our employees.</w:t>
      </w:r>
    </w:p>
    <w:p>
      <w:pPr>
        <w:spacing w:after="0" w:line="81" w:lineRule="exact"/>
        <w:rPr>
          <w:sz w:val="20"/>
          <w:szCs w:val="20"/>
          <w:color w:val="auto"/>
        </w:rPr>
      </w:pPr>
    </w:p>
    <w:p>
      <w:pPr>
        <w:ind w:left="2" w:right="360"/>
        <w:spacing w:after="0" w:line="268" w:lineRule="auto"/>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platform strategy</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platform strategy centers around the following key concepts:</w:t>
      </w:r>
    </w:p>
    <w:p>
      <w:pPr>
        <w:spacing w:after="0" w:line="113" w:lineRule="exact"/>
        <w:rPr>
          <w:sz w:val="20"/>
          <w:szCs w:val="20"/>
          <w:color w:val="auto"/>
        </w:rPr>
      </w:pPr>
    </w:p>
    <w:p>
      <w:pPr>
        <w:ind w:left="302" w:right="140" w:hanging="302"/>
        <w:spacing w:after="0" w:line="294" w:lineRule="auto"/>
        <w:tabs>
          <w:tab w:leader="none" w:pos="29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department. We believe that the more intuitive and simple Expensify is, the more employees and administrators will want to use it.</w:t>
      </w:r>
    </w:p>
    <w:p>
      <w:pPr>
        <w:spacing w:after="0" w:line="72" w:lineRule="exact"/>
        <w:rPr>
          <w:rFonts w:ascii="Arial" w:cs="Arial" w:eastAsia="Arial" w:hAnsi="Arial"/>
          <w:sz w:val="16"/>
          <w:szCs w:val="16"/>
          <w:color w:val="auto"/>
        </w:rPr>
      </w:pPr>
    </w:p>
    <w:p>
      <w:pPr>
        <w:ind w:left="302" w:right="540" w:hanging="302"/>
        <w:spacing w:after="0" w:line="294" w:lineRule="auto"/>
        <w:tabs>
          <w:tab w:leader="none" w:pos="29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believe that by making our platform easily accessible, simple to set up and easily configurable attracts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 to download and try Expensify.</w:t>
      </w:r>
    </w:p>
    <w:p>
      <w:pPr>
        <w:spacing w:after="0" w:line="72" w:lineRule="exact"/>
        <w:rPr>
          <w:rFonts w:ascii="Arial" w:cs="Arial" w:eastAsia="Arial" w:hAnsi="Arial"/>
          <w:sz w:val="16"/>
          <w:szCs w:val="16"/>
          <w:color w:val="auto"/>
        </w:rPr>
      </w:pPr>
    </w:p>
    <w:p>
      <w:pPr>
        <w:ind w:left="302" w:right="100" w:hanging="302"/>
        <w:spacing w:after="0" w:line="274" w:lineRule="auto"/>
        <w:tabs>
          <w:tab w:leader="none" w:pos="29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believe that always having the pain points of our members at the center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every technology decision and feature we develop enables us to consistently deliver an improved experience for every employee in an organization.</w:t>
      </w:r>
    </w:p>
    <w:p>
      <w:pPr>
        <w:spacing w:after="0" w:line="76" w:lineRule="exact"/>
        <w:rPr>
          <w:rFonts w:ascii="Arial" w:cs="Arial" w:eastAsia="Arial" w:hAnsi="Arial"/>
          <w:sz w:val="16"/>
          <w:szCs w:val="16"/>
          <w:color w:val="auto"/>
        </w:rPr>
      </w:pPr>
    </w:p>
    <w:p>
      <w:pPr>
        <w:ind w:left="302" w:right="240" w:hanging="302"/>
        <w:spacing w:after="0" w:line="274" w:lineRule="auto"/>
        <w:tabs>
          <w:tab w:leader="none" w:pos="29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management to bill payment. Our features are just different configurations of the same underlying tool, and are not different products in some kind of combined suite.</w:t>
      </w:r>
    </w:p>
    <w:p>
      <w:pPr>
        <w:spacing w:after="0" w:line="88" w:lineRule="exact"/>
        <w:rPr>
          <w:rFonts w:ascii="Arial" w:cs="Arial" w:eastAsia="Arial" w:hAnsi="Arial"/>
          <w:sz w:val="16"/>
          <w:szCs w:val="16"/>
          <w:color w:val="auto"/>
        </w:rPr>
      </w:pPr>
    </w:p>
    <w:p>
      <w:pPr>
        <w:ind w:left="282" w:hanging="282"/>
        <w:spacing w:after="0"/>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w:t>
      </w:r>
    </w:p>
    <w:p>
      <w:pPr>
        <w:spacing w:after="0" w:line="165"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left="2" w:right="80"/>
        <w:spacing w:after="0" w:line="257"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21"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We designed our pricing plans to facilitate the easy adoption of our platform by the smallest mom-and-pop stores to the largest and most complex organizations.</w:t>
      </w:r>
    </w:p>
    <w:p>
      <w:pPr>
        <w:spacing w:after="0" w:line="110" w:lineRule="exact"/>
        <w:rPr>
          <w:sz w:val="20"/>
          <w:szCs w:val="20"/>
          <w:color w:val="auto"/>
        </w:rPr>
      </w:pPr>
    </w:p>
    <w:p>
      <w:pPr>
        <w:ind w:left="2" w:right="200"/>
        <w:spacing w:after="0" w:line="261"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We support this powerful word-of-mouth marketing with large-scale brand advertising to build market consensus that Expensify is the software of choice for expense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022"/>
          </w:cols>
          <w:pgMar w:left="918" w:top="1440" w:right="9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09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6609080"/>
                    </a:xfrm>
                    <a:prstGeom prst="rect">
                      <a:avLst/>
                    </a:prstGeom>
                    <a:noFill/>
                  </pic:spPr>
                </pic:pic>
              </a:graphicData>
            </a:graphic>
          </wp:anchor>
        </w:drawing>
      </w:r>
    </w:p>
    <w:p>
      <w:pPr>
        <w:spacing w:after="0" w:line="399"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culture</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At Expensify, our culture is deeply embedded in everything we do.</w:t>
      </w:r>
    </w:p>
    <w:p>
      <w:pPr>
        <w:spacing w:after="0" w:line="145" w:lineRule="exact"/>
        <w:rPr>
          <w:sz w:val="20"/>
          <w:szCs w:val="20"/>
          <w:color w:val="auto"/>
        </w:rPr>
      </w:pPr>
    </w:p>
    <w:p>
      <w:pPr>
        <w:ind w:left="2" w:right="160"/>
        <w:spacing w:after="0" w:line="268" w:lineRule="auto"/>
        <w:rPr>
          <w:sz w:val="20"/>
          <w:szCs w:val="20"/>
          <w:color w:val="auto"/>
        </w:rPr>
      </w:pPr>
      <w:r>
        <w:rPr>
          <w:rFonts w:ascii="Arial" w:cs="Arial" w:eastAsia="Arial" w:hAnsi="Arial"/>
          <w:sz w:val="16"/>
          <w:szCs w:val="16"/>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6"/>
          <w:szCs w:val="16"/>
          <w:b w:val="1"/>
          <w:bCs w:val="1"/>
          <w:i w:val="1"/>
          <w:iCs w:val="1"/>
          <w:color w:val="auto"/>
        </w:rPr>
        <w:t>Live Rich, Have Fun</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Save The World.</w:t>
      </w:r>
    </w:p>
    <w:p>
      <w:pPr>
        <w:spacing w:after="0" w:line="93" w:lineRule="exact"/>
        <w:rPr>
          <w:sz w:val="20"/>
          <w:szCs w:val="20"/>
          <w:color w:val="auto"/>
        </w:rPr>
      </w:pPr>
    </w:p>
    <w:p>
      <w:pPr>
        <w:ind w:left="2" w:right="60"/>
        <w:spacing w:after="0" w:line="294" w:lineRule="auto"/>
        <w:rPr>
          <w:sz w:val="20"/>
          <w:szCs w:val="20"/>
          <w:color w:val="auto"/>
        </w:rPr>
      </w:pPr>
      <w:r>
        <w:rPr>
          <w:rFonts w:ascii="Arial" w:cs="Arial" w:eastAsia="Arial" w:hAnsi="Arial"/>
          <w:sz w:val="16"/>
          <w:szCs w:val="16"/>
          <w:color w:val="auto"/>
        </w:rPr>
        <w:t xml:space="preserve">We believe that there are three common qualities critical to achieving these three goals and the success of our company: </w:t>
      </w:r>
      <w:r>
        <w:rPr>
          <w:rFonts w:ascii="Arial" w:cs="Arial" w:eastAsia="Arial" w:hAnsi="Arial"/>
          <w:sz w:val="16"/>
          <w:szCs w:val="16"/>
          <w:b w:val="1"/>
          <w:bCs w:val="1"/>
          <w:i w:val="1"/>
          <w:iCs w:val="1"/>
          <w:color w:val="auto"/>
        </w:rPr>
        <w:t>Talent, Ambition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w:t>
      </w:r>
      <w:r>
        <w:rPr>
          <w:rFonts w:ascii="Arial" w:cs="Arial" w:eastAsia="Arial" w:hAnsi="Arial"/>
          <w:sz w:val="16"/>
          <w:szCs w:val="16"/>
          <w:b w:val="1"/>
          <w:bCs w:val="1"/>
          <w:i w:val="1"/>
          <w:iCs w:val="1"/>
          <w:color w:val="auto"/>
        </w:rPr>
        <w:t>Humility</w:t>
      </w:r>
    </w:p>
    <w:p>
      <w:pPr>
        <w:spacing w:after="0" w:line="61" w:lineRule="exact"/>
        <w:rPr>
          <w:sz w:val="20"/>
          <w:szCs w:val="20"/>
          <w:color w:val="auto"/>
        </w:rPr>
      </w:pPr>
    </w:p>
    <w:p>
      <w:pPr>
        <w:ind w:left="2" w:right="400"/>
        <w:spacing w:after="0" w:line="294" w:lineRule="auto"/>
        <w:rPr>
          <w:sz w:val="20"/>
          <w:szCs w:val="20"/>
          <w:color w:val="auto"/>
        </w:rPr>
      </w:pPr>
      <w:r>
        <w:rPr>
          <w:rFonts w:ascii="Arial" w:cs="Arial" w:eastAsia="Arial" w:hAnsi="Arial"/>
          <w:sz w:val="16"/>
          <w:szCs w:val="16"/>
          <w:color w:val="auto"/>
        </w:rPr>
        <w:t xml:space="preserve">Finally, our long-term commitment to our three life goals is guided by two simple rules: </w:t>
      </w:r>
      <w:r>
        <w:rPr>
          <w:rFonts w:ascii="Arial" w:cs="Arial" w:eastAsia="Arial" w:hAnsi="Arial"/>
          <w:sz w:val="16"/>
          <w:szCs w:val="16"/>
          <w:b w:val="1"/>
          <w:bCs w:val="1"/>
          <w:i w:val="1"/>
          <w:iCs w:val="1"/>
          <w:color w:val="auto"/>
        </w:rPr>
        <w:t>Get Shit Done</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Don’t Ruin It for Everyone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Else.</w:t>
      </w:r>
    </w:p>
    <w:p>
      <w:pPr>
        <w:spacing w:after="0" w:line="93" w:lineRule="exact"/>
        <w:rPr>
          <w:sz w:val="20"/>
          <w:szCs w:val="20"/>
          <w:color w:val="auto"/>
        </w:rPr>
      </w:pPr>
    </w:p>
    <w:p>
      <w:pPr>
        <w:ind w:left="2" w:right="320"/>
        <w:spacing w:after="0" w:line="268"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competitive strengths</w:t>
      </w:r>
    </w:p>
    <w:p>
      <w:pPr>
        <w:spacing w:after="0" w:line="152"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302" w:right="2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w:t>
      </w:r>
      <w:r>
        <w:rPr>
          <w:rFonts w:ascii="Arial" w:cs="Arial" w:eastAsia="Arial" w:hAnsi="Arial"/>
          <w:sz w:val="16"/>
          <w:szCs w:val="16"/>
          <w:b w:val="1"/>
          <w:bCs w:val="1"/>
          <w:color w:val="auto"/>
        </w:rPr>
        <w:t xml:space="preserve"> </w:t>
      </w:r>
      <w:r>
        <w:rPr>
          <w:rFonts w:ascii="Arial" w:cs="Arial" w:eastAsia="Arial" w:hAnsi="Arial"/>
          <w:sz w:val="16"/>
          <w:szCs w:val="16"/>
          <w:color w:val="auto"/>
        </w:rPr>
        <w:t>and powerful platform with features designed for the actual end users of expense management software: everyday employees.</w:t>
      </w:r>
    </w:p>
    <w:p>
      <w:pPr>
        <w:spacing w:after="0" w:line="72" w:lineRule="exact"/>
        <w:rPr>
          <w:rFonts w:ascii="Arial" w:cs="Arial" w:eastAsia="Arial" w:hAnsi="Arial"/>
          <w:sz w:val="16"/>
          <w:szCs w:val="16"/>
          <w:color w:val="auto"/>
        </w:rPr>
      </w:pPr>
    </w:p>
    <w:p>
      <w:pPr>
        <w:ind w:left="302" w:right="6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by employees.</w:t>
      </w:r>
    </w:p>
    <w:p>
      <w:pPr>
        <w:spacing w:after="0" w:line="60" w:lineRule="exact"/>
        <w:rPr>
          <w:rFonts w:ascii="Arial" w:cs="Arial" w:eastAsia="Arial" w:hAnsi="Arial"/>
          <w:sz w:val="16"/>
          <w:szCs w:val="16"/>
          <w:color w:val="auto"/>
        </w:rPr>
      </w:pPr>
    </w:p>
    <w:p>
      <w:pPr>
        <w:ind w:left="302" w:right="28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and our platform and business model are intensely focused on improving their everyday experience.</w:t>
      </w:r>
    </w:p>
    <w:p>
      <w:pPr>
        <w:spacing w:after="0" w:line="72" w:lineRule="exact"/>
        <w:rPr>
          <w:rFonts w:ascii="Arial" w:cs="Arial" w:eastAsia="Arial" w:hAnsi="Arial"/>
          <w:sz w:val="16"/>
          <w:szCs w:val="16"/>
          <w:color w:val="auto"/>
        </w:rPr>
      </w:pPr>
    </w:p>
    <w:p>
      <w:pPr>
        <w:ind w:left="302" w:right="160" w:hanging="302"/>
        <w:spacing w:after="0" w:line="267"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Employee-centric legal structure and database design. </w:t>
      </w:r>
      <w:r>
        <w:rPr>
          <w:rFonts w:ascii="Arial" w:cs="Arial" w:eastAsia="Arial" w:hAnsi="Arial"/>
          <w:sz w:val="16"/>
          <w:szCs w:val="16"/>
          <w:color w:val="auto"/>
        </w:rPr>
        <w:t>Our platform is built on Bedrock, a proprietary and private distributed</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 that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94" w:lineRule="exact"/>
        <w:rPr>
          <w:rFonts w:ascii="Arial" w:cs="Arial" w:eastAsia="Arial" w:hAnsi="Arial"/>
          <w:sz w:val="16"/>
          <w:szCs w:val="16"/>
          <w:color w:val="auto"/>
        </w:rPr>
      </w:pPr>
    </w:p>
    <w:p>
      <w:pPr>
        <w:ind w:left="302" w:right="80" w:hanging="302"/>
        <w:spacing w:after="0" w:line="27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to attract, retain and inspire a vastly more talent-dense team than our competition. We have achieved impressive levels of retention, which provides the necessary corporate patience and ambition to execute a truly massive, long-term vision.</w:t>
      </w:r>
    </w:p>
    <w:p>
      <w:pPr>
        <w:spacing w:after="0" w:line="79"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33" w:lineRule="exact"/>
        <w:rPr>
          <w:sz w:val="20"/>
          <w:szCs w:val="20"/>
          <w:color w:val="auto"/>
        </w:rPr>
      </w:pPr>
    </w:p>
    <w:p>
      <w:pPr>
        <w:ind w:left="282" w:hanging="282"/>
        <w:spacing w:after="0"/>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Build new features that create additional value for existing members;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Build new features that attract new members beyond employees who submit expenses;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Build viral loops into our member experience that increase adoption by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042"/>
          </w:cols>
          <w:pgMar w:left="918" w:top="1440" w:right="9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23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6323330"/>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Expand and monetize transaction volume from existing and new customers;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Promote Expensify’s culture and values;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to strengthen our market consensus;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Expand integrations and strengthen partnerships; and</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Expand internationally.</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Expensify.org</w:t>
      </w:r>
    </w:p>
    <w:p>
      <w:pPr>
        <w:spacing w:after="0" w:line="164"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0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The Voting Trust</w:t>
      </w:r>
    </w:p>
    <w:p>
      <w:pPr>
        <w:spacing w:after="0" w:line="152" w:lineRule="exact"/>
        <w:rPr>
          <w:sz w:val="20"/>
          <w:szCs w:val="20"/>
          <w:color w:val="auto"/>
        </w:rPr>
      </w:pPr>
    </w:p>
    <w:p>
      <w:pPr>
        <w:ind w:left="2"/>
        <w:spacing w:after="0" w:line="255" w:lineRule="auto"/>
        <w:rPr>
          <w:sz w:val="20"/>
          <w:szCs w:val="20"/>
          <w:color w:val="auto"/>
        </w:rPr>
      </w:pPr>
      <w:r>
        <w:rPr>
          <w:rFonts w:ascii="Arial" w:cs="Arial" w:eastAsia="Arial" w:hAnsi="Arial"/>
          <w:sz w:val="16"/>
          <w:szCs w:val="16"/>
          <w:color w:val="auto"/>
        </w:rPr>
        <w:t>Prior to the completion of this offering, all of our outstanding shares of LT10 and LT50 common stock, representing approximately 82.6% of the combined voting power and 16.8% of the economic interest in us immediately following the completion of this offering, will be contributed by the beneficial holders of such shares (the “Trust Beneficiaries”) to a new voting trust (the "Voting Trust”) formed pursuant to a voting trust agreement (the “Voting Trust Agreement"), under which all decisions with respect to the voting (but not the disposition) of such shares of LT10 and LT50 common stock, as well as any other shares of any class of common stock held in the Voting Trust from time to time, will be made by the trustees of the Voting Trust (the “Trustees”) in their sole and absolute discretion, with no responsibility under the Voting Trust Agreement as stockholder, trustee or otherwise, except for his or her own individual malfeasance. The initial Trustees of the Voting Trust will be David Barrett, our CEO, Ryan Schaffer, our CFO, and Jason Mills, our Chief Product Officer. The Voting Trust and its Trustees will, for the foreseeable future, have significant influence over our corporate management and affairs, and will be able to control virtually all matters requiring stockholder approval.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which will occur when all of the then-outstanding shares of LT10 and LT50 common stock represent, in the aggregate, less than 2% of all then-outstanding shares of common stock.</w:t>
      </w:r>
    </w:p>
    <w:p>
      <w:pPr>
        <w:spacing w:after="0" w:line="30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Risk factor summary</w:t>
      </w:r>
    </w:p>
    <w:p>
      <w:pPr>
        <w:spacing w:after="0" w:line="164"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06" w:lineRule="exact"/>
        <w:rPr>
          <w:sz w:val="20"/>
          <w:szCs w:val="20"/>
          <w:color w:val="auto"/>
        </w:rPr>
      </w:pPr>
    </w:p>
    <w:p>
      <w:pPr>
        <w:ind w:left="302" w:right="60" w:hanging="302"/>
        <w:spacing w:after="0" w:line="268" w:lineRule="auto"/>
        <w:tabs>
          <w:tab w:leader="none" w:pos="2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quarterly and annual results of operations have fluctuated in the past and may fluctuate significantly in the future and may not meet our expectations or those of investors or securities analysts.</w:t>
      </w:r>
    </w:p>
    <w:p>
      <w:pPr>
        <w:spacing w:after="0" w:line="112" w:lineRule="exact"/>
        <w:rPr>
          <w:rFonts w:ascii="Arial" w:cs="Arial" w:eastAsia="Arial" w:hAnsi="Arial"/>
          <w:sz w:val="16"/>
          <w:szCs w:val="16"/>
          <w:color w:val="auto"/>
        </w:rPr>
      </w:pPr>
    </w:p>
    <w:p>
      <w:pPr>
        <w:ind w:left="302" w:right="260" w:hanging="302"/>
        <w:spacing w:after="0" w:line="268" w:lineRule="auto"/>
        <w:tabs>
          <w:tab w:leader="none" w:pos="2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experienced rapid growth in recent periods prior to the COVID-19 pandemic, and those growth rates may not be indicative of our future growth, and we may not be able to maintain profitability.</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COVID 19 pandemic has materially adversely affected, and may continue to materially adversely affect, our business and our ability to grow. Whether or not a result of the COVID-19 pandemic,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042"/>
          </w:cols>
          <w:pgMar w:left="918" w:top="1440" w:right="9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63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6663690"/>
                    </a:xfrm>
                    <a:prstGeom prst="rect">
                      <a:avLst/>
                    </a:prstGeom>
                    <a:noFill/>
                  </pic:spPr>
                </pic:pic>
              </a:graphicData>
            </a:graphic>
          </wp:anchor>
        </w:drawing>
      </w:r>
    </w:p>
    <w:p>
      <w:pPr>
        <w:spacing w:after="0" w:line="399" w:lineRule="exact"/>
        <w:rPr>
          <w:sz w:val="20"/>
          <w:szCs w:val="20"/>
          <w:color w:val="auto"/>
        </w:rPr>
      </w:pPr>
    </w:p>
    <w:p>
      <w:pPr>
        <w:ind w:left="302" w:right="60"/>
        <w:spacing w:after="0" w:line="268" w:lineRule="auto"/>
        <w:rPr>
          <w:sz w:val="20"/>
          <w:szCs w:val="20"/>
          <w:color w:val="auto"/>
        </w:rPr>
      </w:pPr>
      <w:r>
        <w:rPr>
          <w:rFonts w:ascii="Arial" w:cs="Arial" w:eastAsia="Arial" w:hAnsi="Arial"/>
          <w:sz w:val="16"/>
          <w:szCs w:val="16"/>
          <w:color w:val="auto"/>
        </w:rPr>
        <w:t>sustained general economic downturn, an uneven recovery, or continued instability could materially and adversely affect our business, results of operations and financial condition and growth prospects.</w:t>
      </w:r>
    </w:p>
    <w:p>
      <w:pPr>
        <w:spacing w:after="0" w:line="113" w:lineRule="exact"/>
        <w:rPr>
          <w:sz w:val="20"/>
          <w:szCs w:val="20"/>
          <w:color w:val="auto"/>
        </w:rPr>
      </w:pPr>
    </w:p>
    <w:p>
      <w:pPr>
        <w:ind w:left="302" w:right="100" w:hanging="302"/>
        <w:spacing w:after="0" w:line="261"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06" w:lineRule="exact"/>
        <w:rPr>
          <w:rFonts w:ascii="Arial" w:cs="Arial" w:eastAsia="Arial" w:hAnsi="Arial"/>
          <w:sz w:val="16"/>
          <w:szCs w:val="16"/>
          <w:color w:val="auto"/>
        </w:rPr>
      </w:pPr>
    </w:p>
    <w:p>
      <w:pPr>
        <w:ind w:left="302" w:right="4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fail to adapt and respond effectively to rapidly changing technology, evolving industry standards and changing customer needs or preferences, our platform may become less competitive.</w:t>
      </w:r>
    </w:p>
    <w:p>
      <w:pPr>
        <w:spacing w:after="0" w:line="112" w:lineRule="exact"/>
        <w:rPr>
          <w:rFonts w:ascii="Arial" w:cs="Arial" w:eastAsia="Arial" w:hAnsi="Arial"/>
          <w:sz w:val="16"/>
          <w:szCs w:val="16"/>
          <w:color w:val="auto"/>
        </w:rPr>
      </w:pPr>
    </w:p>
    <w:p>
      <w:pPr>
        <w:ind w:left="302" w:right="40" w:hanging="302"/>
        <w:spacing w:after="0" w:line="261"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18" w:lineRule="exact"/>
        <w:rPr>
          <w:rFonts w:ascii="Arial" w:cs="Arial" w:eastAsia="Arial" w:hAnsi="Arial"/>
          <w:sz w:val="16"/>
          <w:szCs w:val="16"/>
          <w:color w:val="auto"/>
        </w:rPr>
      </w:pPr>
    </w:p>
    <w:p>
      <w:pPr>
        <w:ind w:left="302" w:right="42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fail to accurately predict the optimal pricing strategies necessary to attract new customers, retain existing customers and respond to changing market conditions.</w:t>
      </w:r>
    </w:p>
    <w:p>
      <w:pPr>
        <w:spacing w:after="0" w:line="100" w:lineRule="exact"/>
        <w:rPr>
          <w:rFonts w:ascii="Arial" w:cs="Arial" w:eastAsia="Arial" w:hAnsi="Arial"/>
          <w:sz w:val="16"/>
          <w:szCs w:val="16"/>
          <w:color w:val="auto"/>
        </w:rPr>
      </w:pPr>
    </w:p>
    <w:p>
      <w:pPr>
        <w:ind w:left="302" w:right="40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12" w:lineRule="exact"/>
        <w:rPr>
          <w:rFonts w:ascii="Arial" w:cs="Arial" w:eastAsia="Arial" w:hAnsi="Arial"/>
          <w:sz w:val="16"/>
          <w:szCs w:val="16"/>
          <w:color w:val="auto"/>
        </w:rPr>
      </w:pPr>
    </w:p>
    <w:p>
      <w:pPr>
        <w:ind w:left="302" w:right="10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face significant competition, the market in which we operate is rapidly evolving, and if we do not compete effectively, our results of operations and financial condition could be harmed.</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00" w:lineRule="exact"/>
        <w:rPr>
          <w:rFonts w:ascii="Arial" w:cs="Arial" w:eastAsia="Arial" w:hAnsi="Arial"/>
          <w:sz w:val="16"/>
          <w:szCs w:val="16"/>
          <w:color w:val="auto"/>
        </w:rPr>
      </w:pPr>
    </w:p>
    <w:p>
      <w:pPr>
        <w:ind w:left="302" w:right="46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12" w:lineRule="exact"/>
        <w:rPr>
          <w:rFonts w:ascii="Arial" w:cs="Arial" w:eastAsia="Arial" w:hAnsi="Arial"/>
          <w:sz w:val="16"/>
          <w:szCs w:val="16"/>
          <w:color w:val="auto"/>
        </w:rPr>
      </w:pPr>
    </w:p>
    <w:p>
      <w:pPr>
        <w:ind w:left="302" w:right="80" w:hanging="302"/>
        <w:spacing w:after="0" w:line="261"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18" w:lineRule="exact"/>
        <w:rPr>
          <w:rFonts w:ascii="Arial" w:cs="Arial" w:eastAsia="Arial" w:hAnsi="Arial"/>
          <w:sz w:val="16"/>
          <w:szCs w:val="16"/>
          <w:color w:val="auto"/>
        </w:rPr>
      </w:pPr>
    </w:p>
    <w:p>
      <w:pPr>
        <w:ind w:left="302" w:right="12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depends on a strong brand, and if we are not able to maintain and enhance our brand, our ability to expand our base of customers may be impaired, and our business and results of operations will be harmed.</w:t>
      </w:r>
    </w:p>
    <w:p>
      <w:pPr>
        <w:spacing w:after="0" w:line="100" w:lineRule="exact"/>
        <w:rPr>
          <w:rFonts w:ascii="Arial" w:cs="Arial" w:eastAsia="Arial" w:hAnsi="Arial"/>
          <w:sz w:val="16"/>
          <w:szCs w:val="16"/>
          <w:color w:val="auto"/>
        </w:rPr>
      </w:pPr>
    </w:p>
    <w:p>
      <w:pPr>
        <w:ind w:left="302" w:right="56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culture has contributed to our success, and if we cannot maintain this culture as we grow, we could lose the high employee engagement fostered by our culture, which could harm our business.</w:t>
      </w:r>
    </w:p>
    <w:p>
      <w:pPr>
        <w:spacing w:after="0" w:line="112" w:lineRule="exact"/>
        <w:rPr>
          <w:rFonts w:ascii="Arial" w:cs="Arial" w:eastAsia="Arial" w:hAnsi="Arial"/>
          <w:sz w:val="16"/>
          <w:szCs w:val="16"/>
          <w:color w:val="auto"/>
        </w:rPr>
      </w:pPr>
    </w:p>
    <w:p>
      <w:pPr>
        <w:ind w:left="302" w:right="28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Sales to customers outside the United States and our international operations expose us to risks inherent in international sales and operations.</w:t>
      </w:r>
    </w:p>
    <w:p>
      <w:pPr>
        <w:spacing w:after="0" w:line="112" w:lineRule="exact"/>
        <w:rPr>
          <w:rFonts w:ascii="Arial" w:cs="Arial" w:eastAsia="Arial" w:hAnsi="Arial"/>
          <w:sz w:val="16"/>
          <w:szCs w:val="16"/>
          <w:color w:val="auto"/>
        </w:rPr>
      </w:pPr>
    </w:p>
    <w:p>
      <w:pPr>
        <w:jc w:val="both"/>
        <w:ind w:left="302" w:right="160" w:hanging="302"/>
        <w:spacing w:after="0" w:line="261"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6" w:lineRule="exact"/>
        <w:rPr>
          <w:rFonts w:ascii="Arial" w:cs="Arial" w:eastAsia="Arial" w:hAnsi="Arial"/>
          <w:sz w:val="16"/>
          <w:szCs w:val="16"/>
          <w:color w:val="auto"/>
        </w:rPr>
      </w:pPr>
    </w:p>
    <w:p>
      <w:pPr>
        <w:ind w:left="302" w:right="2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fail to manage our technical operations infrastructure, or experience service outages, interruptions, or delays in the deployment of our platform, our results of operations may be harmed.</w:t>
      </w:r>
    </w:p>
    <w:p>
      <w:pPr>
        <w:spacing w:after="0" w:line="112" w:lineRule="exact"/>
        <w:rPr>
          <w:rFonts w:ascii="Arial" w:cs="Arial" w:eastAsia="Arial" w:hAnsi="Arial"/>
          <w:sz w:val="16"/>
          <w:szCs w:val="16"/>
          <w:color w:val="auto"/>
        </w:rPr>
      </w:pPr>
    </w:p>
    <w:p>
      <w:pPr>
        <w:ind w:left="302" w:right="140" w:hanging="302"/>
        <w:spacing w:after="0" w:line="261"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multiple class structure of our common stock and the ownership of substantially all of our LT10 and LT50 common stock by Trust Beneficiaries through the Voting Trust have the effect of concentrating voting control with the Voting Trust for the foreseeable future, which will limit your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62"/>
          </w:cols>
          <w:pgMar w:left="918" w:top="1440" w:right="10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516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6516370"/>
                    </a:xfrm>
                    <a:prstGeom prst="rect">
                      <a:avLst/>
                    </a:prstGeom>
                    <a:noFill/>
                  </pic:spPr>
                </pic:pic>
              </a:graphicData>
            </a:graphic>
          </wp:anchor>
        </w:drawing>
      </w:r>
    </w:p>
    <w:p>
      <w:pPr>
        <w:spacing w:after="0" w:line="399" w:lineRule="exact"/>
        <w:rPr>
          <w:sz w:val="20"/>
          <w:szCs w:val="20"/>
          <w:color w:val="auto"/>
        </w:rPr>
      </w:pPr>
    </w:p>
    <w:p>
      <w:pPr>
        <w:ind w:left="302" w:right="360"/>
        <w:spacing w:after="0" w:line="261" w:lineRule="auto"/>
        <w:rPr>
          <w:sz w:val="20"/>
          <w:szCs w:val="20"/>
          <w:color w:val="auto"/>
        </w:rPr>
      </w:pPr>
      <w:r>
        <w:rPr>
          <w:rFonts w:ascii="Arial" w:cs="Arial" w:eastAsia="Arial" w:hAnsi="Arial"/>
          <w:sz w:val="16"/>
          <w:szCs w:val="16"/>
          <w:color w:val="auto"/>
        </w:rPr>
        <w:t>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Recent developments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Preliminary consolidated financial results for the fiscal quarter ended September 30, 2021</w:t>
      </w:r>
    </w:p>
    <w:p>
      <w:pPr>
        <w:spacing w:after="0" w:line="165" w:lineRule="exact"/>
        <w:rPr>
          <w:sz w:val="20"/>
          <w:szCs w:val="20"/>
          <w:color w:val="auto"/>
        </w:rPr>
      </w:pPr>
    </w:p>
    <w:p>
      <w:pPr>
        <w:ind w:left="2"/>
        <w:spacing w:after="0" w:line="255" w:lineRule="auto"/>
        <w:rPr>
          <w:sz w:val="20"/>
          <w:szCs w:val="20"/>
          <w:color w:val="auto"/>
        </w:rPr>
      </w:pPr>
      <w:r>
        <w:rPr>
          <w:rFonts w:ascii="Arial" w:cs="Arial" w:eastAsia="Arial" w:hAnsi="Arial"/>
          <w:sz w:val="16"/>
          <w:szCs w:val="16"/>
          <w:color w:val="auto"/>
        </w:rPr>
        <w:t>The following preliminary consolidated financial information for the fiscal quarter ended September 30, 2021 is based upon our estimates and subject to completion of our financial closing procedures. Moreover, this data has been prepared solely on the basis of currently available information by, and is the responsibility of, Expensify, Inc. This information should be read in conjunction with our audited consolidated financial statements and related notes, our unaudited consolidated financial statements and related notes and “Management’s discussion and analysis of financial condition and results of operations” for prior periods included elsewhere in this prospectus. Our independent registered public accounting firm, Ernst and Young LLP, has not audited or reviewed, and does not express an opinion with respect to, this data. This summary is not a comprehensive statement of our financial results for this period, and our actual results may differ from these estimates due to the completion of our financial closing procedures and final adjustments and other developments that may arise between the date of this prospectus and the time our final quarterly consolidated financial statements are completed. Our actual results for the fiscal quarter ended September 30, 2021 will not be available until after the completion of this offering. There can be no assurance that these estimates will be realized, and these estimates are subject to risks and uncertainties, many of which are not within our control.</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have prepared estimates of the following preliminary consolidated financial data for the fiscal quarter ended September 30, 2021:</w:t>
      </w:r>
    </w:p>
    <w:p>
      <w:pPr>
        <w:spacing w:after="0" w:line="171" w:lineRule="exact"/>
        <w:rPr>
          <w:sz w:val="20"/>
          <w:szCs w:val="20"/>
          <w:color w:val="auto"/>
        </w:rPr>
      </w:pPr>
    </w:p>
    <w:p>
      <w:pPr>
        <w:ind w:left="7942"/>
        <w:spacing w:after="0"/>
        <w:rPr>
          <w:sz w:val="20"/>
          <w:szCs w:val="20"/>
          <w:color w:val="auto"/>
        </w:rPr>
      </w:pPr>
      <w:r>
        <w:rPr>
          <w:rFonts w:ascii="Arial" w:cs="Arial" w:eastAsia="Arial" w:hAnsi="Arial"/>
          <w:sz w:val="13"/>
          <w:szCs w:val="13"/>
          <w:b w:val="1"/>
          <w:bCs w:val="1"/>
          <w:color w:val="auto"/>
        </w:rPr>
        <w:t>Fiscal quarter ended</w:t>
      </w:r>
    </w:p>
    <w:p>
      <w:pPr>
        <w:ind w:left="7982"/>
        <w:spacing w:after="0"/>
        <w:rPr>
          <w:sz w:val="20"/>
          <w:szCs w:val="20"/>
          <w:color w:val="auto"/>
        </w:rPr>
      </w:pPr>
      <w:r>
        <w:rPr>
          <w:rFonts w:ascii="Arial" w:cs="Arial" w:eastAsia="Arial" w:hAnsi="Arial"/>
          <w:sz w:val="13"/>
          <w:szCs w:val="13"/>
          <w:b w:val="1"/>
          <w:bCs w:val="1"/>
          <w:color w:val="auto"/>
        </w:rPr>
        <w:t>September 30, 2021</w:t>
      </w:r>
    </w:p>
    <w:p>
      <w:pPr>
        <w:spacing w:after="0" w:line="5" w:lineRule="exact"/>
        <w:rPr>
          <w:sz w:val="20"/>
          <w:szCs w:val="20"/>
          <w:color w:val="auto"/>
        </w:rPr>
      </w:pPr>
    </w:p>
    <w:tbl>
      <w:tblPr>
        <w:tblLayout w:type="fixed"/>
        <w:tblInd w:w="2" w:type="dxa"/>
        <w:tblCellMar>
          <w:top w:w="0" w:type="dxa"/>
          <w:left w:w="0" w:type="dxa"/>
          <w:bottom w:w="0" w:type="dxa"/>
          <w:right w:w="0" w:type="dxa"/>
        </w:tblCellMar>
      </w:tblPr>
      <w:tr>
        <w:trPr>
          <w:trHeight w:val="163"/>
        </w:trPr>
        <w:tc>
          <w:tcPr>
            <w:tcW w:w="7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 data:</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Low</w:t>
            </w:r>
          </w:p>
        </w:tc>
        <w:tc>
          <w:tcPr>
            <w:tcW w:w="5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High</w:t>
            </w:r>
          </w:p>
        </w:tc>
        <w:tc>
          <w:tcPr>
            <w:tcW w:w="0" w:type="dxa"/>
            <w:vAlign w:val="bottom"/>
          </w:tcPr>
          <w:p>
            <w:pPr>
              <w:spacing w:after="0"/>
              <w:rPr>
                <w:sz w:val="1"/>
                <w:szCs w:val="1"/>
                <w:color w:val="auto"/>
              </w:rPr>
            </w:pPr>
          </w:p>
        </w:tc>
      </w:tr>
      <w:tr>
        <w:trPr>
          <w:trHeight w:val="187"/>
        </w:trPr>
        <w:tc>
          <w:tcPr>
            <w:tcW w:w="71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36,605</w:t>
            </w:r>
          </w:p>
        </w:tc>
        <w:tc>
          <w:tcPr>
            <w:tcW w:w="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37,635</w:t>
            </w:r>
          </w:p>
        </w:tc>
        <w:tc>
          <w:tcPr>
            <w:tcW w:w="0" w:type="dxa"/>
            <w:vAlign w:val="bottom"/>
          </w:tcPr>
          <w:p>
            <w:pPr>
              <w:spacing w:after="0"/>
              <w:rPr>
                <w:sz w:val="1"/>
                <w:szCs w:val="1"/>
                <w:color w:val="auto"/>
              </w:rPr>
            </w:pPr>
          </w:p>
        </w:tc>
      </w:tr>
      <w:tr>
        <w:trPr>
          <w:trHeight w:val="207"/>
        </w:trPr>
        <w:tc>
          <w:tcPr>
            <w:tcW w:w="714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(11,636)</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(10,955)</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(12,148)</w:t>
            </w:r>
          </w:p>
        </w:tc>
        <w:tc>
          <w:tcPr>
            <w:tcW w:w="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0" w:type="dxa"/>
            <w:vAlign w:val="bottom"/>
          </w:tcPr>
          <w:p>
            <w:pPr>
              <w:spacing w:after="0"/>
              <w:rPr>
                <w:sz w:val="1"/>
                <w:szCs w:val="1"/>
                <w:color w:val="auto"/>
              </w:rPr>
            </w:pPr>
          </w:p>
        </w:tc>
      </w:tr>
      <w:tr>
        <w:trPr>
          <w:trHeight w:val="207"/>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Key business metrics: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Paid members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2" w:right="340" w:hanging="302"/>
        <w:spacing w:after="0" w:line="268" w:lineRule="auto"/>
        <w:tabs>
          <w:tab w:leader="none" w:pos="292"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 additional information, please see the section titled “Management’s discussion and analysis of financial condition and results of operations—Key business metrics and non-GAAP financial measures.”</w:t>
      </w:r>
    </w:p>
    <w:p>
      <w:pPr>
        <w:spacing w:after="0" w:line="10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Revenue</w:t>
      </w:r>
    </w:p>
    <w:p>
      <w:pPr>
        <w:spacing w:after="0" w:line="149" w:lineRule="exact"/>
        <w:rPr>
          <w:sz w:val="20"/>
          <w:szCs w:val="20"/>
          <w:color w:val="auto"/>
        </w:rPr>
      </w:pPr>
    </w:p>
    <w:p>
      <w:pPr>
        <w:ind w:left="2" w:right="80"/>
        <w:spacing w:after="0" w:line="261" w:lineRule="auto"/>
        <w:rPr>
          <w:sz w:val="20"/>
          <w:szCs w:val="20"/>
          <w:color w:val="auto"/>
        </w:rPr>
      </w:pPr>
      <w:r>
        <w:rPr>
          <w:rFonts w:ascii="Arial" w:cs="Arial" w:eastAsia="Arial" w:hAnsi="Arial"/>
          <w:sz w:val="16"/>
          <w:szCs w:val="16"/>
          <w:color w:val="auto"/>
        </w:rPr>
        <w:t>Our preliminary estimated revenue is expected to be between $36.6 million and $37.6 million for the fiscal quarter ended September 30, 2021, which represents a range of increase of approximately $14.9 million to $15.9 million compared to the fiscal quarter ended September 30, 2020, which was due to an increase in paid members.</w:t>
      </w:r>
    </w:p>
    <w:p>
      <w:pPr>
        <w:spacing w:after="0" w:line="10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Income (loss) from operations and net income (loss)</w:t>
      </w:r>
    </w:p>
    <w:p>
      <w:pPr>
        <w:spacing w:after="0" w:line="161" w:lineRule="exact"/>
        <w:rPr>
          <w:sz w:val="20"/>
          <w:szCs w:val="20"/>
          <w:color w:val="auto"/>
        </w:rPr>
      </w:pPr>
    </w:p>
    <w:p>
      <w:pPr>
        <w:ind w:left="2" w:right="140"/>
        <w:spacing w:after="0" w:line="261" w:lineRule="auto"/>
        <w:rPr>
          <w:sz w:val="20"/>
          <w:szCs w:val="20"/>
          <w:color w:val="auto"/>
        </w:rPr>
      </w:pPr>
      <w:r>
        <w:rPr>
          <w:rFonts w:ascii="Arial" w:cs="Arial" w:eastAsia="Arial" w:hAnsi="Arial"/>
          <w:sz w:val="16"/>
          <w:szCs w:val="16"/>
          <w:color w:val="auto"/>
        </w:rPr>
        <w:t>Our preliminary estimated income (loss) from operations is expected to be between $(11.6) million and $(11.0) million for the fiscal quarter ended September 30, 2021, which represents a range of decrease of approximately $6.5 million to $5.9 million compared to the fiscal quarter ended September 30, 2020.</w:t>
      </w:r>
    </w:p>
    <w:p>
      <w:pPr>
        <w:spacing w:after="0" w:line="106" w:lineRule="exact"/>
        <w:rPr>
          <w:sz w:val="20"/>
          <w:szCs w:val="20"/>
          <w:color w:val="auto"/>
        </w:rPr>
      </w:pPr>
    </w:p>
    <w:p>
      <w:pPr>
        <w:ind w:left="2" w:right="420"/>
        <w:spacing w:after="0" w:line="261" w:lineRule="auto"/>
        <w:rPr>
          <w:sz w:val="20"/>
          <w:szCs w:val="20"/>
          <w:color w:val="auto"/>
        </w:rPr>
      </w:pPr>
      <w:r>
        <w:rPr>
          <w:rFonts w:ascii="Arial" w:cs="Arial" w:eastAsia="Arial" w:hAnsi="Arial"/>
          <w:sz w:val="16"/>
          <w:szCs w:val="16"/>
          <w:color w:val="auto"/>
        </w:rPr>
        <w:t>Our preliminary estimated net income (loss) is expected to be between $(12.1) million and $ (8.1) million for the fiscal quarter ended September 30, 2021, which represents a range of decrease of approximately $5.2 million to $1.2 million compared to the fiscal quarter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42"/>
          </w:cols>
          <w:pgMar w:left="918" w:top="1440" w:right="9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423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6423660"/>
                    </a:xfrm>
                    <a:prstGeom prst="rect">
                      <a:avLst/>
                    </a:prstGeom>
                    <a:noFill/>
                  </pic:spPr>
                </pic:pic>
              </a:graphicData>
            </a:graphic>
          </wp:anchor>
        </w:drawing>
      </w:r>
    </w:p>
    <w:p>
      <w:pPr>
        <w:spacing w:after="0" w:line="399" w:lineRule="exact"/>
        <w:rPr>
          <w:sz w:val="20"/>
          <w:szCs w:val="20"/>
          <w:color w:val="auto"/>
        </w:rPr>
      </w:pPr>
    </w:p>
    <w:p>
      <w:pPr>
        <w:ind w:left="2" w:right="80"/>
        <w:spacing w:after="0" w:line="258" w:lineRule="auto"/>
        <w:rPr>
          <w:sz w:val="20"/>
          <w:szCs w:val="20"/>
          <w:color w:val="auto"/>
        </w:rPr>
      </w:pPr>
      <w:r>
        <w:rPr>
          <w:rFonts w:ascii="Arial" w:cs="Arial" w:eastAsia="Arial" w:hAnsi="Arial"/>
          <w:sz w:val="16"/>
          <w:szCs w:val="16"/>
          <w:color w:val="auto"/>
          <w:highlight w:val="white"/>
        </w:rPr>
        <w:t xml:space="preserve">Our preliminary estimated income (loss) from operations and net income (loss) both decreased compared to the fiscal quarter ended </w:t>
      </w:r>
      <w:r>
        <w:rPr>
          <w:rFonts w:ascii="Arial" w:cs="Arial" w:eastAsia="Arial" w:hAnsi="Arial"/>
          <w:sz w:val="16"/>
          <w:szCs w:val="16"/>
          <w:color w:val="auto"/>
        </w:rPr>
        <w:t>September 30, 2020 due to one time special bonus expenses, which are expected to be between $26.0 million and $27.0 million during the fiscal quarter ended September 30, 2021 to employees as described under "Management's discussion and analysis of financial condition and results of operations—Critical accounting policies and estimates—Cash bonuses."</w:t>
      </w:r>
    </w:p>
    <w:p>
      <w:pPr>
        <w:spacing w:after="0" w:line="106"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Paid members</w:t>
      </w:r>
    </w:p>
    <w:p>
      <w:pPr>
        <w:spacing w:after="0" w:line="149"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Our preliminary estimated number of average paid members as of September 30, 2021 are expected to be between 660,000 and 670,000, an increase of 21,000 to 31,000 from our average paid members as of June 30, 2021 and an increase of 27,000 to 37,000 from our average paid members as of September 30, 2020. Our preliminary estimated number of average paid members increased due to improving economic business conditions and our increased investments in sales and marketing.</w:t>
      </w:r>
    </w:p>
    <w:p>
      <w:pPr>
        <w:spacing w:after="0" w:line="122" w:lineRule="exact"/>
        <w:rPr>
          <w:sz w:val="20"/>
          <w:szCs w:val="20"/>
          <w:color w:val="auto"/>
        </w:rPr>
      </w:pPr>
    </w:p>
    <w:p>
      <w:pPr>
        <w:ind w:left="2"/>
        <w:spacing w:after="0" w:line="255" w:lineRule="auto"/>
        <w:rPr>
          <w:sz w:val="20"/>
          <w:szCs w:val="20"/>
          <w:color w:val="auto"/>
        </w:rPr>
      </w:pPr>
      <w:r>
        <w:rPr>
          <w:rFonts w:ascii="Arial" w:cs="Arial" w:eastAsia="Arial" w:hAnsi="Arial"/>
          <w:sz w:val="16"/>
          <w:szCs w:val="16"/>
          <w:color w:val="auto"/>
        </w:rPr>
        <w:t>This recent developments section includes forward-looking statements. All statements contained herein other than statements of historical facts, including, without limitation, statements regarding our expectations regarding our financial and operating results for the fiscal quarter ended September 30, 2021, and our future financial and business performance, are forward-looking statements. The words “anticipate,” “believe,” “continue,” “estimate,” “expect,” “intend,” “may,”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growth and ability to sustain our revenue growth rate, competition in the markets in which we operate, market growth, our ability to innovate and manage our growth and the impact of the COVID-19 pandemic and associated global economic uncertainty. For additional information regarding the various risks and uncertainties inherent in estimates of this type, see “Special note regarding forward-looking statements” and “Risk factors” elsewhere in this prospectus.</w:t>
      </w:r>
    </w:p>
    <w:p>
      <w:pPr>
        <w:spacing w:after="0" w:line="110"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corporate information</w:t>
      </w:r>
    </w:p>
    <w:p>
      <w:pPr>
        <w:spacing w:after="0" w:line="152" w:lineRule="exact"/>
        <w:rPr>
          <w:sz w:val="20"/>
          <w:szCs w:val="20"/>
          <w:color w:val="auto"/>
        </w:rPr>
      </w:pPr>
    </w:p>
    <w:p>
      <w:pPr>
        <w:ind w:left="2" w:right="160"/>
        <w:spacing w:after="0" w:line="235" w:lineRule="auto"/>
        <w:rPr>
          <w:sz w:val="20"/>
          <w:szCs w:val="20"/>
          <w:color w:val="auto"/>
        </w:rPr>
      </w:pPr>
      <w:r>
        <w:rPr>
          <w:rFonts w:ascii="Arial" w:cs="Arial" w:eastAsia="Arial" w:hAnsi="Arial"/>
          <w:sz w:val="16"/>
          <w:szCs w:val="16"/>
          <w:color w:val="auto"/>
        </w:rPr>
        <w:t>Our corporate headquarters are located at 401 SW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 Portland, Oregon 97204. Our telephone number is (971) 365-3939. Our principal website address is use.expensify.com.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36" w:lineRule="exact"/>
        <w:rPr>
          <w:sz w:val="20"/>
          <w:szCs w:val="20"/>
          <w:color w:val="auto"/>
        </w:rPr>
      </w:pPr>
    </w:p>
    <w:p>
      <w:pPr>
        <w:ind w:left="2" w:right="160"/>
        <w:spacing w:after="0" w:line="239" w:lineRule="auto"/>
        <w:rPr>
          <w:sz w:val="20"/>
          <w:szCs w:val="20"/>
          <w:color w:val="auto"/>
        </w:rPr>
      </w:pPr>
      <w:r>
        <w:rPr>
          <w:rFonts w:ascii="Arial" w:cs="Arial" w:eastAsia="Arial" w:hAnsi="Arial"/>
          <w:sz w:val="16"/>
          <w:szCs w:val="16"/>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their rights thereto.</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52"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18" w:lineRule="exact"/>
        <w:rPr>
          <w:sz w:val="20"/>
          <w:szCs w:val="20"/>
          <w:color w:val="auto"/>
        </w:rPr>
      </w:pPr>
    </w:p>
    <w:p>
      <w:pPr>
        <w:ind w:left="302" w:right="50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required to present only two years of audited financial statements and two years of related Management’s Discussion and Analysis of Financial Condition and Results of Operations disclosure;</w:t>
      </w:r>
    </w:p>
    <w:p>
      <w:pPr>
        <w:spacing w:after="0" w:line="112" w:lineRule="exact"/>
        <w:rPr>
          <w:rFonts w:ascii="Arial" w:cs="Arial" w:eastAsia="Arial" w:hAnsi="Arial"/>
          <w:sz w:val="16"/>
          <w:szCs w:val="16"/>
          <w:color w:val="auto"/>
        </w:rPr>
      </w:pPr>
    </w:p>
    <w:p>
      <w:pPr>
        <w:ind w:left="302" w:right="46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 over financial reporting pursuant to Section 404(b) of the Sarbanes-Oxley Act of 2002, or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42"/>
          </w:cols>
          <w:pgMar w:left="918" w:top="1440" w:right="9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3902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3902710"/>
                    </a:xfrm>
                    <a:prstGeom prst="rect">
                      <a:avLst/>
                    </a:prstGeom>
                    <a:noFill/>
                  </pic:spPr>
                </pic:pic>
              </a:graphicData>
            </a:graphic>
          </wp:anchor>
        </w:drawing>
      </w:r>
    </w:p>
    <w:p>
      <w:pPr>
        <w:spacing w:after="0" w:line="399" w:lineRule="exact"/>
        <w:rPr>
          <w:sz w:val="20"/>
          <w:szCs w:val="20"/>
          <w:color w:val="auto"/>
        </w:rPr>
      </w:pPr>
    </w:p>
    <w:p>
      <w:pPr>
        <w:ind w:left="302" w:right="80" w:hanging="302"/>
        <w:spacing w:after="0" w:line="261"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8" w:lineRule="exact"/>
        <w:rPr>
          <w:rFonts w:ascii="Arial" w:cs="Arial" w:eastAsia="Arial" w:hAnsi="Arial"/>
          <w:sz w:val="16"/>
          <w:szCs w:val="16"/>
          <w:color w:val="auto"/>
        </w:rPr>
      </w:pPr>
    </w:p>
    <w:p>
      <w:pPr>
        <w:ind w:left="302" w:right="300" w:hanging="302"/>
        <w:spacing w:after="0" w:line="268"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submit certain executive compensation matters to stockholder advisory votes, such as “say-on-pay,” “say-on-frequency” and “say-on-golden parachutes;” and</w:t>
      </w:r>
    </w:p>
    <w:p>
      <w:pPr>
        <w:spacing w:after="0" w:line="100" w:lineRule="exact"/>
        <w:rPr>
          <w:rFonts w:ascii="Arial" w:cs="Arial" w:eastAsia="Arial" w:hAnsi="Arial"/>
          <w:sz w:val="16"/>
          <w:szCs w:val="16"/>
          <w:color w:val="auto"/>
        </w:rPr>
      </w:pPr>
    </w:p>
    <w:p>
      <w:pPr>
        <w:ind w:left="302" w:right="180" w:hanging="302"/>
        <w:spacing w:after="0" w:line="261"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18"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$700 million in market value of our common stock held by non-affiliates, or issue more than $1.0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123" w:lineRule="exact"/>
        <w:rPr>
          <w:sz w:val="20"/>
          <w:szCs w:val="20"/>
          <w:color w:val="auto"/>
        </w:rPr>
      </w:pPr>
    </w:p>
    <w:p>
      <w:pPr>
        <w:ind w:left="2"/>
        <w:spacing w:after="0" w:line="254"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w:t>
      </w:r>
    </w:p>
    <w:p>
      <w:pPr>
        <w:ind w:left="2" w:right="140" w:hanging="2"/>
        <w:spacing w:after="0" w:line="261" w:lineRule="auto"/>
        <w:tabs>
          <w:tab w:leader="none" w:pos="2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22"/>
          </w:cols>
          <w:pgMar w:left="918" w:top="1440" w:right="9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4706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470662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offering</w:t>
      </w:r>
    </w:p>
    <w:p>
      <w:pPr>
        <w:spacing w:after="0" w:line="200" w:lineRule="exact"/>
        <w:rPr>
          <w:sz w:val="20"/>
          <w:szCs w:val="20"/>
          <w:color w:val="auto"/>
        </w:rPr>
      </w:pPr>
    </w:p>
    <w:p>
      <w:pPr>
        <w:ind w:left="20"/>
        <w:spacing w:after="0"/>
        <w:tabs>
          <w:tab w:leader="none" w:pos="4240" w:val="left"/>
        </w:tabs>
        <w:rPr>
          <w:sz w:val="20"/>
          <w:szCs w:val="20"/>
          <w:color w:val="auto"/>
        </w:rPr>
      </w:pPr>
      <w:r>
        <w:rPr>
          <w:rFonts w:ascii="Arial" w:cs="Arial" w:eastAsia="Arial" w:hAnsi="Arial"/>
          <w:sz w:val="16"/>
          <w:szCs w:val="16"/>
          <w:color w:val="auto"/>
        </w:rPr>
        <w:t>Class A common stock offered by us</w:t>
      </w:r>
      <w:r>
        <w:rPr>
          <w:sz w:val="20"/>
          <w:szCs w:val="20"/>
          <w:color w:val="auto"/>
        </w:rPr>
        <w:tab/>
      </w:r>
      <w:r>
        <w:rPr>
          <w:rFonts w:ascii="Arial" w:cs="Arial" w:eastAsia="Arial" w:hAnsi="Arial"/>
          <w:sz w:val="16"/>
          <w:szCs w:val="16"/>
          <w:color w:val="auto"/>
        </w:rPr>
        <w:t>2,608,696 shares.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Class A common stock offered by the selling stockholders 7,122,080 shares.</w:t>
      </w:r>
    </w:p>
    <w:p>
      <w:pPr>
        <w:sectPr>
          <w:pgSz w:w="11900" w:h="16838" w:orient="portrait"/>
          <w:cols w:equalWidth="0" w:num="1">
            <w:col w:w="10020"/>
          </w:cols>
          <w:pgMar w:left="920" w:top="1440" w:right="959" w:bottom="1440" w:gutter="0" w:footer="0" w:header="0"/>
        </w:sectPr>
      </w:pPr>
    </w:p>
    <w:p>
      <w:pPr>
        <w:spacing w:after="0" w:line="72" w:lineRule="exact"/>
        <w:rPr>
          <w:sz w:val="20"/>
          <w:szCs w:val="20"/>
          <w:color w:val="auto"/>
        </w:rPr>
      </w:pPr>
    </w:p>
    <w:p>
      <w:pPr>
        <w:ind w:left="20"/>
        <w:spacing w:after="0" w:line="230" w:lineRule="auto"/>
        <w:rPr>
          <w:sz w:val="20"/>
          <w:szCs w:val="20"/>
          <w:color w:val="auto"/>
        </w:rPr>
      </w:pPr>
      <w:r>
        <w:rPr>
          <w:rFonts w:ascii="Arial" w:cs="Arial" w:eastAsia="Arial" w:hAnsi="Arial"/>
          <w:sz w:val="16"/>
          <w:szCs w:val="16"/>
          <w:color w:val="auto"/>
        </w:rPr>
        <w:t>Option to purchase additional shares of Class A common stock offered by the selling stockholders</w:t>
      </w:r>
    </w:p>
    <w:p>
      <w:pPr>
        <w:spacing w:after="0" w:line="220" w:lineRule="exact"/>
        <w:rPr>
          <w:sz w:val="20"/>
          <w:szCs w:val="20"/>
          <w:color w:val="auto"/>
        </w:rPr>
      </w:pPr>
    </w:p>
    <w:p>
      <w:pPr>
        <w:ind w:left="20" w:right="260"/>
        <w:spacing w:after="0" w:line="230" w:lineRule="auto"/>
        <w:rPr>
          <w:sz w:val="20"/>
          <w:szCs w:val="20"/>
          <w:color w:val="auto"/>
        </w:rPr>
      </w:pPr>
      <w:r>
        <w:rPr>
          <w:rFonts w:ascii="Arial" w:cs="Arial" w:eastAsia="Arial" w:hAnsi="Arial"/>
          <w:sz w:val="16"/>
          <w:szCs w:val="16"/>
          <w:color w:val="auto"/>
        </w:rPr>
        <w:t>Class A common stock to be outstanding immediately after this offering</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LT10 common stock to be outstanding after this offering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LT50 common stock to be outstanding after this offering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common stock to be outstanding after this offering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00"/>
        <w:spacing w:after="0" w:line="222" w:lineRule="auto"/>
        <w:rPr>
          <w:sz w:val="20"/>
          <w:szCs w:val="20"/>
          <w:color w:val="auto"/>
        </w:rPr>
      </w:pPr>
      <w:r>
        <w:rPr>
          <w:rFonts w:ascii="Arial" w:cs="Arial" w:eastAsia="Arial" w:hAnsi="Arial"/>
          <w:sz w:val="16"/>
          <w:szCs w:val="16"/>
          <w:color w:val="auto"/>
        </w:rPr>
        <w:t>Certain selling stockholders have granted the underwriters an option for a period of 30 days to purchase up to 1,459,616 additional shares of our Class A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67,347,706 shares.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7,332,640 shares.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6,224,160 shares.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80,904,506 shares.</w:t>
      </w:r>
    </w:p>
    <w:p>
      <w:pPr>
        <w:spacing w:after="0" w:line="72" w:lineRule="exact"/>
        <w:rPr>
          <w:sz w:val="20"/>
          <w:szCs w:val="20"/>
          <w:color w:val="auto"/>
        </w:rPr>
      </w:pPr>
    </w:p>
    <w:p>
      <w:pPr>
        <w:jc w:val="both"/>
        <w:spacing w:after="0" w:line="213" w:lineRule="auto"/>
        <w:rPr>
          <w:sz w:val="20"/>
          <w:szCs w:val="20"/>
          <w:color w:val="auto"/>
        </w:rPr>
      </w:pPr>
      <w:r>
        <w:rPr>
          <w:rFonts w:ascii="Arial" w:cs="Arial" w:eastAsia="Arial" w:hAnsi="Arial"/>
          <w:sz w:val="16"/>
          <w:szCs w:val="16"/>
          <w:color w:val="auto"/>
        </w:rPr>
        <w:t>We have three series of common stock, Class A, LT10 and LT50 common stock. The rights of holders of Class A, LT10 and LT50 common stock are identical, except for voting, transfer and conversion rights. Each share of Class A common stock is entitled to one vote. Each share of LT10 common stock and LT50 common stock is entitled to 10 and 50 votes, respectively, and is convertible into one share of Class A common stock only upon satisfaction of certain notice and other requirements, including the applicable restricted period.</w:t>
      </w:r>
    </w:p>
    <w:p>
      <w:pPr>
        <w:spacing w:after="0" w:line="111" w:lineRule="exact"/>
        <w:rPr>
          <w:sz w:val="20"/>
          <w:szCs w:val="20"/>
          <w:color w:val="auto"/>
        </w:rPr>
      </w:pPr>
    </w:p>
    <w:p>
      <w:pPr>
        <w:jc w:val="both"/>
        <w:spacing w:after="0" w:line="210" w:lineRule="auto"/>
        <w:rPr>
          <w:sz w:val="20"/>
          <w:szCs w:val="20"/>
          <w:color w:val="auto"/>
        </w:rPr>
      </w:pPr>
      <w:r>
        <w:rPr>
          <w:rFonts w:ascii="Arial" w:cs="Arial" w:eastAsia="Arial" w:hAnsi="Arial"/>
          <w:sz w:val="16"/>
          <w:szCs w:val="16"/>
          <w:color w:val="auto"/>
        </w:rPr>
        <w:t>Prior to the completion of this offering, all of our outstanding shares of LT10 common stock and LT50 common stock, representing approximately 82.6% of the combined voting power and 16.8% of the economic interest in us immediately following the completion of this offering, will be contributed by the Trust Beneficiaries to the Voting Trust formed pursuant to the Voting Trust Agreement under which all decisions with respect to the voting (but not the disposition) of such shares of Class A, LT10 and LT50 common stock, as well as any other shares of any class of common stock held in the Voting Trust from time to time, will be made by the Trustees in their sole and absolute discretion, with no responsibility under the Voting Trust Agreement as stockholder, trustee or otherwise, except for his or her own individual malfeasance. See “Description of capital stock.”</w:t>
      </w:r>
    </w:p>
    <w:p>
      <w:pPr>
        <w:spacing w:after="0" w:line="200" w:lineRule="exact"/>
        <w:rPr>
          <w:sz w:val="20"/>
          <w:szCs w:val="20"/>
          <w:color w:val="auto"/>
        </w:rPr>
      </w:pPr>
    </w:p>
    <w:p>
      <w:pPr>
        <w:sectPr>
          <w:pgSz w:w="11900" w:h="16838" w:orient="portrait"/>
          <w:cols w:equalWidth="0" w:num="2">
            <w:col w:w="4120" w:space="140"/>
            <w:col w:w="5760"/>
          </w:cols>
          <w:pgMar w:left="920" w:top="1440"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20"/>
          </w:cols>
          <w:pgMar w:left="920" w:top="1440" w:right="95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We estimate that the net proceeds to us from this offering will be approximately $56.9 million, assuming an initial public offering price of $26.00 per share, which is the midpoint of the price range set forth on the cover page of this prospectus, and after deducting underwriting discounts and commissions and estimated offering expenses payable by us. We will not receive any proceeds from the sale of Class A common stock by the selling stockholders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-1162050</wp:posOffset>
            </wp:positionV>
            <wp:extent cx="7150735" cy="6431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643128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542" w:space="720"/>
            <w:col w:w="5780"/>
          </w:cols>
          <w:pgMar w:left="918" w:top="1440" w:right="939" w:bottom="1440" w:gutter="0" w:footer="0" w:header="0"/>
        </w:sectPr>
      </w:pPr>
    </w:p>
    <w:p>
      <w:pPr>
        <w:jc w:val="both"/>
        <w:ind w:left="4262" w:right="20"/>
        <w:spacing w:after="0" w:line="255"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 We also intend on using a portion of the net proceeds we receive from this offering to pay discretionary cash bonuses to our employees during the fourth quarter of the year ended December 31, 2021, in an amount currently estimated to range from $27.5 million to $32.2 million (as described under "Management's discussion and analysis of financial condition and results of operations—Critical accounting policies and estimates—Cash bonuses"). We will have broad discretion in the way that we use the net proceeds of this offering. See the section titled “Use of proceeds” for additional information.</w:t>
      </w:r>
    </w:p>
    <w:p>
      <w:pPr>
        <w:sectPr>
          <w:pgSz w:w="11900" w:h="16838" w:orient="portrait"/>
          <w:cols w:equalWidth="0" w:num="1">
            <w:col w:w="10042"/>
          </w:cols>
          <w:pgMar w:left="918" w:top="1440" w:right="939" w:bottom="1440" w:gutter="0" w:footer="0" w:header="0"/>
          <w:type w:val="continuous"/>
        </w:sectPr>
      </w:pPr>
    </w:p>
    <w:p>
      <w:pPr>
        <w:spacing w:after="0" w:line="213" w:lineRule="exact"/>
        <w:rPr>
          <w:sz w:val="20"/>
          <w:szCs w:val="20"/>
          <w:color w:val="auto"/>
        </w:rPr>
      </w:pPr>
    </w:p>
    <w:p>
      <w:pPr>
        <w:ind w:left="22"/>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542" w:space="720"/>
            <w:col w:w="5780"/>
          </w:cols>
          <w:pgMar w:left="918" w:top="1440" w:right="939" w:bottom="1440" w:gutter="0" w:footer="0" w:header="0"/>
          <w:type w:val="continuous"/>
        </w:sectPr>
      </w:pPr>
    </w:p>
    <w:p>
      <w:pPr>
        <w:spacing w:after="0" w:line="16" w:lineRule="exact"/>
        <w:rPr>
          <w:sz w:val="20"/>
          <w:szCs w:val="20"/>
          <w:color w:val="auto"/>
        </w:rPr>
      </w:pPr>
    </w:p>
    <w:p>
      <w:pPr>
        <w:ind w:left="22"/>
        <w:spacing w:after="0"/>
        <w:rPr>
          <w:sz w:val="20"/>
          <w:szCs w:val="20"/>
          <w:color w:val="auto"/>
        </w:rPr>
      </w:pPr>
      <w:r>
        <w:rPr>
          <w:rFonts w:ascii="Arial" w:cs="Arial" w:eastAsia="Arial" w:hAnsi="Arial"/>
          <w:sz w:val="16"/>
          <w:szCs w:val="16"/>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“EXFY”</w:t>
      </w:r>
    </w:p>
    <w:p>
      <w:pPr>
        <w:spacing w:after="0" w:line="200" w:lineRule="exact"/>
        <w:rPr>
          <w:sz w:val="20"/>
          <w:szCs w:val="20"/>
          <w:color w:val="auto"/>
        </w:rPr>
      </w:pPr>
    </w:p>
    <w:p>
      <w:pPr>
        <w:sectPr>
          <w:pgSz w:w="11900" w:h="16838" w:orient="portrait"/>
          <w:cols w:equalWidth="0" w:num="2">
            <w:col w:w="3542" w:space="720"/>
            <w:col w:w="5780"/>
          </w:cols>
          <w:pgMar w:left="918" w:top="1440" w:right="939" w:bottom="1440" w:gutter="0" w:footer="0" w:header="0"/>
          <w:type w:val="continuous"/>
        </w:sectPr>
      </w:pPr>
    </w:p>
    <w:p>
      <w:pPr>
        <w:spacing w:after="0" w:line="176" w:lineRule="exact"/>
        <w:rPr>
          <w:sz w:val="20"/>
          <w:szCs w:val="20"/>
          <w:color w:val="auto"/>
        </w:rPr>
      </w:pPr>
    </w:p>
    <w:p>
      <w:pPr>
        <w:ind w:left="2"/>
        <w:spacing w:after="0" w:line="261" w:lineRule="auto"/>
        <w:rPr>
          <w:sz w:val="20"/>
          <w:szCs w:val="20"/>
          <w:color w:val="auto"/>
        </w:rPr>
      </w:pPr>
      <w:r>
        <w:rPr>
          <w:rFonts w:ascii="Arial" w:cs="Arial" w:eastAsia="Arial" w:hAnsi="Arial"/>
          <w:sz w:val="16"/>
          <w:szCs w:val="16"/>
          <w:color w:val="auto"/>
        </w:rPr>
        <w:t>The number of shares of our common stock that will be outstanding immediately after this offering is based on 76,811,910 shares of Class A common stock (including all shares of our convertible preferred stock on an as-converted basis) outstanding as of June 30, 2021 and excludes:</w:t>
      </w:r>
    </w:p>
    <w:p>
      <w:pPr>
        <w:spacing w:after="0" w:line="118" w:lineRule="exact"/>
        <w:rPr>
          <w:sz w:val="20"/>
          <w:szCs w:val="20"/>
          <w:color w:val="auto"/>
        </w:rPr>
      </w:pPr>
    </w:p>
    <w:p>
      <w:pPr>
        <w:ind w:left="302" w:right="120" w:hanging="302"/>
        <w:spacing w:after="0" w:line="261"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302" w:right="26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2,662,470 shares of common stock issuable upon exercise of outstanding stock options as of June 30, 2021 granted under our 2009 Stock Plan, with a weighted-average exercise price of $0.27 per share;</w:t>
      </w:r>
    </w:p>
    <w:p>
      <w:pPr>
        <w:spacing w:after="0" w:line="100" w:lineRule="exact"/>
        <w:rPr>
          <w:rFonts w:ascii="Arial" w:cs="Arial" w:eastAsia="Arial" w:hAnsi="Arial"/>
          <w:sz w:val="16"/>
          <w:szCs w:val="16"/>
          <w:color w:val="auto"/>
        </w:rPr>
      </w:pPr>
    </w:p>
    <w:p>
      <w:pPr>
        <w:ind w:left="302" w:right="26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5,902,760 shares of common stock issuable upon exercise of outstanding stock options as of June 30, 2021 granted under our 2019 Plan, with a weighted-average exercise price of $1.71 per share;</w:t>
      </w:r>
    </w:p>
    <w:p>
      <w:pPr>
        <w:spacing w:after="0" w:line="112" w:lineRule="exact"/>
        <w:rPr>
          <w:rFonts w:ascii="Arial" w:cs="Arial" w:eastAsia="Arial" w:hAnsi="Arial"/>
          <w:sz w:val="16"/>
          <w:szCs w:val="16"/>
          <w:color w:val="auto"/>
        </w:rPr>
      </w:pPr>
    </w:p>
    <w:p>
      <w:pPr>
        <w:ind w:left="302" w:right="14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223,400 shares of common stock issuable upon exercise of outstanding stock options granted subsequent to June 30, 2021 under our 2019 Plan, with a weighted-average exercise price of $12.97 per share;</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11,676,932 shares of Class A common stock reserved for future issuance under our 2021 Incentive Award Plan and 2021 Non-Qualified Employee Stock Purchase and Matching Plan; and</w:t>
      </w:r>
    </w:p>
    <w:p>
      <w:pPr>
        <w:spacing w:after="0" w:line="100" w:lineRule="exact"/>
        <w:rPr>
          <w:rFonts w:ascii="Arial" w:cs="Arial" w:eastAsia="Arial" w:hAnsi="Arial"/>
          <w:sz w:val="16"/>
          <w:szCs w:val="16"/>
          <w:color w:val="auto"/>
        </w:rPr>
      </w:pPr>
    </w:p>
    <w:p>
      <w:pPr>
        <w:ind w:left="302" w:right="2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4,339,690 and 4,339,690 shares of Class A and LT50 common stock, respectively, issuable upon the vesting of restricted stock units, or RSUs, granted by our board of directors subsequent to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42"/>
          </w:cols>
          <w:pgMar w:left="918" w:top="1440" w:right="93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4189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4189095"/>
                    </a:xfrm>
                    <a:prstGeom prst="rect">
                      <a:avLst/>
                    </a:prstGeom>
                    <a:noFill/>
                  </pic:spPr>
                </pic:pic>
              </a:graphicData>
            </a:graphic>
          </wp:anchor>
        </w:drawing>
      </w:r>
    </w:p>
    <w:p>
      <w:pPr>
        <w:spacing w:after="0" w:line="399" w:lineRule="exact"/>
        <w:rPr>
          <w:sz w:val="20"/>
          <w:szCs w:val="20"/>
          <w:color w:val="auto"/>
        </w:rPr>
      </w:pPr>
    </w:p>
    <w:p>
      <w:pPr>
        <w:ind w:left="302"/>
        <w:spacing w:after="0" w:line="268" w:lineRule="auto"/>
        <w:rPr>
          <w:sz w:val="20"/>
          <w:szCs w:val="20"/>
          <w:color w:val="auto"/>
        </w:rPr>
      </w:pPr>
      <w:r>
        <w:rPr>
          <w:rFonts w:ascii="Arial" w:cs="Arial" w:eastAsia="Arial" w:hAnsi="Arial"/>
          <w:sz w:val="16"/>
          <w:szCs w:val="16"/>
          <w:color w:val="auto"/>
        </w:rPr>
        <w:t>2021 under our 2019 Plan that will be effective immediately prior to the effectiveness of the registration statement on Form S-1, of which this prospectus is a part.</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Except as otherwise indicated, all information in this prospectus assumes or gives effect to the following:</w:t>
      </w:r>
    </w:p>
    <w:p>
      <w:pPr>
        <w:spacing w:after="0" w:line="133" w:lineRule="exact"/>
        <w:rPr>
          <w:sz w:val="20"/>
          <w:szCs w:val="20"/>
          <w:color w:val="auto"/>
        </w:rPr>
      </w:pPr>
    </w:p>
    <w:p>
      <w:pPr>
        <w:ind w:left="302" w:right="420" w:hanging="302"/>
        <w:spacing w:after="0" w:line="26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adoption of our amended and restated bylaws, each of which will occur immediately prior to the completion of this offering;</w:t>
      </w:r>
    </w:p>
    <w:p>
      <w:pPr>
        <w:spacing w:after="0" w:line="112" w:lineRule="exact"/>
        <w:rPr>
          <w:rFonts w:ascii="Arial" w:cs="Arial" w:eastAsia="Arial" w:hAnsi="Arial"/>
          <w:sz w:val="16"/>
          <w:szCs w:val="16"/>
          <w:color w:val="auto"/>
        </w:rPr>
      </w:pPr>
    </w:p>
    <w:p>
      <w:pPr>
        <w:ind w:left="302" w:right="100" w:hanging="302"/>
        <w:spacing w:after="0" w:line="25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reclassification of all outstanding shares of our common stock, of which 34,780,520 shares were outstanding as of June 30, 2021, into an equivalent number of shares of our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w:t>
      </w:r>
    </w:p>
    <w:p>
      <w:pPr>
        <w:spacing w:after="0" w:line="122" w:lineRule="exact"/>
        <w:rPr>
          <w:rFonts w:ascii="Arial" w:cs="Arial" w:eastAsia="Arial" w:hAnsi="Arial"/>
          <w:sz w:val="16"/>
          <w:szCs w:val="16"/>
          <w:color w:val="auto"/>
        </w:rPr>
      </w:pPr>
    </w:p>
    <w:p>
      <w:pPr>
        <w:ind w:left="302" w:right="40" w:hanging="302"/>
        <w:spacing w:after="0" w:line="25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completion of an exchange offer open to all of our employees and other service providers, whereby participants in the exchange offer have elected to exchange, on a one-for-one basis, an aggregate of 13,556,800 shares of our Class A common stock for 7,332,640 shares of our LT10 common stock and 6,224,160 shares of our LT50 common stock (the “Exchange Offer”), which will occur immediately prior to the effectiveness of the registration statement on Form S-1, of which this prospectus is a part;</w:t>
      </w:r>
    </w:p>
    <w:p>
      <w:pPr>
        <w:spacing w:after="0" w:line="110" w:lineRule="exact"/>
        <w:rPr>
          <w:rFonts w:ascii="Arial" w:cs="Arial" w:eastAsia="Arial" w:hAnsi="Arial"/>
          <w:sz w:val="16"/>
          <w:szCs w:val="16"/>
          <w:color w:val="auto"/>
        </w:rPr>
      </w:pPr>
    </w:p>
    <w:p>
      <w:pPr>
        <w:ind w:left="302" w:right="60" w:hanging="302"/>
        <w:spacing w:after="0" w:line="26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automatic conversion of all outstanding shares of our convertible preferred stock into an aggregate of 42,031,390 shares of Class A common stock immediately prior to the completion of this offering;</w:t>
      </w:r>
    </w:p>
    <w:p>
      <w:pPr>
        <w:spacing w:after="0" w:line="112" w:lineRule="exact"/>
        <w:rPr>
          <w:rFonts w:ascii="Arial" w:cs="Arial" w:eastAsia="Arial" w:hAnsi="Arial"/>
          <w:sz w:val="16"/>
          <w:szCs w:val="16"/>
          <w:color w:val="auto"/>
        </w:rPr>
      </w:pPr>
    </w:p>
    <w:p>
      <w:pPr>
        <w:ind w:left="282" w:hanging="282"/>
        <w:spacing w:after="0"/>
        <w:tabs>
          <w:tab w:leader="none" w:pos="2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10 for 1 forward split of our common stock, which was effected on October 27, 2021;</w:t>
      </w:r>
    </w:p>
    <w:p>
      <w:pPr>
        <w:spacing w:after="0" w:line="144" w:lineRule="exact"/>
        <w:rPr>
          <w:rFonts w:ascii="Arial" w:cs="Arial" w:eastAsia="Arial" w:hAnsi="Arial"/>
          <w:sz w:val="16"/>
          <w:szCs w:val="16"/>
          <w:color w:val="auto"/>
        </w:rPr>
      </w:pPr>
    </w:p>
    <w:p>
      <w:pPr>
        <w:ind w:left="302" w:right="80" w:hanging="302"/>
        <w:spacing w:after="0" w:line="26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exercise by our employees and other service providers of an aggregate of 1,483,900 outstanding options to purchase shares of our common stock subsequent to June 30, 2021 and prior to the completion of the Exchange Offer (the "Option Exercise");</w:t>
      </w:r>
    </w:p>
    <w:p>
      <w:pPr>
        <w:spacing w:after="0" w:line="100" w:lineRule="exact"/>
        <w:rPr>
          <w:rFonts w:ascii="Arial" w:cs="Arial" w:eastAsia="Arial" w:hAnsi="Arial"/>
          <w:sz w:val="16"/>
          <w:szCs w:val="16"/>
          <w:color w:val="auto"/>
        </w:rPr>
      </w:pPr>
    </w:p>
    <w:p>
      <w:pPr>
        <w:ind w:left="282" w:hanging="282"/>
        <w:spacing w:after="0"/>
        <w:tabs>
          <w:tab w:leader="none" w:pos="2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exercise of any other outstanding options or warrants or settlement of outstanding RSUs referred to above; and</w:t>
      </w:r>
    </w:p>
    <w:p>
      <w:pPr>
        <w:spacing w:after="0" w:line="144" w:lineRule="exact"/>
        <w:rPr>
          <w:rFonts w:ascii="Arial" w:cs="Arial" w:eastAsia="Arial" w:hAnsi="Arial"/>
          <w:sz w:val="16"/>
          <w:szCs w:val="16"/>
          <w:color w:val="auto"/>
        </w:rPr>
      </w:pPr>
    </w:p>
    <w:p>
      <w:pPr>
        <w:ind w:left="302" w:right="120" w:hanging="302"/>
        <w:spacing w:after="0" w:line="26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from the selling stockholders up to 1,459,616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42"/>
          </w:cols>
          <w:pgMar w:left="918" w:top="1440" w:right="9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2688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6885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consolidated financial and other data</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The summary consolidated statements of income data for the six months ended June 30, 2020 and 2021 and our summary consolidated balance sheet data as of June 30, 2021 have been derived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to be expected in any future period, and the results of operations for the six months ended June 30, 2021 are not necessarily indicative of the results to be expected for the full year ending December 31, 2021 or any future period.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000"/>
          </w:cols>
          <w:pgMar w:left="920" w:top="1440" w:right="97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629"/>
        </w:trPr>
        <w:tc>
          <w:tcPr>
            <w:tcW w:w="600" w:type="dxa"/>
            <w:vAlign w:val="bottom"/>
            <w:tcBorders>
              <w:top w:val="single" w:sz="8" w:color="auto"/>
              <w:left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4"/>
          </w:tcPr>
          <w:p>
            <w:pPr>
              <w:jc w:val="right"/>
              <w:ind w:right="579"/>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tcBorders>
          </w:tcPr>
          <w:p>
            <w:pPr>
              <w:spacing w:after="0"/>
              <w:rPr>
                <w:sz w:val="14"/>
                <w:szCs w:val="14"/>
                <w:color w:val="auto"/>
              </w:rPr>
            </w:pPr>
          </w:p>
        </w:tc>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40" w:type="dxa"/>
            <w:vAlign w:val="bottom"/>
            <w:gridSpan w:val="7"/>
          </w:tcPr>
          <w:p>
            <w:pPr>
              <w:ind w:left="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17,494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tcBorders>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579</w:t>
            </w: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0.18</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net income (loss) per share attributable to</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common stockholders: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29,680,220</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25,921,890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27,424,480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35,495,100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41,216,420</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0" w:type="dxa"/>
            <w:vAlign w:val="bottom"/>
            <w:tcBorders>
              <w:left w:val="single" w:sz="8" w:color="auto"/>
            </w:tcBorders>
          </w:tcPr>
          <w:p>
            <w:pPr>
              <w:spacing w:after="0"/>
              <w:rPr>
                <w:sz w:val="13"/>
                <w:szCs w:val="13"/>
                <w:color w:val="auto"/>
              </w:rPr>
            </w:pPr>
          </w:p>
        </w:tc>
        <w:tc>
          <w:tcPr>
            <w:tcW w:w="41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to participating securities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tcBorders>
          </w:tcPr>
          <w:p>
            <w:pPr>
              <w:spacing w:after="0"/>
              <w:rPr>
                <w:sz w:val="13"/>
                <w:szCs w:val="13"/>
                <w:color w:val="auto"/>
              </w:rPr>
            </w:pPr>
          </w:p>
        </w:tc>
        <w:tc>
          <w:tcPr>
            <w:tcW w:w="418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w:t>
            </w: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stockholders: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pro forma net income (loss) per share</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attributable to common stockholders: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71,711,610</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69,455,870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83,247,810</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0" w:type="dxa"/>
            <w:vAlign w:val="bottom"/>
            <w:tcBorders>
              <w:left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8"/>
        </w:trPr>
        <w:tc>
          <w:tcPr>
            <w:tcW w:w="600" w:type="dxa"/>
            <w:vAlign w:val="bottom"/>
            <w:tcBorders>
              <w:left w:val="single" w:sz="8" w:color="auto"/>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-5539105</wp:posOffset>
            </wp:positionV>
            <wp:extent cx="6379845" cy="131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-5268595</wp:posOffset>
            </wp:positionV>
            <wp:extent cx="6379845" cy="131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-5005705</wp:posOffset>
            </wp:positionV>
            <wp:extent cx="6379845" cy="13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-4742180</wp:posOffset>
            </wp:positionV>
            <wp:extent cx="6379845" cy="139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79845" cy="13906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-4464050</wp:posOffset>
            </wp:positionV>
            <wp:extent cx="6379845" cy="131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-4193540</wp:posOffset>
            </wp:positionV>
            <wp:extent cx="6379845" cy="131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-3907155</wp:posOffset>
            </wp:positionV>
            <wp:extent cx="6379845" cy="123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79845" cy="12382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-3651885</wp:posOffset>
            </wp:positionV>
            <wp:extent cx="6379845" cy="154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79845" cy="1549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-3265170</wp:posOffset>
            </wp:positionV>
            <wp:extent cx="6379845" cy="146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-2955925</wp:posOffset>
            </wp:positionV>
            <wp:extent cx="6379845" cy="332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-2491740</wp:posOffset>
            </wp:positionV>
            <wp:extent cx="6379845" cy="131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-2205990</wp:posOffset>
            </wp:positionV>
            <wp:extent cx="6379845" cy="131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-1842135</wp:posOffset>
            </wp:positionV>
            <wp:extent cx="6379845" cy="231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79845" cy="23177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-1378585</wp:posOffset>
            </wp:positionV>
            <wp:extent cx="6379845" cy="146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-1069340</wp:posOffset>
            </wp:positionV>
            <wp:extent cx="6379845" cy="332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-605155</wp:posOffset>
            </wp:positionV>
            <wp:extent cx="6379845" cy="131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7984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320" w:top="1419" w:right="3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284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6284595"/>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2" w:type="dxa"/>
        <w:tblCellMar>
          <w:top w:w="0" w:type="dxa"/>
          <w:left w:w="0" w:type="dxa"/>
          <w:bottom w:w="0" w:type="dxa"/>
          <w:right w:w="0" w:type="dxa"/>
        </w:tblCellMar>
      </w:tblPr>
      <w:tr>
        <w:trPr>
          <w:trHeight w:val="179"/>
        </w:trPr>
        <w:tc>
          <w:tcPr>
            <w:tcW w:w="320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7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4"/>
          </w:tcPr>
          <w:p>
            <w:pPr>
              <w:jc w:val="right"/>
              <w:ind w:right="643"/>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2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51"/>
        </w:trPr>
        <w:tc>
          <w:tcPr>
            <w:tcW w:w="3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3"/>
          </w:tcPr>
          <w:p>
            <w:pPr>
              <w:jc w:val="right"/>
              <w:ind w:right="83"/>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0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w:t>
            </w:r>
          </w:p>
        </w:tc>
      </w:tr>
      <w:tr>
        <w:trPr>
          <w:trHeight w:val="151"/>
        </w:trPr>
        <w:tc>
          <w:tcPr>
            <w:tcW w:w="320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0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328</w:t>
            </w:r>
          </w:p>
        </w:tc>
      </w:tr>
      <w:tr>
        <w:trPr>
          <w:trHeight w:val="166"/>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r>
      <w:tr>
        <w:trPr>
          <w:trHeight w:val="151"/>
        </w:trPr>
        <w:tc>
          <w:tcPr>
            <w:tcW w:w="320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r>
      <w:tr>
        <w:trPr>
          <w:trHeight w:val="183"/>
        </w:trPr>
        <w:tc>
          <w:tcPr>
            <w:tcW w:w="3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06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3,487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02" w:right="280" w:hanging="302"/>
        <w:spacing w:after="0" w:line="261" w:lineRule="auto"/>
        <w:tabs>
          <w:tab w:leader="none" w:pos="292"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56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As of June 30, 2021</w:t>
            </w: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5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Actual</w:t>
            </w:r>
          </w:p>
        </w:tc>
        <w:tc>
          <w:tcPr>
            <w:tcW w:w="240" w:type="dxa"/>
            <w:vAlign w:val="bottom"/>
          </w:tcPr>
          <w:p>
            <w:pPr>
              <w:spacing w:after="0"/>
              <w:rPr>
                <w:sz w:val="10"/>
                <w:szCs w:val="10"/>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3"/>
                <w:szCs w:val="13"/>
                <w:b w:val="1"/>
                <w:bCs w:val="1"/>
                <w:color w:val="auto"/>
                <w:w w:val="96"/>
              </w:rPr>
              <w:t>Pro forma</w:t>
            </w:r>
            <w:r>
              <w:rPr>
                <w:rFonts w:ascii="Arial" w:cs="Arial" w:eastAsia="Arial" w:hAnsi="Arial"/>
                <w:sz w:val="16"/>
                <w:szCs w:val="16"/>
                <w:b w:val="1"/>
                <w:bCs w:val="1"/>
                <w:color w:val="auto"/>
                <w:w w:val="96"/>
                <w:vertAlign w:val="superscript"/>
              </w:rPr>
              <w:t>(1)</w:t>
            </w:r>
          </w:p>
        </w:tc>
        <w:tc>
          <w:tcPr>
            <w:tcW w:w="260" w:type="dxa"/>
            <w:vAlign w:val="bottom"/>
          </w:tcPr>
          <w:p>
            <w:pPr>
              <w:spacing w:after="0"/>
              <w:rPr>
                <w:sz w:val="10"/>
                <w:szCs w:val="10"/>
                <w:color w:val="auto"/>
              </w:rPr>
            </w:pPr>
          </w:p>
        </w:tc>
        <w:tc>
          <w:tcPr>
            <w:tcW w:w="1200" w:type="dxa"/>
            <w:vAlign w:val="bottom"/>
          </w:tcPr>
          <w:p>
            <w:pPr>
              <w:jc w:val="right"/>
              <w:ind w:right="222"/>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62"/>
              <w:spacing w:after="0" w:line="158"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16"/>
                <w:szCs w:val="16"/>
                <w:b w:val="1"/>
                <w:bCs w:val="1"/>
                <w:color w:val="auto"/>
                <w:vertAlign w:val="superscript"/>
              </w:rPr>
              <w:t>(2)(3)</w:t>
            </w:r>
          </w:p>
        </w:tc>
        <w:tc>
          <w:tcPr>
            <w:tcW w:w="0" w:type="dxa"/>
            <w:vAlign w:val="bottom"/>
          </w:tcPr>
          <w:p>
            <w:pPr>
              <w:spacing w:after="0"/>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3"/>
                <w:szCs w:val="13"/>
                <w:b w:val="1"/>
                <w:bCs w:val="1"/>
                <w:color w:val="auto"/>
                <w:w w:val="98"/>
              </w:rPr>
              <w:t>(in thousands)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45,429</w:t>
            </w:r>
          </w:p>
        </w:tc>
        <w:tc>
          <w:tcPr>
            <w:tcW w:w="24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46,701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73,716</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39,574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40,846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67,861</w:t>
            </w: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92,112</w:t>
            </w:r>
          </w:p>
        </w:tc>
        <w:tc>
          <w:tcPr>
            <w:tcW w:w="24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93,384</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120,399</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116,795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118,067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145,082</w:t>
            </w: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52,538</w:t>
            </w:r>
          </w:p>
        </w:tc>
        <w:tc>
          <w:tcPr>
            <w:tcW w:w="24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52,538</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52,538</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85,483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85,483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85,483</w:t>
            </w:r>
          </w:p>
        </w:tc>
        <w:tc>
          <w:tcPr>
            <w:tcW w:w="0" w:type="dxa"/>
            <w:vAlign w:val="bottom"/>
          </w:tcPr>
          <w:p>
            <w:pPr>
              <w:spacing w:after="0"/>
              <w:rPr>
                <w:sz w:val="1"/>
                <w:szCs w:val="1"/>
                <w:color w:val="auto"/>
              </w:rPr>
            </w:pPr>
          </w:p>
        </w:tc>
      </w:tr>
      <w:tr>
        <w:trPr>
          <w:trHeight w:val="170"/>
        </w:trPr>
        <w:tc>
          <w:tcPr>
            <w:tcW w:w="5640" w:type="dxa"/>
            <w:vAlign w:val="bottom"/>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issued and outstanding at December 31, 2019, December 31, 2020 and</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June 30, 2021 (unaudited) (aggregate liquidation preference of $24,929,457</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at December 31, 2019, December 31, 2020 and June 30, 2021</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(unaudited)), actual; no shares authorized, issued, and outstanding, pro</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160"/>
              <w:spacing w:after="0"/>
              <w:rPr>
                <w:sz w:val="20"/>
                <w:szCs w:val="20"/>
                <w:color w:val="auto"/>
              </w:rPr>
            </w:pPr>
            <w:r>
              <w:rPr>
                <w:rFonts w:ascii="Arial" w:cs="Arial" w:eastAsia="Arial" w:hAnsi="Arial"/>
                <w:sz w:val="16"/>
                <w:szCs w:val="16"/>
                <w:color w:val="auto"/>
              </w:rPr>
              <w:t>forma and pro forma as adjusted</w:t>
            </w:r>
          </w:p>
        </w:tc>
        <w:tc>
          <w:tcPr>
            <w:tcW w:w="3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45,105</w:t>
            </w:r>
          </w:p>
        </w:tc>
        <w:tc>
          <w:tcPr>
            <w:tcW w:w="240" w:type="dxa"/>
            <w:vAlign w:val="bottom"/>
          </w:tcPr>
          <w:p>
            <w:pPr>
              <w:spacing w:after="0"/>
              <w:rPr>
                <w:sz w:val="16"/>
                <w:szCs w:val="16"/>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0" w:type="dxa"/>
            <w:vAlign w:val="bottom"/>
          </w:tcPr>
          <w:p>
            <w:pPr>
              <w:spacing w:after="0"/>
              <w:rPr>
                <w:sz w:val="1"/>
                <w:szCs w:val="1"/>
                <w:color w:val="auto"/>
              </w:rPr>
            </w:pPr>
          </w:p>
        </w:tc>
      </w:tr>
      <w:tr>
        <w:trPr>
          <w:trHeight w:val="206"/>
        </w:trPr>
        <w:tc>
          <w:tcPr>
            <w:tcW w:w="5640" w:type="dxa"/>
            <w:vAlign w:val="bottom"/>
          </w:tcPr>
          <w:p>
            <w:pPr>
              <w:ind w:left="20"/>
              <w:spacing w:after="0"/>
              <w:rPr>
                <w:sz w:val="20"/>
                <w:szCs w:val="20"/>
                <w:color w:val="auto"/>
              </w:rPr>
            </w:pPr>
            <w:r>
              <w:rPr>
                <w:rFonts w:ascii="Arial" w:cs="Arial" w:eastAsia="Arial" w:hAnsi="Arial"/>
                <w:sz w:val="16"/>
                <w:szCs w:val="16"/>
                <w:color w:val="auto"/>
              </w:rPr>
              <w:t>Total stockholders' equity (deficit)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(13,793)</w:t>
            </w:r>
          </w:p>
        </w:tc>
        <w:tc>
          <w:tcPr>
            <w:tcW w:w="24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32,584</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59,599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02" w:right="20" w:hanging="302"/>
        <w:spacing w:after="0" w:line="254" w:lineRule="auto"/>
        <w:tabs>
          <w:tab w:leader="none" w:pos="2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pro forma column reflects: (i) the automatic conversion of all outstanding shares of our convertible preferred stock into an aggregate of 42,031,390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our amended and restated certificate of incorporation immediately prior to the effectiveness of the registration statement on Form S-1, of which this prospectus is a part; (iii) the completion of the Exchange Offer, pursuant to which an aggregate of 13,556,800 shares of our Class A common stock will be exchanged for 7,332,640 and 6,224,160 newly issued shares of our LT10 and LT50 common stock, respectively; (iv) the exercise of 1,483,900 outstanding stock options pursuant to the Option Exercise, which will occur prior to the completion of the Exchange Offer; and (v) the filing and effectiveness of our amended and restated certificate of incorporation immediately prior to the effectiveness of the registration statement on Form S-1, of which this prospectus is a part.</w:t>
      </w:r>
    </w:p>
    <w:p>
      <w:pPr>
        <w:ind w:left="302" w:right="40" w:hanging="302"/>
        <w:spacing w:after="0" w:line="254" w:lineRule="auto"/>
        <w:tabs>
          <w:tab w:leader="none" w:pos="2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pro forma as adjusted column reflects: (i) the pro forma adjustments described above, (ii) the issuance and sale by us of 2,608,696 shares of Class A common stock in this offering at an assumed initial public offering price of $26.00 per share, which is the midpoint of the price range set forth on the cover page of this prospectus, after deducting the underwriting discounts and commissions and estimated offering expenses payable by us, and (iii) the use of approximately $29.9 million of net proceeds, which is the midpoint of the estimated range set forth under "Use of proceeds", to pay discretionary cash bonuses to our employees during the fourth quarter of the year ended December 31, 2021.</w:t>
      </w:r>
    </w:p>
    <w:p>
      <w:pPr>
        <w:ind w:left="302" w:right="160" w:hanging="302"/>
        <w:spacing w:after="0" w:line="257" w:lineRule="auto"/>
        <w:tabs>
          <w:tab w:leader="none" w:pos="2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Each $1.00 increase or decrease in the assumed initial public offering price per share of $26.00, which is the midpoint of the price range set forth on the cover page of this prospectus, would increase or decrease, as applicable, each of cash and cash equivalents, working capital, total assets and total stockholders’ deficit on a pro forma as adjusted basis by approximately $2.4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 or decrease, as applicable, each of cash and cash equivalents, working capital, total assets and total stockholders’ deficit on a pro forma as adjusted basis by approximately $24.2 million, assuming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042"/>
          </w:cols>
          <w:pgMar w:left="918" w:top="1440" w:right="9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5186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5186680"/>
                    </a:xfrm>
                    <a:prstGeom prst="rect">
                      <a:avLst/>
                    </a:prstGeom>
                    <a:noFill/>
                  </pic:spPr>
                </pic:pic>
              </a:graphicData>
            </a:graphic>
          </wp:anchor>
        </w:drawing>
      </w:r>
    </w:p>
    <w:p>
      <w:pPr>
        <w:spacing w:after="0" w:line="399" w:lineRule="exact"/>
        <w:rPr>
          <w:sz w:val="20"/>
          <w:szCs w:val="20"/>
          <w:color w:val="auto"/>
        </w:rPr>
      </w:pPr>
    </w:p>
    <w:p>
      <w:pPr>
        <w:ind w:left="302" w:right="620"/>
        <w:spacing w:after="0" w:line="254" w:lineRule="auto"/>
        <w:rPr>
          <w:sz w:val="20"/>
          <w:szCs w:val="20"/>
          <w:color w:val="auto"/>
        </w:rPr>
      </w:pPr>
      <w:r>
        <w:rPr>
          <w:rFonts w:ascii="Arial" w:cs="Arial" w:eastAsia="Arial" w:hAnsi="Arial"/>
          <w:sz w:val="12"/>
          <w:szCs w:val="12"/>
          <w:color w:val="auto"/>
        </w:rPr>
        <w:t>that the initial public offering price per share remains at $26.00, which is the midpoint of the price range set forth on the cover page of this prospectus, and after deducting underwriting discounts and commissions and estimated offering expenses payable by us.</w:t>
      </w:r>
    </w:p>
    <w:p>
      <w:pPr>
        <w:ind w:left="302" w:right="300" w:hanging="302"/>
        <w:spacing w:after="0" w:line="268" w:lineRule="auto"/>
        <w:tabs>
          <w:tab w:leader="none" w:pos="292"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38" w:lineRule="exact"/>
        <w:rPr>
          <w:sz w:val="20"/>
          <w:szCs w:val="20"/>
          <w:color w:val="auto"/>
        </w:rPr>
      </w:pPr>
    </w:p>
    <w:tbl>
      <w:tblPr>
        <w:tblLayout w:type="fixed"/>
        <w:tblInd w:w="2" w:type="dxa"/>
        <w:tblCellMar>
          <w:top w:w="0" w:type="dxa"/>
          <w:left w:w="0" w:type="dxa"/>
          <w:bottom w:w="0" w:type="dxa"/>
          <w:right w:w="0" w:type="dxa"/>
        </w:tblCellMar>
      </w:tblPr>
      <w:tr>
        <w:trPr>
          <w:trHeight w:val="158"/>
        </w:trPr>
        <w:tc>
          <w:tcPr>
            <w:tcW w:w="86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22"/>
        </w:trPr>
        <w:tc>
          <w:tcPr>
            <w:tcW w:w="8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4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 xml:space="preserve">members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58"/>
        </w:trPr>
        <w:tc>
          <w:tcPr>
            <w:tcW w:w="864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9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40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40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40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40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6"/>
        </w:trPr>
        <w:tc>
          <w:tcPr>
            <w:tcW w:w="864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40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02" w:right="140" w:hanging="302"/>
        <w:spacing w:after="0" w:line="268" w:lineRule="auto"/>
        <w:tabs>
          <w:tab w:leader="none" w:pos="292"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042"/>
          </w:cols>
          <w:pgMar w:left="918" w:top="1440" w:right="9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3082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3082925"/>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65" w:lineRule="exact"/>
        <w:rPr>
          <w:sz w:val="20"/>
          <w:szCs w:val="20"/>
          <w:color w:val="auto"/>
        </w:rPr>
      </w:pPr>
    </w:p>
    <w:p>
      <w:pPr>
        <w:ind w:left="2" w:right="300"/>
        <w:spacing w:after="0" w:line="268" w:lineRule="auto"/>
        <w:rPr>
          <w:sz w:val="20"/>
          <w:szCs w:val="20"/>
          <w:color w:val="auto"/>
        </w:rPr>
      </w:pPr>
      <w:r>
        <w:rPr>
          <w:rFonts w:ascii="Arial" w:cs="Arial" w:eastAsia="Arial" w:hAnsi="Arial"/>
          <w:sz w:val="16"/>
          <w:szCs w:val="16"/>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2680" w:type="dxa"/>
            <w:vAlign w:val="bottom"/>
            <w:gridSpan w:val="4"/>
          </w:tcPr>
          <w:p>
            <w:pPr>
              <w:jc w:val="right"/>
              <w:ind w:right="602"/>
              <w:spacing w:after="0"/>
              <w:rPr>
                <w:sz w:val="20"/>
                <w:szCs w:val="20"/>
                <w:color w:val="auto"/>
              </w:rPr>
            </w:pPr>
            <w:r>
              <w:rPr>
                <w:rFonts w:ascii="Arial" w:cs="Arial" w:eastAsia="Arial" w:hAnsi="Arial"/>
                <w:sz w:val="13"/>
                <w:szCs w:val="13"/>
                <w:b w:val="1"/>
                <w:bCs w:val="1"/>
                <w:color w:val="auto"/>
              </w:rPr>
              <w:t>Six months ended June 30,</w:t>
            </w:r>
          </w:p>
        </w:tc>
      </w:tr>
      <w:tr>
        <w:trPr>
          <w:trHeight w:val="187"/>
        </w:trPr>
        <w:tc>
          <w:tcPr>
            <w:tcW w:w="3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2021</w:t>
            </w:r>
          </w:p>
        </w:tc>
      </w:tr>
      <w:tr>
        <w:trPr>
          <w:trHeight w:val="187"/>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3"/>
                <w:szCs w:val="13"/>
                <w:b w:val="1"/>
                <w:bCs w:val="1"/>
                <w:color w:val="auto"/>
              </w:rPr>
              <w:t>(in thousands, except percentages)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14,674</w:t>
            </w: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386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7,579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26,755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9,160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22,933</w:t>
            </w:r>
          </w:p>
        </w:tc>
      </w:tr>
      <w:tr>
        <w:trPr>
          <w:trHeight w:val="199"/>
        </w:trPr>
        <w:tc>
          <w:tcPr>
            <w:tcW w:w="3860" w:type="dxa"/>
            <w:vAlign w:val="bottom"/>
          </w:tcPr>
          <w:p>
            <w:pPr>
              <w:ind w:left="20"/>
              <w:spacing w:after="0" w:line="199"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02" w:right="720" w:hanging="302"/>
        <w:spacing w:after="0" w:line="268" w:lineRule="auto"/>
        <w:tabs>
          <w:tab w:leader="none" w:pos="292"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w:t>
      </w:r>
    </w:p>
    <w:p>
      <w:pPr>
        <w:spacing w:after="0" w:line="118" w:lineRule="exact"/>
        <w:rPr>
          <w:sz w:val="20"/>
          <w:szCs w:val="20"/>
          <w:color w:val="auto"/>
        </w:rPr>
      </w:pPr>
    </w:p>
    <w:p>
      <w:pPr>
        <w:ind w:left="2" w:right="120"/>
        <w:spacing w:after="0" w:line="261" w:lineRule="auto"/>
        <w:rPr>
          <w:sz w:val="20"/>
          <w:szCs w:val="20"/>
          <w:color w:val="auto"/>
        </w:rPr>
      </w:pPr>
      <w:r>
        <w:rPr>
          <w:rFonts w:ascii="Arial" w:cs="Arial" w:eastAsia="Arial" w:hAnsi="Arial"/>
          <w:sz w:val="16"/>
          <w:szCs w:val="16"/>
          <w:color w:val="auto"/>
        </w:rPr>
        <w:t>For additional information about our key business metrics and non-GAAP financial measures, including a reconciliation to the most directly comparable GAAP measure,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042"/>
          </w:cols>
          <w:pgMar w:left="918" w:top="1440" w:right="939" w:bottom="1440" w:gutter="0" w:footer="0" w:header="0"/>
        </w:sectPr>
      </w:pPr>
    </w:p>
    <w:bookmarkStart w:id="33" w:name="page34"/>
    <w:bookmarkEnd w:id="33"/>
    <w:p>
      <w:pPr>
        <w:ind w:left="3"/>
        <w:spacing w:after="0"/>
        <w:rPr>
          <w:sz w:val="20"/>
          <w:szCs w:val="20"/>
          <w:color w:val="auto"/>
        </w:rPr>
      </w:pPr>
      <w:r>
        <w:rPr>
          <w:rFonts w:ascii="Arial" w:cs="Arial" w:eastAsia="Arial" w:hAnsi="Arial"/>
          <w:sz w:val="26"/>
          <w:szCs w:val="26"/>
          <w:b w:val="1"/>
          <w:bCs w:val="1"/>
          <w:color w:val="auto"/>
        </w:rPr>
        <w:t>Risk factors</w:t>
      </w:r>
    </w:p>
    <w:p>
      <w:pPr>
        <w:spacing w:after="0" w:line="28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our business</w:t>
      </w:r>
    </w:p>
    <w:p>
      <w:pPr>
        <w:spacing w:after="0" w:line="132" w:lineRule="exact"/>
        <w:rPr>
          <w:sz w:val="20"/>
          <w:szCs w:val="20"/>
          <w:color w:val="auto"/>
        </w:rPr>
      </w:pPr>
    </w:p>
    <w:p>
      <w:pPr>
        <w:ind w:left="3" w:right="420"/>
        <w:spacing w:after="0" w:line="294" w:lineRule="auto"/>
        <w:rPr>
          <w:sz w:val="20"/>
          <w:szCs w:val="20"/>
          <w:color w:val="auto"/>
        </w:rPr>
      </w:pPr>
      <w:r>
        <w:rPr>
          <w:rFonts w:ascii="Arial" w:cs="Arial" w:eastAsia="Arial" w:hAnsi="Arial"/>
          <w:sz w:val="16"/>
          <w:szCs w:val="16"/>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93" w:lineRule="exact"/>
        <w:rPr>
          <w:sz w:val="20"/>
          <w:szCs w:val="20"/>
          <w:color w:val="auto"/>
        </w:rPr>
      </w:pPr>
    </w:p>
    <w:p>
      <w:pPr>
        <w:ind w:left="3" w:right="180"/>
        <w:spacing w:after="0" w:line="258" w:lineRule="auto"/>
        <w:rPr>
          <w:sz w:val="20"/>
          <w:szCs w:val="20"/>
          <w:color w:val="auto"/>
        </w:rPr>
      </w:pPr>
      <w:r>
        <w:rPr>
          <w:rFonts w:ascii="Arial" w:cs="Arial" w:eastAsia="Arial" w:hAnsi="Arial"/>
          <w:sz w:val="16"/>
          <w:szCs w:val="16"/>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22" w:lineRule="exact"/>
        <w:rPr>
          <w:sz w:val="20"/>
          <w:szCs w:val="20"/>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level of demand across our platform and for individual features within our platform;</w:t>
      </w:r>
    </w:p>
    <w:p>
      <w:pPr>
        <w:spacing w:after="0" w:line="132" w:lineRule="exact"/>
        <w:rPr>
          <w:rFonts w:ascii="Arial" w:cs="Arial" w:eastAsia="Arial" w:hAnsi="Arial"/>
          <w:sz w:val="16"/>
          <w:szCs w:val="16"/>
          <w:color w:val="auto"/>
        </w:rPr>
      </w:pPr>
    </w:p>
    <w:p>
      <w:pPr>
        <w:ind w:left="283" w:right="40" w:hanging="283"/>
        <w:spacing w:after="0" w:line="261" w:lineRule="auto"/>
        <w:tabs>
          <w:tab w:leader="none" w:pos="2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grow or maintain our gross logo retention rate and net seat retention rate (each as described under the section titled "Management's discussion and analysis of financial condition and results of operations—Key factors affecting our performance—Retaining existing customers"), expand usage within organizations, retain and increase sales to existing customers and attract new members and customers;</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predictably generate revenue through marketing and sales efforts;</w:t>
      </w:r>
    </w:p>
    <w:p>
      <w:pPr>
        <w:spacing w:after="0" w:line="132"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to our platform, or by our competitors to their products, or any other changes in the competitive landscape of our market;</w:t>
      </w:r>
    </w:p>
    <w:p>
      <w:pPr>
        <w:spacing w:after="0" w:line="112" w:lineRule="exact"/>
        <w:rPr>
          <w:rFonts w:ascii="Arial" w:cs="Arial" w:eastAsia="Arial" w:hAnsi="Arial"/>
          <w:sz w:val="16"/>
          <w:szCs w:val="16"/>
          <w:color w:val="auto"/>
        </w:rPr>
      </w:pPr>
    </w:p>
    <w:p>
      <w:pPr>
        <w:ind w:left="283" w:right="400" w:hanging="283"/>
        <w:spacing w:after="0" w:line="268" w:lineRule="auto"/>
        <w:tabs>
          <w:tab w:leader="none" w:pos="2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grow and maintain our relationships and/or integrations with our network of third-party partners, including integration partners, channel partners and professional service partners;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regulate members and member interactions on an increasingly collaborative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grow revenue share and customer referrals from our partner ecosystem;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 of our customers’ businesses;</w:t>
      </w:r>
    </w:p>
    <w:p>
      <w:pPr>
        <w:spacing w:after="0" w:line="132" w:lineRule="exact"/>
        <w:rPr>
          <w:rFonts w:ascii="Arial" w:cs="Arial" w:eastAsia="Arial" w:hAnsi="Arial"/>
          <w:sz w:val="16"/>
          <w:szCs w:val="16"/>
          <w:color w:val="auto"/>
        </w:rPr>
      </w:pPr>
    </w:p>
    <w:p>
      <w:pPr>
        <w:ind w:left="283" w:right="700" w:hanging="283"/>
        <w:spacing w:after="0" w:line="268" w:lineRule="auto"/>
        <w:tabs>
          <w:tab w:leader="none" w:pos="2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achieve widespread acceptance and use of our platform and features, including the Expensify Card and any new features we may introduce;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3"/>
          </w:cols>
          <w:pgMar w:left="317" w:top="1407" w:right="359" w:bottom="1440" w:gutter="0" w:footer="0" w:header="0"/>
        </w:sectPr>
      </w:pPr>
    </w:p>
    <w:bookmarkStart w:id="34" w:name="page35"/>
    <w:bookmarkEnd w:id="34"/>
    <w:p>
      <w:pPr>
        <w:spacing w:after="0" w:line="2" w:lineRule="exact"/>
        <w:rPr>
          <w:sz w:val="20"/>
          <w:szCs w:val="20"/>
          <w:color w:val="auto"/>
        </w:rPr>
      </w:pPr>
    </w:p>
    <w:p>
      <w:pPr>
        <w:ind w:left="283" w:hanging="283"/>
        <w:spacing w:after="0" w:line="268" w:lineRule="auto"/>
        <w:tabs>
          <w:tab w:leader="none" w:pos="2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maintain and improve employee efficiency, and our ability to manage third party, outsourced or open source workers to provide value-added services like receipt processing, customer support and engineering;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errors in our forecasting of the demand for our platform and features, which would lead to lower revenue, increased costs, or both;</w:t>
      </w:r>
    </w:p>
    <w:p>
      <w:pPr>
        <w:spacing w:after="0" w:line="144"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as well as entry into operating leases, that we may incur to maintain and expand our business and operations and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expenses and recognition of revenue;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actual or perceived security breaches, technical difficulties, or interruptions to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ineffective pricing strategies that could limit customer base expansion, revenue growth and subscription renewals;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adverse litigation judgments, other dispute-related settlement payments, or other litigation-related costs;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new employees hired;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the grant or vesting of equity awards to employees, directors, or consultants;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and continuing uncertainty in relation to, the legislative or regulatory environment;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legal and regulatory compliance costs in new and existing markets;</w:t>
      </w:r>
    </w:p>
    <w:p>
      <w:pPr>
        <w:spacing w:after="0" w:line="132" w:lineRule="exact"/>
        <w:rPr>
          <w:rFonts w:ascii="Arial" w:cs="Arial" w:eastAsia="Arial" w:hAnsi="Arial"/>
          <w:sz w:val="16"/>
          <w:szCs w:val="16"/>
          <w:color w:val="auto"/>
        </w:rPr>
      </w:pPr>
    </w:p>
    <w:p>
      <w:pPr>
        <w:ind w:left="283" w:right="660" w:hanging="283"/>
        <w:spacing w:after="0" w:line="268" w:lineRule="auto"/>
        <w:tabs>
          <w:tab w:leader="none" w:pos="2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health epidemics, such as the COVID-19 pandemic, or other conditions that impact travel and business spending; and</w:t>
      </w:r>
    </w:p>
    <w:p>
      <w:pPr>
        <w:spacing w:after="0" w:line="144" w:lineRule="exact"/>
        <w:rPr>
          <w:rFonts w:ascii="Arial" w:cs="Arial" w:eastAsia="Arial" w:hAnsi="Arial"/>
          <w:sz w:val="16"/>
          <w:szCs w:val="16"/>
          <w:color w:val="auto"/>
        </w:rPr>
      </w:pPr>
    </w:p>
    <w:p>
      <w:pPr>
        <w:ind w:left="283" w:right="80" w:hanging="283"/>
        <w:spacing w:after="0" w:line="268" w:lineRule="auto"/>
        <w:tabs>
          <w:tab w:leader="none" w:pos="2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general economic and market conditions in either domestic or international markets, including geopolitical uncertainty and instability and their effects on software spending.</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13"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90" w:lineRule="exact"/>
        <w:rPr>
          <w:sz w:val="20"/>
          <w:szCs w:val="20"/>
          <w:color w:val="auto"/>
        </w:rPr>
      </w:pPr>
    </w:p>
    <w:p>
      <w:pPr>
        <w:ind w:left="3" w:right="520"/>
        <w:spacing w:after="0" w:line="294" w:lineRule="auto"/>
        <w:rPr>
          <w:sz w:val="20"/>
          <w:szCs w:val="20"/>
          <w:color w:val="auto"/>
        </w:rPr>
      </w:pPr>
      <w:r>
        <w:rPr>
          <w:rFonts w:ascii="Arial" w:cs="Arial" w:eastAsia="Arial" w:hAnsi="Arial"/>
          <w:sz w:val="16"/>
          <w:szCs w:val="16"/>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9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3"/>
          </w:cols>
          <w:pgMar w:left="317" w:top="1440" w:right="359" w:bottom="1440" w:gutter="0" w:footer="0" w:header="0"/>
        </w:sectPr>
      </w:pPr>
    </w:p>
    <w:bookmarkStart w:id="35" w:name="page36"/>
    <w:bookmarkEnd w:id="35"/>
    <w:p>
      <w:pPr>
        <w:spacing w:after="0" w:line="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11" w:lineRule="exact"/>
        <w:rPr>
          <w:sz w:val="20"/>
          <w:szCs w:val="20"/>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attract new individuals and organizations to use our features, particularly our expense management feature;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grow or maintain our gross logo retention rate and net seat retention rate, and expand usage within organizations;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price our subscription plans effectively and competitively;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retain our existing individual and organizational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achieve widespread acceptance and use of our platform and features, including in markets outside of the United States;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continue to successfully advance our bottom-up sales strategy as well as strategic relationships with our channel partners;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continue to maintain and build a platform and brand that drives word of mouth exposure to new potential members;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grow or maintain our brand through marketing, advertising campaigns, partnerships and other methods;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gain member traction for and generate revenue from our new features and services;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grow or maintain current levels of consideration from a vendor and/or fees generated through transaction-based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expand the features and capabilities of our platform and features;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excellent customer experience and customer support;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 the security and reliability of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 the trust of our customers;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successfully compete against established companies and new market entrants, as well as existing software tools;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successfully respond to other competitive challenges in the United States and globally;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attract, hire and retain highly skilled personnel;</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weather the impact of the COVID-19 pandemic and the end of the COVID-19 pandemic on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expand, maintain, enforce and protect our intellectual property portfolio;</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3"/>
          </w:cols>
          <w:pgMar w:left="317" w:top="1440" w:right="459" w:bottom="1440" w:gutter="0" w:footer="0" w:header="0"/>
        </w:sectPr>
      </w:pPr>
    </w:p>
    <w:bookmarkStart w:id="36" w:name="page37"/>
    <w:bookmarkEnd w:id="36"/>
    <w:p>
      <w:pPr>
        <w:spacing w:after="0" w:line="2" w:lineRule="exact"/>
        <w:rPr>
          <w:sz w:val="20"/>
          <w:szCs w:val="20"/>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grow our member and customer base in new countries and/or markets, and increase awareness of our brand on a global basis; and</w:t>
      </w:r>
    </w:p>
    <w:p>
      <w:pPr>
        <w:spacing w:after="0" w:line="132" w:lineRule="exact"/>
        <w:rPr>
          <w:rFonts w:ascii="Arial" w:cs="Arial" w:eastAsia="Arial" w:hAnsi="Arial"/>
          <w:sz w:val="16"/>
          <w:szCs w:val="16"/>
          <w:color w:val="auto"/>
        </w:rPr>
      </w:pPr>
    </w:p>
    <w:p>
      <w:pPr>
        <w:ind w:left="283" w:right="460" w:hanging="283"/>
        <w:spacing w:after="0" w:line="268"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obtain and maintain compliance and licenses material to our current and future businesses, and comply with existing and new applicable laws and regulations including in markets outside of the United States.</w:t>
      </w:r>
    </w:p>
    <w:p>
      <w:pPr>
        <w:spacing w:after="0" w:line="113"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98" w:lineRule="exact"/>
        <w:rPr>
          <w:sz w:val="20"/>
          <w:szCs w:val="20"/>
          <w:color w:val="auto"/>
        </w:rPr>
      </w:pPr>
    </w:p>
    <w:p>
      <w:pPr>
        <w:ind w:left="3" w:right="80"/>
        <w:spacing w:after="0" w:line="274" w:lineRule="auto"/>
        <w:rPr>
          <w:sz w:val="20"/>
          <w:szCs w:val="20"/>
          <w:color w:val="auto"/>
        </w:rPr>
      </w:pPr>
      <w:r>
        <w:rPr>
          <w:rFonts w:ascii="Arial" w:cs="Arial" w:eastAsia="Arial" w:hAnsi="Arial"/>
          <w:sz w:val="16"/>
          <w:szCs w:val="16"/>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96"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2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3"/>
          </w:cols>
          <w:pgMar w:left="317" w:top="1440" w:right="359" w:bottom="1440" w:gutter="0" w:footer="0" w:header="0"/>
        </w:sectPr>
      </w:pPr>
    </w:p>
    <w:bookmarkStart w:id="37" w:name="page38"/>
    <w:bookmarkEnd w:id="37"/>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2020, businesses with fewer than 1,000 employees accounted for over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including the Delta variant;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3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86" w:lineRule="exact"/>
        <w:rPr>
          <w:sz w:val="20"/>
          <w:szCs w:val="20"/>
          <w:color w:val="auto"/>
        </w:rPr>
      </w:pPr>
    </w:p>
    <w:p>
      <w:pPr>
        <w:jc w:val="both"/>
        <w:ind w:right="480"/>
        <w:spacing w:after="0" w:line="294" w:lineRule="auto"/>
        <w:rPr>
          <w:sz w:val="20"/>
          <w:szCs w:val="20"/>
          <w:color w:val="auto"/>
        </w:rPr>
      </w:pPr>
      <w:r>
        <w:rPr>
          <w:rFonts w:ascii="Arial" w:cs="Arial" w:eastAsia="Arial" w:hAnsi="Arial"/>
          <w:sz w:val="16"/>
          <w:szCs w:val="16"/>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07" w:lineRule="exact"/>
        <w:rPr>
          <w:sz w:val="20"/>
          <w:szCs w:val="20"/>
          <w:color w:val="auto"/>
        </w:rPr>
      </w:pPr>
    </w:p>
    <w:p>
      <w:pPr>
        <w:ind w:right="780"/>
        <w:spacing w:after="0" w:line="294" w:lineRule="auto"/>
        <w:rPr>
          <w:sz w:val="20"/>
          <w:szCs w:val="20"/>
          <w:color w:val="auto"/>
        </w:rPr>
      </w:pPr>
      <w:r>
        <w:rPr>
          <w:rFonts w:ascii="Arial" w:cs="Arial" w:eastAsia="Arial" w:hAnsi="Arial"/>
          <w:sz w:val="16"/>
          <w:szCs w:val="16"/>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2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03" w:lineRule="exact"/>
        <w:rPr>
          <w:sz w:val="20"/>
          <w:szCs w:val="20"/>
          <w:color w:val="auto"/>
        </w:rPr>
      </w:pPr>
    </w:p>
    <w:p>
      <w:pPr>
        <w:ind w:right="600"/>
        <w:spacing w:after="0" w:line="274" w:lineRule="auto"/>
        <w:rPr>
          <w:sz w:val="20"/>
          <w:szCs w:val="20"/>
          <w:color w:val="auto"/>
        </w:rPr>
      </w:pPr>
      <w:r>
        <w:rPr>
          <w:rFonts w:ascii="Arial" w:cs="Arial" w:eastAsia="Arial" w:hAnsi="Arial"/>
          <w:sz w:val="16"/>
          <w:szCs w:val="16"/>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96"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expanding usage within organizations. Our business is subscription-based, with monthly and annual subscriptions, and customers are not obligated to and may not renew their subscriptions after their existing subscriptions expire.</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320" w:top="1440" w:right="359" w:bottom="1440" w:gutter="0" w:footer="0" w:header="0"/>
        </w:sectPr>
      </w:pPr>
    </w:p>
    <w:bookmarkStart w:id="40" w:name="page41"/>
    <w:bookmarkEnd w:id="40"/>
    <w:p>
      <w:pPr>
        <w:ind w:right="360"/>
        <w:spacing w:after="0" w:line="294" w:lineRule="auto"/>
        <w:rPr>
          <w:sz w:val="20"/>
          <w:szCs w:val="20"/>
          <w:color w:val="auto"/>
        </w:rPr>
      </w:pPr>
      <w:r>
        <w:rPr>
          <w:rFonts w:ascii="Arial" w:cs="Arial" w:eastAsia="Arial" w:hAnsi="Arial"/>
          <w:sz w:val="16"/>
          <w:szCs w:val="16"/>
          <w:b w:val="1"/>
          <w:bCs w:val="1"/>
          <w:i w:val="1"/>
          <w:iCs w:val="1"/>
          <w:color w:val="auto"/>
        </w:rPr>
        <w:t>We may fail to accurately predict the optimal pricing strategies necessary to attract new customers, retain existing customers and respond to changing market conditions.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0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1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03" w:lineRule="exact"/>
        <w:rPr>
          <w:sz w:val="20"/>
          <w:szCs w:val="20"/>
          <w:color w:val="auto"/>
        </w:rPr>
      </w:pPr>
    </w:p>
    <w:p>
      <w:pPr>
        <w:ind w:right="880"/>
        <w:spacing w:after="0" w:line="294" w:lineRule="auto"/>
        <w:rPr>
          <w:sz w:val="20"/>
          <w:szCs w:val="20"/>
          <w:color w:val="auto"/>
        </w:rPr>
      </w:pPr>
      <w:r>
        <w:rPr>
          <w:rFonts w:ascii="Arial" w:cs="Arial" w:eastAsia="Arial" w:hAnsi="Arial"/>
          <w:sz w:val="16"/>
          <w:szCs w:val="16"/>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81"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face significant competitive challenges from do-it-yourself approaches as well as companies that provide traditional horizontal platform solutions with expense management features, corporate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422" w:right="319" w:bottom="1440" w:gutter="0" w:footer="0" w:header="0"/>
        </w:sectPr>
      </w:pPr>
    </w:p>
    <w:bookmarkStart w:id="41" w:name="page42"/>
    <w:bookmarkEnd w:id="41"/>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successfully and effectively compete with current or future competitors could cause us to lose business and harm our revenue growth, business, results of operations and financial condition.</w:t>
      </w:r>
    </w:p>
    <w:p>
      <w:pPr>
        <w:spacing w:after="0" w:line="8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 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32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11" w:lineRule="exact"/>
        <w:rPr>
          <w:sz w:val="20"/>
          <w:szCs w:val="20"/>
          <w:color w:val="auto"/>
        </w:rPr>
      </w:pPr>
    </w:p>
    <w:p>
      <w:pPr>
        <w:ind w:left="3" w:right="380"/>
        <w:spacing w:after="0" w:line="268" w:lineRule="auto"/>
        <w:rPr>
          <w:sz w:val="20"/>
          <w:szCs w:val="20"/>
          <w:color w:val="auto"/>
        </w:rPr>
      </w:pPr>
      <w:r>
        <w:rPr>
          <w:rFonts w:ascii="Arial" w:cs="Arial" w:eastAsia="Arial" w:hAnsi="Arial"/>
          <w:sz w:val="16"/>
          <w:szCs w:val="16"/>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13" w:lineRule="exact"/>
        <w:rPr>
          <w:sz w:val="20"/>
          <w:szCs w:val="20"/>
          <w:color w:val="auto"/>
        </w:rPr>
      </w:pPr>
    </w:p>
    <w:p>
      <w:pPr>
        <w:ind w:left="283" w:right="84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 restrict, and/or impose taxes or fees on money transmission transactions in, to or from certain countries or with certain governments, individuals, or entities;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impose additional customer identification and customer due diligence requirements;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impose additional reporting or recordkeeping requirements, or require enhanced transaction monitoring;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 the types of entities capable of providing money transmission services, or impose additional licensing or registration requirements;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impose minimum capital or other financial requirements;</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 or restrict the revenue that may be generated from money transmission, including revenue from interest earned on customer funds, transaction fees, and revenue derived from foreign exchange;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enhanced disclosures to our money transmission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the principal amount of money transmission originated in a country to be invested in that country or held in trust until paid;</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 the number or principal amount of money transmission transactions that may be sent to or from a jurisdiction, whether by an individual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3"/>
          </w:cols>
          <w:pgMar w:left="317" w:top="1440" w:right="339" w:bottom="1440" w:gutter="0" w:footer="0" w:header="0"/>
        </w:sectPr>
      </w:pPr>
    </w:p>
    <w:bookmarkStart w:id="44" w:name="page45"/>
    <w:bookmarkEnd w:id="44"/>
    <w:p>
      <w:pPr>
        <w:spacing w:after="0" w:line="2" w:lineRule="exact"/>
        <w:rPr>
          <w:sz w:val="20"/>
          <w:szCs w:val="20"/>
          <w:color w:val="auto"/>
        </w:rPr>
      </w:pPr>
    </w:p>
    <w:p>
      <w:pPr>
        <w:ind w:left="283" w:right="20" w:hanging="283"/>
        <w:spacing w:after="0" w:line="268"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 or limit our ability to process transactions using centralized databases, for example, by requiring that transactions be processed using a database maintained in a particular country or region;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impose other requirements in furtherance of their missions.</w:t>
      </w:r>
    </w:p>
    <w:p>
      <w:pPr>
        <w:spacing w:after="0" w:line="125" w:lineRule="exact"/>
        <w:rPr>
          <w:sz w:val="20"/>
          <w:szCs w:val="20"/>
          <w:color w:val="auto"/>
        </w:rPr>
      </w:pPr>
    </w:p>
    <w:p>
      <w:pPr>
        <w:ind w:left="3" w:right="240"/>
        <w:spacing w:after="0" w:line="294" w:lineRule="auto"/>
        <w:rPr>
          <w:sz w:val="20"/>
          <w:szCs w:val="20"/>
          <w:color w:val="auto"/>
        </w:rPr>
      </w:pPr>
      <w:r>
        <w:rPr>
          <w:rFonts w:ascii="Arial" w:cs="Arial" w:eastAsia="Arial" w:hAnsi="Arial"/>
          <w:sz w:val="16"/>
          <w:szCs w:val="16"/>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9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09"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03" w:lineRule="exact"/>
        <w:rPr>
          <w:sz w:val="20"/>
          <w:szCs w:val="20"/>
          <w:color w:val="auto"/>
        </w:rPr>
      </w:pPr>
    </w:p>
    <w:p>
      <w:pPr>
        <w:ind w:left="3" w:right="80"/>
        <w:spacing w:after="0" w:line="294" w:lineRule="auto"/>
        <w:rPr>
          <w:sz w:val="20"/>
          <w:szCs w:val="20"/>
          <w:color w:val="auto"/>
        </w:rPr>
      </w:pPr>
      <w:r>
        <w:rPr>
          <w:rFonts w:ascii="Arial" w:cs="Arial" w:eastAsia="Arial" w:hAnsi="Arial"/>
          <w:sz w:val="16"/>
          <w:szCs w:val="16"/>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year ended December 31, 2020 and the six months ended June 30, 2021, consideration from this vendor representing monetized Expensify Card activities reduced our cost of revenue by $1.0 million and $1.1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3"/>
          </w:cols>
          <w:pgMar w:left="317" w:top="1440" w:right="339" w:bottom="1440" w:gutter="0" w:footer="0" w:header="0"/>
        </w:sectPr>
      </w:pPr>
    </w:p>
    <w:bookmarkStart w:id="45" w:name="page46"/>
    <w:bookmarkEnd w:id="45"/>
    <w:p>
      <w:pPr>
        <w:ind w:right="160"/>
        <w:spacing w:after="0" w:line="274" w:lineRule="auto"/>
        <w:rPr>
          <w:sz w:val="20"/>
          <w:szCs w:val="20"/>
          <w:color w:val="auto"/>
        </w:rPr>
      </w:pPr>
      <w:r>
        <w:rPr>
          <w:rFonts w:ascii="Arial" w:cs="Arial" w:eastAsia="Arial" w:hAnsi="Arial"/>
          <w:sz w:val="16"/>
          <w:szCs w:val="16"/>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422" w:right="339" w:bottom="1440" w:gutter="0" w:footer="0" w:header="0"/>
        </w:sectPr>
      </w:pPr>
    </w:p>
    <w:bookmarkStart w:id="46" w:name="page47"/>
    <w:bookmarkEnd w:id="46"/>
    <w:p>
      <w:pPr>
        <w:spacing w:after="0" w:line="2"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breaches, including notifying affected subscribers and responding to any resulting litigation, which in turn, diverts resources from the growth and expansion of our business.</w:t>
      </w:r>
    </w:p>
    <w:p>
      <w:pPr>
        <w:spacing w:after="0" w:line="81" w:lineRule="exact"/>
        <w:rPr>
          <w:sz w:val="20"/>
          <w:szCs w:val="20"/>
          <w:color w:val="auto"/>
        </w:rPr>
      </w:pPr>
    </w:p>
    <w:p>
      <w:pPr>
        <w:ind w:left="3" w:right="60"/>
        <w:spacing w:after="0" w:line="294" w:lineRule="auto"/>
        <w:rPr>
          <w:sz w:val="20"/>
          <w:szCs w:val="20"/>
          <w:color w:val="auto"/>
        </w:rPr>
      </w:pPr>
      <w:r>
        <w:rPr>
          <w:rFonts w:ascii="Arial" w:cs="Arial" w:eastAsia="Arial" w:hAnsi="Arial"/>
          <w:sz w:val="16"/>
          <w:szCs w:val="16"/>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expect to continue to make substantial investments and expenditures related to the growth of our business.</w:t>
      </w:r>
    </w:p>
    <w:p>
      <w:pPr>
        <w:spacing w:after="0" w:line="153" w:lineRule="exact"/>
        <w:rPr>
          <w:sz w:val="20"/>
          <w:szCs w:val="20"/>
          <w:color w:val="auto"/>
        </w:rPr>
      </w:pPr>
    </w:p>
    <w:p>
      <w:pPr>
        <w:ind w:left="3" w:right="220"/>
        <w:spacing w:after="0" w:line="258" w:lineRule="auto"/>
        <w:rPr>
          <w:sz w:val="20"/>
          <w:szCs w:val="20"/>
          <w:color w:val="auto"/>
        </w:rPr>
      </w:pPr>
      <w:r>
        <w:rPr>
          <w:rFonts w:ascii="Arial" w:cs="Arial" w:eastAsia="Arial" w:hAnsi="Arial"/>
          <w:sz w:val="16"/>
          <w:szCs w:val="16"/>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22" w:lineRule="exact"/>
        <w:rPr>
          <w:sz w:val="20"/>
          <w:szCs w:val="20"/>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hire new and retain existing employees;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 expand, update and improve our infrastructure;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expand our sales and marketing activities, including to obtain channel partners and to expand our SMB and consumer advertising;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expand our operations across multiple geographies;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operate as a public company;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 for increasing costs associated with our general and administrative organization.</w:t>
      </w:r>
    </w:p>
    <w:p>
      <w:pPr>
        <w:spacing w:after="0" w:line="14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83"/>
          </w:cols>
          <w:pgMar w:left="317" w:top="1440" w:right="399" w:bottom="1440" w:gutter="0" w:footer="0" w:header="0"/>
        </w:sectPr>
      </w:pPr>
    </w:p>
    <w:bookmarkStart w:id="47" w:name="page48"/>
    <w:bookmarkEnd w:id="47"/>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Android, web and desktop. There can be no assurance that this direction will achieve customer acceptance or that we will realize the anticipated return on our investment.</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substantially dependent upon the continued development of the market for, and acceptance of, cloud based software features.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a high-quality customer experience, our business and reputation will suffer.</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2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320" w:top="1440" w:right="359" w:bottom="1440" w:gutter="0" w:footer="0" w:header="0"/>
        </w:sectPr>
      </w:pPr>
    </w:p>
    <w:bookmarkStart w:id="48" w:name="page49"/>
    <w:bookmarkEnd w:id="48"/>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281"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9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1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18"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1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8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effectively manage our growth, our business and results of operations could be harmed.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six months ended June 30, 2020 and June 30, 2021, our revenue has grown from $40.6 million to $ 65.0 million, respectively, but our headcount has remained consistent, with 134 employees as of June 30, 2020 and 140 employees as of June 30,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104"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96"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93"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5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revenue generated from customers outside the United States was $7.6 million (9% of our revenue), $9.0 million (10% of our revenue), $ 4.1 million (10% of our revenue), and $7.1 million (11% of our revenue) for the year ended December 31, 2019, the year ended December 31, 2020, and the six months ended June 30, 2020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21" w:lineRule="exact"/>
        <w:rPr>
          <w:sz w:val="20"/>
          <w:szCs w:val="20"/>
          <w:color w:val="auto"/>
        </w:rPr>
      </w:pPr>
    </w:p>
    <w:p>
      <w:pPr>
        <w:ind w:left="283" w:right="22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need to localize and adapt our platform and features for specific countries, including translation into foreign languages, tax and regulatory updates and associated expenses;</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data privacy laws that impose different and potentially conflicting obligations with respect to how personal data is processed or require that customer data be stored in a designated territory;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more fragmented partner market which proves to be harder for our platform to integrate with;</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3"/>
          </w:cols>
          <w:pgMar w:left="317" w:top="1440" w:right="339" w:bottom="1440" w:gutter="0" w:footer="0" w:header="0"/>
        </w:sectPr>
      </w:pPr>
    </w:p>
    <w:bookmarkStart w:id="51" w:name="page52"/>
    <w:bookmarkEnd w:id="51"/>
    <w:p>
      <w:pPr>
        <w:spacing w:after="0" w:line="2" w:lineRule="exact"/>
        <w:rPr>
          <w:sz w:val="20"/>
          <w:szCs w:val="20"/>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and other delays and difficulties in setting up foreign operations;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different pricing environments, longer accounts receivable payment cycles and collections issues;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144" w:lineRule="exact"/>
        <w:rPr>
          <w:rFonts w:ascii="Arial" w:cs="Arial" w:eastAsia="Arial" w:hAnsi="Arial"/>
          <w:sz w:val="16"/>
          <w:szCs w:val="16"/>
          <w:color w:val="auto"/>
        </w:rPr>
      </w:pPr>
    </w:p>
    <w:p>
      <w:pPr>
        <w:ind w:left="283" w:right="220" w:hanging="283"/>
        <w:spacing w:after="0" w:line="268"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weaker protection for intellectual property and other legal rights than in the United States and practical difficulties in enforcing intellectual property and other rights outside of the United States;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compliance challenges related to the complexity of multiple, conflicting and changing governmental laws and regulations;</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increased financial accounting and reporting burdens and complexities;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potentially adverse tax consequences;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 of and potential outcomes of any claims or litigation;</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future accounting pronouncements and changes in accounting policies;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tax laws or tax regulations;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health or similar issues, such as a pandemic or epidemic;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regional and local economic and political conditions.</w:t>
      </w:r>
    </w:p>
    <w:p>
      <w:pPr>
        <w:spacing w:after="0" w:line="13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face exposure to foreign currency exchange rate fluctuations.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03"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93" w:lineRule="exact"/>
        <w:rPr>
          <w:sz w:val="20"/>
          <w:szCs w:val="20"/>
          <w:color w:val="auto"/>
        </w:rPr>
      </w:pPr>
    </w:p>
    <w:p>
      <w:pPr>
        <w:ind w:left="3" w:right="260"/>
        <w:spacing w:after="0" w:line="261" w:lineRule="auto"/>
        <w:rPr>
          <w:sz w:val="20"/>
          <w:szCs w:val="20"/>
          <w:color w:val="auto"/>
        </w:rPr>
      </w:pPr>
      <w:r>
        <w:rPr>
          <w:rFonts w:ascii="Arial" w:cs="Arial" w:eastAsia="Arial" w:hAnsi="Arial"/>
          <w:sz w:val="16"/>
          <w:szCs w:val="16"/>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3"/>
          </w:cols>
          <w:pgMar w:left="317" w:top="1440" w:right="339" w:bottom="1440" w:gutter="0" w:footer="0" w:header="0"/>
        </w:sectPr>
      </w:pPr>
    </w:p>
    <w:bookmarkStart w:id="52" w:name="page53"/>
    <w:bookmarkEnd w:id="52"/>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violation could materially adversely affect our reputation, business, financial condition and results of operations.</w:t>
      </w:r>
    </w:p>
    <w:p>
      <w:pPr>
        <w:spacing w:after="0" w:line="113"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01" w:lineRule="exact"/>
        <w:rPr>
          <w:sz w:val="20"/>
          <w:szCs w:val="20"/>
          <w:color w:val="auto"/>
        </w:rPr>
      </w:pPr>
    </w:p>
    <w:p>
      <w:pPr>
        <w:ind w:right="860"/>
        <w:spacing w:after="0" w:line="294" w:lineRule="auto"/>
        <w:rPr>
          <w:sz w:val="20"/>
          <w:szCs w:val="20"/>
          <w:color w:val="auto"/>
        </w:rPr>
      </w:pPr>
      <w:r>
        <w:rPr>
          <w:rFonts w:ascii="Arial" w:cs="Arial" w:eastAsia="Arial" w:hAnsi="Arial"/>
          <w:sz w:val="16"/>
          <w:szCs w:val="16"/>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21"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In addition, the use of the Internet as a means of conducting business could be adversely affected due to delays in the development or adoption of new standards and protocols to handle increased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86"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21" w:lineRule="exact"/>
        <w:rPr>
          <w:sz w:val="20"/>
          <w:szCs w:val="20"/>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human error;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security breaches;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telecommunications failures or outages from third-party providers;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computer viruses, malware, vulnerability exploits, or cyber-attacks;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software errors, failures, vulnerabilities or bugs in our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acts of terrorism, sabotage or other intentional acts of vandalism;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unforeseen interruption or damages;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pandemics and epidemics;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tornados, fires, earthquakes, floods and other natural disasters;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power loss.</w:t>
      </w:r>
    </w:p>
    <w:p>
      <w:pPr>
        <w:spacing w:after="0" w:line="133"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3"/>
          </w:cols>
          <w:pgMar w:left="317" w:top="1440" w:right="359" w:bottom="1440" w:gutter="0" w:footer="0" w:header="0"/>
        </w:sectPr>
      </w:pPr>
    </w:p>
    <w:bookmarkStart w:id="57" w:name="page58"/>
    <w:bookmarkEnd w:id="57"/>
    <w:p>
      <w:pPr>
        <w:spacing w:after="0" w:line="2"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recovery plan may not be sufficient to address all aspects or any unanticipated consequence or incidents, and our insurance may not be sufficient to compensate us for the losses that could occur.</w:t>
      </w:r>
    </w:p>
    <w:p>
      <w:pPr>
        <w:spacing w:after="0" w:line="10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96" w:lineRule="exact"/>
        <w:rPr>
          <w:sz w:val="20"/>
          <w:szCs w:val="20"/>
          <w:color w:val="auto"/>
        </w:rPr>
      </w:pPr>
    </w:p>
    <w:p>
      <w:pPr>
        <w:ind w:right="900"/>
        <w:spacing w:after="0" w:line="294" w:lineRule="auto"/>
        <w:rPr>
          <w:sz w:val="20"/>
          <w:szCs w:val="20"/>
          <w:color w:val="auto"/>
        </w:rPr>
      </w:pPr>
      <w:r>
        <w:rPr>
          <w:rFonts w:ascii="Arial" w:cs="Arial" w:eastAsia="Arial" w:hAnsi="Arial"/>
          <w:sz w:val="16"/>
          <w:szCs w:val="16"/>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93" w:lineRule="exact"/>
        <w:rPr>
          <w:sz w:val="20"/>
          <w:szCs w:val="20"/>
          <w:color w:val="auto"/>
        </w:rPr>
      </w:pPr>
    </w:p>
    <w:p>
      <w:pPr>
        <w:jc w:val="both"/>
        <w:ind w:right="320"/>
        <w:spacing w:after="0" w:line="268" w:lineRule="auto"/>
        <w:rPr>
          <w:sz w:val="20"/>
          <w:szCs w:val="20"/>
          <w:color w:val="auto"/>
        </w:rPr>
      </w:pPr>
      <w:r>
        <w:rPr>
          <w:rFonts w:ascii="Arial" w:cs="Arial" w:eastAsia="Arial" w:hAnsi="Arial"/>
          <w:sz w:val="16"/>
          <w:szCs w:val="16"/>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3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86" w:lineRule="exact"/>
        <w:rPr>
          <w:sz w:val="20"/>
          <w:szCs w:val="20"/>
          <w:color w:val="auto"/>
        </w:rPr>
      </w:pPr>
    </w:p>
    <w:p>
      <w:pPr>
        <w:ind w:left="3" w:right="480"/>
        <w:spacing w:after="0" w:line="294" w:lineRule="auto"/>
        <w:rPr>
          <w:sz w:val="20"/>
          <w:szCs w:val="20"/>
          <w:color w:val="auto"/>
        </w:rPr>
      </w:pPr>
      <w:r>
        <w:rPr>
          <w:rFonts w:ascii="Arial" w:cs="Arial" w:eastAsia="Arial" w:hAnsi="Arial"/>
          <w:sz w:val="16"/>
          <w:szCs w:val="16"/>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1" w:lineRule="exact"/>
        <w:rPr>
          <w:sz w:val="20"/>
          <w:szCs w:val="20"/>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discontinues or limits our access to its software or APIs;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modifies its terms of service or other policies, including fees charged to, or other restrictions on us, or other application developers;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how information is accessed by us or our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establishes more favorable relationships with one or more of our competitors;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develops or otherwise favors its own competitive offerings over our platform.</w:t>
      </w:r>
    </w:p>
    <w:p>
      <w:pPr>
        <w:spacing w:after="0" w:line="145" w:lineRule="exact"/>
        <w:rPr>
          <w:sz w:val="20"/>
          <w:szCs w:val="20"/>
          <w:color w:val="auto"/>
        </w:rPr>
      </w:pPr>
    </w:p>
    <w:p>
      <w:pPr>
        <w:ind w:left="3" w:right="100"/>
        <w:spacing w:after="0" w:line="256"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24"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3"/>
          </w:cols>
          <w:pgMar w:left="317" w:top="1440" w:right="339" w:bottom="1440" w:gutter="0" w:footer="0" w:header="0"/>
        </w:sectPr>
      </w:pPr>
    </w:p>
    <w:bookmarkStart w:id="59" w:name="page60"/>
    <w:bookmarkEnd w:id="59"/>
    <w:p>
      <w:pPr>
        <w:ind w:right="120"/>
        <w:spacing w:after="0" w:line="294" w:lineRule="auto"/>
        <w:rPr>
          <w:sz w:val="20"/>
          <w:szCs w:val="20"/>
          <w:color w:val="auto"/>
        </w:rPr>
      </w:pPr>
      <w:r>
        <w:rPr>
          <w:rFonts w:ascii="Arial" w:cs="Arial" w:eastAsia="Arial" w:hAnsi="Arial"/>
          <w:sz w:val="16"/>
          <w:szCs w:val="16"/>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8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2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0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22" w:right="339" w:bottom="1440" w:gutter="0" w:footer="0" w:header="0"/>
        </w:sectPr>
      </w:pPr>
    </w:p>
    <w:bookmarkStart w:id="60" w:name="page61"/>
    <w:bookmarkEnd w:id="60"/>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04"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If we are unable to protect our intellectual property rights, the value of our brand and other intangible assets may be diminished, and our business may be adversely affected.</w:t>
      </w:r>
    </w:p>
    <w:p>
      <w:pPr>
        <w:spacing w:after="0" w:line="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platform without compensating us and negatively affect our business.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320" w:top="1440" w:right="359" w:bottom="1440" w:gutter="0" w:footer="0" w:header="0"/>
        </w:sectPr>
      </w:pPr>
    </w:p>
    <w:bookmarkStart w:id="62" w:name="page63"/>
    <w:bookmarkEnd w:id="62"/>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32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1440" w:right="339" w:bottom="1440" w:gutter="0" w:footer="0" w:header="0"/>
        </w:sectPr>
      </w:pPr>
    </w:p>
    <w:bookmarkStart w:id="63" w:name="page64"/>
    <w:bookmarkEnd w:id="63"/>
    <w:p>
      <w:pPr>
        <w:ind w:right="420"/>
        <w:spacing w:after="0" w:line="294" w:lineRule="auto"/>
        <w:rPr>
          <w:sz w:val="20"/>
          <w:szCs w:val="20"/>
          <w:color w:val="auto"/>
        </w:rPr>
      </w:pPr>
      <w:r>
        <w:rPr>
          <w:rFonts w:ascii="Arial" w:cs="Arial" w:eastAsia="Arial" w:hAnsi="Arial"/>
          <w:sz w:val="16"/>
          <w:szCs w:val="16"/>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2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technology from third parties, and our inability to maintain those licenses could harm our business.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22" w:right="339" w:bottom="1440" w:gutter="0" w:footer="0" w:header="0"/>
        </w:sectPr>
      </w:pPr>
    </w:p>
    <w:bookmarkStart w:id="64" w:name="page65"/>
    <w:bookmarkEnd w:id="64"/>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future litigation against us could be costly and time-consuming to defend.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28" w:lineRule="exact"/>
        <w:rPr>
          <w:sz w:val="20"/>
          <w:szCs w:val="20"/>
          <w:color w:val="auto"/>
        </w:rPr>
      </w:pPr>
    </w:p>
    <w:p>
      <w:pPr>
        <w:jc w:val="both"/>
        <w:ind w:right="480"/>
        <w:spacing w:after="0" w:line="261" w:lineRule="auto"/>
        <w:rPr>
          <w:sz w:val="20"/>
          <w:szCs w:val="20"/>
          <w:color w:val="auto"/>
        </w:rPr>
      </w:pPr>
      <w:r>
        <w:rPr>
          <w:rFonts w:ascii="Arial" w:cs="Arial" w:eastAsia="Arial" w:hAnsi="Arial"/>
          <w:sz w:val="16"/>
          <w:szCs w:val="16"/>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440" w:right="339" w:bottom="1440" w:gutter="0" w:footer="0" w:header="0"/>
        </w:sectPr>
      </w:pPr>
    </w:p>
    <w:bookmarkStart w:id="65" w:name="page66"/>
    <w:bookmarkEnd w:id="65"/>
    <w:p>
      <w:pPr>
        <w:ind w:right="680"/>
        <w:spacing w:after="0" w:line="294" w:lineRule="auto"/>
        <w:rPr>
          <w:sz w:val="20"/>
          <w:szCs w:val="20"/>
          <w:color w:val="auto"/>
        </w:rPr>
      </w:pPr>
      <w:r>
        <w:rPr>
          <w:rFonts w:ascii="Arial" w:cs="Arial" w:eastAsia="Arial" w:hAnsi="Arial"/>
          <w:sz w:val="16"/>
          <w:szCs w:val="16"/>
          <w:b w:val="1"/>
          <w:bCs w:val="1"/>
          <w:i w:val="1"/>
          <w:iCs w:val="1"/>
          <w:color w:val="auto"/>
        </w:rPr>
        <w:t>Our employees, commercial partners and vendors may engage in misconduct or other improper activities, including noncompliance with regulatory standards and requirements.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and we cannot be sure that additional financing will be available.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95"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22" w:right="339" w:bottom="1440" w:gutter="0" w:footer="0" w:header="0"/>
        </w:sectPr>
      </w:pPr>
    </w:p>
    <w:bookmarkStart w:id="66" w:name="page67"/>
    <w:bookmarkEnd w:id="66"/>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 to redeem capital stock, to engage in transactions with affiliates, to encumber our intellectual property and certain other restrictions on our activities.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Our business may be adversely affected by these restrictions on our ability to operate our business.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$8.25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30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14"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31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03"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business and financial performance may differ from any projections that we disclose or any information that may be attributed to us by third parties.</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us. Moreover, we may choose not to provide guidance regarding our projected business or financial performance, which may have an adverse impact on our stock price.</w:t>
      </w:r>
    </w:p>
    <w:p>
      <w:pPr>
        <w:spacing w:after="0" w:line="81"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to offset taxable income or reduce our taxes may be limited.</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potentially adverse tax consequences.</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03" w:lineRule="exact"/>
        <w:rPr>
          <w:sz w:val="20"/>
          <w:szCs w:val="20"/>
          <w:color w:val="auto"/>
        </w:rPr>
      </w:pPr>
    </w:p>
    <w:p>
      <w:pPr>
        <w:ind w:right="720"/>
        <w:spacing w:after="0" w:line="294" w:lineRule="auto"/>
        <w:rPr>
          <w:sz w:val="20"/>
          <w:szCs w:val="20"/>
          <w:color w:val="auto"/>
        </w:rPr>
      </w:pPr>
      <w:r>
        <w:rPr>
          <w:rFonts w:ascii="Arial" w:cs="Arial" w:eastAsia="Arial" w:hAnsi="Arial"/>
          <w:sz w:val="16"/>
          <w:szCs w:val="16"/>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Changes in our effective tax rate or tax liability may adversely affect our operating results.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45" w:lineRule="exact"/>
        <w:rPr>
          <w:sz w:val="20"/>
          <w:szCs w:val="20"/>
          <w:color w:val="auto"/>
        </w:rPr>
      </w:pPr>
    </w:p>
    <w:p>
      <w:pPr>
        <w:ind w:left="283" w:right="40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due to differing statutory tax rates in various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w:t>
      </w:r>
    </w:p>
    <w:p>
      <w:pPr>
        <w:spacing w:after="0" w:line="144" w:lineRule="exact"/>
        <w:rPr>
          <w:rFonts w:ascii="Arial" w:cs="Arial" w:eastAsia="Arial" w:hAnsi="Arial"/>
          <w:sz w:val="16"/>
          <w:szCs w:val="16"/>
          <w:color w:val="auto"/>
        </w:rPr>
      </w:pPr>
    </w:p>
    <w:p>
      <w:pPr>
        <w:ind w:left="283" w:right="52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outcome of future tax audits, examinations, or administrative appeals;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Any of these developments could adversely affect our operating results.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relating to the multiple class structure of our common stock and the Voting Trust Agreement</w:t>
      </w:r>
    </w:p>
    <w:p>
      <w:pPr>
        <w:spacing w:after="0" w:line="132" w:lineRule="exact"/>
        <w:rPr>
          <w:sz w:val="20"/>
          <w:szCs w:val="20"/>
          <w:color w:val="auto"/>
        </w:rPr>
      </w:pPr>
    </w:p>
    <w:p>
      <w:pPr>
        <w:ind w:left="3" w:right="240"/>
        <w:spacing w:after="0" w:line="267" w:lineRule="auto"/>
        <w:rPr>
          <w:sz w:val="20"/>
          <w:szCs w:val="20"/>
          <w:color w:val="auto"/>
        </w:rPr>
      </w:pPr>
      <w:r>
        <w:rPr>
          <w:rFonts w:ascii="Arial" w:cs="Arial" w:eastAsia="Arial" w:hAnsi="Arial"/>
          <w:sz w:val="16"/>
          <w:szCs w:val="16"/>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15"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Each share of our LT10 and LT50 common stock is entitled to 10 and 50 votes per share, respectively, and each share of our Class A common stock, which is the stock offered in this offering, is entitled to one vote per share. Upon the completion of this offering, the Voting Trust is expected to hold approximately 7,332,640 and 6,224,160 shares of LT10 and LT50 common stock, respectively, representing approximately 16.8% of the economic interest and 82.6% of the voting power of outstanding capital stock following the completion of this offering. All decisions with respect to the voting (but not the disposition) of shares held in the Voting Trust from time to time will be made by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3"/>
          </w:cols>
          <w:pgMar w:left="317" w:top="1440" w:right="339" w:bottom="1440" w:gutter="0" w:footer="0" w:header="0"/>
        </w:sectPr>
      </w:pPr>
    </w:p>
    <w:bookmarkStart w:id="70" w:name="page71"/>
    <w:bookmarkEnd w:id="70"/>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actions. Additionally, the Voting Trust and the holders of our LT10 and LT50 common stock may cause us to make strategic decisions or pursue acquisitions that could involve risks to you or may not be aligned with your interests.</w:t>
      </w:r>
    </w:p>
    <w:p>
      <w:pPr>
        <w:spacing w:after="0" w:line="10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are expected to be directors who may also be our employees, and the Executive Committee will initially consist of David Barrett, Ryan Schaffer, Anu Muralidharan, Jason Mills and Daniel Vidal. See “Management—Committees of our board of directors.”</w:t>
      </w:r>
    </w:p>
    <w:p>
      <w:pPr>
        <w:spacing w:after="0" w:line="123"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91" w:lineRule="exact"/>
        <w:rPr>
          <w:sz w:val="20"/>
          <w:szCs w:val="20"/>
          <w:color w:val="auto"/>
        </w:rPr>
      </w:pPr>
    </w:p>
    <w:p>
      <w:pPr>
        <w:jc w:val="both"/>
        <w:ind w:right="60"/>
        <w:spacing w:after="0" w:line="274" w:lineRule="auto"/>
        <w:rPr>
          <w:sz w:val="20"/>
          <w:szCs w:val="20"/>
          <w:color w:val="auto"/>
        </w:rPr>
      </w:pPr>
      <w:r>
        <w:rPr>
          <w:rFonts w:ascii="Arial" w:cs="Arial" w:eastAsia="Arial" w:hAnsi="Arial"/>
          <w:sz w:val="16"/>
          <w:szCs w:val="16"/>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After this offering, the Voting Trust will control a majority of the voting power of our outstanding common stock. As a result, we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2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 protections afforded to stockholders of companies that are subject to all of the corporate governance requirements of Nasdaq .</w:t>
      </w:r>
    </w:p>
    <w:p>
      <w:pPr>
        <w:spacing w:after="0" w:line="86" w:lineRule="exact"/>
        <w:rPr>
          <w:sz w:val="20"/>
          <w:szCs w:val="20"/>
          <w:color w:val="auto"/>
        </w:rPr>
      </w:pPr>
    </w:p>
    <w:p>
      <w:pPr>
        <w:ind w:right="600"/>
        <w:spacing w:after="0" w:line="294" w:lineRule="auto"/>
        <w:rPr>
          <w:sz w:val="20"/>
          <w:szCs w:val="20"/>
          <w:color w:val="auto"/>
        </w:rPr>
      </w:pPr>
      <w:r>
        <w:rPr>
          <w:rFonts w:ascii="Arial" w:cs="Arial" w:eastAsia="Arial" w:hAnsi="Arial"/>
          <w:sz w:val="16"/>
          <w:szCs w:val="16"/>
          <w:b w:val="1"/>
          <w:bCs w:val="1"/>
          <w:i w:val="1"/>
          <w:iCs w:val="1"/>
          <w:color w:val="auto"/>
        </w:rPr>
        <w:t>The multiple class structure of our common stock features certain provisions that are novel or uncommon among other corporations with multiple class structures.</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A number of provisions relating to the multiple class structure of our common stock are novel or uncommon among other corporations with multiple class structures. For example, whenever a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91"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We cannot predict the impact our capital structure, governance structure, and the concentrated control by the Voting Trust may have on our stock price or business.</w:t>
      </w:r>
    </w:p>
    <w:p>
      <w:pPr>
        <w:spacing w:after="0" w:line="93" w:lineRule="exact"/>
        <w:rPr>
          <w:sz w:val="20"/>
          <w:szCs w:val="20"/>
          <w:color w:val="auto"/>
        </w:rPr>
      </w:pPr>
    </w:p>
    <w:p>
      <w:pPr>
        <w:ind w:left="3" w:right="80"/>
        <w:spacing w:after="0" w:line="255" w:lineRule="auto"/>
        <w:rPr>
          <w:sz w:val="20"/>
          <w:szCs w:val="20"/>
          <w:color w:val="auto"/>
        </w:rPr>
      </w:pPr>
      <w:r>
        <w:rPr>
          <w:rFonts w:ascii="Arial" w:cs="Arial" w:eastAsia="Arial" w:hAnsi="Arial"/>
          <w:sz w:val="16"/>
          <w:szCs w:val="16"/>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this offering and ownership of our Class A common stock</w:t>
      </w:r>
    </w:p>
    <w:p>
      <w:pPr>
        <w:spacing w:after="0" w:line="132" w:lineRule="exact"/>
        <w:rPr>
          <w:sz w:val="20"/>
          <w:szCs w:val="20"/>
          <w:color w:val="auto"/>
        </w:rPr>
      </w:pPr>
    </w:p>
    <w:p>
      <w:pPr>
        <w:ind w:left="3" w:right="320"/>
        <w:spacing w:after="0" w:line="294" w:lineRule="auto"/>
        <w:rPr>
          <w:sz w:val="20"/>
          <w:szCs w:val="20"/>
          <w:color w:val="auto"/>
        </w:rPr>
      </w:pPr>
      <w:r>
        <w:rPr>
          <w:rFonts w:ascii="Arial" w:cs="Arial" w:eastAsia="Arial" w:hAnsi="Arial"/>
          <w:sz w:val="16"/>
          <w:szCs w:val="16"/>
          <w:b w:val="1"/>
          <w:bCs w:val="1"/>
          <w:i w:val="1"/>
          <w:iCs w:val="1"/>
          <w:color w:val="auto"/>
        </w:rPr>
        <w:t>No public market for our Class A common stock currently exists, and an active trading market may not develop or be sustained following this offering.</w:t>
      </w:r>
    </w:p>
    <w:p>
      <w:pPr>
        <w:spacing w:after="0" w:line="93"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Prior to this offering, there has been no public market for our Class A common stock. Although we have applied to have our Class A common stock listed on Nasdaq,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21"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Further, we currently anticipate that up to 2% of the shares of Class A common stock offered hereby will, at our request, be offered to retail investors through Robinhood Financial, LLC, as a selling group member, via its online brokerage platform. There may be risks associated with the use of the Robinhood platform that we cannot foresee, including risks related to the technology and operation of the platform, and the publicity and the use of social media by users of the platform that we cannot control.</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share price may be volatile, and you may be unable to sell your shares at or above the offering price.</w:t>
      </w:r>
    </w:p>
    <w:p>
      <w:pPr>
        <w:spacing w:after="0" w:line="165"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market price of our Class A common stock is likely to be volatile and could be subject to wide fluctuations in response to the risk factors described in this prospectus, and others beyond our control, including:</w:t>
      </w:r>
    </w:p>
    <w:p>
      <w:pPr>
        <w:spacing w:after="0" w:line="113" w:lineRule="exact"/>
        <w:rPr>
          <w:sz w:val="20"/>
          <w:szCs w:val="20"/>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impact of the COVID-19 pandemic and the end of the COVID-19 pandemic;</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3"/>
          </w:cols>
          <w:pgMar w:left="317" w:top="1440" w:right="339" w:bottom="1440" w:gutter="0" w:footer="0" w:header="0"/>
        </w:sectPr>
      </w:pPr>
    </w:p>
    <w:bookmarkStart w:id="72" w:name="page73"/>
    <w:bookmarkEnd w:id="72"/>
    <w:p>
      <w:pPr>
        <w:spacing w:after="0" w:line="2" w:lineRule="exact"/>
        <w:rPr>
          <w:sz w:val="20"/>
          <w:szCs w:val="20"/>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actual or anticipated operating performance and the operating performance of our competitors;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the financial projections we provide to the public or our failure to meet these projections;</w:t>
      </w:r>
    </w:p>
    <w:p>
      <w:pPr>
        <w:spacing w:after="0" w:line="144" w:lineRule="exact"/>
        <w:rPr>
          <w:rFonts w:ascii="Arial" w:cs="Arial" w:eastAsia="Arial" w:hAnsi="Arial"/>
          <w:sz w:val="16"/>
          <w:szCs w:val="16"/>
          <w:color w:val="auto"/>
        </w:rPr>
      </w:pPr>
    </w:p>
    <w:p>
      <w:pPr>
        <w:ind w:left="283" w:right="120" w:hanging="283"/>
        <w:spacing w:after="0" w:line="268" w:lineRule="auto"/>
        <w:tabs>
          <w:tab w:leader="none" w:pos="278"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major change in our board of directors, management, or key personnel;</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economy as a whole in the United States and internationally, and market conditions in our industry;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3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innovations, new products, services, features, integrations, or capabilities, acquisitions, strategic investments, partnerships, joint ventures, or capital commitments;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legal and regulatory landscape and changes in the application of existing laws or adoption of new laws that impact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legal and regulatory claims, litigation, or pre-litigation disputes and other proceedings;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our capital structure;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or expected sales of our Class A common stock by us, our officers, directors, principal stockholders and employees.</w:t>
      </w:r>
    </w:p>
    <w:p>
      <w:pPr>
        <w:spacing w:after="0" w:line="133"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Future sales of our Class A common stock in the public market could cause our share price to fall.</w:t>
      </w:r>
    </w:p>
    <w:p>
      <w:pPr>
        <w:spacing w:after="0" w:line="165" w:lineRule="exact"/>
        <w:rPr>
          <w:sz w:val="20"/>
          <w:szCs w:val="20"/>
          <w:color w:val="auto"/>
        </w:rPr>
      </w:pPr>
    </w:p>
    <w:p>
      <w:pPr>
        <w:ind w:left="3" w:right="140"/>
        <w:spacing w:after="0" w:line="258" w:lineRule="auto"/>
        <w:rPr>
          <w:sz w:val="20"/>
          <w:szCs w:val="20"/>
          <w:color w:val="auto"/>
        </w:rPr>
      </w:pPr>
      <w:r>
        <w:rPr>
          <w:rFonts w:ascii="Arial" w:cs="Arial" w:eastAsia="Arial" w:hAnsi="Arial"/>
          <w:sz w:val="16"/>
          <w:szCs w:val="16"/>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 raise capital through the sale of additional equity securities. Upon the completion of this offering, we will have 67,347,706 shares of Class A common stock outstanding, approximately 7,332,640 shares of LT10 common stock outstanding and approximately 6,224,160 shares of LT50 common stock outstanding.</w:t>
      </w:r>
    </w:p>
    <w:p>
      <w:pPr>
        <w:spacing w:after="0" w:line="110"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earlier termination as described under "Shares eligible for future sale—Lock-up agreements and other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3"/>
          </w:cols>
          <w:pgMar w:left="317" w:top="1440" w:right="359" w:bottom="1440" w:gutter="0" w:footer="0" w:header="0"/>
        </w:sectPr>
      </w:pPr>
    </w:p>
    <w:bookmarkStart w:id="73" w:name="page74"/>
    <w:bookmarkEnd w:id="73"/>
    <w:p>
      <w:pPr>
        <w:spacing w:after="0" w:line="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These lock-up agreements limit the number of shares of capital stock that may be sold immediately following this offering. Subject to certain limitations, approximately 64,739,010 shares of Class A common stock will become eligible for sale upon expiration of the 180-day lock-up period, or earlier, subject to earlier termination as described above. J.P. Morgan Securities LLC may, in their sole discretion, permit our stockholders who are subject to these lock-up agreements to sell shares prior to the expiration of the lock-up agreements. Our amended and restated certificate of incorporation imposes additional transfer restrictions on shares of our LT10 and LT50 common stock, as described under "Description of capital stock."</w:t>
      </w:r>
    </w:p>
    <w:p>
      <w:pPr>
        <w:spacing w:after="0" w:line="111"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13"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In addition, there were 8,565,230 shares of Class A common stock issuable upon the exercise of options outstanding as of June 30, 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22"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interest rates may cause the market price of our Class A common stock to decline.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98"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Our management has broad discretion in the use of the net proceeds received by us from this offering and may not use the net proceeds effectively.</w:t>
      </w:r>
    </w:p>
    <w:p>
      <w:pPr>
        <w:spacing w:after="0" w:line="8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440" w:right="339" w:bottom="1440" w:gutter="0" w:footer="0" w:header="0"/>
        </w:sectPr>
      </w:pPr>
    </w:p>
    <w:bookmarkStart w:id="74" w:name="page75"/>
    <w:bookmarkEnd w:id="74"/>
    <w:p>
      <w:pPr>
        <w:ind w:left="3"/>
        <w:spacing w:after="0"/>
        <w:rPr>
          <w:sz w:val="20"/>
          <w:szCs w:val="20"/>
          <w:color w:val="auto"/>
        </w:rPr>
      </w:pPr>
      <w:r>
        <w:rPr>
          <w:rFonts w:ascii="Arial" w:cs="Arial" w:eastAsia="Arial" w:hAnsi="Arial"/>
          <w:sz w:val="16"/>
          <w:szCs w:val="16"/>
          <w:b w:val="1"/>
          <w:bCs w:val="1"/>
          <w:i w:val="1"/>
          <w:iCs w:val="1"/>
          <w:color w:val="auto"/>
        </w:rPr>
        <w:t>If you purchase shares of our Class A common stock in this offering, you will incur immediate and substantial dilution.</w:t>
      </w:r>
    </w:p>
    <w:p>
      <w:pPr>
        <w:spacing w:after="0" w:line="153"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offering price of our Class A common stock is substantially higher than the net tangible book value per share of our Class A common stock, which was $0.66 per share of our Class A common stock as of June 30,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101" w:lineRule="exact"/>
        <w:rPr>
          <w:sz w:val="20"/>
          <w:szCs w:val="20"/>
          <w:color w:val="auto"/>
        </w:rPr>
      </w:pPr>
    </w:p>
    <w:p>
      <w:pPr>
        <w:ind w:left="3" w:right="400"/>
        <w:spacing w:after="0" w:line="274" w:lineRule="auto"/>
        <w:rPr>
          <w:sz w:val="20"/>
          <w:szCs w:val="20"/>
          <w:color w:val="auto"/>
        </w:rPr>
      </w:pPr>
      <w:r>
        <w:rPr>
          <w:rFonts w:ascii="Arial" w:cs="Arial" w:eastAsia="Arial" w:hAnsi="Arial"/>
          <w:sz w:val="16"/>
          <w:szCs w:val="16"/>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08"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may issue additional securities following the completion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89" w:lineRule="exact"/>
        <w:rPr>
          <w:sz w:val="20"/>
          <w:szCs w:val="20"/>
          <w:color w:val="auto"/>
        </w:rPr>
      </w:pPr>
    </w:p>
    <w:p>
      <w:pPr>
        <w:ind w:left="3" w:right="620"/>
        <w:spacing w:after="0" w:line="294" w:lineRule="auto"/>
        <w:rPr>
          <w:sz w:val="20"/>
          <w:szCs w:val="20"/>
          <w:color w:val="auto"/>
        </w:rPr>
      </w:pPr>
      <w:r>
        <w:rPr>
          <w:rFonts w:ascii="Arial" w:cs="Arial" w:eastAsia="Arial" w:hAnsi="Arial"/>
          <w:sz w:val="16"/>
          <w:szCs w:val="16"/>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93"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pacing w:after="0" w:line="118" w:lineRule="exact"/>
        <w:rPr>
          <w:sz w:val="20"/>
          <w:szCs w:val="20"/>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our common stock;</w:t>
      </w:r>
    </w:p>
    <w:p>
      <w:pPr>
        <w:spacing w:after="0" w:line="132" w:lineRule="exact"/>
        <w:rPr>
          <w:rFonts w:ascii="Arial" w:cs="Arial" w:eastAsia="Arial" w:hAnsi="Arial"/>
          <w:sz w:val="16"/>
          <w:szCs w:val="16"/>
          <w:color w:val="auto"/>
        </w:rPr>
      </w:pPr>
    </w:p>
    <w:p>
      <w:pPr>
        <w:ind w:left="283" w:right="340" w:hanging="283"/>
        <w:spacing w:after="0" w:line="268" w:lineRule="auto"/>
        <w:tabs>
          <w:tab w:leader="none" w:pos="2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eliminating the ability of our stockholders to take action by consent in lieu of a meeting following the date on which the Voting Trust holds less than a majority of the voting power of our outstanding capital stock;</w:t>
      </w:r>
    </w:p>
    <w:p>
      <w:pPr>
        <w:spacing w:after="0" w:line="112" w:lineRule="exact"/>
        <w:rPr>
          <w:rFonts w:ascii="Arial" w:cs="Arial" w:eastAsia="Arial" w:hAnsi="Arial"/>
          <w:sz w:val="16"/>
          <w:szCs w:val="16"/>
          <w:color w:val="auto"/>
        </w:rPr>
      </w:pPr>
    </w:p>
    <w:p>
      <w:pPr>
        <w:ind w:left="283" w:right="240" w:hanging="283"/>
        <w:spacing w:after="0" w:line="268" w:lineRule="auto"/>
        <w:tabs>
          <w:tab w:leader="none" w:pos="2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w:t>
      </w:r>
    </w:p>
    <w:p>
      <w:pPr>
        <w:spacing w:after="0" w:line="11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maintaining our current multi-class structure;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3"/>
          </w:cols>
          <w:pgMar w:left="317" w:top="1422" w:right="339" w:bottom="1440" w:gutter="0" w:footer="0" w:header="0"/>
        </w:sectPr>
      </w:pPr>
    </w:p>
    <w:bookmarkStart w:id="75" w:name="page76"/>
    <w:bookmarkEnd w:id="75"/>
    <w:p>
      <w:pPr>
        <w:spacing w:after="0" w:line="2"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06"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 For more information, see the section titled "Description of capital stock—Anti-takeover provisions."</w:t>
      </w:r>
    </w:p>
    <w:p>
      <w:pPr>
        <w:spacing w:after="0" w:line="102" w:lineRule="exact"/>
        <w:rPr>
          <w:sz w:val="20"/>
          <w:szCs w:val="20"/>
          <w:color w:val="auto"/>
        </w:rPr>
      </w:pPr>
    </w:p>
    <w:p>
      <w:pPr>
        <w:ind w:left="3" w:right="260"/>
        <w:spacing w:after="0" w:line="294"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Our amended and restated bylaws, which will become effective immediately prior to the effectiveness of the registration statement on Form S-1, of which this prospectus is a part, provide that we will indemnify our directors and officers, in each case to the fullest extent permitted by Delaware law.</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13" w:lineRule="exact"/>
        <w:rPr>
          <w:sz w:val="20"/>
          <w:szCs w:val="20"/>
          <w:color w:val="auto"/>
        </w:rPr>
      </w:pPr>
    </w:p>
    <w:p>
      <w:pPr>
        <w:ind w:left="283" w:right="60" w:hanging="283"/>
        <w:spacing w:after="0" w:line="25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2"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3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2"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101"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93" w:lineRule="exact"/>
        <w:rPr>
          <w:sz w:val="20"/>
          <w:szCs w:val="20"/>
          <w:color w:val="auto"/>
        </w:rPr>
      </w:pPr>
    </w:p>
    <w:p>
      <w:pPr>
        <w:ind w:left="3" w:right="100"/>
        <w:spacing w:after="0" w:line="267"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15"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(or, if such court does not have subject matter jurisdiction thereof, the federal district court of the State of Delaware)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3"/>
          </w:cols>
          <w:pgMar w:left="317" w:top="1440" w:right="339" w:bottom="1440" w:gutter="0" w:footer="0" w:header="0"/>
        </w:sectPr>
      </w:pPr>
    </w:p>
    <w:bookmarkStart w:id="76" w:name="page77"/>
    <w:bookmarkEnd w:id="76"/>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0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1440" w:right="339" w:bottom="1440" w:gutter="0" w:footer="0" w:header="0"/>
        </w:sectPr>
      </w:pPr>
    </w:p>
    <w:bookmarkStart w:id="77" w:name="page78"/>
    <w:bookmarkEnd w:id="77"/>
    <w:p>
      <w:pPr>
        <w:ind w:right="18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31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unfavorable research about our business, our stock price and trading volume could decline.</w:t>
      </w:r>
    </w:p>
    <w:p>
      <w:pPr>
        <w:spacing w:after="0" w:line="9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422" w:right="339" w:bottom="1440" w:gutter="0" w:footer="0" w:header="0"/>
        </w:sectPr>
      </w:pPr>
    </w:p>
    <w:bookmarkStart w:id="78" w:name="page79"/>
    <w:bookmarkEnd w:id="78"/>
    <w:p>
      <w:pPr>
        <w:ind w:left="3"/>
        <w:spacing w:after="0"/>
        <w:rPr>
          <w:sz w:val="20"/>
          <w:szCs w:val="20"/>
          <w:color w:val="auto"/>
        </w:rPr>
      </w:pPr>
      <w:r>
        <w:rPr>
          <w:rFonts w:ascii="Arial" w:cs="Arial" w:eastAsia="Arial" w:hAnsi="Arial"/>
          <w:sz w:val="26"/>
          <w:szCs w:val="26"/>
          <w:b w:val="1"/>
          <w:bCs w:val="1"/>
          <w:color w:val="auto"/>
        </w:rPr>
        <w:t>Cautionary note regarding forward-looking statements</w:t>
      </w:r>
    </w:p>
    <w:p>
      <w:pPr>
        <w:spacing w:after="0" w:line="296"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24" w:lineRule="exact"/>
        <w:rPr>
          <w:sz w:val="20"/>
          <w:szCs w:val="20"/>
          <w:color w:val="auto"/>
        </w:rPr>
      </w:pPr>
    </w:p>
    <w:p>
      <w:pPr>
        <w:ind w:left="283" w:right="26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effects of the COVID-19 pandemic and the end of the COVID-19 pandemic on our business, results of operations and financial condition, and the global economy generally;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expectations regarding our financial performance and future operating performance;</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attract and retain members, expand usage of our platform, sell subscriptions to our platform and convert individuals and organizations into paying customers;</w:t>
      </w:r>
    </w:p>
    <w:p>
      <w:pPr>
        <w:spacing w:after="0" w:line="11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or by competitors to their products, or any other changes in the competitive landscape of our market;</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that we may incur to maintain and expand our business and operations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sufficiency of our cash, cash equivalents and investments to meet our liquidity needs;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make required payments under and to comply with the various requirements of our current and future indebtedness;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effectively manage our exposure to fluctuations in foreign currency exchange rates;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and the highly competitive markets in which we operate;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expectations regarding our income tax liabilities and the adequacy of our reserves;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effectively manage our growth and expand our infrastructure and maintain our corporate culture;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identify, recruit and retain skilled personnel, including key members of senior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safety, affordability and convenience of our platform and our offerings;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w:t>
      </w:r>
    </w:p>
    <w:p>
      <w:pPr>
        <w:spacing w:after="0" w:line="144"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successfully identify, manage and integrate any existing and potential acquisitions of businesses, talent, technologies or intellectual property;</w:t>
      </w:r>
    </w:p>
    <w:p>
      <w:pPr>
        <w:spacing w:after="0" w:line="112"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03"/>
          </w:cols>
          <w:pgMar w:left="317" w:top="1407" w:right="379" w:bottom="1440" w:gutter="0" w:footer="0" w:header="0"/>
        </w:sectPr>
      </w:pPr>
    </w:p>
    <w:bookmarkStart w:id="79" w:name="page80"/>
    <w:bookmarkEnd w:id="79"/>
    <w:p>
      <w:pPr>
        <w:spacing w:after="0" w:line="2" w:lineRule="exact"/>
        <w:rPr>
          <w:sz w:val="20"/>
          <w:szCs w:val="20"/>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protections against security breaches, technical difficulties, or interruptions to our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intended use of the net proceeds from this offering.</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caution you that the foregoing list does not contain all of the forward-looking statements made in this prospectus.</w:t>
      </w:r>
    </w:p>
    <w:p>
      <w:pPr>
        <w:spacing w:after="0" w:line="13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32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0"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3"/>
          </w:cols>
          <w:pgMar w:left="317" w:top="1440" w:right="339" w:bottom="1440" w:gutter="0" w:footer="0" w:header="0"/>
        </w:sectPr>
      </w:pPr>
    </w:p>
    <w:bookmarkStart w:id="80" w:name="page81"/>
    <w:bookmarkEnd w:id="80"/>
    <w:p>
      <w:pPr>
        <w:spacing w:after="0"/>
        <w:rPr>
          <w:sz w:val="20"/>
          <w:szCs w:val="20"/>
          <w:color w:val="auto"/>
        </w:rPr>
      </w:pPr>
      <w:r>
        <w:rPr>
          <w:rFonts w:ascii="Arial" w:cs="Arial" w:eastAsia="Arial" w:hAnsi="Arial"/>
          <w:sz w:val="26"/>
          <w:szCs w:val="26"/>
          <w:b w:val="1"/>
          <w:bCs w:val="1"/>
          <w:color w:val="auto"/>
        </w:rPr>
        <w:t>Market and industry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407" w:right="339" w:bottom="1440" w:gutter="0" w:footer="0" w:header="0"/>
        </w:sectPr>
      </w:pPr>
    </w:p>
    <w:bookmarkStart w:id="81" w:name="page82"/>
    <w:bookmarkEnd w:id="81"/>
    <w:p>
      <w:pPr>
        <w:spacing w:after="0"/>
        <w:rPr>
          <w:sz w:val="20"/>
          <w:szCs w:val="20"/>
          <w:color w:val="auto"/>
        </w:rPr>
      </w:pPr>
      <w:r>
        <w:rPr>
          <w:rFonts w:ascii="Arial" w:cs="Arial" w:eastAsia="Arial" w:hAnsi="Arial"/>
          <w:sz w:val="26"/>
          <w:szCs w:val="26"/>
          <w:b w:val="1"/>
          <w:bCs w:val="1"/>
          <w:color w:val="auto"/>
        </w:rPr>
        <w:t>Use of proceeds</w:t>
      </w:r>
    </w:p>
    <w:p>
      <w:pPr>
        <w:spacing w:after="0" w:line="296"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estimate that the net proceeds to us from this offering will be approximately $56.9 million, based upon an assumed initial public offering price of $26.00 per share, which is the midpoint of the price range set forth on the cover page of this prospectus, and after deducting underwriting discounts and commissions and estimated offering expenses payable by us. We will not receive proceeds from the sale of Class A common stock sold by the selling stockholders in this offering.</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Each $1.00 increase or decrease in the assumed initial public offering price per share of $26.00, which is the midpoint of the price range set forth on the cover page of this prospectus, would increase or decrease, as applicable, the net proceeds to us from this offering by approximately $2.4 million, assuming the number of shares of Class A common stock offered by us, as set forth on the cover page of this prospectus, remains the same and after deducting underwriting discounts and commissions and estimated offering expenses payable by us. Similarly, each 1.0 million share increase or decrease, as applicable, in the number of shares of Class A common stock offered by us in this offering would increase or decrease the net proceeds to us from this offering by approximately $24.2 million, assuming that the initial public offering price per share remains at $26.00, which is the midpoint of the price range set forth on the cover page of this prospectus, and after deducting underwriting discounts and commissions and estimated offering expenses payable by us.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purposes of this offering are to increase our capitalization and financial flexibility and to create a public market for our common stock.</w:t>
      </w:r>
    </w:p>
    <w:p>
      <w:pPr>
        <w:spacing w:after="0" w:line="145"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w:t>
      </w:r>
    </w:p>
    <w:p>
      <w:pPr>
        <w:spacing w:after="0" w:line="113"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We also intend on using a portion of the net proceeds we receive from this offering to pay discretionary cash bonuses to our employees during the fourth quarter of the year ended December 31, 2021, in an amount currently estimated to range from $ 27.5 million to $32.2 million (as described under "Management's discussion and analysis of financial condition and results of operations—Critical accounting policies and estimates—Cash bonuses").</w:t>
      </w:r>
    </w:p>
    <w:p>
      <w:pPr>
        <w:spacing w:after="0" w:line="1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407" w:right="339" w:bottom="1440" w:gutter="0" w:footer="0" w:header="0"/>
        </w:sectPr>
      </w:pPr>
    </w:p>
    <w:bookmarkStart w:id="82" w:name="page83"/>
    <w:bookmarkEnd w:id="82"/>
    <w:p>
      <w:pPr>
        <w:ind w:left="3"/>
        <w:spacing w:after="0"/>
        <w:rPr>
          <w:sz w:val="20"/>
          <w:szCs w:val="20"/>
          <w:color w:val="auto"/>
        </w:rPr>
      </w:pPr>
      <w:r>
        <w:rPr>
          <w:rFonts w:ascii="Arial" w:cs="Arial" w:eastAsia="Arial" w:hAnsi="Arial"/>
          <w:sz w:val="26"/>
          <w:szCs w:val="26"/>
          <w:b w:val="1"/>
          <w:bCs w:val="1"/>
          <w:color w:val="auto"/>
        </w:rPr>
        <w:t>Capitalization</w:t>
      </w:r>
    </w:p>
    <w:p>
      <w:pPr>
        <w:spacing w:after="0" w:line="29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cash and cash equivalents and capitalization as of June 30, 2021:</w:t>
      </w:r>
    </w:p>
    <w:p>
      <w:pPr>
        <w:spacing w:after="0" w:line="145" w:lineRule="exact"/>
        <w:rPr>
          <w:sz w:val="20"/>
          <w:szCs w:val="20"/>
          <w:color w:val="auto"/>
        </w:rPr>
      </w:pPr>
    </w:p>
    <w:p>
      <w:pPr>
        <w:ind w:left="283" w:hanging="283"/>
        <w:spacing w:after="0"/>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32" w:lineRule="exact"/>
        <w:rPr>
          <w:rFonts w:ascii="Arial" w:cs="Arial" w:eastAsia="Arial" w:hAnsi="Arial"/>
          <w:sz w:val="16"/>
          <w:szCs w:val="16"/>
          <w:color w:val="auto"/>
        </w:rPr>
      </w:pPr>
    </w:p>
    <w:p>
      <w:pPr>
        <w:ind w:left="283" w:right="100" w:hanging="283"/>
        <w:spacing w:after="0" w:line="256"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basis, giving effect to (i) the automatic conversion of all outstanding shares of our convertible preferred stock into an aggregate of 42,031,390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 (iii) the completion of the Exchange Offer, pursuant to which an aggregate of 13,556,800 shares of our Class A common stock will be exchanged for 7,332,640 and 6,224,160 newly issued shares of our LT10 and LT50 common stock, respectively; (iv) the exercise of 1,483,900 outstanding stock options pursuant to the Option Exercise, which will occur prior to the completion of the Exchange Offer; and (v) the filing and effectiveness of our amended and restated certificate of incorporation immediately prior to the completion of this offering; and</w:t>
      </w:r>
    </w:p>
    <w:p>
      <w:pPr>
        <w:spacing w:after="0" w:line="122" w:lineRule="exact"/>
        <w:rPr>
          <w:rFonts w:ascii="Arial" w:cs="Arial" w:eastAsia="Arial" w:hAnsi="Arial"/>
          <w:sz w:val="16"/>
          <w:szCs w:val="16"/>
          <w:color w:val="auto"/>
        </w:rPr>
      </w:pPr>
    </w:p>
    <w:p>
      <w:pPr>
        <w:ind w:left="283" w:right="80" w:hanging="283"/>
        <w:spacing w:after="0" w:line="257"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(i) the pro forma adjustments described above, (ii) the issuance and sale by us of 2,608,696 shares of Class A common stock in this offering at an assumed initial public offering price of $26.00 per share, which is the midpoint of the price range set forth on the cover page of this prospectus, after deducting the underwriting discounts and commissions and estimated offering expenses payable by us, and (iii) the use of approximately $29.9 million of net proceeds, which is the midpoint of the estimated range set forth under "Use of proceeds", to pay discretionary cash bonuses to our employees during the fourth quarter of the year ended December 31, 2021.</w:t>
      </w:r>
    </w:p>
    <w:p>
      <w:pPr>
        <w:spacing w:after="0" w:line="123"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11"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612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As of June 30, 2021</w:t>
            </w:r>
          </w:p>
        </w:tc>
        <w:tc>
          <w:tcPr>
            <w:tcW w:w="2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Pro forma</w:t>
            </w:r>
          </w:p>
        </w:tc>
        <w:tc>
          <w:tcPr>
            <w:tcW w:w="260" w:type="dxa"/>
            <w:vAlign w:val="bottom"/>
          </w:tcPr>
          <w:p>
            <w:pPr>
              <w:spacing w:after="0"/>
              <w:rPr>
                <w:sz w:val="10"/>
                <w:szCs w:val="10"/>
                <w:color w:val="auto"/>
              </w:rPr>
            </w:pPr>
          </w:p>
        </w:tc>
        <w:tc>
          <w:tcPr>
            <w:tcW w:w="1400" w:type="dxa"/>
            <w:vAlign w:val="bottom"/>
          </w:tcPr>
          <w:p>
            <w:pPr>
              <w:jc w:val="right"/>
              <w:ind w:right="364"/>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6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0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44"/>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87"/>
        </w:trPr>
        <w:tc>
          <w:tcPr>
            <w:tcW w:w="6120" w:type="dxa"/>
            <w:vAlign w:val="bottom"/>
            <w:vMerge w:val="continue"/>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73,716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Long-term debt</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20" w:type="dxa"/>
            <w:vAlign w:val="bottom"/>
            <w:vMerge w:val="continue"/>
          </w:tcPr>
          <w:p>
            <w:pPr>
              <w:spacing w:after="0"/>
              <w:rPr>
                <w:sz w:val="15"/>
                <w:szCs w:val="15"/>
                <w:color w:val="auto"/>
              </w:rPr>
            </w:pPr>
          </w:p>
        </w:tc>
        <w:tc>
          <w:tcPr>
            <w:tcW w:w="1040" w:type="dxa"/>
            <w:vAlign w:val="bottom"/>
          </w:tcPr>
          <w:p>
            <w:pPr>
              <w:jc w:val="right"/>
              <w:ind w:right="864"/>
              <w:spacing w:after="0" w:line="176"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29,102</w:t>
            </w:r>
          </w:p>
        </w:tc>
        <w:tc>
          <w:tcPr>
            <w:tcW w:w="1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29,102</w:t>
            </w:r>
          </w:p>
        </w:tc>
        <w:tc>
          <w:tcPr>
            <w:tcW w:w="100" w:type="dxa"/>
            <w:vAlign w:val="bottom"/>
          </w:tcPr>
          <w:p>
            <w:pPr>
              <w:spacing w:after="0"/>
              <w:rPr>
                <w:sz w:val="15"/>
                <w:szCs w:val="15"/>
                <w:color w:val="auto"/>
              </w:rPr>
            </w:pPr>
          </w:p>
        </w:tc>
        <w:tc>
          <w:tcPr>
            <w:tcW w:w="260" w:type="dxa"/>
            <w:vAlign w:val="bottom"/>
          </w:tcPr>
          <w:p>
            <w:pPr>
              <w:jc w:val="right"/>
              <w:ind w:right="79"/>
              <w:spacing w:after="0" w:line="176"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
              <w:spacing w:after="0" w:line="176" w:lineRule="exact"/>
              <w:rPr>
                <w:sz w:val="20"/>
                <w:szCs w:val="20"/>
                <w:color w:val="auto"/>
              </w:rPr>
            </w:pPr>
            <w:r>
              <w:rPr>
                <w:rFonts w:ascii="Arial" w:cs="Arial" w:eastAsia="Arial" w:hAnsi="Arial"/>
                <w:sz w:val="16"/>
                <w:szCs w:val="16"/>
                <w:color w:val="auto"/>
              </w:rPr>
              <w:t>29,102</w:t>
            </w:r>
          </w:p>
        </w:tc>
        <w:tc>
          <w:tcPr>
            <w:tcW w:w="0" w:type="dxa"/>
            <w:vAlign w:val="bottom"/>
          </w:tcPr>
          <w:p>
            <w:pPr>
              <w:spacing w:after="0"/>
              <w:rPr>
                <w:sz w:val="1"/>
                <w:szCs w:val="1"/>
                <w:color w:val="auto"/>
              </w:rPr>
            </w:pPr>
          </w:p>
        </w:tc>
      </w:tr>
      <w:tr>
        <w:trPr>
          <w:trHeight w:val="170"/>
        </w:trPr>
        <w:tc>
          <w:tcPr>
            <w:tcW w:w="612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$0.0001 par value; 4,203,139 shares authorized,</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4,203,139 shares issued and outstanding, actual; no shares authorized, issued,</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outstanding, pro forma and pro forma as adjusted</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12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Preferred stock, $0.0001 par value; no shares authorized, issued and outstanding,</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actual; 10,000,000 shares authorized, no shares issued and outstanding, pro</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forma and pro forma as adjusted</w:t>
            </w:r>
          </w:p>
        </w:tc>
        <w:tc>
          <w:tcPr>
            <w:tcW w:w="10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6120" w:type="dxa"/>
            <w:vAlign w:val="bottom"/>
          </w:tcPr>
          <w:p>
            <w:pPr>
              <w:ind w:left="20"/>
              <w:spacing w:after="0" w:line="170" w:lineRule="exact"/>
              <w:rPr>
                <w:sz w:val="20"/>
                <w:szCs w:val="20"/>
                <w:color w:val="auto"/>
              </w:rPr>
            </w:pPr>
            <w:r>
              <w:rPr>
                <w:rFonts w:ascii="Arial" w:cs="Arial" w:eastAsia="Arial" w:hAnsi="Arial"/>
                <w:sz w:val="16"/>
                <w:szCs w:val="16"/>
                <w:color w:val="auto"/>
              </w:rPr>
              <w:t>Common stock, $0.0001 par value; 95,000,000 shares authorized, 34,780,520</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20" w:type="dxa"/>
            <w:vAlign w:val="bottom"/>
          </w:tcPr>
          <w:p>
            <w:pPr>
              <w:ind w:left="160"/>
              <w:spacing w:after="0" w:line="158" w:lineRule="exact"/>
              <w:rPr>
                <w:sz w:val="20"/>
                <w:szCs w:val="20"/>
                <w:color w:val="auto"/>
              </w:rPr>
            </w:pPr>
            <w:r>
              <w:rPr>
                <w:rFonts w:ascii="Arial" w:cs="Arial" w:eastAsia="Arial" w:hAnsi="Arial"/>
                <w:sz w:val="16"/>
                <w:szCs w:val="16"/>
                <w:color w:val="auto"/>
              </w:rPr>
              <w:t>shares issued and outstanding, actual; no shares authorized, issued, and</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120" w:type="dxa"/>
            <w:vAlign w:val="bottom"/>
          </w:tcPr>
          <w:p>
            <w:pPr>
              <w:ind w:left="160"/>
              <w:spacing w:after="0"/>
              <w:rPr>
                <w:sz w:val="20"/>
                <w:szCs w:val="20"/>
                <w:color w:val="auto"/>
              </w:rPr>
            </w:pPr>
            <w:r>
              <w:rPr>
                <w:rFonts w:ascii="Arial" w:cs="Arial" w:eastAsia="Arial" w:hAnsi="Arial"/>
                <w:sz w:val="16"/>
                <w:szCs w:val="16"/>
                <w:color w:val="auto"/>
              </w:rPr>
              <w:t>outstanding, pro forma and pro forma as adjusted</w:t>
            </w:r>
          </w:p>
        </w:tc>
        <w:tc>
          <w:tcPr>
            <w:tcW w:w="10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63"/>
          </w:cols>
          <w:pgMar w:left="317" w:top="1407" w:right="319" w:bottom="1440" w:gutter="0" w:footer="0" w:header="0"/>
        </w:sectPr>
      </w:pPr>
    </w:p>
    <w:bookmarkStart w:id="83" w:name="page84"/>
    <w:bookmarkEnd w:id="83"/>
    <w:p>
      <w:pPr>
        <w:spacing w:after="0" w:line="13"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 $0.0001 par value; no shares authorized, issued and</w:t>
            </w: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1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actual; 1,000,000,000 shares authorized, 64,739,010 shares issued</w:t>
            </w: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and outstanding, pro forma; 1,000,000,000 shares authorized, 67,347,706 shares</w:t>
            </w: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issued and outstanding, pro forma as adjusted</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6"/>
                <w:szCs w:val="16"/>
                <w:color w:val="auto"/>
              </w:rPr>
              <w:t>LT10 common stock, $0.0001 par value; no shares authorized, issued and</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20" w:type="dxa"/>
            <w:vAlign w:val="bottom"/>
          </w:tcPr>
          <w:p>
            <w:pPr>
              <w:ind w:left="300"/>
              <w:spacing w:after="0"/>
              <w:rPr>
                <w:sz w:val="20"/>
                <w:szCs w:val="20"/>
                <w:color w:val="auto"/>
              </w:rPr>
            </w:pPr>
            <w:r>
              <w:rPr>
                <w:rFonts w:ascii="Arial" w:cs="Arial" w:eastAsia="Arial" w:hAnsi="Arial"/>
                <w:sz w:val="16"/>
                <w:szCs w:val="16"/>
                <w:color w:val="auto"/>
              </w:rPr>
              <w:t>outstanding, actual; 25,000,000 shares authorized, 7,332,640 shares issued and</w:t>
            </w: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20" w:type="dxa"/>
            <w:vAlign w:val="bottom"/>
          </w:tcPr>
          <w:p>
            <w:pPr>
              <w:ind w:left="300"/>
              <w:spacing w:after="0"/>
              <w:rPr>
                <w:sz w:val="20"/>
                <w:szCs w:val="20"/>
                <w:color w:val="auto"/>
              </w:rPr>
            </w:pPr>
            <w:r>
              <w:rPr>
                <w:rFonts w:ascii="Arial" w:cs="Arial" w:eastAsia="Arial" w:hAnsi="Arial"/>
                <w:sz w:val="16"/>
                <w:szCs w:val="16"/>
                <w:color w:val="auto"/>
              </w:rPr>
              <w:t>outstanding, pro forma and pro forma as adjusted</w:t>
            </w:r>
          </w:p>
        </w:tc>
        <w:tc>
          <w:tcPr>
            <w:tcW w:w="560" w:type="dxa"/>
            <w:vAlign w:val="bottom"/>
          </w:tcPr>
          <w:p>
            <w:pPr>
              <w:spacing w:after="0"/>
              <w:rPr>
                <w:sz w:val="16"/>
                <w:szCs w:val="16"/>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6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LT50 common stock, $0.0001 par value; no shares authorized, issued and</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outstanding, actual; 25,000,000 shares authorized, 6,224,160 shares issued and</w:t>
            </w: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outstanding, pro forma and pro forma as adjusted</w:t>
            </w:r>
          </w:p>
        </w:tc>
        <w:tc>
          <w:tcPr>
            <w:tcW w:w="56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6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25,641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72,018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99,033</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Subscriptions receivable</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0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32,584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59,599</w:t>
            </w:r>
          </w:p>
        </w:tc>
        <w:tc>
          <w:tcPr>
            <w:tcW w:w="0" w:type="dxa"/>
            <w:vAlign w:val="bottom"/>
          </w:tcPr>
          <w:p>
            <w:pPr>
              <w:spacing w:after="0"/>
              <w:rPr>
                <w:sz w:val="1"/>
                <w:szCs w:val="1"/>
                <w:color w:val="auto"/>
              </w:rPr>
            </w:pPr>
          </w:p>
        </w:tc>
      </w:tr>
      <w:tr>
        <w:trPr>
          <w:trHeight w:val="199"/>
        </w:trPr>
        <w:tc>
          <w:tcPr>
            <w:tcW w:w="6120" w:type="dxa"/>
            <w:vAlign w:val="bottom"/>
          </w:tcPr>
          <w:p>
            <w:pPr>
              <w:ind w:left="20"/>
              <w:spacing w:after="0"/>
              <w:rPr>
                <w:sz w:val="20"/>
                <w:szCs w:val="20"/>
                <w:color w:val="auto"/>
              </w:rPr>
            </w:pPr>
            <w:r>
              <w:rPr>
                <w:rFonts w:ascii="Arial" w:cs="Arial" w:eastAsia="Arial" w:hAnsi="Arial"/>
                <w:sz w:val="16"/>
                <w:szCs w:val="16"/>
                <w:color w:val="auto"/>
              </w:rPr>
              <w:t>Total capitalization</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60,414</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61,686</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88,701</w:t>
            </w:r>
          </w:p>
        </w:tc>
        <w:tc>
          <w:tcPr>
            <w:tcW w:w="0" w:type="dxa"/>
            <w:vAlign w:val="bottom"/>
          </w:tcPr>
          <w:p>
            <w:pPr>
              <w:spacing w:after="0"/>
              <w:rPr>
                <w:sz w:val="1"/>
                <w:szCs w:val="1"/>
                <w:color w:val="auto"/>
              </w:rPr>
            </w:pPr>
          </w:p>
        </w:tc>
      </w:tr>
      <w:tr>
        <w:trPr>
          <w:trHeight w:val="29"/>
        </w:trPr>
        <w:tc>
          <w:tcPr>
            <w:tcW w:w="6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3" w:right="180" w:hanging="283"/>
        <w:spacing w:after="0" w:line="256" w:lineRule="auto"/>
        <w:tabs>
          <w:tab w:leader="none" w:pos="273" w:val="left"/>
        </w:tabs>
        <w:numPr>
          <w:ilvl w:val="0"/>
          <w:numId w:val="45"/>
        </w:numPr>
        <w:rPr>
          <w:rFonts w:ascii="Arial" w:cs="Arial" w:eastAsia="Arial" w:hAnsi="Arial"/>
          <w:sz w:val="12"/>
          <w:szCs w:val="12"/>
          <w:color w:val="auto"/>
        </w:rPr>
      </w:pPr>
      <w:r>
        <w:rPr>
          <w:rFonts w:ascii="Arial" w:cs="Arial" w:eastAsia="Arial" w:hAnsi="Arial"/>
          <w:sz w:val="12"/>
          <w:szCs w:val="12"/>
          <w:color w:val="auto"/>
        </w:rPr>
        <w:t>Each $1.00 increase or decrease in the assumed initial public offering price per share of $26.00, which is the midpoint of the price range set forth on the cover page of this prospectus, would increase or decrease, as applicable, each of cash and cash equivalents, additional paid-in capital, total stockholders’ equity (deficit) and total capitalization on a pro forma as adjusted basis by approximately $2.4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 or decrease, as applicable, each of cash and cash equivalents, additional paid-in capital, total stockholders’ equity (deficit) and total capitalization on a pro forma as adjusted basis by approximately $24.2 million, assuming that the initial public offering price per share remains at $26.00, which is the midpoint of the price range set forth on the cover page of this prospectus, and after deducting underwriting discounts and commissions and estimated offering expenses payable by us.</w:t>
      </w:r>
    </w:p>
    <w:p>
      <w:pPr>
        <w:spacing w:after="0" w:line="126" w:lineRule="exact"/>
        <w:rPr>
          <w:sz w:val="20"/>
          <w:szCs w:val="20"/>
          <w:color w:val="auto"/>
        </w:rPr>
      </w:pPr>
    </w:p>
    <w:p>
      <w:pPr>
        <w:jc w:val="both"/>
        <w:ind w:left="3" w:right="60"/>
        <w:spacing w:after="0" w:line="268"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 76,811,910 shares of Class A Common Stock (including all shares of our convertible preferred stock on an as-converted basis) outstanding as of June 30, 2021, and excludes:</w:t>
      </w:r>
    </w:p>
    <w:p>
      <w:pPr>
        <w:spacing w:after="0" w:line="113" w:lineRule="exact"/>
        <w:rPr>
          <w:sz w:val="20"/>
          <w:szCs w:val="20"/>
          <w:color w:val="auto"/>
        </w:rPr>
      </w:pPr>
    </w:p>
    <w:p>
      <w:pPr>
        <w:ind w:left="283" w:right="20" w:hanging="283"/>
        <w:spacing w:after="0" w:line="261"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06"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2,662,470 shares of common stock issuable upon exercise of outstanding stock options as of June 30, 2021 granted under our 2009 Plan, with a weighted-average exercise price of $0.27 per share;</w:t>
      </w:r>
    </w:p>
    <w:p>
      <w:pPr>
        <w:spacing w:after="0" w:line="112"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5,902,760 shares of common stock issuable upon exercise of outstanding stock options as of June 30, 2021 granted under our 2019 Plan, with a weighted-average exercise price of $1.71 per share;</w:t>
      </w:r>
    </w:p>
    <w:p>
      <w:pPr>
        <w:spacing w:after="0" w:line="112"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223,400 shares of common stock issuable upon exercise of outstanding stock options granted subsequent to June 30, 2021 under our 2019 Plan, with a weighted-average exercise price of $12.97 per share;</w:t>
      </w:r>
    </w:p>
    <w:p>
      <w:pPr>
        <w:spacing w:after="0" w:line="100" w:lineRule="exact"/>
        <w:rPr>
          <w:rFonts w:ascii="Arial" w:cs="Arial" w:eastAsia="Arial" w:hAnsi="Arial"/>
          <w:sz w:val="16"/>
          <w:szCs w:val="16"/>
          <w:color w:val="auto"/>
        </w:rPr>
      </w:pPr>
    </w:p>
    <w:p>
      <w:pPr>
        <w:ind w:left="283" w:right="46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11,676,932 shares of Class A common stock reserved for future issuance under our 2021 Incentive Award Plan and 2021 Non-Qualified Employee Stock Purchase and Matching Plan; and</w:t>
      </w:r>
    </w:p>
    <w:p>
      <w:pPr>
        <w:spacing w:after="0" w:line="112"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4,339,690 and 4,339,690 shares of Class A and LT50 common stock, respectively, issuable upon the vesting of RSUs granted by our board of directors subsequent to June 30, 2021 under our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3"/>
          </w:cols>
          <w:pgMar w:left="317" w:top="1440" w:right="319" w:bottom="1440" w:gutter="0" w:footer="0" w:header="0"/>
        </w:sectPr>
      </w:pPr>
    </w:p>
    <w:bookmarkStart w:id="84" w:name="page85"/>
    <w:bookmarkEnd w:id="84"/>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which will be effective immediately prior to the effectiveness of the registration on Form S-1, of which this prospectus is a part.</w:t>
      </w:r>
    </w:p>
    <w:p>
      <w:pPr>
        <w:sectPr>
          <w:pgSz w:w="11900" w:h="16838" w:orient="portrait"/>
          <w:cols w:equalWidth="0" w:num="1">
            <w:col w:w="9859"/>
          </w:cols>
          <w:pgMar w:left="6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859"/>
          </w:cols>
          <w:pgMar w:left="600" w:top="1440"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26"/>
          <w:szCs w:val="26"/>
          <w:b w:val="1"/>
          <w:bCs w:val="1"/>
          <w:color w:val="auto"/>
        </w:rPr>
        <w:t>Dividend policy</w:t>
      </w:r>
    </w:p>
    <w:p>
      <w:pPr>
        <w:spacing w:after="0" w:line="2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23" w:lineRule="exact"/>
        <w:rPr>
          <w:sz w:val="20"/>
          <w:szCs w:val="20"/>
          <w:color w:val="auto"/>
        </w:rPr>
      </w:pPr>
    </w:p>
    <w:p>
      <w:pPr>
        <w:jc w:val="both"/>
        <w:ind w:right="280"/>
        <w:spacing w:after="0" w:line="261" w:lineRule="auto"/>
        <w:rPr>
          <w:sz w:val="20"/>
          <w:szCs w:val="20"/>
          <w:color w:val="auto"/>
        </w:rPr>
      </w:pPr>
      <w:r>
        <w:rPr>
          <w:rFonts w:ascii="Arial" w:cs="Arial" w:eastAsia="Arial" w:hAnsi="Arial"/>
          <w:sz w:val="16"/>
          <w:szCs w:val="16"/>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1407" w:right="339" w:bottom="1440" w:gutter="0" w:footer="0" w:header="0"/>
        </w:sectPr>
      </w:pPr>
    </w:p>
    <w:bookmarkStart w:id="86" w:name="page87"/>
    <w:bookmarkEnd w:id="86"/>
    <w:p>
      <w:pPr>
        <w:spacing w:after="0"/>
        <w:rPr>
          <w:sz w:val="20"/>
          <w:szCs w:val="20"/>
          <w:color w:val="auto"/>
        </w:rPr>
      </w:pPr>
      <w:r>
        <w:rPr>
          <w:rFonts w:ascii="Arial" w:cs="Arial" w:eastAsia="Arial" w:hAnsi="Arial"/>
          <w:sz w:val="26"/>
          <w:szCs w:val="26"/>
          <w:b w:val="1"/>
          <w:bCs w:val="1"/>
          <w:color w:val="auto"/>
        </w:rPr>
        <w:t>Dilution</w:t>
      </w:r>
    </w:p>
    <w:p>
      <w:pPr>
        <w:spacing w:after="0" w:line="296"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LT10 and LT50 common stock immediately after this offering.</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historical net tangible book value as of June 30, 2021 was $ 22.8 million, or $0.66 per share. Net tangible book value per share is determined by dividing our total tangible assets less our total liabilities by the number of shares of common stock outstanding.</w:t>
      </w:r>
    </w:p>
    <w:p>
      <w:pPr>
        <w:spacing w:after="0" w:line="10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Our pro forma net tangible book value as of June 30, 2021 was $24.1 million, or $0.37 per share. Pro forma net tangible book value per share is 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which will occur immediately prior to the effectiveness of the registration statement on Form S-1, of which this prospectus is a part.</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Our pro forma as adjusted net tangible book value as of June 30, 2021, after giving effect to this offering would have been $ 51.1 million, or $ 0.76 per share of common stock. This amount represents an immediate increase in pro forma as adjusted net tangible book value of $0.39 per share to our existing stockholders and an immediate dilution in pro forma as adjusted net tangible book value of $25.24 per share to new investors purchasing shares of Class A 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Assumed initial public offering price per share of Class A common stock</w:t>
            </w:r>
          </w:p>
        </w:tc>
        <w:tc>
          <w:tcPr>
            <w:tcW w:w="70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gridSpan w:val="2"/>
            <w:shd w:val="clear" w:color="auto" w:fill="CCEEFF"/>
          </w:tcPr>
          <w:p>
            <w:pPr>
              <w:jc w:val="right"/>
              <w:ind w:right="487"/>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26.00</w:t>
            </w:r>
          </w:p>
        </w:tc>
      </w:tr>
      <w:tr>
        <w:trPr>
          <w:trHeight w:val="207"/>
        </w:trPr>
        <w:tc>
          <w:tcPr>
            <w:tcW w:w="7920" w:type="dxa"/>
            <w:vAlign w:val="bottom"/>
          </w:tcPr>
          <w:p>
            <w:pPr>
              <w:ind w:left="300"/>
              <w:spacing w:after="0"/>
              <w:rPr>
                <w:sz w:val="20"/>
                <w:szCs w:val="20"/>
                <w:color w:val="auto"/>
              </w:rPr>
            </w:pPr>
            <w:r>
              <w:rPr>
                <w:rFonts w:ascii="Arial" w:cs="Arial" w:eastAsia="Arial" w:hAnsi="Arial"/>
                <w:sz w:val="16"/>
                <w:szCs w:val="16"/>
                <w:color w:val="auto"/>
              </w:rPr>
              <w:t>Historical net tangible book value per share as of June 30, 2021</w:t>
            </w:r>
          </w:p>
        </w:tc>
        <w:tc>
          <w:tcPr>
            <w:tcW w:w="700" w:type="dxa"/>
            <w:vAlign w:val="bottom"/>
          </w:tcPr>
          <w:p>
            <w:pPr>
              <w:jc w:val="right"/>
              <w:ind w:right="52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0.66</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7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Decrease per share attributable to the pro forma adjustments described above</w:t>
            </w:r>
          </w:p>
        </w:tc>
        <w:tc>
          <w:tcPr>
            <w:tcW w:w="7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0.29</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7"/>
        </w:trPr>
        <w:tc>
          <w:tcPr>
            <w:tcW w:w="7920" w:type="dxa"/>
            <w:vAlign w:val="bottom"/>
          </w:tcPr>
          <w:p>
            <w:pPr>
              <w:ind w:left="300"/>
              <w:spacing w:after="0"/>
              <w:rPr>
                <w:sz w:val="20"/>
                <w:szCs w:val="20"/>
                <w:color w:val="auto"/>
              </w:rPr>
            </w:pPr>
            <w:r>
              <w:rPr>
                <w:rFonts w:ascii="Arial" w:cs="Arial" w:eastAsia="Arial" w:hAnsi="Arial"/>
                <w:sz w:val="16"/>
                <w:szCs w:val="16"/>
                <w:color w:val="auto"/>
              </w:rPr>
              <w:t>Pro forma net tangible book value per share of June 30, 2021</w:t>
            </w:r>
          </w:p>
        </w:tc>
        <w:tc>
          <w:tcPr>
            <w:tcW w:w="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0.37</w:t>
            </w: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0"/>
        </w:trPr>
        <w:tc>
          <w:tcPr>
            <w:tcW w:w="7920" w:type="dxa"/>
            <w:vAlign w:val="bottom"/>
            <w:shd w:val="clear" w:color="auto" w:fill="CCEEFF"/>
          </w:tcPr>
          <w:p>
            <w:pPr>
              <w:ind w:left="300"/>
              <w:spacing w:after="0" w:line="170" w:lineRule="exact"/>
              <w:rPr>
                <w:sz w:val="20"/>
                <w:szCs w:val="20"/>
                <w:color w:val="auto"/>
              </w:rPr>
            </w:pPr>
            <w:r>
              <w:rPr>
                <w:rFonts w:ascii="Arial" w:cs="Arial" w:eastAsia="Arial" w:hAnsi="Arial"/>
                <w:sz w:val="16"/>
                <w:szCs w:val="16"/>
                <w:color w:val="auto"/>
              </w:rPr>
              <w:t>Increase in pro forma net tangible book value per share attributable to investors purchasing shares of</w:t>
            </w: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6"/>
        </w:trPr>
        <w:tc>
          <w:tcPr>
            <w:tcW w:w="7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common stock in this offering</w:t>
            </w:r>
          </w:p>
        </w:tc>
        <w:tc>
          <w:tcPr>
            <w:tcW w:w="7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0.39</w:t>
            </w: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1"/>
        </w:trPr>
        <w:tc>
          <w:tcPr>
            <w:tcW w:w="79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Pro forma as adjusted net tangible book value per share</w:t>
            </w:r>
          </w:p>
        </w:tc>
        <w:tc>
          <w:tcPr>
            <w:tcW w:w="7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0.76</w:t>
            </w:r>
          </w:p>
        </w:tc>
      </w:tr>
      <w:tr>
        <w:trPr>
          <w:trHeight w:val="20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Dilution per share to new investors participating in this offering</w:t>
            </w:r>
          </w:p>
        </w:tc>
        <w:tc>
          <w:tcPr>
            <w:tcW w:w="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7"/>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25.24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 $1.00 increase or decrease in the assumed initial public offering price of $26.00 per share, which is the midpoint of the price range listed on the cover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of this prospectus, would increase, as applicable, the pro forma as adjusted net tangible book value per share after this offering by approximately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$0.04, and dilution in pro forma as adjusted net tangible book value per share to new investors by approximately $0.96, assuming that the number of shares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offered by us, as set forth on the cover page of this prospectus, remains the same and after deducting underwriting discounts and commissions and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estimated offering expenses payable by us. Each increase or decrease of 1.0 million shares in the number of shares of Class A common stock offered by us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would increase or decrease, as applicable, the pro forma as adjusted net tangible book value per share after this offering by approximately $0.41 per share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and decrease the dilution to investors participating in this offering by approximately $0.35 per share, assuming that the assumed initial public offering price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remains the same,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0"/>
          </w:cols>
          <w:pgMar w:left="320" w:top="1407" w:right="319" w:bottom="1440" w:gutter="0" w:footer="0" w:header="0"/>
        </w:sectPr>
      </w:pPr>
    </w:p>
    <w:bookmarkStart w:id="87" w:name="page88"/>
    <w:bookmarkEnd w:id="87"/>
    <w:p>
      <w:pPr>
        <w:spacing w:after="0" w:line="2"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If the underwriters exercise in full their option to purchase additional shares of our Class A common stock, the pro forma as adjusted net tangible book value after the offering would be $ 0.76 per share, the increase in pro forma as adjusted net tangible book value per share to existing stockholders would be $0.39 per share and the dilution in pro forma as adjusted net tangible book value to new investors would be $25.24 per share, in each case assuming an initial public offering price of $26.00 per share, which is the midpoint of the price range listed on the cover page of this prospectus.</w:t>
      </w:r>
    </w:p>
    <w:p>
      <w:pPr>
        <w:spacing w:after="0" w:line="110"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following table presents, as of June 30, 2021,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 the average price per share paid or to be paid to us at the assumed initial public offering price of $26.00 per share, which is the midpoint of the price range listed on the cover page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14565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3" w:right="240" w:hanging="145"/>
        <w:spacing w:after="0" w:line="206" w:lineRule="auto"/>
        <w:rPr>
          <w:sz w:val="20"/>
          <w:szCs w:val="20"/>
          <w:color w:val="auto"/>
        </w:rPr>
      </w:pPr>
      <w:r>
        <w:rPr>
          <w:rFonts w:ascii="Arial" w:cs="Arial" w:eastAsia="Arial" w:hAnsi="Arial"/>
          <w:sz w:val="16"/>
          <w:szCs w:val="16"/>
          <w:color w:val="auto"/>
        </w:rPr>
        <w:t>Existing stockholders before this offering</w:t>
      </w:r>
      <w:r>
        <w:rPr>
          <w:rFonts w:ascii="Arial" w:cs="Arial" w:eastAsia="Arial" w:hAnsi="Arial"/>
          <w:sz w:val="21"/>
          <w:szCs w:val="21"/>
          <w:color w:val="auto"/>
          <w:vertAlign w:val="superscript"/>
        </w:rPr>
        <w:t>(1)</w:t>
      </w:r>
    </w:p>
    <w:p>
      <w:pPr>
        <w:ind w:left="163" w:hanging="145"/>
        <w:spacing w:after="0" w:line="230" w:lineRule="auto"/>
        <w:rPr>
          <w:sz w:val="20"/>
          <w:szCs w:val="20"/>
          <w:color w:val="auto"/>
        </w:rPr>
      </w:pPr>
      <w:r>
        <w:rPr>
          <w:rFonts w:ascii="Arial" w:cs="Arial" w:eastAsia="Arial" w:hAnsi="Arial"/>
          <w:sz w:val="16"/>
          <w:szCs w:val="16"/>
          <w:color w:val="auto"/>
        </w:rPr>
        <w:t>New investors purchasing shares in this offering</w:t>
      </w:r>
    </w:p>
    <w:p>
      <w:pPr>
        <w:spacing w:after="0" w:line="17" w:lineRule="exact"/>
        <w:rPr>
          <w:sz w:val="20"/>
          <w:szCs w:val="20"/>
          <w:color w:val="auto"/>
        </w:rPr>
      </w:pPr>
    </w:p>
    <w:p>
      <w:pPr>
        <w:ind w:left="23"/>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Borders>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rPr>
              <w:t>Shares purchased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ind w:left="880"/>
              <w:spacing w:after="0"/>
              <w:rPr>
                <w:sz w:val="20"/>
                <w:szCs w:val="20"/>
                <w:color w:val="auto"/>
              </w:rPr>
            </w:pPr>
            <w:r>
              <w:rPr>
                <w:rFonts w:ascii="Arial" w:cs="Arial" w:eastAsia="Arial" w:hAnsi="Arial"/>
                <w:sz w:val="13"/>
                <w:szCs w:val="13"/>
                <w:b w:val="1"/>
                <w:bCs w:val="1"/>
                <w:color w:val="auto"/>
              </w:rPr>
              <w:t>Total consideration</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2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Number</w:t>
            </w:r>
          </w:p>
        </w:tc>
        <w:tc>
          <w:tcPr>
            <w:tcW w:w="1120" w:type="dxa"/>
            <w:vAlign w:val="bottom"/>
            <w:vMerge w:val="restart"/>
          </w:tcPr>
          <w:p>
            <w:pPr>
              <w:ind w:left="580"/>
              <w:spacing w:after="0"/>
              <w:rPr>
                <w:sz w:val="20"/>
                <w:szCs w:val="20"/>
                <w:color w:val="auto"/>
              </w:rPr>
            </w:pPr>
            <w:r>
              <w:rPr>
                <w:rFonts w:ascii="Arial" w:cs="Arial" w:eastAsia="Arial" w:hAnsi="Arial"/>
                <w:sz w:val="13"/>
                <w:szCs w:val="13"/>
                <w:b w:val="1"/>
                <w:bCs w:val="1"/>
                <w:color w:val="auto"/>
              </w:rPr>
              <w:t>Percent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7"/>
              </w:rPr>
              <w:t>Amount</w:t>
            </w:r>
          </w:p>
        </w:tc>
        <w:tc>
          <w:tcPr>
            <w:tcW w:w="1180" w:type="dxa"/>
            <w:vAlign w:val="bottom"/>
            <w:vMerge w:val="restart"/>
          </w:tcPr>
          <w:p>
            <w:pPr>
              <w:ind w:left="640"/>
              <w:spacing w:after="0"/>
              <w:rPr>
                <w:sz w:val="20"/>
                <w:szCs w:val="20"/>
                <w:color w:val="auto"/>
              </w:rPr>
            </w:pPr>
            <w:r>
              <w:rPr>
                <w:rFonts w:ascii="Arial" w:cs="Arial" w:eastAsia="Arial" w:hAnsi="Arial"/>
                <w:sz w:val="13"/>
                <w:szCs w:val="13"/>
                <w:b w:val="1"/>
                <w:bCs w:val="1"/>
                <w:color w:val="auto"/>
              </w:rPr>
              <w:t>Percent</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Weighted-average price per</w:t>
            </w:r>
          </w:p>
        </w:tc>
        <w:tc>
          <w:tcPr>
            <w:tcW w:w="0" w:type="dxa"/>
            <w:vAlign w:val="bottom"/>
          </w:tcPr>
          <w:p>
            <w:pPr>
              <w:spacing w:after="0"/>
              <w:rPr>
                <w:sz w:val="1"/>
                <w:szCs w:val="1"/>
                <w:color w:val="auto"/>
              </w:rPr>
            </w:pPr>
          </w:p>
        </w:tc>
      </w:tr>
      <w:tr>
        <w:trPr>
          <w:trHeight w:val="158"/>
        </w:trPr>
        <w:tc>
          <w:tcPr>
            <w:tcW w:w="152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(in thousands)</w:t>
            </w:r>
          </w:p>
        </w:tc>
        <w:tc>
          <w:tcPr>
            <w:tcW w:w="11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50"/>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341"/>
        </w:trPr>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64,739,010</w:t>
            </w: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96.1 %</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53,628</w:t>
            </w:r>
          </w:p>
        </w:tc>
        <w:tc>
          <w:tcPr>
            <w:tcW w:w="1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44.2 %</w:t>
            </w:r>
          </w:p>
        </w:tc>
        <w:tc>
          <w:tcPr>
            <w:tcW w:w="5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368"/>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2,608,696</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3.9 %</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67,826</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5"/>
                <w:szCs w:val="15"/>
                <w:color w:val="auto"/>
              </w:rPr>
              <w:t>26.00</w:t>
            </w:r>
          </w:p>
        </w:tc>
        <w:tc>
          <w:tcPr>
            <w:tcW w:w="0" w:type="dxa"/>
            <w:vAlign w:val="bottom"/>
          </w:tcPr>
          <w:p>
            <w:pPr>
              <w:spacing w:after="0"/>
              <w:rPr>
                <w:sz w:val="1"/>
                <w:szCs w:val="1"/>
                <w:color w:val="auto"/>
              </w:rPr>
            </w:pPr>
          </w:p>
        </w:tc>
      </w:tr>
      <w:tr>
        <w:trPr>
          <w:trHeight w:val="187"/>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67,347,706</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121,454</w:t>
            </w: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-625475</wp:posOffset>
            </wp:positionV>
            <wp:extent cx="714565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231775"/>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-161925</wp:posOffset>
            </wp:positionV>
            <wp:extent cx="7145655" cy="146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146685"/>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15240</wp:posOffset>
            </wp:positionV>
            <wp:extent cx="71456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2583" w:space="200"/>
            <w:col w:w="8480"/>
          </w:cols>
          <w:pgMar w:left="317" w:top="1440" w:right="319" w:bottom="1440" w:gutter="0" w:footer="0" w:header="0"/>
          <w:type w:val="continuous"/>
        </w:sectPr>
      </w:pPr>
    </w:p>
    <w:p>
      <w:pPr>
        <w:ind w:left="283" w:hanging="283"/>
        <w:spacing w:after="0"/>
        <w:tabs>
          <w:tab w:leader="none" w:pos="283"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presentation in this table regarding ownership by existing stockholders does not give effect to any purchases that existing stockholders may make in this offering.</w:t>
      </w:r>
    </w:p>
    <w:p>
      <w:pPr>
        <w:spacing w:after="0" w:line="130" w:lineRule="exact"/>
        <w:rPr>
          <w:sz w:val="20"/>
          <w:szCs w:val="20"/>
          <w:color w:val="auto"/>
        </w:rPr>
      </w:pPr>
    </w:p>
    <w:p>
      <w:pPr>
        <w:ind w:left="3" w:right="260"/>
        <w:spacing w:after="0" w:line="256" w:lineRule="auto"/>
        <w:rPr>
          <w:sz w:val="20"/>
          <w:szCs w:val="20"/>
          <w:color w:val="auto"/>
        </w:rPr>
      </w:pPr>
      <w:r>
        <w:rPr>
          <w:rFonts w:ascii="Arial" w:cs="Arial" w:eastAsia="Arial" w:hAnsi="Arial"/>
          <w:sz w:val="16"/>
          <w:szCs w:val="16"/>
          <w:color w:val="auto"/>
        </w:rPr>
        <w:t>Each $1.00 increase or decrease in the assumed initial public offering price of $26.00 per share would increase or decrease, as applicable, the total consideration paid by new investors and the total consideration paid by all stockholders by $2.4 million, assuming the number of shares offered by us remains the same and after deducting underwriting discounts and commissions but before estimated offering expenses. Each increase or decrease of 1.0 million shares in the number of shares of Class A common stock offered by us would increase or decrease, as applicable, the pro forma as adjusted net tangible book value per share after this offering by approximately $0.41 per share and decrease or increase the dilution to investors participating in this offering by approximately $0.35 per share, assuming that the assumed initial public offering price remains the same, and after deducting underwriting discounts and commissions and estimated offering expenses payable by us.</w:t>
      </w:r>
    </w:p>
    <w:p>
      <w:pPr>
        <w:spacing w:after="0" w:line="124"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our Class A common stock.</w:t>
      </w:r>
    </w:p>
    <w:p>
      <w:pPr>
        <w:spacing w:after="0" w:line="113" w:lineRule="exact"/>
        <w:rPr>
          <w:sz w:val="20"/>
          <w:szCs w:val="20"/>
          <w:color w:val="auto"/>
        </w:rPr>
      </w:pPr>
    </w:p>
    <w:p>
      <w:pPr>
        <w:ind w:left="3" w:right="380"/>
        <w:spacing w:after="0" w:line="268" w:lineRule="auto"/>
        <w:rPr>
          <w:sz w:val="20"/>
          <w:szCs w:val="20"/>
          <w:color w:val="auto"/>
        </w:rPr>
      </w:pPr>
      <w:r>
        <w:rPr>
          <w:rFonts w:ascii="Arial" w:cs="Arial" w:eastAsia="Arial" w:hAnsi="Arial"/>
          <w:sz w:val="16"/>
          <w:szCs w:val="16"/>
          <w:color w:val="auto"/>
        </w:rPr>
        <w:t>The foregoing tables and calculations (other than the historical net tangible book value calculation) are based on 76,811,910 shares of Class A common stock (including all shares of our convertible preferred stock on an as-converted basis) outstanding as of June 30, 2021 and excludes:</w:t>
      </w:r>
    </w:p>
    <w:p>
      <w:pPr>
        <w:spacing w:after="0" w:line="101" w:lineRule="exact"/>
        <w:rPr>
          <w:sz w:val="20"/>
          <w:szCs w:val="20"/>
          <w:color w:val="auto"/>
        </w:rPr>
      </w:pPr>
    </w:p>
    <w:p>
      <w:pPr>
        <w:ind w:left="283" w:right="20" w:hanging="283"/>
        <w:spacing w:after="0" w:line="261"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2,662,470 shares of common stock issuable upon exercise of outstanding stock options as of June 30, 2021 granted under our 2009 Plan, with a weighted-average exercise price of $0.27 per share;</w:t>
      </w:r>
    </w:p>
    <w:p>
      <w:pPr>
        <w:spacing w:after="0" w:line="112"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5,902,760 shares of common stock issuable upon exercise of outstanding stock options as of June 30, 2021 granted under our 2019 Plan, with a weighted-average exercise price of $1.71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3"/>
          </w:cols>
          <w:pgMar w:left="317" w:top="1440" w:right="319" w:bottom="1440" w:gutter="0" w:footer="0" w:header="0"/>
          <w:type w:val="continuous"/>
        </w:sectPr>
      </w:pPr>
    </w:p>
    <w:bookmarkStart w:id="88" w:name="page89"/>
    <w:bookmarkEnd w:id="88"/>
    <w:p>
      <w:pPr>
        <w:spacing w:after="0" w:line="2" w:lineRule="exact"/>
        <w:rPr>
          <w:sz w:val="20"/>
          <w:szCs w:val="20"/>
          <w:color w:val="auto"/>
        </w:rPr>
      </w:pPr>
    </w:p>
    <w:p>
      <w:pPr>
        <w:ind w:left="283" w:hanging="283"/>
        <w:spacing w:after="0" w:line="268"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223,400 shares of common stock issuable upon exercise of outstanding stock options granted subsequent to June 30, 2021 under our 2019 Plan, with a weighted-average exercise price of $12.97 per share;</w:t>
      </w:r>
    </w:p>
    <w:p>
      <w:pPr>
        <w:spacing w:after="0" w:line="100" w:lineRule="exact"/>
        <w:rPr>
          <w:rFonts w:ascii="Arial" w:cs="Arial" w:eastAsia="Arial" w:hAnsi="Arial"/>
          <w:sz w:val="16"/>
          <w:szCs w:val="16"/>
          <w:color w:val="auto"/>
        </w:rPr>
      </w:pPr>
    </w:p>
    <w:p>
      <w:pPr>
        <w:ind w:left="283" w:right="400" w:hanging="283"/>
        <w:spacing w:after="0" w:line="268"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11,676,932 shares of Class A common stock reserved for future issuance under our 2021 Incentive Award Plan and 2021 Non-Qualified Employee Stock Purchase and Matching Plan; and</w:t>
      </w:r>
    </w:p>
    <w:p>
      <w:pPr>
        <w:spacing w:after="0" w:line="112" w:lineRule="exact"/>
        <w:rPr>
          <w:rFonts w:ascii="Arial" w:cs="Arial" w:eastAsia="Arial" w:hAnsi="Arial"/>
          <w:sz w:val="16"/>
          <w:szCs w:val="16"/>
          <w:color w:val="auto"/>
        </w:rPr>
      </w:pPr>
    </w:p>
    <w:p>
      <w:pPr>
        <w:ind w:left="283" w:right="80" w:hanging="283"/>
        <w:spacing w:after="0" w:line="261"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4,339,690 and 4,339,690 shares of Class A and LT50 common stock, respectively, issuable upon the vesting of RSUs granted by our board of directors subsequent to June 30, 2021 under our 2019 Plan that will be effective immediately prior to the effectiveness of the registration on Form S-1, of which this prospectus is a part.</w:t>
      </w:r>
    </w:p>
    <w:p>
      <w:pPr>
        <w:spacing w:after="0" w:line="118" w:lineRule="exact"/>
        <w:rPr>
          <w:sz w:val="20"/>
          <w:szCs w:val="20"/>
          <w:color w:val="auto"/>
        </w:rPr>
      </w:pPr>
    </w:p>
    <w:p>
      <w:pPr>
        <w:jc w:val="both"/>
        <w:ind w:left="3" w:right="80"/>
        <w:spacing w:after="0" w:line="261" w:lineRule="auto"/>
        <w:rPr>
          <w:sz w:val="20"/>
          <w:szCs w:val="20"/>
          <w:color w:val="auto"/>
        </w:rPr>
      </w:pPr>
      <w:r>
        <w:rPr>
          <w:rFonts w:ascii="Arial" w:cs="Arial" w:eastAsia="Arial" w:hAnsi="Arial"/>
          <w:sz w:val="16"/>
          <w:szCs w:val="16"/>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03"/>
          </w:cols>
          <w:pgMar w:left="317" w:top="1440" w:right="379" w:bottom="1440" w:gutter="0" w:footer="0" w:header="0"/>
        </w:sectPr>
      </w:pPr>
    </w:p>
    <w:bookmarkStart w:id="89" w:name="page90"/>
    <w:bookmarkEnd w:id="89"/>
    <w:p>
      <w:pPr>
        <w:spacing w:after="0"/>
        <w:rPr>
          <w:sz w:val="20"/>
          <w:szCs w:val="20"/>
          <w:color w:val="auto"/>
        </w:rPr>
      </w:pPr>
      <w:r>
        <w:rPr>
          <w:rFonts w:ascii="Arial" w:cs="Arial" w:eastAsia="Arial" w:hAnsi="Arial"/>
          <w:sz w:val="26"/>
          <w:szCs w:val="26"/>
          <w:b w:val="1"/>
          <w:bCs w:val="1"/>
          <w:color w:val="auto"/>
        </w:rPr>
        <w:t>Selected consolidated financial and other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The selected consolidated statements of operations for the six months ended June 30, 2020 and 2021 and the selected consolidated balance sheet data as of June 30, 2021 have been derived from our unaudited consolidated financial statements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that may be expected for any other period in the future, and the results of operations for the six months ended June 30, 2021 are not necessarily indicative of the results to be expected for the full year ending December 31, 2021, or any other future period.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0"/>
          </w:cols>
          <w:pgMar w:left="320" w:top="1407" w:right="319" w:bottom="1440" w:gutter="0" w:footer="0" w:header="0"/>
        </w:sectPr>
      </w:pPr>
    </w:p>
    <w:bookmarkStart w:id="90" w:name="page91"/>
    <w:bookmarkEnd w:id="90"/>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19"/>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(0.06)</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29,680,220</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35,495,100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41,216,420</w:t>
            </w: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 to</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participating securities</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176"/>
        </w:trPr>
        <w:tc>
          <w:tcPr>
            <w:tcW w:w="470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pro</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forma net 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71,711,610</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69,455,870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83,247,810</w:t>
            </w:r>
          </w:p>
        </w:tc>
        <w:tc>
          <w:tcPr>
            <w:tcW w:w="0" w:type="dxa"/>
            <w:vAlign w:val="bottom"/>
          </w:tcPr>
          <w:p>
            <w:pPr>
              <w:spacing w:after="0"/>
              <w:rPr>
                <w:sz w:val="1"/>
                <w:szCs w:val="1"/>
                <w:color w:val="auto"/>
              </w:rPr>
            </w:pPr>
          </w:p>
        </w:tc>
      </w:tr>
      <w:tr>
        <w:trPr>
          <w:trHeight w:val="49"/>
        </w:trPr>
        <w:tc>
          <w:tcPr>
            <w:tcW w:w="4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1440" w:right="319" w:bottom="1440" w:gutter="0" w:footer="0" w:header="0"/>
        </w:sectPr>
      </w:pPr>
    </w:p>
    <w:bookmarkStart w:id="91" w:name="page92"/>
    <w:bookmarkEnd w:id="91"/>
    <w:p>
      <w:pPr>
        <w:spacing w:after="0" w:line="2" w:lineRule="exact"/>
        <w:rPr>
          <w:sz w:val="20"/>
          <w:szCs w:val="20"/>
          <w:color w:val="auto"/>
        </w:rPr>
      </w:pPr>
    </w:p>
    <w:p>
      <w:pPr>
        <w:ind w:left="283" w:hanging="283"/>
        <w:spacing w:after="0"/>
        <w:tabs>
          <w:tab w:leader="none" w:pos="283"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35"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6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68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54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1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51"/>
        </w:trPr>
        <w:tc>
          <w:tcPr>
            <w:tcW w:w="368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1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51"/>
        </w:trPr>
        <w:tc>
          <w:tcPr>
            <w:tcW w:w="36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3"/>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1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1,186</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83" w:right="140" w:hanging="283"/>
        <w:spacing w:after="0" w:line="261" w:lineRule="auto"/>
        <w:tabs>
          <w:tab w:leader="none" w:pos="273"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As of December 31,</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As of June 30,</w:t>
            </w:r>
          </w:p>
        </w:tc>
        <w:tc>
          <w:tcPr>
            <w:tcW w:w="0" w:type="dxa"/>
            <w:vAlign w:val="bottom"/>
          </w:tcPr>
          <w:p>
            <w:pPr>
              <w:spacing w:after="0"/>
              <w:rPr>
                <w:sz w:val="1"/>
                <w:szCs w:val="1"/>
                <w:color w:val="auto"/>
              </w:rPr>
            </w:pPr>
          </w:p>
        </w:tc>
      </w:tr>
      <w:tr>
        <w:trPr>
          <w:trHeight w:val="163"/>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CEEFF"/>
          </w:tcPr>
          <w:p>
            <w:pPr>
              <w:jc w:val="right"/>
              <w:ind w:right="767"/>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9,990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45,429</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1"/>
                <w:szCs w:val="21"/>
                <w:color w:val="auto"/>
                <w:vertAlign w:val="superscript"/>
              </w:rPr>
              <w:t>(1)</w:t>
            </w:r>
          </w:p>
        </w:tc>
        <w:tc>
          <w:tcPr>
            <w:tcW w:w="9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5,905</w:t>
            </w:r>
          </w:p>
        </w:tc>
        <w:tc>
          <w:tcPr>
            <w:tcW w:w="280" w:type="dxa"/>
            <w:vAlign w:val="bottom"/>
          </w:tcPr>
          <w:p>
            <w:pPr>
              <w:spacing w:after="0"/>
              <w:rPr>
                <w:sz w:val="18"/>
                <w:szCs w:val="18"/>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24,464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39,574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50,510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63,664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92,112</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76,596</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87,733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116,795</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44,605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79,955</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73,664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85,483</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 issued</w:t>
            </w:r>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and outstanding at December 31, 2019, December 31, 2020 and June 30, 2021</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(unaudited) (aggregate liquidation preference of $24,929,457 at December 31, 2019,</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2020 and June 30, 2021 (unaudited))</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45,105</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(50,638)</w:t>
            </w:r>
          </w:p>
        </w:tc>
        <w:tc>
          <w:tcPr>
            <w:tcW w:w="280" w:type="dxa"/>
            <w:vAlign w:val="bottom"/>
          </w:tcPr>
          <w:p>
            <w:pPr>
              <w:spacing w:after="0"/>
              <w:rPr>
                <w:sz w:val="17"/>
                <w:szCs w:val="17"/>
                <w:color w:val="auto"/>
              </w:rPr>
            </w:pPr>
          </w:p>
        </w:tc>
        <w:tc>
          <w:tcPr>
            <w:tcW w:w="1340" w:type="dxa"/>
            <w:vAlign w:val="bottom"/>
          </w:tcPr>
          <w:p>
            <w:pPr>
              <w:jc w:val="center"/>
              <w:ind w:left="622"/>
              <w:spacing w:after="0"/>
              <w:rPr>
                <w:sz w:val="20"/>
                <w:szCs w:val="20"/>
                <w:color w:val="auto"/>
              </w:rPr>
            </w:pPr>
            <w:r>
              <w:rPr>
                <w:rFonts w:ascii="Arial" w:cs="Arial" w:eastAsia="Arial" w:hAnsi="Arial"/>
                <w:sz w:val="16"/>
                <w:szCs w:val="16"/>
                <w:color w:val="auto"/>
              </w:rPr>
              <w:t>(52,348)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deficit</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(48,464)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22"/>
              <w:spacing w:after="0"/>
              <w:rPr>
                <w:sz w:val="20"/>
                <w:szCs w:val="20"/>
                <w:color w:val="auto"/>
              </w:rPr>
            </w:pPr>
            <w:r>
              <w:rPr>
                <w:rFonts w:ascii="Arial" w:cs="Arial" w:eastAsia="Arial" w:hAnsi="Arial"/>
                <w:sz w:val="16"/>
                <w:szCs w:val="16"/>
                <w:color w:val="auto"/>
              </w:rPr>
              <w:t>(31,036)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49"/>
        </w:trPr>
        <w:tc>
          <w:tcPr>
            <w:tcW w:w="6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3" w:right="200" w:hanging="283"/>
        <w:spacing w:after="0" w:line="268" w:lineRule="auto"/>
        <w:tabs>
          <w:tab w:leader="none" w:pos="273" w:val="left"/>
        </w:tabs>
        <w:numPr>
          <w:ilvl w:val="0"/>
          <w:numId w:val="52"/>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3"/>
          </w:cols>
          <w:pgMar w:left="317" w:top="1440" w:right="319" w:bottom="1440" w:gutter="0" w:footer="0" w:header="0"/>
        </w:sectPr>
      </w:pPr>
    </w:p>
    <w:bookmarkStart w:id="92" w:name="page93"/>
    <w:bookmarkEnd w:id="92"/>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below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7,579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0"/>
          </w:cols>
          <w:pgMar w:left="320" w:top="1440" w:right="319" w:bottom="1440" w:gutter="0" w:footer="0" w:header="0"/>
        </w:sectPr>
      </w:pPr>
    </w:p>
    <w:bookmarkStart w:id="93" w:name="page94"/>
    <w:bookmarkEnd w:id="93"/>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reconciles the most directly comparable GAAP financial measure to each of these non-GAAP financial measures:</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Adjusted EBITDA and adjusted EBITDA margin reconciliation</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4"/>
          </w:tcPr>
          <w:p>
            <w:pPr>
              <w:jc w:val="right"/>
              <w:ind w:right="502"/>
              <w:spacing w:after="0"/>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40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9,160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83" w:right="120" w:hanging="283"/>
        <w:spacing w:after="0" w:line="261" w:lineRule="auto"/>
        <w:tabs>
          <w:tab w:leader="none" w:pos="273" w:val="left"/>
        </w:tabs>
        <w:numPr>
          <w:ilvl w:val="0"/>
          <w:numId w:val="53"/>
        </w:numPr>
        <w:rPr>
          <w:rFonts w:ascii="Arial" w:cs="Arial" w:eastAsia="Arial" w:hAnsi="Arial"/>
          <w:sz w:val="12"/>
          <w:szCs w:val="12"/>
          <w:color w:val="auto"/>
        </w:rPr>
      </w:pPr>
      <w:r>
        <w:rPr>
          <w:rFonts w:ascii="Arial" w:cs="Arial" w:eastAsia="Arial" w:hAnsi="Arial"/>
          <w:sz w:val="12"/>
          <w:szCs w:val="12"/>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122"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63"/>
          </w:cols>
          <w:pgMar w:left="317" w:top="1440" w:right="319" w:bottom="1440" w:gutter="0" w:footer="0" w:header="0"/>
        </w:sectPr>
      </w:pPr>
    </w:p>
    <w:bookmarkStart w:id="94" w:name="page95"/>
    <w:bookmarkEnd w:id="94"/>
    <w:p>
      <w:pPr>
        <w:spacing w:after="0"/>
        <w:rPr>
          <w:sz w:val="20"/>
          <w:szCs w:val="20"/>
          <w:color w:val="auto"/>
        </w:rPr>
      </w:pPr>
      <w:r>
        <w:rPr>
          <w:rFonts w:ascii="Arial" w:cs="Arial" w:eastAsia="Arial" w:hAnsi="Arial"/>
          <w:sz w:val="26"/>
          <w:szCs w:val="26"/>
          <w:b w:val="1"/>
          <w:bCs w:val="1"/>
          <w:color w:val="auto"/>
        </w:rPr>
        <w:t>Management's discussion and analysis of financial condition and results of operations</w:t>
      </w:r>
    </w:p>
    <w:p>
      <w:pPr>
        <w:spacing w:after="0" w:line="2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For the six months ended June 30, 2021, 60% of our revenue can be attributed to an instance where an employee used our application before the purchaser, and recommended it to their manager. Most of the remaining 40%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we train and support accountants who then encourage their customers to use Expensify.</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407" w:right="339" w:bottom="1440" w:gutter="0" w:footer="0" w:header="0"/>
        </w:sectPr>
      </w:pPr>
    </w:p>
    <w:bookmarkStart w:id="95" w:name="page96"/>
    <w:bookmarkEnd w:id="95"/>
    <w:p>
      <w:pPr>
        <w:spacing w:after="0" w:line="2" w:lineRule="exact"/>
        <w:rPr>
          <w:sz w:val="20"/>
          <w:szCs w:val="20"/>
          <w:color w:val="auto"/>
        </w:rPr>
      </w:pPr>
    </w:p>
    <w:p>
      <w:pPr>
        <w:ind w:left="3" w:right="180"/>
        <w:spacing w:after="0" w:line="257" w:lineRule="auto"/>
        <w:rPr>
          <w:sz w:val="20"/>
          <w:szCs w:val="20"/>
          <w:color w:val="auto"/>
        </w:rPr>
      </w:pPr>
      <w:r>
        <w:rPr>
          <w:rFonts w:ascii="Arial" w:cs="Arial" w:eastAsia="Arial" w:hAnsi="Arial"/>
          <w:sz w:val="16"/>
          <w:szCs w:val="16"/>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95" w:lineRule="exact"/>
        <w:rPr>
          <w:sz w:val="20"/>
          <w:szCs w:val="20"/>
          <w:color w:val="auto"/>
        </w:rPr>
      </w:pPr>
    </w:p>
    <w:p>
      <w:pPr>
        <w:ind w:left="3" w:right="30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 These subscriptions are billed monthly, irrespective of activity:</w:t>
      </w:r>
    </w:p>
    <w:p>
      <w:pPr>
        <w:spacing w:after="0" w:line="77" w:lineRule="exact"/>
        <w:rPr>
          <w:sz w:val="20"/>
          <w:szCs w:val="20"/>
          <w:color w:val="auto"/>
        </w:rPr>
      </w:pPr>
    </w:p>
    <w:p>
      <w:pPr>
        <w:ind w:left="283" w:hanging="283"/>
        <w:spacing w:after="0"/>
        <w:tabs>
          <w:tab w:leader="none" w:pos="283"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b w:val="1"/>
          <w:bCs w:val="1"/>
          <w:color w:val="auto"/>
        </w:rPr>
      </w:pPr>
    </w:p>
    <w:p>
      <w:pPr>
        <w:ind w:left="583" w:right="400" w:hanging="290"/>
        <w:spacing w:after="0" w:line="294" w:lineRule="auto"/>
        <w:tabs>
          <w:tab w:leader="none" w:pos="579"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583" w:right="140" w:hanging="290"/>
        <w:spacing w:after="0" w:line="294" w:lineRule="auto"/>
        <w:tabs>
          <w:tab w:leader="none" w:pos="579"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 anyone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reimbursement.</w:t>
      </w:r>
    </w:p>
    <w:p>
      <w:pPr>
        <w:spacing w:after="0" w:line="77" w:lineRule="exact"/>
        <w:rPr>
          <w:sz w:val="20"/>
          <w:szCs w:val="20"/>
          <w:color w:val="auto"/>
        </w:rPr>
      </w:pPr>
    </w:p>
    <w:p>
      <w:pPr>
        <w:ind w:left="3" w:right="20"/>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lower rates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583" w:right="140" w:hanging="290"/>
        <w:spacing w:after="0" w:line="294" w:lineRule="auto"/>
        <w:tabs>
          <w:tab w:leader="none" w:pos="579"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 reimburse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color w:val="auto"/>
        </w:rPr>
      </w:pPr>
    </w:p>
    <w:p>
      <w:pPr>
        <w:ind w:left="583" w:right="480" w:hanging="290"/>
        <w:spacing w:after="0" w:line="294" w:lineRule="auto"/>
        <w:tabs>
          <w:tab w:leader="none" w:pos="579"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 Collect 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reimburse employees, contractors and volunteers via Direct Deposit ACH.</w:t>
      </w:r>
    </w:p>
    <w:p>
      <w:pPr>
        <w:spacing w:after="0" w:line="60" w:lineRule="exact"/>
        <w:rPr>
          <w:rFonts w:ascii="Arial" w:cs="Arial" w:eastAsia="Arial" w:hAnsi="Arial"/>
          <w:sz w:val="16"/>
          <w:szCs w:val="16"/>
          <w:color w:val="auto"/>
        </w:rPr>
      </w:pPr>
    </w:p>
    <w:p>
      <w:pPr>
        <w:ind w:left="583" w:right="280" w:hanging="290"/>
        <w:spacing w:after="0" w:line="294" w:lineRule="auto"/>
        <w:tabs>
          <w:tab w:leader="none" w:pos="579"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 Control plan, which is by far our most popular plan, includes everything in Collect 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and other internal systems commonly used by mid-market and enterprise companies.</w:t>
      </w:r>
    </w:p>
    <w:p>
      <w:pPr>
        <w:spacing w:after="0" w:line="93"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2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3"/>
          </w:cols>
          <w:pgMar w:left="317" w:top="1440" w:right="359" w:bottom="1440" w:gutter="0" w:footer="0" w:header="0"/>
        </w:sectPr>
      </w:pPr>
    </w:p>
    <w:bookmarkStart w:id="96" w:name="page97"/>
    <w:bookmarkEnd w:id="96"/>
    <w:p>
      <w:pPr>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future performance will depend on many factors, including the following: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in Product-Led Growth</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For the six months ended June 30, 2021, 60% of our revenue can be attributed to an instance where an employee used our application first and recommended it to their manager. While we had an average of 639,000 monthly paid members in the quarter ended June 30, 2021, we believe we have significant greenfield opportunities. In order to continue to grow, we believe we must continue prioritizing investments in our platform to delight our members and drive viral expansion.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to Convert Freemium to Paid Members</w:t>
      </w:r>
    </w:p>
    <w:p>
      <w:pPr>
        <w:spacing w:after="0" w:line="161"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to Maintain Market Consensus</w:t>
      </w:r>
    </w:p>
    <w:p>
      <w:pPr>
        <w:spacing w:after="0" w:line="14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Retaining Existing Customers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1425" w:right="339" w:bottom="1440" w:gutter="0" w:footer="0" w:header="0"/>
        </w:sectPr>
      </w:pPr>
    </w:p>
    <w:bookmarkStart w:id="97" w:name="page98"/>
    <w:bookmarkEnd w:id="97"/>
    <w:p>
      <w:pPr>
        <w:spacing w:after="0" w:line="2"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back usage of our platform as their business travel and other expenses declined. Our growth will depend on our ability to continue to retain existing customers.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Introducing Features to Expand Our Relationship with Existing Customers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COVID-19</w:t>
      </w:r>
    </w:p>
    <w:p>
      <w:pPr>
        <w:spacing w:after="0" w:line="14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22" w:lineRule="exact"/>
        <w:rPr>
          <w:sz w:val="20"/>
          <w:szCs w:val="20"/>
          <w:color w:val="auto"/>
        </w:rPr>
      </w:pPr>
    </w:p>
    <w:p>
      <w:pPr>
        <w:jc w:val="both"/>
        <w:ind w:right="100"/>
        <w:spacing w:after="0" w:line="254" w:lineRule="auto"/>
        <w:rPr>
          <w:sz w:val="20"/>
          <w:szCs w:val="20"/>
          <w:color w:val="auto"/>
        </w:rPr>
      </w:pPr>
      <w:r>
        <w:rPr>
          <w:rFonts w:ascii="Arial" w:cs="Arial" w:eastAsia="Arial" w:hAnsi="Arial"/>
          <w:sz w:val="16"/>
          <w:szCs w:val="16"/>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w:t>
      </w:r>
    </w:p>
    <w:p>
      <w:pPr>
        <w:ind w:right="40"/>
        <w:spacing w:after="0" w:line="255" w:lineRule="auto"/>
        <w:rPr>
          <w:sz w:val="20"/>
          <w:szCs w:val="20"/>
          <w:color w:val="auto"/>
        </w:rPr>
      </w:pPr>
      <w:r>
        <w:rPr>
          <w:rFonts w:ascii="Arial" w:cs="Arial" w:eastAsia="Arial" w:hAnsi="Arial"/>
          <w:sz w:val="16"/>
          <w:szCs w:val="16"/>
          <w:color w:val="auto"/>
        </w:rPr>
        <w:t>After a steady increase in paid members over multiple years (see figure below),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While the full lasting impact of the COVID-19 pandemic on the global economy and SMBs in particular remains uncertain, we believe that use of our platform will increase as economies reopen and business travel resumes.</w:t>
      </w:r>
    </w:p>
    <w:p>
      <w:pPr>
        <w:spacing w:after="0" w:line="10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titled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1440" w:right="359" w:bottom="1440" w:gutter="0" w:footer="0" w:header="0"/>
        </w:sectPr>
      </w:pPr>
    </w:p>
    <w:bookmarkStart w:id="98" w:name="page99"/>
    <w:bookmarkEnd w:id="98"/>
    <w:p>
      <w:pPr>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Paid members</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12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425" w:right="319" w:bottom="1440" w:gutter="0" w:footer="0" w:header="0"/>
        </w:sectPr>
      </w:pPr>
    </w:p>
    <w:bookmarkStart w:id="99" w:name="page100"/>
    <w:bookmarkEnd w:id="99"/>
    <w:p>
      <w:pPr>
        <w:spacing w:after="0"/>
        <w:rPr>
          <w:sz w:val="20"/>
          <w:szCs w:val="20"/>
          <w:color w:val="auto"/>
        </w:rPr>
      </w:pPr>
      <w:r>
        <w:rPr>
          <w:rFonts w:ascii="Arial" w:cs="Arial" w:eastAsia="Arial" w:hAnsi="Arial"/>
          <w:sz w:val="19"/>
          <w:szCs w:val="19"/>
          <w:b w:val="1"/>
          <w:bCs w:val="1"/>
          <w:color w:val="auto"/>
        </w:rPr>
        <w:t>Components of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23"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w:t>
      </w:r>
    </w:p>
    <w:p>
      <w:pPr>
        <w:spacing w:after="0" w:line="165"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4"/>
          </w:tcPr>
          <w:p>
            <w:pPr>
              <w:jc w:val="right"/>
              <w:ind w:right="204"/>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Interchange Amount</w:t>
            </w:r>
          </w:p>
        </w:tc>
        <w:tc>
          <w:tcPr>
            <w:tcW w:w="1120" w:type="dxa"/>
            <w:vAlign w:val="bottom"/>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1,195</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Fees</w:t>
            </w: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Consideration from a Vendor</w:t>
            </w:r>
          </w:p>
        </w:tc>
        <w:tc>
          <w:tcPr>
            <w:tcW w:w="112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60"/>
          </w:cols>
          <w:pgMar w:left="320" w:top="1425" w:right="319" w:bottom="1440" w:gutter="0" w:footer="0" w:header="0"/>
        </w:sectPr>
      </w:pPr>
    </w:p>
    <w:bookmarkStart w:id="100" w:name="page101"/>
    <w:bookmarkEnd w:id="100"/>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anticipate an increase in Cost of revenue, net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anticipate an increase in Research and development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anticipate an increase in Sales and marketing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5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anticipate an increase in General and administrative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65"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65"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320" w:top="1440" w:right="359" w:bottom="1440" w:gutter="0" w:footer="0" w:header="0"/>
        </w:sectPr>
      </w:pPr>
    </w:p>
    <w:bookmarkStart w:id="102" w:name="page103"/>
    <w:bookmarkEnd w:id="102"/>
    <w:p>
      <w:pPr>
        <w:ind w:left="3"/>
        <w:spacing w:after="0"/>
        <w:rPr>
          <w:sz w:val="20"/>
          <w:szCs w:val="20"/>
          <w:color w:val="auto"/>
        </w:rPr>
      </w:pPr>
      <w:r>
        <w:rPr>
          <w:rFonts w:ascii="Arial" w:cs="Arial" w:eastAsia="Arial" w:hAnsi="Arial"/>
          <w:sz w:val="19"/>
          <w:szCs w:val="19"/>
          <w:b w:val="1"/>
          <w:bCs w:val="1"/>
          <w:color w:val="auto"/>
        </w:rPr>
        <w:t>Results of operations</w:t>
      </w:r>
    </w:p>
    <w:p>
      <w:pPr>
        <w:spacing w:after="0" w:line="152"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The results of operations presented below should be reviewed in conjunction with the consolidated financial statements and notes included elsewhere in this prospectus.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results of operations for the periods presented:</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29,680,220</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35,495,100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41,216,420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56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14" w:lineRule="exact"/>
        <w:rPr>
          <w:sz w:val="20"/>
          <w:szCs w:val="20"/>
          <w:color w:val="auto"/>
        </w:rPr>
      </w:pPr>
    </w:p>
    <w:p>
      <w:pPr>
        <w:ind w:left="283" w:hanging="283"/>
        <w:spacing w:after="0"/>
        <w:tabs>
          <w:tab w:leader="none" w:pos="283"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76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gridSpan w:val="3"/>
          </w:tcPr>
          <w:p>
            <w:pPr>
              <w:jc w:val="right"/>
              <w:ind w:right="123"/>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8"/>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Cost of revenue, net</w:t>
            </w:r>
          </w:p>
        </w:tc>
        <w:tc>
          <w:tcPr>
            <w:tcW w:w="11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64"/>
        </w:trPr>
        <w:tc>
          <w:tcPr>
            <w:tcW w:w="3760" w:type="dxa"/>
            <w:vAlign w:val="bottom"/>
          </w:tcPr>
          <w:p>
            <w:pPr>
              <w:ind w:left="320"/>
              <w:spacing w:after="0"/>
              <w:rPr>
                <w:sz w:val="20"/>
                <w:szCs w:val="20"/>
                <w:color w:val="auto"/>
              </w:rPr>
            </w:pPr>
            <w:r>
              <w:rPr>
                <w:rFonts w:ascii="Arial" w:cs="Arial" w:eastAsia="Arial" w:hAnsi="Arial"/>
                <w:sz w:val="12"/>
                <w:szCs w:val="12"/>
                <w:color w:val="auto"/>
              </w:rPr>
              <w:t>Research and development</w:t>
            </w:r>
          </w:p>
        </w:tc>
        <w:tc>
          <w:tcPr>
            <w:tcW w:w="116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77"/>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General and administrative</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64"/>
        </w:trPr>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Sales and marketing</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2"/>
        </w:trPr>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stock-based compensation expense</w:t>
            </w:r>
          </w:p>
        </w:tc>
        <w:tc>
          <w:tcPr>
            <w:tcW w:w="11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1,186</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63"/>
          </w:cols>
          <w:pgMar w:left="317" w:top="1425"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Comparison of the six months ended June 30, 2020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40,641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65,024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24,383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Revenue increased $24.4 million, or 60%, for the six months ended June 30, 2021 compared to the same period in 2020, primarily due to a pricing change implemented in May 2020, which led to a gradual increase in per member price for our paid members from existing customers not using the Expensify Card in connection with our expense management platform for 50% or more of their approved expenses and increased demand for business travel, which is a significant use case for our platform and drove an increase in the number of paid members, due to the lifting of travel restrictions within the United States and certain other countries and increased employers returning to the office as a result of the wide spread availability and distribution of COVID-19 vaccines. All new customers beginning on May 1, 2020, were subject to this pricing change. Our revenue for the six months ended June 30, 2020 was adversely affected by the COVID-19 pandemic, particularly due to the decrease in business travel.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3"/>
                <w:szCs w:val="13"/>
                <w:b w:val="1"/>
                <w:bCs w:val="1"/>
                <w:color w:val="auto"/>
              </w:rPr>
              <w:t>Amount</w:t>
            </w: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gridSpan w:val="4"/>
          </w:tcPr>
          <w:p>
            <w:pPr>
              <w:jc w:val="right"/>
              <w:ind w:right="1107"/>
              <w:spacing w:after="0"/>
              <w:rPr>
                <w:sz w:val="20"/>
                <w:szCs w:val="20"/>
                <w:color w:val="auto"/>
              </w:rPr>
            </w:pPr>
            <w:r>
              <w:rPr>
                <w:rFonts w:ascii="Arial" w:cs="Arial" w:eastAsia="Arial" w:hAnsi="Arial"/>
                <w:sz w:val="13"/>
                <w:szCs w:val="13"/>
                <w:b w:val="1"/>
                <w:bCs w:val="1"/>
                <w:color w:val="auto"/>
              </w:rPr>
              <w:t>(in thousands, except percentages)</w:t>
            </w:r>
          </w:p>
        </w:tc>
        <w:tc>
          <w:tcPr>
            <w:tcW w:w="1140" w:type="dxa"/>
            <w:vAlign w:val="bottom"/>
          </w:tcPr>
          <w:p>
            <w:pPr>
              <w:spacing w:after="0"/>
              <w:rPr>
                <w:sz w:val="14"/>
                <w:szCs w:val="14"/>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15,438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133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20" w:type="dxa"/>
            <w:vAlign w:val="bottom"/>
          </w:tcPr>
          <w:p>
            <w:pPr>
              <w:jc w:val="right"/>
              <w:ind w:right="205"/>
              <w:spacing w:after="0"/>
              <w:rPr>
                <w:sz w:val="20"/>
                <w:szCs w:val="20"/>
                <w:color w:val="auto"/>
              </w:rPr>
            </w:pPr>
            <w:r>
              <w:rPr>
                <w:rFonts w:ascii="Arial" w:cs="Arial" w:eastAsia="Arial" w:hAnsi="Arial"/>
                <w:sz w:val="16"/>
                <w:szCs w:val="16"/>
                <w:color w:val="auto"/>
              </w:rPr>
              <w:t>25,203</w:t>
            </w:r>
          </w:p>
        </w:tc>
        <w:tc>
          <w:tcPr>
            <w:tcW w:w="360" w:type="dxa"/>
            <w:vAlign w:val="bottom"/>
          </w:tcPr>
          <w:p>
            <w:pPr>
              <w:spacing w:after="0"/>
              <w:rPr>
                <w:sz w:val="17"/>
                <w:szCs w:val="17"/>
                <w:color w:val="auto"/>
              </w:rPr>
            </w:pPr>
          </w:p>
        </w:tc>
        <w:tc>
          <w:tcPr>
            <w:tcW w:w="1340" w:type="dxa"/>
            <w:vAlign w:val="bottom"/>
          </w:tcPr>
          <w:p>
            <w:pPr>
              <w:jc w:val="right"/>
              <w:ind w:right="125"/>
              <w:spacing w:after="0"/>
              <w:rPr>
                <w:sz w:val="20"/>
                <w:szCs w:val="20"/>
                <w:color w:val="auto"/>
              </w:rPr>
            </w:pPr>
            <w:r>
              <w:rPr>
                <w:rFonts w:ascii="Arial" w:cs="Arial" w:eastAsia="Arial" w:hAnsi="Arial"/>
                <w:sz w:val="16"/>
                <w:szCs w:val="16"/>
                <w:color w:val="auto"/>
              </w:rPr>
              <w:t>49,453</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607"/>
              <w:spacing w:after="0"/>
              <w:rPr>
                <w:sz w:val="20"/>
                <w:szCs w:val="20"/>
                <w:color w:val="auto"/>
              </w:rPr>
            </w:pPr>
            <w:r>
              <w:rPr>
                <w:rFonts w:ascii="Arial" w:cs="Arial" w:eastAsia="Arial" w:hAnsi="Arial"/>
                <w:sz w:val="16"/>
                <w:szCs w:val="16"/>
                <w:color w:val="auto"/>
              </w:rPr>
              <w:t>24,250</w:t>
            </w:r>
          </w:p>
        </w:tc>
        <w:tc>
          <w:tcPr>
            <w:tcW w:w="114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62 %</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Cost of revenue, net remained relatively flat with an increase of $0.1 million, or 1%, for the six months ended June 30, 2021 compared to the same period in 2020. Cost of revenue, net increased primarily due to a higher volume of payment processing fees directly related to the increase in reimbursement activity, amortization related to capitalized software as our research and development efforts continue to grow to develop new products and services, and increased outsourcing activities related to maintaining the platform. As a result of the increased outsourcing activities, we were able to refocus employee’s time on developing new products and services as part of our research and development efforts, which resulted in a decrease in employee costs that partially offset the aforementioned increases. In addition, consideration from a vendor, which represents monetizing Expensify Card activities, reduced Cost of revenue, net by $ 0.4 million and $1.1 million for the six months ended June 30, 2020 and June 30, 2021, respectively. This increase in reduction to Cost of revenue, net was driven primarily by increased adoption and spend captured from members on the Expensify Card.</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Gross margin increased to 76% for the six months ended June 30, 2021 compared to 62% in the same period in 2020. This increase was primarily driven by the 60% increase in revenue for the six months ended June 30, 2021 compared to the same period in 2020. Although revenue increased by 60% for the same period, Cost of revenue, net did not increase at the same rate due to the factors described in the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60"/>
          </w:cols>
          <w:pgMar w:left="320" w:top="1422"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Operating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2,377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5,971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3,594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Research and development expenses increased by $3.6 million, or 151%, for the six months ended June 30, 2021 compared to the same period in 2020, primarily driven by an increase in employee salaries and employee personnel directly engaged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 Our research and development expenses for the six months ended June 30, 2020 were down as a result of the increased uncertainty in the marketplace at due to the COVID-19 pandemic.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4565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160" w:type="dxa"/>
            <w:vAlign w:val="bottom"/>
          </w:tcPr>
          <w:p>
            <w:pPr>
              <w:spacing w:after="0"/>
              <w:rPr>
                <w:sz w:val="15"/>
                <w:szCs w:val="15"/>
                <w:color w:val="auto"/>
              </w:rPr>
            </w:pPr>
          </w:p>
        </w:tc>
        <w:tc>
          <w:tcPr>
            <w:tcW w:w="1000" w:type="dxa"/>
            <w:vAlign w:val="bottom"/>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Pr>
          <w:p>
            <w:pPr>
              <w:spacing w:after="0"/>
              <w:rPr>
                <w:sz w:val="15"/>
                <w:szCs w:val="15"/>
                <w:color w:val="auto"/>
              </w:rPr>
            </w:pPr>
          </w:p>
        </w:tc>
      </w:tr>
      <w:tr>
        <w:trPr>
          <w:trHeight w:val="187"/>
        </w:trPr>
        <w:tc>
          <w:tcPr>
            <w:tcW w:w="46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6,323</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6,947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87"/>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624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Sales and marketing expenses remained relatively flat, increasing by only $0.6 million, or 10%, for the six months ended June 30, 2021 compared to the same period in 2020. The increase was predominantly driven by increased advertising spend to gain further brand awareness.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10,138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17,494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7,356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General and administrative expenses increased $7.4 million, or 73%, for the six months ended June 30, 2021 compared to the same period in 2020, primarily due to increased employee compensation of our executive employees and higher professional service costs for accounting, auditing and legal services related to our annual financial statement audits and quarterly reviews.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Amount</w:t>
            </w:r>
          </w:p>
        </w:tc>
        <w:tc>
          <w:tcPr>
            <w:tcW w:w="9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3"/>
          </w:tcPr>
          <w:p>
            <w:pPr>
              <w:jc w:val="right"/>
              <w:ind w:right="67"/>
              <w:spacing w:after="0"/>
              <w:rPr>
                <w:sz w:val="20"/>
                <w:szCs w:val="20"/>
                <w:color w:val="auto"/>
              </w:rPr>
            </w:pPr>
            <w:r>
              <w:rPr>
                <w:rFonts w:ascii="Arial" w:cs="Arial" w:eastAsia="Arial" w:hAnsi="Arial"/>
                <w:sz w:val="13"/>
                <w:szCs w:val="13"/>
                <w:b w:val="1"/>
                <w:bCs w:val="1"/>
                <w:color w:val="auto"/>
              </w:rPr>
              <w:t>(in thousands, except percentages)</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(1,514)</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7"/>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Interest and other expenses, net remained relatively flat, decreasing by only $0.01 million, or 1%, for the six months ended June 30, 2021 compared to the same period in 2020. We had decreased interest expense in the six months ended June 30, 2021 as compared to the same period in 2020 due to the decrease in our outstanding principal balance for borrowings under our amortizing term loan with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320" w:top="1422"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(1,365)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(1,496)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recorded a $2.9 million provision for income taxes in the six months ended June 30, 2021 compared to a $1.4 million provision for income taxes in the six months ended June 30,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effective tax rate was 28.1% and 16.4% for the six months ended June 30, 2020 and 2021, respectively. The tax rate differed from the statutory tax rate of 21.0% for both the six months ended June 30, 2020 and 2021, respectively, primarily as a result of a discrete benefit from our federal deduction for excess stock-based compensation during 2021, stock-based compensation resulting from ISOs, state taxes as well as state tax credits for 2020.</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Our tax provisions were affected primarily by federal and state taxes in the six months ended June 30, 2020 and 2021, respectively. In the six months ended June 30, 2020, we benefited from the utilization of our U.S. federal and state net operating loss and credit carryforwards.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years ended December 31, 2019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80,460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7,612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Revenue increased $ 7.6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31,985</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32,414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429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00" w:type="dxa"/>
            <w:vAlign w:val="bottom"/>
          </w:tcPr>
          <w:p>
            <w:pPr>
              <w:jc w:val="right"/>
              <w:ind w:right="185"/>
              <w:spacing w:after="0"/>
              <w:rPr>
                <w:sz w:val="20"/>
                <w:szCs w:val="20"/>
                <w:color w:val="auto"/>
              </w:rPr>
            </w:pPr>
            <w:r>
              <w:rPr>
                <w:rFonts w:ascii="Arial" w:cs="Arial" w:eastAsia="Arial" w:hAnsi="Arial"/>
                <w:sz w:val="16"/>
                <w:szCs w:val="16"/>
                <w:color w:val="auto"/>
              </w:rPr>
              <w:t>48,475</w:t>
            </w:r>
          </w:p>
        </w:tc>
        <w:tc>
          <w:tcPr>
            <w:tcW w:w="380" w:type="dxa"/>
            <w:vAlign w:val="bottom"/>
          </w:tcPr>
          <w:p>
            <w:pPr>
              <w:spacing w:after="0"/>
              <w:rPr>
                <w:sz w:val="17"/>
                <w:szCs w:val="17"/>
                <w:color w:val="auto"/>
              </w:rPr>
            </w:pPr>
          </w:p>
        </w:tc>
        <w:tc>
          <w:tcPr>
            <w:tcW w:w="1340" w:type="dxa"/>
            <w:vAlign w:val="bottom"/>
          </w:tcPr>
          <w:p>
            <w:pPr>
              <w:jc w:val="right"/>
              <w:ind w:right="145"/>
              <w:spacing w:after="0"/>
              <w:rPr>
                <w:sz w:val="20"/>
                <w:szCs w:val="20"/>
                <w:color w:val="auto"/>
              </w:rPr>
            </w:pPr>
            <w:r>
              <w:rPr>
                <w:rFonts w:ascii="Arial" w:cs="Arial" w:eastAsia="Arial" w:hAnsi="Arial"/>
                <w:sz w:val="16"/>
                <w:szCs w:val="16"/>
                <w:color w:val="auto"/>
              </w:rPr>
              <w:t>55,658</w:t>
            </w:r>
          </w:p>
        </w:tc>
        <w:tc>
          <w:tcPr>
            <w:tcW w:w="100" w:type="dxa"/>
            <w:vAlign w:val="bottom"/>
          </w:tcPr>
          <w:p>
            <w:pPr>
              <w:spacing w:after="0"/>
              <w:rPr>
                <w:sz w:val="17"/>
                <w:szCs w:val="17"/>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4"/>
              <w:spacing w:after="0"/>
              <w:rPr>
                <w:sz w:val="20"/>
                <w:szCs w:val="20"/>
                <w:color w:val="auto"/>
              </w:rPr>
            </w:pPr>
            <w:r>
              <w:rPr>
                <w:rFonts w:ascii="Arial" w:cs="Arial" w:eastAsia="Arial" w:hAnsi="Arial"/>
                <w:sz w:val="16"/>
                <w:szCs w:val="16"/>
                <w:color w:val="auto"/>
                <w:w w:val="99"/>
              </w:rPr>
              <w:t>7,183</w:t>
            </w: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60"/>
          </w:cols>
          <w:pgMar w:left="320" w:top="1422" w:right="319" w:bottom="1440" w:gutter="0" w:footer="0" w:header="0"/>
        </w:sectPr>
      </w:pPr>
    </w:p>
    <w:bookmarkStart w:id="106" w:name="page107"/>
    <w:bookmarkEnd w:id="106"/>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Cost of revenue, net remained relatively flat with an increase of $0.4 million, or 1%, in 2020 compared to 2019. The increase was primarily driven by increased compensation to employees and higher costs for outsourced support and onboarding agents as we ramped up these outsource teams to provide for faster and higher levels of customer support. We also began to use outsourced engineering resources to speed up our development cycles in 2020, unlike in prior periods. These increases were partially offset by a decrease in SmartScan costs primarily driven by a decrease in receipts scanned by members due to lower travel and business spending during the COVID-19 pandemic. In addition, consideration from a vendor, which represents monetizing Expensify Card activities, reduced Cost of revenue, net by $0.03 million and $1.0 million for the years ended December 31, 2019 and 2020, respectively.</w:t>
      </w:r>
    </w:p>
    <w:p>
      <w:pPr>
        <w:spacing w:after="0" w:line="109"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Gross margin increased to 63% in 2020 compared to 60% in the same period in 2019. This increase was primarily driven by the 9% increase in revenue in 2020 compared to the same period in 2019. Although revenue increased by 9% for the same period, Cost of revenue, net did not increase at the same rate due to the factors described in the preceding paragraph.</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4,110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2,618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Research and development expenses increased by $2.6 million, or 64%, in 2020 compared to 2019, primarily driven by an increase in employee salaries and employee personnel directly involved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4565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bottom w:val="single" w:sz="8" w:color="auto"/>
            </w:tcBorders>
          </w:tcPr>
          <w:p>
            <w:pPr>
              <w:spacing w:after="0"/>
              <w:rPr>
                <w:sz w:val="15"/>
                <w:szCs w:val="15"/>
                <w:color w:val="auto"/>
              </w:rPr>
            </w:pPr>
          </w:p>
        </w:tc>
      </w:tr>
      <w:tr>
        <w:trPr>
          <w:trHeight w:val="192"/>
        </w:trPr>
        <w:tc>
          <w:tcPr>
            <w:tcW w:w="4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80" w:type="dxa"/>
            <w:vAlign w:val="bottom"/>
            <w:gridSpan w:val="5"/>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27,188</w:t>
            </w:r>
          </w:p>
        </w:tc>
        <w:tc>
          <w:tcPr>
            <w:tcW w:w="1060" w:type="dxa"/>
            <w:vAlign w:val="bottom"/>
            <w:shd w:val="clear" w:color="auto" w:fill="CCEEFF"/>
          </w:tcPr>
          <w:p>
            <w:pPr>
              <w:jc w:val="right"/>
              <w:ind w:right="81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(17,300)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49"/>
        </w:trPr>
        <w:tc>
          <w:tcPr>
            <w:tcW w:w="4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Sales and marketing expenses decreased $17.3 million, or 64%, in 2020 compared to 2019 primarily due to reduced advertising expenses. In 2019, we ran our first Super Bowl commercial, which we did not repeat in 2020. Following an Expensify Card launch advertising campaign during the first three months of 2020, we aggressively reduced our advertising and other sales and marketing expenses for the remainder of 2020 due to the impact of the COVID-19 pandemic.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15,930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33,372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17,442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General and administrative expenses increased $17.4 million, or 109%, in 2020 compared to 2019, primarily due to increased employee compensation which was driven by the secondary market sale of equity by our executive employees facilitated by us, and higher professional service costs for accounting, auditing and legal services related to our initial public offering preparation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60"/>
          </w:cols>
          <w:pgMar w:left="320" w:top="1440"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gridSpan w:val="3"/>
          </w:tcPr>
          <w:p>
            <w:pPr>
              <w:jc w:val="right"/>
              <w:ind w:right="27"/>
              <w:spacing w:after="0"/>
              <w:rPr>
                <w:sz w:val="20"/>
                <w:szCs w:val="20"/>
                <w:color w:val="auto"/>
              </w:rPr>
            </w:pPr>
            <w:r>
              <w:rPr>
                <w:rFonts w:ascii="Arial" w:cs="Arial" w:eastAsia="Arial" w:hAnsi="Arial"/>
                <w:sz w:val="13"/>
                <w:szCs w:val="13"/>
                <w:b w:val="1"/>
                <w:bCs w:val="1"/>
                <w:color w:val="auto"/>
              </w:rPr>
              <w:t>(in thousands, except percentages)</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(2,757)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7"/>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39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as a result of our decreased outstanding principal balance in 2020 for the borrowings under our amortizing term loan with CIBC.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2,751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(7,413)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2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Our effective tax rate was 181.9% and 157.9% for the years ended December 31, 2019 and 2020, respectively. The tax rate differed from the statutory tax rate of 21.0% primarily as a result of a valuation allowance release and state taxes for 2019 and stock-based compensation resulting from a secondary market sale and ISOs and state taxes for 2020.</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stock-based compensation and recorded a corresponding income tax benefit as described in “Note 10. Income Taxes” in the notes to our consolidated financial statements. Our release of the valuation allowance led to a $1.2 million net income in 2019.</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2020, we had a $ 15.3 million stock-based compensation expense in the fourth quarter resulting primarily from a secondary market sale. There was no cash impact related to this secondary market sale expense. Because this expense was not tax deductible, it had the effect of increasing our effective tax rate in 2020.</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both 2019 and 2020, we benefited from the utilization of our U.S. federal and state net operating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60"/>
          </w:cols>
          <w:pgMar w:left="320" w:top="1422" w:right="319" w:bottom="1440" w:gutter="0" w:footer="0" w:header="0"/>
        </w:sectPr>
      </w:pPr>
    </w:p>
    <w:bookmarkStart w:id="108" w:name="page109"/>
    <w:bookmarkEnd w:id="108"/>
    <w:p>
      <w:pPr>
        <w:ind w:left="3"/>
        <w:spacing w:after="0"/>
        <w:rPr>
          <w:sz w:val="20"/>
          <w:szCs w:val="20"/>
          <w:color w:val="auto"/>
        </w:rPr>
      </w:pPr>
      <w:r>
        <w:rPr>
          <w:rFonts w:ascii="Arial" w:cs="Arial" w:eastAsia="Arial" w:hAnsi="Arial"/>
          <w:sz w:val="19"/>
          <w:szCs w:val="19"/>
          <w:b w:val="1"/>
          <w:bCs w:val="1"/>
          <w:color w:val="auto"/>
        </w:rPr>
        <w:t>Quarterly results of operations</w:t>
      </w:r>
    </w:p>
    <w:p>
      <w:pPr>
        <w:spacing w:after="0" w:line="152" w:lineRule="exact"/>
        <w:rPr>
          <w:sz w:val="20"/>
          <w:szCs w:val="20"/>
          <w:color w:val="auto"/>
        </w:rPr>
      </w:pPr>
    </w:p>
    <w:p>
      <w:pPr>
        <w:ind w:left="3" w:right="240"/>
        <w:spacing w:after="0" w:line="257" w:lineRule="auto"/>
        <w:rPr>
          <w:sz w:val="20"/>
          <w:szCs w:val="20"/>
          <w:color w:val="auto"/>
        </w:rPr>
      </w:pPr>
      <w:r>
        <w:rPr>
          <w:rFonts w:ascii="Arial" w:cs="Arial" w:eastAsia="Arial" w:hAnsi="Arial"/>
          <w:sz w:val="16"/>
          <w:szCs w:val="16"/>
          <w:color w:val="auto"/>
        </w:rPr>
        <w:t>The following tables present our unaudited consolidated statements of operations for each of the last ten quarters through the period ended June 30, 2021.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consolidated statements of income:</w:t>
      </w:r>
    </w:p>
    <w:p>
      <w:pPr>
        <w:spacing w:after="0" w:line="170" w:lineRule="exact"/>
        <w:rPr>
          <w:sz w:val="20"/>
          <w:szCs w:val="20"/>
          <w:color w:val="auto"/>
        </w:rPr>
      </w:pPr>
    </w:p>
    <w:tbl>
      <w:tblPr>
        <w:tblLayout w:type="fixed"/>
        <w:tblInd w:w="3" w:type="dxa"/>
        <w:tblCellMar>
          <w:top w:w="0" w:type="dxa"/>
          <w:left w:w="0" w:type="dxa"/>
          <w:bottom w:w="0" w:type="dxa"/>
          <w:right w:w="0" w:type="dxa"/>
        </w:tblCellMar>
      </w:tblPr>
      <w:tr>
        <w:trPr>
          <w:trHeight w:val="163"/>
        </w:trPr>
        <w:tc>
          <w:tcPr>
            <w:tcW w:w="15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3"/>
          </w:tcPr>
          <w:p>
            <w:pPr>
              <w:jc w:val="right"/>
              <w:ind w:right="283"/>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r>
      <w:tr>
        <w:trPr>
          <w:trHeight w:val="138"/>
        </w:trPr>
        <w:tc>
          <w:tcPr>
            <w:tcW w:w="150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auto"/>
              </w:rPr>
              <w:t>March 31, 2019</w:t>
            </w:r>
          </w:p>
        </w:tc>
        <w:tc>
          <w:tcPr>
            <w:tcW w:w="8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rPr>
              <w:t>June 30, 2019</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6"/>
              </w:rPr>
              <w:t>September 30, 2019</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w w:val="95"/>
              </w:rPr>
              <w:t>December 31, 2019</w:t>
            </w:r>
          </w:p>
        </w:tc>
        <w:tc>
          <w:tcPr>
            <w:tcW w:w="8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0"/>
                <w:szCs w:val="10"/>
                <w:b w:val="1"/>
                <w:bCs w:val="1"/>
                <w:color w:val="auto"/>
              </w:rPr>
              <w:t>March 31, 2020</w:t>
            </w:r>
          </w:p>
        </w:tc>
        <w:tc>
          <w:tcPr>
            <w:tcW w:w="8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rPr>
              <w:t>June 30, 2020</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6"/>
              </w:rPr>
              <w:t>September 30, 2020</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5"/>
              </w:rPr>
              <w:t>December 31, 2020</w:t>
            </w: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March 31, 2021</w:t>
            </w:r>
          </w:p>
        </w:tc>
        <w:tc>
          <w:tcPr>
            <w:tcW w:w="7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b w:val="1"/>
                <w:bCs w:val="1"/>
                <w:color w:val="auto"/>
              </w:rPr>
              <w:t>June 30, 2021</w:t>
            </w:r>
          </w:p>
        </w:tc>
      </w:tr>
      <w:tr>
        <w:trPr>
          <w:trHeight w:val="155"/>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ind w:right="363"/>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2"/>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18,097</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19,759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20,531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22,073</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21,888</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18,753</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21,694</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25,737</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35,304</w:t>
            </w:r>
          </w:p>
        </w:tc>
      </w:tr>
      <w:tr>
        <w:trPr>
          <w:trHeight w:val="158"/>
        </w:trPr>
        <w:tc>
          <w:tcPr>
            <w:tcW w:w="15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1"/>
                <w:szCs w:val="11"/>
                <w:color w:val="auto"/>
              </w:rPr>
              <w:t>Cost of revenue, net</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7,560</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7,720</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8,019</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8,686</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7,854</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7,584</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8,443</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8,533</w:t>
            </w: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7,637</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7,934</w:t>
            </w:r>
          </w:p>
        </w:tc>
      </w:tr>
      <w:tr>
        <w:trPr>
          <w:trHeight w:val="151"/>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w:t>
            </w: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10,537</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12,039</w:t>
            </w: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12,512</w:t>
            </w:r>
          </w:p>
        </w:tc>
        <w:tc>
          <w:tcPr>
            <w:tcW w:w="1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13,387</w:t>
            </w: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14,034</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11,169</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13,251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17,204</w:t>
            </w:r>
          </w:p>
        </w:tc>
        <w:tc>
          <w:tcPr>
            <w:tcW w:w="2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22,083</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27,370</w:t>
            </w:r>
          </w:p>
        </w:tc>
      </w:tr>
      <w:tr>
        <w:trPr>
          <w:trHeight w:val="131"/>
        </w:trPr>
        <w:tc>
          <w:tcPr>
            <w:tcW w:w="1500" w:type="dxa"/>
            <w:vAlign w:val="bottom"/>
          </w:tcPr>
          <w:p>
            <w:pPr>
              <w:ind w:left="20"/>
              <w:spacing w:after="0" w:line="124" w:lineRule="exact"/>
              <w:rPr>
                <w:sz w:val="20"/>
                <w:szCs w:val="20"/>
                <w:color w:val="auto"/>
              </w:rPr>
            </w:pPr>
            <w:r>
              <w:rPr>
                <w:rFonts w:ascii="Arial" w:cs="Arial" w:eastAsia="Arial" w:hAnsi="Arial"/>
                <w:sz w:val="11"/>
                <w:szCs w:val="11"/>
                <w:color w:val="auto"/>
              </w:rPr>
              <w:t>Operating expenses: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7"/>
        </w:trPr>
        <w:tc>
          <w:tcPr>
            <w:tcW w:w="150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Research and</w:t>
            </w: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8"/>
        </w:trPr>
        <w:tc>
          <w:tcPr>
            <w:tcW w:w="1500" w:type="dxa"/>
            <w:vAlign w:val="bottom"/>
            <w:shd w:val="clear" w:color="auto" w:fill="CCEEFF"/>
          </w:tcPr>
          <w:p>
            <w:pPr>
              <w:ind w:left="160"/>
              <w:spacing w:after="0" w:line="159" w:lineRule="exact"/>
              <w:rPr>
                <w:sz w:val="20"/>
                <w:szCs w:val="20"/>
                <w:color w:val="auto"/>
              </w:rPr>
            </w:pPr>
            <w:r>
              <w:rPr>
                <w:rFonts w:ascii="Arial" w:cs="Arial" w:eastAsia="Arial" w:hAnsi="Arial"/>
                <w:sz w:val="11"/>
                <w:szCs w:val="11"/>
                <w:color w:val="auto"/>
              </w:rPr>
              <w:t>development</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650</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783</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1,229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1,448</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928</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1,449</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2,268</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2,083</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4,874</w:t>
            </w:r>
          </w:p>
        </w:tc>
      </w:tr>
      <w:tr>
        <w:trPr>
          <w:trHeight w:val="158"/>
        </w:trPr>
        <w:tc>
          <w:tcPr>
            <w:tcW w:w="1500" w:type="dxa"/>
            <w:vAlign w:val="bottom"/>
          </w:tcPr>
          <w:p>
            <w:pPr>
              <w:ind w:left="20"/>
              <w:spacing w:after="0" w:line="159"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4"/>
                <w:szCs w:val="14"/>
                <w:color w:val="auto"/>
                <w:vertAlign w:val="superscript"/>
              </w:rPr>
              <w:t>(1)</w:t>
            </w:r>
          </w:p>
        </w:tc>
        <w:tc>
          <w:tcPr>
            <w:tcW w:w="22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2,984</w:t>
            </w:r>
          </w:p>
        </w:tc>
        <w:tc>
          <w:tcPr>
            <w:tcW w:w="260" w:type="dxa"/>
            <w:vAlign w:val="bottom"/>
          </w:tcPr>
          <w:p>
            <w:pPr>
              <w:spacing w:after="0"/>
              <w:rPr>
                <w:sz w:val="13"/>
                <w:szCs w:val="13"/>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4,087</w:t>
            </w:r>
          </w:p>
        </w:tc>
        <w:tc>
          <w:tcPr>
            <w:tcW w:w="120" w:type="dxa"/>
            <w:vAlign w:val="bottom"/>
          </w:tcPr>
          <w:p>
            <w:pPr>
              <w:spacing w:after="0"/>
              <w:rPr>
                <w:sz w:val="13"/>
                <w:szCs w:val="13"/>
                <w:color w:val="auto"/>
              </w:rPr>
            </w:pPr>
          </w:p>
        </w:tc>
        <w:tc>
          <w:tcPr>
            <w:tcW w:w="1080" w:type="dxa"/>
            <w:vAlign w:val="bottom"/>
          </w:tcPr>
          <w:p>
            <w:pPr>
              <w:jc w:val="right"/>
              <w:ind w:right="44"/>
              <w:spacing w:after="0"/>
              <w:rPr>
                <w:sz w:val="20"/>
                <w:szCs w:val="20"/>
                <w:color w:val="auto"/>
              </w:rPr>
            </w:pPr>
            <w:r>
              <w:rPr>
                <w:rFonts w:ascii="Arial" w:cs="Arial" w:eastAsia="Arial" w:hAnsi="Arial"/>
                <w:sz w:val="11"/>
                <w:szCs w:val="11"/>
                <w:color w:val="auto"/>
              </w:rPr>
              <w:t>4,128</w:t>
            </w:r>
          </w:p>
        </w:tc>
        <w:tc>
          <w:tcPr>
            <w:tcW w:w="12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4,731</w:t>
            </w:r>
          </w:p>
        </w:tc>
        <w:tc>
          <w:tcPr>
            <w:tcW w:w="260" w:type="dxa"/>
            <w:vAlign w:val="bottom"/>
          </w:tcPr>
          <w:p>
            <w:pPr>
              <w:spacing w:after="0"/>
              <w:rPr>
                <w:sz w:val="13"/>
                <w:szCs w:val="13"/>
                <w:color w:val="auto"/>
              </w:rPr>
            </w:pPr>
          </w:p>
        </w:tc>
        <w:tc>
          <w:tcPr>
            <w:tcW w:w="600" w:type="dxa"/>
            <w:vAlign w:val="bottom"/>
          </w:tcPr>
          <w:p>
            <w:pPr>
              <w:jc w:val="right"/>
              <w:ind w:right="44"/>
              <w:spacing w:after="0"/>
              <w:rPr>
                <w:sz w:val="20"/>
                <w:szCs w:val="20"/>
                <w:color w:val="auto"/>
              </w:rPr>
            </w:pPr>
            <w:r>
              <w:rPr>
                <w:rFonts w:ascii="Arial" w:cs="Arial" w:eastAsia="Arial" w:hAnsi="Arial"/>
                <w:sz w:val="11"/>
                <w:szCs w:val="11"/>
                <w:color w:val="auto"/>
              </w:rPr>
              <w:t>4,483</w:t>
            </w:r>
          </w:p>
        </w:tc>
        <w:tc>
          <w:tcPr>
            <w:tcW w:w="26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5,655</w:t>
            </w:r>
          </w:p>
        </w:tc>
        <w:tc>
          <w:tcPr>
            <w:tcW w:w="140" w:type="dxa"/>
            <w:vAlign w:val="bottom"/>
          </w:tcPr>
          <w:p>
            <w:pPr>
              <w:spacing w:after="0"/>
              <w:rPr>
                <w:sz w:val="13"/>
                <w:szCs w:val="13"/>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14,579</w:t>
            </w:r>
          </w:p>
        </w:tc>
        <w:tc>
          <w:tcPr>
            <w:tcW w:w="140" w:type="dxa"/>
            <w:vAlign w:val="bottom"/>
          </w:tcPr>
          <w:p>
            <w:pPr>
              <w:spacing w:after="0"/>
              <w:rPr>
                <w:sz w:val="13"/>
                <w:szCs w:val="13"/>
                <w:color w:val="auto"/>
              </w:rPr>
            </w:pP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8,655</w:t>
            </w:r>
          </w:p>
        </w:tc>
        <w:tc>
          <w:tcPr>
            <w:tcW w:w="2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6,367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11,127</w:t>
            </w:r>
          </w:p>
        </w:tc>
      </w:tr>
      <w:tr>
        <w:trPr>
          <w:trHeight w:val="158"/>
        </w:trPr>
        <w:tc>
          <w:tcPr>
            <w:tcW w:w="150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Sales and marketing</w:t>
            </w:r>
            <w:r>
              <w:rPr>
                <w:rFonts w:ascii="Arial" w:cs="Arial" w:eastAsia="Arial" w:hAnsi="Arial"/>
                <w:sz w:val="14"/>
                <w:szCs w:val="14"/>
                <w:color w:val="auto"/>
                <w:vertAlign w:val="superscript"/>
              </w:rPr>
              <w:t>(1)</w:t>
            </w: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14,662</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6,809</w:t>
            </w: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2,586</w:t>
            </w:r>
          </w:p>
        </w:tc>
        <w:tc>
          <w:tcPr>
            <w:tcW w:w="1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3,131</w:t>
            </w: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3,349</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2,974</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1,491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2,074</w:t>
            </w:r>
          </w:p>
        </w:tc>
        <w:tc>
          <w:tcPr>
            <w:tcW w:w="2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3,077</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3,870</w:t>
            </w:r>
          </w:p>
        </w:tc>
      </w:tr>
      <w:tr>
        <w:trPr>
          <w:trHeight w:val="143"/>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18,296</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11,679</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7,943</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9,310</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8,760</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10,078</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18,338</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12,812</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10,541</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19,871</w:t>
            </w:r>
          </w:p>
        </w:tc>
      </w:tr>
      <w:tr>
        <w:trPr>
          <w:trHeight w:val="158"/>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operations</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(7,759)</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360</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4,569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4,077</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5,274</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1,091</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(5,087)</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4,392</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11,542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7,499</w:t>
            </w:r>
          </w:p>
        </w:tc>
      </w:tr>
      <w:tr>
        <w:trPr>
          <w:trHeight w:val="116"/>
        </w:trPr>
        <w:tc>
          <w:tcPr>
            <w:tcW w:w="1500" w:type="dxa"/>
            <w:vAlign w:val="bottom"/>
          </w:tcPr>
          <w:p>
            <w:pPr>
              <w:ind w:left="20"/>
              <w:spacing w:after="0" w:line="116" w:lineRule="exact"/>
              <w:rPr>
                <w:sz w:val="20"/>
                <w:szCs w:val="20"/>
                <w:color w:val="auto"/>
              </w:rPr>
            </w:pPr>
            <w:r>
              <w:rPr>
                <w:rFonts w:ascii="Arial" w:cs="Arial" w:eastAsia="Arial" w:hAnsi="Arial"/>
                <w:sz w:val="11"/>
                <w:szCs w:val="11"/>
                <w:color w:val="auto"/>
              </w:rPr>
              <w:t>Interest and other expenses,</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net</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(652)</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(813)</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(764)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(750)</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(646)</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(558)</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(769)</w:t>
            </w:r>
          </w:p>
        </w:tc>
      </w:tr>
      <w:tr>
        <w:trPr>
          <w:trHeight w:val="104"/>
        </w:trPr>
        <w:tc>
          <w:tcPr>
            <w:tcW w:w="150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(Loss) income before income</w:t>
            </w: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52"/>
        </w:trPr>
        <w:tc>
          <w:tcPr>
            <w:tcW w:w="15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(8,377)</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(292)</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3,895</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3,264</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4,510</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341</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(5,733)</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3,834</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6,730</w:t>
            </w:r>
          </w:p>
        </w:tc>
      </w:tr>
      <w:tr>
        <w:trPr>
          <w:trHeight w:val="116"/>
        </w:trPr>
        <w:tc>
          <w:tcPr>
            <w:tcW w:w="1500" w:type="dxa"/>
            <w:vAlign w:val="bottom"/>
          </w:tcPr>
          <w:p>
            <w:pPr>
              <w:ind w:left="20"/>
              <w:spacing w:after="0" w:line="116" w:lineRule="exact"/>
              <w:rPr>
                <w:sz w:val="20"/>
                <w:szCs w:val="20"/>
                <w:color w:val="auto"/>
              </w:rPr>
            </w:pPr>
            <w:r>
              <w:rPr>
                <w:rFonts w:ascii="Arial" w:cs="Arial" w:eastAsia="Arial" w:hAnsi="Arial"/>
                <w:sz w:val="11"/>
                <w:szCs w:val="11"/>
                <w:color w:val="auto"/>
              </w:rPr>
              <w:t>Benefit (provision) for income</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2,795</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(1,224)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(141)</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(1,205)</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(2,092)</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(2,762)</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w:t>
            </w:r>
          </w:p>
        </w:tc>
      </w:tr>
      <w:tr>
        <w:trPr>
          <w:trHeight w:val="183"/>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(8,402)</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3,874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6,059</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3,286</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(6,938)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1,742</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6,631</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83" w:hanging="283"/>
        <w:spacing w:after="0"/>
        <w:tabs>
          <w:tab w:leader="none" w:pos="283"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53"/>
        </w:trPr>
        <w:tc>
          <w:tcPr>
            <w:tcW w:w="90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4"/>
          </w:tcPr>
          <w:p>
            <w:pPr>
              <w:jc w:val="center"/>
              <w:ind w:left="327"/>
              <w:spacing w:after="0"/>
              <w:rPr>
                <w:sz w:val="20"/>
                <w:szCs w:val="20"/>
                <w:color w:val="auto"/>
              </w:rPr>
            </w:pPr>
            <w:r>
              <w:rPr>
                <w:rFonts w:ascii="Arial" w:cs="Arial" w:eastAsia="Arial" w:hAnsi="Arial"/>
                <w:sz w:val="9"/>
                <w:szCs w:val="9"/>
                <w:b w:val="1"/>
                <w:bCs w:val="1"/>
                <w:color w:val="auto"/>
                <w:w w:val="97"/>
              </w:rPr>
              <w:t>Three months ended</w:t>
            </w: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92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March 31,</w:t>
            </w: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2019</w:t>
            </w:r>
          </w:p>
        </w:tc>
        <w:tc>
          <w:tcPr>
            <w:tcW w:w="380" w:type="dxa"/>
            <w:vAlign w:val="bottom"/>
          </w:tcPr>
          <w:p>
            <w:pPr>
              <w:spacing w:after="0"/>
              <w:rPr>
                <w:sz w:val="8"/>
                <w:szCs w:val="8"/>
                <w:color w:val="auto"/>
              </w:rPr>
            </w:pPr>
          </w:p>
        </w:tc>
        <w:tc>
          <w:tcPr>
            <w:tcW w:w="62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500" w:type="dxa"/>
            <w:vAlign w:val="bottom"/>
          </w:tcPr>
          <w:p>
            <w:pPr>
              <w:jc w:val="right"/>
              <w:ind w:right="27"/>
              <w:spacing w:after="0" w:line="95" w:lineRule="exact"/>
              <w:rPr>
                <w:sz w:val="20"/>
                <w:szCs w:val="20"/>
                <w:color w:val="auto"/>
              </w:rPr>
            </w:pPr>
            <w:r>
              <w:rPr>
                <w:rFonts w:ascii="Arial" w:cs="Arial" w:eastAsia="Arial" w:hAnsi="Arial"/>
                <w:sz w:val="9"/>
                <w:szCs w:val="9"/>
                <w:b w:val="1"/>
                <w:bCs w:val="1"/>
                <w:color w:val="auto"/>
                <w:w w:val="96"/>
              </w:rPr>
              <w:t>March 31,</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2020</w:t>
            </w:r>
          </w:p>
        </w:tc>
        <w:tc>
          <w:tcPr>
            <w:tcW w:w="380" w:type="dxa"/>
            <w:vAlign w:val="bottom"/>
          </w:tcPr>
          <w:p>
            <w:pPr>
              <w:spacing w:after="0"/>
              <w:rPr>
                <w:sz w:val="8"/>
                <w:szCs w:val="8"/>
                <w:color w:val="auto"/>
              </w:rPr>
            </w:pPr>
          </w:p>
        </w:tc>
        <w:tc>
          <w:tcPr>
            <w:tcW w:w="78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60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March 31,</w:t>
            </w:r>
          </w:p>
        </w:tc>
        <w:tc>
          <w:tcPr>
            <w:tcW w:w="920" w:type="dxa"/>
            <w:vAlign w:val="bottom"/>
            <w:gridSpan w:val="2"/>
            <w:vMerge w:val="restart"/>
          </w:tcPr>
          <w:p>
            <w:pPr>
              <w:ind w:left="320"/>
              <w:spacing w:after="0"/>
              <w:rPr>
                <w:sz w:val="20"/>
                <w:szCs w:val="20"/>
                <w:color w:val="auto"/>
              </w:rPr>
            </w:pPr>
            <w:r>
              <w:rPr>
                <w:rFonts w:ascii="Arial" w:cs="Arial" w:eastAsia="Arial" w:hAnsi="Arial"/>
                <w:sz w:val="9"/>
                <w:szCs w:val="9"/>
                <w:b w:val="1"/>
                <w:bCs w:val="1"/>
                <w:color w:val="auto"/>
                <w:w w:val="98"/>
              </w:rPr>
              <w:t>June 30, 2021</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9"/>
                <w:szCs w:val="9"/>
                <w:b w:val="1"/>
                <w:bCs w:val="1"/>
                <w:color w:val="auto"/>
              </w:rPr>
              <w:t>2019</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9"/>
                <w:szCs w:val="9"/>
                <w:b w:val="1"/>
                <w:bCs w:val="1"/>
                <w:color w:val="auto"/>
              </w:rPr>
              <w:t>30, 2019</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89"/>
              </w:rPr>
              <w:t>2019</w:t>
            </w: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9"/>
                <w:szCs w:val="9"/>
                <w:b w:val="1"/>
                <w:bCs w:val="1"/>
                <w:color w:val="auto"/>
              </w:rPr>
              <w:t>2020</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87"/>
              <w:spacing w:after="0"/>
              <w:rPr>
                <w:sz w:val="20"/>
                <w:szCs w:val="20"/>
                <w:color w:val="auto"/>
              </w:rPr>
            </w:pPr>
            <w:r>
              <w:rPr>
                <w:rFonts w:ascii="Arial" w:cs="Arial" w:eastAsia="Arial" w:hAnsi="Arial"/>
                <w:sz w:val="9"/>
                <w:szCs w:val="9"/>
                <w:b w:val="1"/>
                <w:bCs w:val="1"/>
                <w:color w:val="auto"/>
              </w:rPr>
              <w:t>2020</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99"/>
              </w:rPr>
              <w:t>2020</w:t>
            </w: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9"/>
                <w:szCs w:val="9"/>
                <w:b w:val="1"/>
                <w:bCs w:val="1"/>
                <w:color w:val="auto"/>
              </w:rPr>
              <w:t>2021</w:t>
            </w: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3"/>
          </w:tcPr>
          <w:p>
            <w:pPr>
              <w:jc w:val="center"/>
              <w:ind w:right="75"/>
              <w:spacing w:after="0"/>
              <w:rPr>
                <w:sz w:val="20"/>
                <w:szCs w:val="20"/>
                <w:color w:val="auto"/>
              </w:rPr>
            </w:pPr>
            <w:r>
              <w:rPr>
                <w:rFonts w:ascii="Arial" w:cs="Arial" w:eastAsia="Arial" w:hAnsi="Arial"/>
                <w:sz w:val="9"/>
                <w:szCs w:val="9"/>
                <w:b w:val="1"/>
                <w:bCs w:val="1"/>
                <w:color w:val="auto"/>
                <w:w w:val="99"/>
              </w:rPr>
              <w:t>(in thousands)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Cost of</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net</w:t>
            </w:r>
          </w:p>
        </w:tc>
        <w:tc>
          <w:tcPr>
            <w:tcW w:w="600" w:type="dxa"/>
            <w:vAlign w:val="bottom"/>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513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157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Research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Pr>
          <w:p>
            <w:pPr>
              <w:ind w:left="180"/>
              <w:spacing w:after="0"/>
              <w:rPr>
                <w:sz w:val="20"/>
                <w:szCs w:val="20"/>
                <w:color w:val="auto"/>
              </w:rPr>
            </w:pPr>
            <w:r>
              <w:rPr>
                <w:rFonts w:ascii="Arial" w:cs="Arial" w:eastAsia="Arial" w:hAnsi="Arial"/>
                <w:sz w:val="11"/>
                <w:szCs w:val="11"/>
                <w:color w:val="auto"/>
              </w:rPr>
              <w:t>development</w:t>
            </w:r>
          </w:p>
        </w:tc>
        <w:tc>
          <w:tcPr>
            <w:tcW w:w="600" w:type="dxa"/>
            <w:vAlign w:val="bottom"/>
          </w:tcPr>
          <w:p>
            <w:pPr>
              <w:spacing w:after="0"/>
              <w:rPr>
                <w:sz w:val="12"/>
                <w:szCs w:val="12"/>
                <w:color w:val="auto"/>
              </w:rPr>
            </w:pPr>
          </w:p>
        </w:tc>
        <w:tc>
          <w:tcPr>
            <w:tcW w:w="26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540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w w:val="97"/>
              </w:rPr>
              <w:t>143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1,167</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4"/>
        </w:trPr>
        <w:tc>
          <w:tcPr>
            <w:tcW w:w="9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General and</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administrative</w:t>
            </w: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968</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238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2,443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Sales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marketing</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234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284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04"/>
        </w:trPr>
        <w:tc>
          <w:tcPr>
            <w:tcW w:w="90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Total stock-</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based</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compensation</w:t>
            </w:r>
          </w:p>
        </w:tc>
        <w:tc>
          <w:tcPr>
            <w:tcW w:w="600" w:type="dxa"/>
            <w:vAlign w:val="bottom"/>
            <w:vMerge w:val="restart"/>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73</w:t>
            </w: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551</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608</w:t>
            </w: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2,255</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598</w:t>
            </w:r>
          </w:p>
        </w:tc>
        <w:tc>
          <w:tcPr>
            <w:tcW w:w="780" w:type="dxa"/>
            <w:vAlign w:val="bottom"/>
            <w:gridSpan w:val="3"/>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588</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11,765</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4,886</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710</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888</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expense</w:t>
            </w:r>
          </w:p>
        </w:tc>
        <w:tc>
          <w:tcPr>
            <w:tcW w:w="60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780" w:type="dxa"/>
            <w:vAlign w:val="bottom"/>
            <w:gridSpan w:val="3"/>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revenue trends</w:t>
      </w:r>
    </w:p>
    <w:p>
      <w:pPr>
        <w:spacing w:after="0" w:line="165"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Our revenue in each of the quarters presented predominantly increased consecutively over periods presented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43"/>
          </w:cols>
          <w:pgMar w:left="317" w:top="1425" w:right="239" w:bottom="1440" w:gutter="0" w:footer="0" w:header="0"/>
        </w:sectPr>
      </w:pPr>
    </w:p>
    <w:bookmarkStart w:id="109" w:name="page110"/>
    <w:bookmarkEnd w:id="109"/>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Expensify Card in connection with our expense management platform for 50% or more of their approved expenses. All new customers beginning on May 1, 2020, were subject to this pricing change. Our revenue was adversely affected by the COVID-19 pandemic in the quarter ended June 30, 2020, particularly due to the decrease in business travel, which is a significant use case for our platform, but this adverse impact was mitigated by the prevalence of our annual contracts and minimum user requirements in those contracts.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cost of revenue, net trends</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cost of revenue, net increased throughout all quarters in 2019 as a result of increased demand for our product and increased support costs associated with that demand. In 2020, this spend was offset by a decrease in receipts scanned by members due to lower travel and business spending during the COVID-19 pandemic, resulting in cost of revenue, net remaining relatively flat over the quarters presented through June 2020. The third and fourth quarters of 2020 increased at a higher rate due to stock-based compensation costs related to a secondary market sale of employee shares facilitated by us. In 2021, cost of revenue, net remained relatively flat as we continued to refocus employee’s time to developing new products and services while relying on increased outsourcing activities to maintain the platform. Starting with the fourth quarter of 2019, our cost of revenue, net has been partially offset by increasing consideration received from a vendor for monetization of transactions from the Expensify Card.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operating expenses trends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research and development expenses predominantly increased in each of the quarters presented primarily due to an increased effort to develop new and updated features, products and services that are central to our core business strategy and increasing our personnel-related costs to meet this focused investment into research and development.</w:t>
      </w:r>
    </w:p>
    <w:p>
      <w:pPr>
        <w:spacing w:after="0" w:line="11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general and administrative expenses predominantly increased consecutively over all periods due to the overall growth of our business and higher professional service costs for accounting, auditing and legal services related to our annual financial statement audits. This also includes increases in personnel-related costs, including stock-based compensation expense, for existing and new employees offset by a decrease in travel and event spend due to the COVID-19 pandemic. The third and fourth quarters of 2020 increased at a higher rate due to stock-based compensation costs related to a secondary market sale of employee shares facilitated by us.</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sales and marketing expenses in the first two quarters of 2019 reflect an increase in costs associated with our Super Bowl campaign. The first quarter of 2020 reflects an increase in expenses associated with product advertising campaigns, however starting in the second quarter of 2020, we aggressively reduced our advertising and other sales and marketing expenses due to the impact of the COVID-19 pandemic. In 2021, quarters presented reflect an increase in expenses associated with advertising campaigns targeted towards brand awareness.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interest and other expenses, net trends</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other income (expense), net increased throughout all quarters in 2019 as a result of an increase in interest expense related to our line of credit, term loans and amortizing mortgage. In 2020, this expense was partially offset primarily due to favorable impact from foreign exchange rates, which stabilized by the six months ended June 30, 2021.</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2"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helps illustrate underlying trends in our business that could otherwise be masked by the effect of the income or expenses that are not indicative of the core operating performance of our business.</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7,579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Limitations and reconciliations of non-GAAP financial measures</w:t>
      </w:r>
    </w:p>
    <w:p>
      <w:pPr>
        <w:spacing w:after="0" w:line="15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1" w:lineRule="exact"/>
        <w:rPr>
          <w:sz w:val="20"/>
          <w:szCs w:val="20"/>
          <w:color w:val="auto"/>
        </w:rPr>
      </w:pPr>
    </w:p>
    <w:p>
      <w:pPr>
        <w:ind w:left="3" w:right="1740"/>
        <w:spacing w:after="0" w:line="437" w:lineRule="auto"/>
        <w:rPr>
          <w:sz w:val="20"/>
          <w:szCs w:val="20"/>
          <w:color w:val="auto"/>
        </w:rPr>
      </w:pPr>
      <w:r>
        <w:rPr>
          <w:rFonts w:ascii="Arial" w:cs="Arial" w:eastAsia="Arial" w:hAnsi="Arial"/>
          <w:sz w:val="16"/>
          <w:szCs w:val="16"/>
          <w:color w:val="auto"/>
        </w:rPr>
        <w:t xml:space="preserve">The following table reconciles the most directly comparable GAAP financial measure to each of these non-GAAP financial measures. </w:t>
      </w:r>
      <w:r>
        <w:rPr>
          <w:rFonts w:ascii="Arial" w:cs="Arial" w:eastAsia="Arial" w:hAnsi="Arial"/>
          <w:sz w:val="16"/>
          <w:szCs w:val="16"/>
          <w:i w:val="1"/>
          <w:iCs w:val="1"/>
          <w:color w:val="auto"/>
        </w:rPr>
        <w:t>Adjusted EBITDA and adjusted EBITDA margin</w:t>
      </w:r>
    </w:p>
    <w:tbl>
      <w:tblPr>
        <w:tblLayout w:type="fixed"/>
        <w:tblInd w:w="3" w:type="dxa"/>
        <w:tblCellMar>
          <w:top w:w="0" w:type="dxa"/>
          <w:left w:w="0" w:type="dxa"/>
          <w:bottom w:w="0" w:type="dxa"/>
          <w:right w:w="0" w:type="dxa"/>
        </w:tblCellMar>
      </w:tblPr>
      <w:tr>
        <w:trPr>
          <w:trHeight w:val="175"/>
        </w:trPr>
        <w:tc>
          <w:tcPr>
            <w:tcW w:w="44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4"/>
          </w:tcPr>
          <w:p>
            <w:pPr>
              <w:jc w:val="right"/>
              <w:ind w:right="502"/>
              <w:spacing w:after="0"/>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40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9,160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83" w:right="120" w:hanging="283"/>
        <w:spacing w:after="0" w:line="261" w:lineRule="auto"/>
        <w:tabs>
          <w:tab w:leader="none" w:pos="273" w:val="left"/>
        </w:tabs>
        <w:numPr>
          <w:ilvl w:val="0"/>
          <w:numId w:val="58"/>
        </w:numPr>
        <w:rPr>
          <w:rFonts w:ascii="Arial" w:cs="Arial" w:eastAsia="Arial" w:hAnsi="Arial"/>
          <w:sz w:val="12"/>
          <w:szCs w:val="12"/>
          <w:color w:val="auto"/>
        </w:rPr>
      </w:pPr>
      <w:r>
        <w:rPr>
          <w:rFonts w:ascii="Arial" w:cs="Arial" w:eastAsia="Arial" w:hAnsi="Arial"/>
          <w:sz w:val="12"/>
          <w:szCs w:val="12"/>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Liquidity and capital resources</w:t>
      </w:r>
    </w:p>
    <w:p>
      <w:pPr>
        <w:spacing w:after="0" w:line="164" w:lineRule="exact"/>
        <w:rPr>
          <w:sz w:val="20"/>
          <w:szCs w:val="20"/>
          <w:color w:val="auto"/>
        </w:rPr>
      </w:pPr>
    </w:p>
    <w:p>
      <w:pPr>
        <w:ind w:left="3" w:right="300"/>
        <w:spacing w:after="0" w:line="261" w:lineRule="auto"/>
        <w:rPr>
          <w:sz w:val="20"/>
          <w:szCs w:val="20"/>
          <w:color w:val="auto"/>
        </w:rPr>
      </w:pPr>
      <w:r>
        <w:rPr>
          <w:rFonts w:ascii="Arial" w:cs="Arial" w:eastAsia="Arial" w:hAnsi="Arial"/>
          <w:sz w:val="16"/>
          <w:szCs w:val="16"/>
          <w:color w:val="auto"/>
        </w:rPr>
        <w:t>As of June 30, 2021, we had $45.4 million in cash and cash equivalents. Since our inception, we have financed our operations primarily through our cash flow from operations, sales of our equity securities and borrowings under our credit facilities. As of June 30, 2021, we had $46.6 million in outstanding indebtedness.</w:t>
      </w:r>
    </w:p>
    <w:p>
      <w:pPr>
        <w:spacing w:after="0" w:line="118"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63"/>
          </w:cols>
          <w:pgMar w:left="317" w:top="1440" w:right="319" w:bottom="1440" w:gutter="0" w:footer="0" w:header="0"/>
        </w:sectPr>
      </w:pPr>
    </w:p>
    <w:bookmarkStart w:id="111" w:name="page112"/>
    <w:bookmarkEnd w:id="111"/>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continued operations, growth strategy and the additional expenses we expect to incur as a public company for at least the next 12 months.</w:t>
      </w:r>
    </w:p>
    <w:p>
      <w:pPr>
        <w:spacing w:after="0" w:line="13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As described in the subsection titled "Critical accounting policies and estimates—Cash bonuses,” we determined that we would pay a cash bonus to each of our employees in a value that approximates the cost of each employee exercising 45% of their total stock options, limited by the total stock options outstanding and held by each existing employee as of June 15, 2021, including the tax withholding applicable to each employee. We included both vested and unvested stock options outstanding and held by each existing employee as of June 15, 2021 by each employee in determining the cash bonus paid. No employee is obligated to use the cash bonus to exercise their outstanding stock options.</w:t>
      </w:r>
    </w:p>
    <w:p>
      <w:pPr>
        <w:spacing w:after="0" w:line="111" w:lineRule="exact"/>
        <w:rPr>
          <w:sz w:val="20"/>
          <w:szCs w:val="20"/>
          <w:color w:val="auto"/>
        </w:rPr>
      </w:pPr>
    </w:p>
    <w:p>
      <w:pPr>
        <w:jc w:val="both"/>
        <w:ind w:right="340"/>
        <w:spacing w:after="0" w:line="257" w:lineRule="auto"/>
        <w:rPr>
          <w:sz w:val="20"/>
          <w:szCs w:val="20"/>
          <w:color w:val="auto"/>
        </w:rPr>
      </w:pPr>
      <w:r>
        <w:rPr>
          <w:rFonts w:ascii="Arial" w:cs="Arial" w:eastAsia="Arial" w:hAnsi="Arial"/>
          <w:sz w:val="16"/>
          <w:szCs w:val="16"/>
          <w:color w:val="auto"/>
        </w:rPr>
        <w:t>From July 1, 2021 through the previous financial statement issuance date on September 24, 2021, we have paid $ 9.5 million of these cash bonuses to employees. Additionally, from September 25, 2021 through November 1, 2021, we paid approximately $3.3 million in cash bonuses to employees. As of September 24, 2021, the total cash bonuses yet to be paid to employees are estimated to range from approximately $30.8 million to $ 35.5 million. As of November 1, 2021, the total cash bonuses yet to be paid to employees are estimated to range from $27.5 million to $32.2 million. We expect payment of these cash bonuses to take place during the fiscal quarter ended December 31, 2021.</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24,213</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Net increase (decrease) in cash, cash equivalents and restricted</w:t>
            </w:r>
          </w:p>
        </w:tc>
        <w:tc>
          <w:tcPr>
            <w:tcW w:w="960" w:type="dxa"/>
            <w:vAlign w:val="bottom"/>
            <w:vMerge w:val="restart"/>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3"/>
                <w:szCs w:val="13"/>
                <w:color w:val="auto"/>
              </w:rPr>
            </w:pPr>
          </w:p>
        </w:tc>
        <w:tc>
          <w:tcPr>
            <w:tcW w:w="960" w:type="dxa"/>
            <w:vAlign w:val="bottom"/>
            <w:vMerge w:val="restart"/>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3"/>
                <w:szCs w:val="13"/>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16,932</w:t>
            </w:r>
          </w:p>
        </w:tc>
        <w:tc>
          <w:tcPr>
            <w:tcW w:w="0" w:type="dxa"/>
            <w:vAlign w:val="bottom"/>
          </w:tcPr>
          <w:p>
            <w:pPr>
              <w:spacing w:after="0"/>
              <w:rPr>
                <w:sz w:val="1"/>
                <w:szCs w:val="1"/>
                <w:color w:val="auto"/>
              </w:rPr>
            </w:pPr>
          </w:p>
        </w:tc>
      </w:tr>
      <w:tr>
        <w:trPr>
          <w:trHeight w:val="176"/>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cash</w:t>
            </w: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(used) by operating activities</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During the six months ended June 30, 2021, cash provided by operating activities was $ 24.2 million, which consisted of net income of $ 14.7 million adjusted by non-cash charges of $4.4 million and net cash inflows from the change in assets and liabilities of $5.0 million. The non-cash charges primarily consisted of stock-based compensation expense of $1.6 million and depreciation and amortization expense of $2.3 million, which increased from the six months ended June 30, 2020 primarily due to increased property and equipment and capitalized software additions. The net cash inflows from the change in our assets and liabilities were driven by a $7.1 million increase in settlement liabilities primarily due to increased expense reimbursement activity resulting in increased revenue and a $6.8 million increase in accrued expenses and other liabilities primarily resulting from expenses related to increases in payroll and income tax liabilities partially offset by a $3.5 million increase in accounts receivable and a $3.0 million increase in settlement assets, which both resulted from our increased revenue as well as a $1.5 million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60"/>
          </w:cols>
          <w:pgMar w:left="320" w:top="1440" w:right="319" w:bottom="1440" w:gutter="0" w:footer="0" w:header="0"/>
        </w:sectPr>
      </w:pPr>
    </w:p>
    <w:bookmarkStart w:id="112" w:name="page113"/>
    <w:bookmarkEnd w:id="112"/>
    <w:p>
      <w:pPr>
        <w:spacing w:after="0" w:line="2"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prepaid expenses primarily from increased spending on sales and marketing as the business ramps up for future advertising with expected increased demand for business travel.</w:t>
      </w:r>
    </w:p>
    <w:p>
      <w:pPr>
        <w:spacing w:after="0" w:line="10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During 2020, cash provided by operating activities was $7.6 million, which consisted of net loss of $1.7 million adjusted by non-cash charges of $25.9 million and net cash outflows from the change in assets and liabilities of $16.6 million. The non-cash charges primarily consisted of stock-based compensation 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During the six months ended June 30, 2020, cash used in operating activities was $10.2 million, which consisted of net income of $3.5 million adjusted by non-cash charges of $5.0 million and net cash outflows from the change in assets and liabilities of $18.7 million. The non-cash charges primarily consisted of stock-based compensation expense of $1.2 million, $ 1.0 million for reduction of operating lease right-of-use assets due to the termination of an office lease, $1.2 million related to our deferred tax asset in result of state net operating loss and tax credit carryforwards, and depreciation and amortization expense of $1.6 million related to property and equipment, capitalized software and finance lease right-of-use assets. The net cash outflows from the change in our assets and liabilities were driven by a $20.4 million decrease in settlement liabilities from a decrease in expense reimbursements due to the COVID-19 pandemic and a $ 1.4 million decrease in accounts payable primarily due to timing of payments to our vendors, partially offset by a $3.5 million decrease in settlement assets due to decreased use of our Expensify Card during the period.</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During 2019, cash provided by operating activities was $12.4 million, which consisted of net income of $1.2 million adjusted by non-cash charges of $3.0 million and net cash inflows from the change in assets and liabilities of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165"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2021, cash used in investing activities was $3.3 million, primarily consisting of the purchase of property and equipment related to the build-out of our offices in Portland and San Francisco of $1.9 million and software development costs of $1.4 million.</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2020, cash used in investing activities was $4.3 million, primarily consisting of the purchase of property and equipment related to the build-out of our offices in Portland and San Francisco of $2.5 million and software development costs of $1.8 million.</w:t>
      </w:r>
    </w:p>
    <w:p>
      <w:pPr>
        <w:spacing w:after="0" w:line="101"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2020, cash used in investing activities was $2.3 million, primarily consisting of the purchase of property and equipment related to the build-out of our offices in Portland and San Francisco of $1.6 million and software development costs of 0.7 million.</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During 2019, cash used in investing activities was $4.9 million, primarily consisting of the purchase of property and equipment related to our Portland office of $3.2 million and software development costs of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1440"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Cash provided (used) by financing activities</w:t>
      </w:r>
    </w:p>
    <w:p>
      <w:pPr>
        <w:spacing w:after="0" w:line="153"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During the six months ended June 30, 2021, cash used by financing activities was $4.0 million, which included $ 1.2 million principal payments on our amortizing term loan obligation, $0.4 million principal payments on our finance lease obligations and $3.3 million in payments related to deferred offering costs, partially offset by $1.0 million of proceeds from the exercise of stock options.</w:t>
      </w:r>
    </w:p>
    <w:p>
      <w:pPr>
        <w:spacing w:after="0" w:line="11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the six months ended June 30, 2020, cash provided by financing activities was $ 8.4 million, which included $9.6 million of borrowings under our line of credit partially offset by a $1.0 million principal payment on our line of credit and $0.4 million of principal payments on our finance lease obligations.</w:t>
      </w:r>
    </w:p>
    <w:p>
      <w:pPr>
        <w:spacing w:after="0" w:line="101"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Amortizing term mortgage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2019, we purchased a commercial building in Portland, Oregon. In connection with the purchase, we entered into a credit agreement with CIBC that provides for a $8.25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 million and $8.1 million, respectively. As of June 30, 2021, the outstanding balance of the amortizing term mortgage was $8.0 million.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and security agreement</w:t>
      </w:r>
    </w:p>
    <w:p>
      <w:pPr>
        <w:spacing w:after="0" w:line="165"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Our loan and security agreement with CIBC, as amended and restated in September 2021, includes a $75.0 million term loan and a $25.0 million revolving line of credit. The loan and security agreement was originally entered into in May 2018, and the term loan and revolving line of credit mature in September 2026 and September 2024, respectively.</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November 2018, we entered into a first amendment to the loan and security agreement to add a $15.0 million revolving line of credit and a $14.0 million amortizing term loan to the existing $11.0 million non-amortizing term loan. The revolving line of credit provided borrowings of the lesser of $15.0 million or 300% of monthly recurring revenue. Borrowings under the revolving line of credit bear interest at the bank’s reference rate plus 1.00% (5.75% and 4.25% as of December 31, 2019 and 2020, respectively) and were secured by substantially all of our assets. As of December 31, 2019 and 2020, we had drawn $6.4 million and $15.0 million, respectively, under the revolving line of credit. The revolving line of credit originally expired in October 2022. As of June 30, 2021, we had drawn $15.0 million under the revolving line of credit. As of December 31, 2020 and June 30, 2021, we had no capacity available for borrowings under our line of credit.</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$11.0 million non-amortizing term loan was an interest-only loan (fixed at 9.5% per year) for 60 months that became due and payable at the end of the note term in November 2023. The borrowings were secured by substantially all our assets. As of December 31, 2019, December 31 2020 and June 30, 2021, the outstanding balance of the non-amortizing term loan was $11.0 million.</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$ 14.0 million amortizing term loan required interest-only payments on the outstanding borrowings through November 1, 2020. Beginning in November 2020, the amount outstanding at such time became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00"/>
          </w:cols>
          <w:pgMar w:left="320" w:top="1422" w:right="379" w:bottom="1440" w:gutter="0" w:footer="0" w:header="0"/>
        </w:sectPr>
      </w:pPr>
    </w:p>
    <w:bookmarkStart w:id="114" w:name="page115"/>
    <w:bookmarkEnd w:id="114"/>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payable over a 36-month period with principal and accrued interest payments due each month thereafter. The amounts borrowed are payable with interest at the bank’s reference rate plus 2.25% (7.0% and 5.5% at December 31, 2019 and 2020, respectively) beginning in November 2020 through 2023. The borrowings were secured by substantially all our assets. As of December 31, 2019 and 2020, the outstanding balance of the amortizing term loan was $14.0 million and $13.8 million, respectively. As of June 30, 2021, the outstanding balance of the amortizing term loan was $12.7 million.</w:t>
      </w:r>
    </w:p>
    <w:p>
      <w:pPr>
        <w:spacing w:after="0" w:line="11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August 2019, we entered into a second amendment to the loan and security agreement to exclude a default under our amortizing term mortgage from the existing cross default event of default.</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December 2019, we entered into a third amendment to the loan and security agreement to waive restrictions related to a stock repurchase program and to modify certain definitions and terms that were not significant.</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In September 2020, we entered into a fourth amendment to the loan and security agreement to exclude certain subsidiaries as guarantors and to modify certain definitions and terms and waive existing events of default related to certain new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2021, we amended and restated the loan and security agreement to refinance the existing term loans, establish a single term loan of up to</w:t>
      </w:r>
    </w:p>
    <w:p>
      <w:pPr>
        <w:spacing w:after="0" w:line="1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$75.0 million, consisting of a $45.0 initial term loan with an option at a later date to enter into an additional $ 30.0 million delayed term loan, and increase the revolving line of credit to $25.0 million. A portion of the loan proceeds from the initial term loan were used to repay our remaining balances under the amortizing and non-amortizing term loans at the time of the amendment and restatement.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covenants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1.100, tested on the last day of each calendar quarter.</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commitments as of December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9"/>
              </w:rPr>
              <w:t>Payments due by period</w:t>
            </w: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r>
      <w:tr>
        <w:trPr>
          <w:trHeight w:val="163"/>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Less than 1 year</w:t>
            </w: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More than 3 years</w:t>
            </w:r>
          </w:p>
        </w:tc>
        <w:tc>
          <w:tcPr>
            <w:tcW w:w="380" w:type="dxa"/>
            <w:vAlign w:val="bottom"/>
          </w:tcPr>
          <w:p>
            <w:pPr>
              <w:spacing w:after="0"/>
              <w:rPr>
                <w:sz w:val="14"/>
                <w:szCs w:val="14"/>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payments on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17,465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22,755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47,891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Interest payments on debt</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13,450</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commitments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commitments</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2,008</w:t>
            </w:r>
          </w:p>
        </w:tc>
      </w:tr>
      <w:tr>
        <w:trPr>
          <w:trHeight w:val="22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64" w:lineRule="exact"/>
        <w:rPr>
          <w:sz w:val="20"/>
          <w:szCs w:val="20"/>
          <w:color w:val="auto"/>
        </w:rPr>
      </w:pPr>
    </w:p>
    <w:p>
      <w:pPr>
        <w:jc w:val="both"/>
        <w:ind w:right="600"/>
        <w:spacing w:after="0" w:line="261" w:lineRule="auto"/>
        <w:rPr>
          <w:sz w:val="20"/>
          <w:szCs w:val="20"/>
          <w:color w:val="auto"/>
        </w:rPr>
      </w:pPr>
      <w:r>
        <w:rPr>
          <w:rFonts w:ascii="Arial" w:cs="Arial" w:eastAsia="Arial" w:hAnsi="Arial"/>
          <w:sz w:val="16"/>
          <w:szCs w:val="16"/>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23"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65"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5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60"/>
          </w:cols>
          <w:pgMar w:left="320" w:top="1425" w:right="319" w:bottom="1440" w:gutter="0" w:footer="0" w:header="0"/>
        </w:sectPr>
      </w:pPr>
    </w:p>
    <w:bookmarkStart w:id="116" w:name="page117"/>
    <w:bookmarkEnd w:id="116"/>
    <w:p>
      <w:pPr>
        <w:spacing w:after="0" w:line="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2 to our consolidated financial statements contained elsewhere herein for a description of our other significant accounting policies.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Employee and employee-related expenses</w:t>
      </w:r>
    </w:p>
    <w:p>
      <w:pPr>
        <w:spacing w:after="0" w:line="165" w:lineRule="exact"/>
        <w:rPr>
          <w:sz w:val="20"/>
          <w:szCs w:val="20"/>
          <w:color w:val="auto"/>
        </w:rPr>
      </w:pPr>
    </w:p>
    <w:p>
      <w:pPr>
        <w:ind w:left="3" w:right="260"/>
        <w:spacing w:after="0" w:line="257" w:lineRule="auto"/>
        <w:rPr>
          <w:sz w:val="20"/>
          <w:szCs w:val="20"/>
          <w:color w:val="auto"/>
        </w:rPr>
      </w:pPr>
      <w:r>
        <w:rPr>
          <w:rFonts w:ascii="Arial" w:cs="Arial" w:eastAsia="Arial" w:hAnsi="Arial"/>
          <w:sz w:val="16"/>
          <w:szCs w:val="16"/>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Revenue recognition</w:t>
      </w:r>
    </w:p>
    <w:p>
      <w:pPr>
        <w:spacing w:after="0" w:line="153" w:lineRule="exact"/>
        <w:rPr>
          <w:sz w:val="20"/>
          <w:szCs w:val="20"/>
          <w:color w:val="auto"/>
        </w:rPr>
      </w:pPr>
    </w:p>
    <w:p>
      <w:pPr>
        <w:jc w:val="both"/>
        <w:ind w:left="3" w:right="120"/>
        <w:spacing w:after="0" w:line="261" w:lineRule="auto"/>
        <w:rPr>
          <w:sz w:val="20"/>
          <w:szCs w:val="20"/>
          <w:color w:val="auto"/>
        </w:rPr>
      </w:pPr>
      <w:r>
        <w:rPr>
          <w:rFonts w:ascii="Arial" w:cs="Arial" w:eastAsia="Arial" w:hAnsi="Arial"/>
          <w:sz w:val="16"/>
          <w:szCs w:val="16"/>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of January 1, 2019, utilizing the full retrospective method of transition.</w:t>
      </w:r>
    </w:p>
    <w:p>
      <w:pPr>
        <w:spacing w:after="0" w:line="118"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We recognize revenue when control of the promised goods or services is transferred to customers, in an amount that reflects the consideration we expect to be entitled to in exchange for those goods or services.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we determine the amount of revenue to be recognized through the following five-step framework:</w:t>
      </w:r>
    </w:p>
    <w:p>
      <w:pPr>
        <w:spacing w:after="0" w:line="133" w:lineRule="exact"/>
        <w:rPr>
          <w:sz w:val="20"/>
          <w:szCs w:val="20"/>
          <w:color w:val="auto"/>
        </w:rPr>
      </w:pPr>
    </w:p>
    <w:p>
      <w:pPr>
        <w:ind w:left="283" w:hanging="283"/>
        <w:spacing w:after="0"/>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45"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11"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3"/>
          </w:cols>
          <w:pgMar w:left="317" w:top="1440" w:right="339" w:bottom="1440" w:gutter="0" w:footer="0" w:header="0"/>
        </w:sectPr>
      </w:pPr>
    </w:p>
    <w:bookmarkStart w:id="117" w:name="page118"/>
    <w:bookmarkEnd w:id="117"/>
    <w:p>
      <w:pPr>
        <w:spacing w:after="0" w:line="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06"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$1.2 million within Other current assets on our consolidated balance sheet as of December 31, 2020. We recorded contract assets of $0.4 million within Other current assets on our consolidated balance sheet as of June 30, 2021. The contract asset will decrease as the price increase is applied to the amounts billed to customers, over the twelve month period. We had no contract assets as of December 31, 2019. Since our performance obligation is satisfied monthly, at any reporting period, we have no unsatisfied, or partially unsatisfied, performance obligations.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Common stock valuations</w:t>
      </w:r>
    </w:p>
    <w:p>
      <w:pPr>
        <w:spacing w:after="0" w:line="165" w:lineRule="exact"/>
        <w:rPr>
          <w:sz w:val="20"/>
          <w:szCs w:val="20"/>
          <w:color w:val="auto"/>
        </w:rPr>
      </w:pPr>
    </w:p>
    <w:p>
      <w:pPr>
        <w:ind w:left="3" w:right="280"/>
        <w:spacing w:after="0" w:line="258" w:lineRule="auto"/>
        <w:rPr>
          <w:sz w:val="20"/>
          <w:szCs w:val="20"/>
          <w:color w:val="auto"/>
        </w:rPr>
      </w:pPr>
      <w:r>
        <w:rPr>
          <w:rFonts w:ascii="Arial" w:cs="Arial" w:eastAsia="Arial" w:hAnsi="Arial"/>
          <w:sz w:val="16"/>
          <w:szCs w:val="16"/>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10" w:lineRule="exact"/>
        <w:rPr>
          <w:sz w:val="20"/>
          <w:szCs w:val="20"/>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independent third-party valuations of our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prices at which others have purchased our convertible preferred stock in arm’s-length transactions;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rights, preferences and privileges of our convertible preferred stock relative to those of our common stock;</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financial condition, results of operations and capital resources;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likelihood and timing of achieving a liquidity event, such as an initial public offering or sale of the company, given prevailing market conditions;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lack of marketability of our common stock;</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estimates of future financial performance;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valuations of comparable companies;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hiring or loss of key personnel;</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status of our development, product introduction and sales efforts;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industry information, such as market growth and volume and macro-economic events;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additional objective and subjective factors relating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3"/>
          </w:cols>
          <w:pgMar w:left="317" w:top="1440" w:right="339" w:bottom="1440" w:gutter="0" w:footer="0" w:header="0"/>
        </w:sectPr>
      </w:pPr>
    </w:p>
    <w:bookmarkStart w:id="118" w:name="page119"/>
    <w:bookmarkEnd w:id="118"/>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0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As an additional indicator of fair value, we provided weighting to arm’s-length transactions involving issuances of our securities near the respective valuation dates in connection with acquisitions.</w:t>
      </w:r>
    </w:p>
    <w:p>
      <w:pPr>
        <w:spacing w:after="0" w:line="101" w:lineRule="exact"/>
        <w:rPr>
          <w:sz w:val="20"/>
          <w:szCs w:val="20"/>
          <w:color w:val="auto"/>
        </w:rPr>
      </w:pPr>
    </w:p>
    <w:p>
      <w:pPr>
        <w:ind w:right="20"/>
        <w:spacing w:after="0" w:line="428" w:lineRule="auto"/>
        <w:rPr>
          <w:sz w:val="20"/>
          <w:szCs w:val="20"/>
          <w:color w:val="auto"/>
        </w:rPr>
      </w:pPr>
      <w:r>
        <w:rPr>
          <w:rFonts w:ascii="Arial" w:cs="Arial" w:eastAsia="Arial" w:hAnsi="Arial"/>
          <w:sz w:val="16"/>
          <w:szCs w:val="16"/>
          <w:color w:val="auto"/>
        </w:rPr>
        <w:t xml:space="preserve">Following our initial public offering, it will not be necessary to determine the fair value of our common stock, as our shares will be traded in the public market. </w:t>
      </w:r>
      <w:r>
        <w:rPr>
          <w:rFonts w:ascii="Arial" w:cs="Arial" w:eastAsia="Arial" w:hAnsi="Arial"/>
          <w:sz w:val="16"/>
          <w:szCs w:val="16"/>
          <w:b w:val="1"/>
          <w:bCs w:val="1"/>
          <w:color w:val="auto"/>
        </w:rPr>
        <w:t>Stock-based compensation</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with the expected life of the awards in effect at the time of grant. The expected dividend yield is assumed to be zero as we have not paid and do not expect to pay dividends.</w:t>
      </w:r>
    </w:p>
    <w:p>
      <w:pPr>
        <w:spacing w:after="0" w:line="101"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No income tax benefit has been recognized relating to stock-based compensation expense and no tax benefits have been realized from exercised stock options during the years ended December 31, 2019 and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July 2021, we determined that we would pay a cash bonus to each of our employees in a value that approximates the cost of each employee exercising 45% of their total stock options issued, limited by the total stock options outstanding as of June 15, 2021, including the tax withholding applicable to each employee. We included both vested and unvested stock options outstanding and held by each existing employee as of June 15, 2021 to each employee in determining the cash bonus paid.</w:t>
      </w:r>
    </w:p>
    <w:p>
      <w:pPr>
        <w:spacing w:after="0" w:line="110"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In addition to using the exercise cost of the stock options through June 15, 2021, management relied on an estimate to determine the tax withholding that could be applicable to each employee based on if they were to exercise the stock options. In order to determine this estimate, we relied on 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and the exercise price of the same options applicable to each employee. No employee is obligated to use the cash bonus to exercise their outstanding stock options.</w:t>
      </w:r>
    </w:p>
    <w:p>
      <w:pPr>
        <w:spacing w:after="0" w:line="123" w:lineRule="exact"/>
        <w:rPr>
          <w:sz w:val="20"/>
          <w:szCs w:val="20"/>
          <w:color w:val="auto"/>
        </w:rPr>
      </w:pPr>
    </w:p>
    <w:p>
      <w:pPr>
        <w:jc w:val="both"/>
        <w:ind w:right="280"/>
        <w:spacing w:after="0" w:line="257" w:lineRule="auto"/>
        <w:rPr>
          <w:sz w:val="20"/>
          <w:szCs w:val="20"/>
          <w:color w:val="auto"/>
        </w:rPr>
      </w:pPr>
      <w:r>
        <w:rPr>
          <w:rFonts w:ascii="Arial" w:cs="Arial" w:eastAsia="Arial" w:hAnsi="Arial"/>
          <w:sz w:val="16"/>
          <w:szCs w:val="16"/>
          <w:color w:val="auto"/>
        </w:rPr>
        <w:t>From July 1, 2021 through the previous financial statement issuance date on September 24, 2021, we have paid $ 9.5 million of these cash bonuses to employees. Additionally, from September 25, 2021 through November 1, 2021, we paid approximately $3.3 million in cash bonuses to employees. As of September 24, 2021, the total cash bonuses yet to be paid to employees are estimated to range from approximately $30.8 million to $ 35.5 million. As of November 1, 2021, the total cash bonuses yet to be paid to employees are estimated to range from $27.5 million to $32.2 million. We expect payment of these cash bonuses to take place during the fiscal quarter ended December 31, 2021.</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52"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Subsequent events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evaluated subsequent events through April 28, 2021, September 24, 2021, and November 1, 2021, the dates the consolidated financial statements for the years ended December 31, 2019 and 2020 were originally issued, revised for the reclassification of prior year presentation and for the retroactive stock split presentation (as discussed in Note 1), respectively. Additionally, we have evaluated subsequent events through September 24, 2021 and November 1, 2021, the date the interim consolidated financial statements as of and for the six months ended June 30, 2021 (unaudited) were originally issued and revised for the retroactive stock split presentation (as discussed in Note 1). See Note 2 to our consolidated financial statements included elsewhere in this prospectus for more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Emerging growth company status</w:t>
      </w:r>
    </w:p>
    <w:p>
      <w:pPr>
        <w:spacing w:after="0" w:line="16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960"/>
          </w:cols>
          <w:pgMar w:left="320" w:top="1440" w:right="619" w:bottom="1440" w:gutter="0" w:footer="0" w:header="0"/>
        </w:sectPr>
      </w:pPr>
    </w:p>
    <w:bookmarkStart w:id="121" w:name="page122"/>
    <w:bookmarkEnd w:id="121"/>
    <w:p>
      <w:pPr>
        <w:spacing w:after="0"/>
        <w:rPr>
          <w:sz w:val="20"/>
          <w:szCs w:val="20"/>
          <w:color w:val="auto"/>
        </w:rPr>
      </w:pPr>
      <w:r>
        <w:rPr>
          <w:rFonts w:ascii="Arial" w:cs="Arial" w:eastAsia="Arial" w:hAnsi="Arial"/>
          <w:sz w:val="26"/>
          <w:szCs w:val="26"/>
          <w:b w:val="1"/>
          <w:bCs w:val="1"/>
          <w:color w:val="auto"/>
        </w:rPr>
        <w:t>Letter from our founder and CEO</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next 100 years are going to be nuts.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Global population is going to peak, and then go down—possibly forever—inverting the labor pool. The worst effects of climate change will be felt, and (with enough effort) begin to subside. Automation will wipe out millions of jobs, potentially creating a hyper-concentration of wealth that would exacerbate social tensions around the world. VR and personal VTOL travel will radically alter where we live and work. Miniaturized surveillance and data aggregation will challenge all notions of privacy, while quantum computers wipe out all modern cryptography. The Singularity will (maybe?) occur. We will become a multi-planetary civilization.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repeat, the next 100 years are going to be nuts.</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These vast climate, social, and technological changes are so daunting, it's tempting to bury our heads and pretend they will only happen to somebody else. But odds are, if you are reading these words, you are going to be alive to witness the most extreme effects of these trends—and if not, your children certainly will.</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This stark reality has weighed on me, for a long time. Our world is incredible, mysterious, diverse, and beautiful. But so fragile, and pushed to the brink. I am convinced we can get through this, and leave everything for our kids better than we found it. If enough of us help.</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 is how we help.</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I've been through the startup grinder a few times, and the last time left me a modest chunk of change in my pocket, while I was living in the Tenderloin in San Francisco. And while it can be paralyzing to think about these huge, systemic problems, I wanted to do something for the homeless neighbors I saw on my street every day as I walked to my comfortable job.</w:t>
      </w:r>
    </w:p>
    <w:p>
      <w:pPr>
        <w:spacing w:after="0" w:line="118"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So I set out to build a private label electronic food stamp card I could hand out to anyone in need, that could be used once a day, up to $10 per day, only at restaurants that didn't serve alcohol—with every purchase billed back to me. I reasoned that while I couldn't solve hunger globally, it was within my power to do it on my street (but only if it was easy enough to manage; I had a day job, after all).</w:t>
      </w:r>
    </w:p>
    <w:p>
      <w:pPr>
        <w:spacing w:after="0" w:line="10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technology, as is usually the case, was the easy part: I built a decentralized ACID-safe, Paxos-based, WAN-clustered self-healing database using blockchain synchronization (before Satoshi published his first paper on Bitcoin), and prepared to drop it on to Visa's ISO 8583 private internet to print a stack of instant-issue cards I'd keep in my back pocket to hand out as needed. The hard part, as is usually the case, was getting permission from the many gatekeepers involved.</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 xml:space="preserve">When I took this idea to the banks, they were like… what? Where is the business model? What about PCI compliance, money transfer licensing, KYC, AML, and a list of TLAs as long as my arm. They were very clear: </w:t>
      </w:r>
      <w:r>
        <w:rPr>
          <w:rFonts w:ascii="Arial" w:cs="Arial" w:eastAsia="Arial" w:hAnsi="Arial"/>
          <w:sz w:val="16"/>
          <w:szCs w:val="16"/>
          <w:i w:val="1"/>
          <w:iCs w:val="1"/>
          <w:color w:val="auto"/>
        </w:rPr>
        <w:t>this is too weird, and too risky, I'm out</w:t>
      </w:r>
      <w:r>
        <w:rPr>
          <w:rFonts w:ascii="Arial" w:cs="Arial" w:eastAsia="Arial" w:hAnsi="Arial"/>
          <w:sz w:val="16"/>
          <w:szCs w:val="16"/>
          <w:color w:val="auto"/>
        </w:rPr>
        <w:t>.</w:t>
      </w:r>
    </w:p>
    <w:p>
      <w:pPr>
        <w:spacing w:after="0" w:line="113" w:lineRule="exact"/>
        <w:rPr>
          <w:sz w:val="20"/>
          <w:szCs w:val="20"/>
          <w:color w:val="auto"/>
        </w:rPr>
      </w:pPr>
    </w:p>
    <w:p>
      <w:pPr>
        <w:ind w:right="1600"/>
        <w:spacing w:after="0" w:line="420" w:lineRule="auto"/>
        <w:rPr>
          <w:sz w:val="20"/>
          <w:szCs w:val="20"/>
          <w:color w:val="auto"/>
        </w:rPr>
      </w:pPr>
      <w:r>
        <w:rPr>
          <w:rFonts w:ascii="Arial" w:cs="Arial" w:eastAsia="Arial" w:hAnsi="Arial"/>
          <w:sz w:val="16"/>
          <w:szCs w:val="16"/>
          <w:color w:val="auto"/>
        </w:rPr>
        <w:t xml:space="preserve">This led me to think, "Hm… I need to sound safe, and boring. What is the most boring application of these cards I can imagine… Aha!" </w:t>
      </w:r>
      <w:r>
        <w:rPr>
          <w:rFonts w:ascii="Arial" w:cs="Arial" w:eastAsia="Arial" w:hAnsi="Arial"/>
          <w:sz w:val="16"/>
          <w:szCs w:val="16"/>
          <w:b w:val="1"/>
          <w:bCs w:val="1"/>
          <w:color w:val="auto"/>
        </w:rPr>
        <w:t>A corporate card, as a Trojan horse for charity.</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 went back to those banks and said "Forget all that. Instead, I'm going to make a corporate card that small business owners can give to their employees, that enforces expense policy such as spend amounts and merchant authorization, at the point of purchase, but then bills every purchase back to the owner, so they keep the rewards. I call it: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40"/>
          </w:cols>
          <w:pgMar w:left="320" w:top="1407" w:right="339" w:bottom="1440" w:gutter="0" w:footer="0" w:header="0"/>
        </w:sectPr>
      </w:pPr>
    </w:p>
    <w:bookmarkStart w:id="122" w:name="page123"/>
    <w:bookmarkEnd w:id="122"/>
    <w:p>
      <w:pPr>
        <w:spacing w:after="0" w:line="2"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It was the same technology I needed to feed people on my street, but presented in a way that would go down easy. They all murmured that this felt safe, and boring, and they hated their expense reports too, so let's do this.</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lot happened since then.</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first Black man was elected president. Don't Ask Don't Tell was repealed. The #MeToo movement held previously unaccountable men to account. The economy tanked, then boomed. America was Made Great. Racist ideology spiked. George Floyd was murdered. Walls were built, old alliances faded, mutual distrust compounded. Wildfires choked our cities, while a virus choked our lungs. The wars droned on, then pulled out. Our capitol was directly attacked for the first time in centuries. Democracy itself came under fire.</w:t>
      </w:r>
    </w:p>
    <w:p>
      <w:pPr>
        <w:spacing w:after="0" w:line="122"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 xml:space="preserve">Throughout it all, our business grew. We surfed the tidal waves of the iPhone launch, the consumerization of IT, the rise of social media, and in a shockingly short time went from a tiny joke startup ignored by incumbents, to </w:t>
      </w:r>
      <w:r>
        <w:rPr>
          <w:rFonts w:ascii="Arial" w:cs="Arial" w:eastAsia="Arial" w:hAnsi="Arial"/>
          <w:sz w:val="16"/>
          <w:szCs w:val="16"/>
          <w:i w:val="1"/>
          <w:iCs w:val="1"/>
          <w:color w:val="auto"/>
        </w:rPr>
        <w:t>being</w:t>
      </w:r>
      <w:r>
        <w:rPr>
          <w:rFonts w:ascii="Arial" w:cs="Arial" w:eastAsia="Arial" w:hAnsi="Arial"/>
          <w:sz w:val="16"/>
          <w:szCs w:val="16"/>
          <w:color w:val="auto"/>
        </w:rPr>
        <w:t xml:space="preserve"> the incumbent. But our incumbency is very different than the one we replace.</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new kind of incumbent.</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Our greatest innovation isn't our product, it's the company itself. People are often surprised to learn we have only 140 employees, with no dedicated managers, compensation decided by universal vote, and everyone deciding their own personal career path. We don't do it to be iconoclastic. We do it to achieve results. Fundamentally, we think shareholders are best served when we build a company that unlocks the full potential of employees by empowering them to:</w:t>
      </w:r>
    </w:p>
    <w:p>
      <w:pPr>
        <w:spacing w:after="0" w:line="102" w:lineRule="exact"/>
        <w:rPr>
          <w:sz w:val="20"/>
          <w:szCs w:val="20"/>
          <w:color w:val="auto"/>
        </w:rPr>
      </w:pPr>
    </w:p>
    <w:p>
      <w:pPr>
        <w:ind w:left="283" w:right="260" w:hanging="283"/>
        <w:spacing w:after="0" w:line="294" w:lineRule="auto"/>
        <w:tabs>
          <w:tab w:leader="none" w:pos="278"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Live rich. </w:t>
      </w:r>
      <w:r>
        <w:rPr>
          <w:rFonts w:ascii="Arial" w:cs="Arial" w:eastAsia="Arial" w:hAnsi="Arial"/>
          <w:sz w:val="16"/>
          <w:szCs w:val="16"/>
          <w:color w:val="auto"/>
        </w:rPr>
        <w:t>We define this as having comfortable means, and the time to enjoy them. To be excited to go to work, empowered while you are there, and</w:t>
      </w:r>
      <w:r>
        <w:rPr>
          <w:rFonts w:ascii="Arial" w:cs="Arial" w:eastAsia="Arial" w:hAnsi="Arial"/>
          <w:sz w:val="16"/>
          <w:szCs w:val="16"/>
          <w:b w:val="1"/>
          <w:bCs w:val="1"/>
          <w:color w:val="auto"/>
        </w:rPr>
        <w:t xml:space="preserve"> </w:t>
      </w:r>
      <w:r>
        <w:rPr>
          <w:rFonts w:ascii="Arial" w:cs="Arial" w:eastAsia="Arial" w:hAnsi="Arial"/>
          <w:sz w:val="16"/>
          <w:szCs w:val="16"/>
          <w:color w:val="auto"/>
        </w:rPr>
        <w:t>energized to return home to be with those you love. For every boring, average day, to be awesome.</w:t>
      </w:r>
    </w:p>
    <w:p>
      <w:pPr>
        <w:spacing w:after="0" w:line="60"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Have fun. </w:t>
      </w:r>
      <w:r>
        <w:rPr>
          <w:rFonts w:ascii="Arial" w:cs="Arial" w:eastAsia="Arial" w:hAnsi="Arial"/>
          <w:sz w:val="16"/>
          <w:szCs w:val="16"/>
          <w:color w:val="auto"/>
        </w:rPr>
        <w:t>Not Xbox fun; bucket-list fun. We make work inherently fun by surrounding everyone with the finest possible peers, and providing them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families incredible social experiences that exceed anyone's individual imagination.</w:t>
      </w:r>
    </w:p>
    <w:p>
      <w:pPr>
        <w:spacing w:after="0" w:line="72"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Save the world. </w:t>
      </w:r>
      <w:r>
        <w:rPr>
          <w:rFonts w:ascii="Arial" w:cs="Arial" w:eastAsia="Arial" w:hAnsi="Arial"/>
          <w:sz w:val="16"/>
          <w:szCs w:val="16"/>
          <w:color w:val="auto"/>
        </w:rPr>
        <w:t>When every employee has a solid financial baseline and work/life balance, and is making brisk progress through their bucket list, they</w:t>
      </w:r>
      <w:r>
        <w:rPr>
          <w:rFonts w:ascii="Arial" w:cs="Arial" w:eastAsia="Arial" w:hAnsi="Arial"/>
          <w:sz w:val="16"/>
          <w:szCs w:val="16"/>
          <w:b w:val="1"/>
          <w:bCs w:val="1"/>
          <w:color w:val="auto"/>
        </w:rPr>
        <w:t xml:space="preserve"> </w:t>
      </w:r>
      <w:r>
        <w:rPr>
          <w:rFonts w:ascii="Arial" w:cs="Arial" w:eastAsia="Arial" w:hAnsi="Arial"/>
          <w:sz w:val="16"/>
          <w:szCs w:val="16"/>
          <w:color w:val="auto"/>
        </w:rPr>
        <w:t>can truly dedicate the time and resources to focus on solving the biggest problems of the world: enabling everyone to live rich and have fun, not just a lucky few.</w:t>
      </w:r>
    </w:p>
    <w:p>
      <w:pPr>
        <w:spacing w:after="0" w:line="10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The result of all this is a company that doesn't just generate value for shareholders, but also produces compounding social good for the world at large. We have fully melded our charity model directly into our business model, so each supports and grows the other.</w:t>
      </w:r>
    </w:p>
    <w:p>
      <w:pPr>
        <w:spacing w:after="0" w:line="101"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And we never forgot our original mission. Every swipe of the Expensify Card makes a small donation to our Expensify.org charity wing, which has dozens of active campaigns addressing homelessness, recidivism, climate change, youth issues, and—the inspiration for it all—hunger. Just one of those campaigns has already helped feed thousands of families on SNAP assistance, as well as encourage vaccinations amongst our most vulnerable population.</w:t>
      </w:r>
    </w:p>
    <w:p>
      <w:pPr>
        <w:spacing w:after="0" w:line="118"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Expensify.org grows in lockstep with Expensify, meaning our business success directly funds our charitable activities. We firmly believe that doing good is good for business.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we've learned so far.</w:t>
      </w:r>
    </w:p>
    <w:p>
      <w:pPr>
        <w:spacing w:after="0" w:line="153" w:lineRule="exact"/>
        <w:rPr>
          <w:sz w:val="20"/>
          <w:szCs w:val="20"/>
          <w:color w:val="auto"/>
        </w:rPr>
      </w:pPr>
    </w:p>
    <w:p>
      <w:pPr>
        <w:ind w:left="3" w:right="200"/>
        <w:spacing w:after="0" w:line="261" w:lineRule="auto"/>
        <w:rPr>
          <w:sz w:val="20"/>
          <w:szCs w:val="20"/>
          <w:color w:val="auto"/>
        </w:rPr>
      </w:pPr>
      <w:r>
        <w:rPr>
          <w:rFonts w:ascii="Arial" w:cs="Arial" w:eastAsia="Arial" w:hAnsi="Arial"/>
          <w:sz w:val="16"/>
          <w:szCs w:val="16"/>
          <w:color w:val="auto"/>
        </w:rPr>
        <w:t>We are very proud of what we've done over the past thirteen years. I truly believe that Expensify is the best, easiest to use, most powerful business payments superapp in the world. We are used by more businesses than any company we consider our peers, across a huge range of industries, company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43"/>
          </w:cols>
          <w:pgMar w:left="317" w:top="1440" w:right="339" w:bottom="1440" w:gutter="0" w:footer="0" w:header="0"/>
        </w:sectPr>
      </w:pPr>
    </w:p>
    <w:bookmarkStart w:id="123" w:name="page124"/>
    <w:bookmarkEnd w:id="123"/>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countries, and currencies. And in the process of building it, we learned a lot. Those lessons are too numerous to list here, but to summarize some highlights:</w:t>
      </w:r>
    </w:p>
    <w:p>
      <w:pPr>
        <w:spacing w:after="0" w:line="113" w:lineRule="exact"/>
        <w:rPr>
          <w:sz w:val="20"/>
          <w:szCs w:val="20"/>
          <w:color w:val="auto"/>
        </w:rPr>
      </w:pPr>
    </w:p>
    <w:p>
      <w:pPr>
        <w:ind w:left="283" w:right="480" w:hanging="283"/>
        <w:spacing w:after="0" w:line="294"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The market for expense management is enormous</w:t>
      </w:r>
      <w:r>
        <w:rPr>
          <w:rFonts w:ascii="Arial" w:cs="Arial" w:eastAsia="Arial" w:hAnsi="Arial"/>
          <w:sz w:val="16"/>
          <w:szCs w:val="16"/>
          <w:color w:val="auto"/>
        </w:rPr>
        <w:t>. Literally every business on the planet does expense management; not all businesses have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but all have expenses.</w:t>
      </w:r>
    </w:p>
    <w:p>
      <w:pPr>
        <w:spacing w:after="0" w:line="72" w:lineRule="exact"/>
        <w:rPr>
          <w:rFonts w:ascii="Arial" w:cs="Arial" w:eastAsia="Arial" w:hAnsi="Arial"/>
          <w:sz w:val="16"/>
          <w:szCs w:val="16"/>
          <w:color w:val="auto"/>
        </w:rPr>
      </w:pPr>
    </w:p>
    <w:p>
      <w:pPr>
        <w:ind w:left="283" w:hanging="283"/>
        <w:spacing w:after="0" w:line="285"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The market for expense management is almost entirely untapped. </w:t>
      </w:r>
      <w:r>
        <w:rPr>
          <w:rFonts w:ascii="Arial" w:cs="Arial" w:eastAsia="Arial" w:hAnsi="Arial"/>
          <w:sz w:val="16"/>
          <w:szCs w:val="16"/>
          <w:color w:val="auto"/>
        </w:rPr>
        <w:t>There are over 100 million businesses in the world, but less than 0.1% 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use some form of modern expense management. Excel/email—or a physical, paper envelope—are our primary competitors. Everyone else is a rounding error.</w:t>
      </w:r>
    </w:p>
    <w:p>
      <w:pPr>
        <w:spacing w:after="0" w:line="281" w:lineRule="exact"/>
        <w:rPr>
          <w:rFonts w:ascii="Arial" w:cs="Arial" w:eastAsia="Arial" w:hAnsi="Arial"/>
          <w:sz w:val="16"/>
          <w:szCs w:val="16"/>
          <w:color w:val="auto"/>
        </w:rPr>
      </w:pPr>
    </w:p>
    <w:p>
      <w:pPr>
        <w:ind w:left="283" w:right="160" w:hanging="283"/>
        <w:spacing w:after="0" w:line="294"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Expense management is a company's first accounting process</w:t>
      </w:r>
      <w:r>
        <w:rPr>
          <w:rFonts w:ascii="Arial" w:cs="Arial" w:eastAsia="Arial" w:hAnsi="Arial"/>
          <w:sz w:val="16"/>
          <w:szCs w:val="16"/>
          <w:color w:val="auto"/>
        </w:rPr>
        <w:t>. Way before you have an accountant or an accounting package, you've figured out</w:t>
      </w:r>
      <w:r>
        <w:rPr>
          <w:rFonts w:ascii="Arial" w:cs="Arial" w:eastAsia="Arial" w:hAnsi="Arial"/>
          <w:sz w:val="16"/>
          <w:szCs w:val="16"/>
          <w:b w:val="1"/>
          <w:bCs w:val="1"/>
          <w:color w:val="auto"/>
        </w:rPr>
        <w:t xml:space="preserve"> </w:t>
      </w:r>
      <w:r>
        <w:rPr>
          <w:rFonts w:ascii="Arial" w:cs="Arial" w:eastAsia="Arial" w:hAnsi="Arial"/>
          <w:sz w:val="16"/>
          <w:szCs w:val="16"/>
          <w:color w:val="auto"/>
        </w:rPr>
        <w:t>some way to keep track of your receipts.</w:t>
      </w:r>
    </w:p>
    <w:p>
      <w:pPr>
        <w:spacing w:after="0" w:line="60"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scales gracefully. </w:t>
      </w:r>
      <w:r>
        <w:rPr>
          <w:rFonts w:ascii="Arial" w:cs="Arial" w:eastAsia="Arial" w:hAnsi="Arial"/>
          <w:sz w:val="16"/>
          <w:szCs w:val="16"/>
          <w:color w:val="auto"/>
        </w:rPr>
        <w:t>The employee experience for expense management—swipe a card, scan a receipt—is remarkably</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for sole-proprietors up to the Fortune 500. What back-end accounting differences that do appear at different scales are neatly contained to a few people in each company, invisible to the average employee.</w:t>
      </w:r>
    </w:p>
    <w:p>
      <w:pPr>
        <w:spacing w:after="0" w:line="88" w:lineRule="exact"/>
        <w:rPr>
          <w:rFonts w:ascii="Arial" w:cs="Arial" w:eastAsia="Arial" w:hAnsi="Arial"/>
          <w:sz w:val="16"/>
          <w:szCs w:val="16"/>
          <w:color w:val="auto"/>
        </w:rPr>
      </w:pPr>
    </w:p>
    <w:p>
      <w:pPr>
        <w:ind w:left="283" w:right="160" w:hanging="283"/>
        <w:spacing w:after="0" w:line="267"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the strategic high ground of the back office. </w:t>
      </w:r>
      <w:r>
        <w:rPr>
          <w:rFonts w:ascii="Arial" w:cs="Arial" w:eastAsia="Arial" w:hAnsi="Arial"/>
          <w:sz w:val="16"/>
          <w:szCs w:val="16"/>
          <w:color w:val="auto"/>
        </w:rPr>
        <w:t>The primary job of expense management is to "normalize" the chaos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world, to clean up all financial data to be ready for the accounting team. We started calling this "preaccounting" (a term the industry has since adopted), which means expense management is the nexus point between rank-and-file employees and the general ledger system, HR system, payroll, CRM, project management, invoicing, bill processing, single sign-on, and basically every back end system you have.</w:t>
      </w:r>
    </w:p>
    <w:p>
      <w:pPr>
        <w:spacing w:after="0" w:line="94"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extremely high margin in the SMB. </w:t>
      </w:r>
      <w:r>
        <w:rPr>
          <w:rFonts w:ascii="Arial" w:cs="Arial" w:eastAsia="Arial" w:hAnsi="Arial"/>
          <w:sz w:val="16"/>
          <w:szCs w:val="16"/>
          <w:color w:val="auto"/>
        </w:rPr>
        <w:t>Despite offering an incredible range of functionality at no cost to the customer—often</w:t>
      </w:r>
      <w:r>
        <w:rPr>
          <w:rFonts w:ascii="Arial" w:cs="Arial" w:eastAsia="Arial" w:hAnsi="Arial"/>
          <w:sz w:val="16"/>
          <w:szCs w:val="16"/>
          <w:b w:val="1"/>
          <w:bCs w:val="1"/>
          <w:color w:val="auto"/>
        </w:rPr>
        <w:t xml:space="preserve"> </w:t>
      </w:r>
      <w:r>
        <w:rPr>
          <w:rFonts w:ascii="Arial" w:cs="Arial" w:eastAsia="Arial" w:hAnsi="Arial"/>
          <w:sz w:val="16"/>
          <w:szCs w:val="16"/>
          <w:color w:val="auto"/>
        </w:rPr>
        <w:t>replacing a basket of competitors at a fraction of the price—enables us to monetize employees in the SMB at approximately 3x the average revenue per user in our target market than is possible in the enterprise. Our unique bottom-up business model enables us to thrive where others struggle, meaning there's minimal competition, minimal margin erosion, and better than enterprise-class customer retention in the SMB.</w:t>
      </w:r>
    </w:p>
    <w:p>
      <w:pPr>
        <w:spacing w:after="0" w:line="82"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functionality is a superset of AR/AP. </w:t>
      </w:r>
      <w:r>
        <w:rPr>
          <w:rFonts w:ascii="Arial" w:cs="Arial" w:eastAsia="Arial" w:hAnsi="Arial"/>
          <w:sz w:val="16"/>
          <w:szCs w:val="16"/>
          <w:color w:val="auto"/>
        </w:rPr>
        <w:t>Though historically seen as separate industries, the expense report submission,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and reimbursement process is far more complicated than any other accounts receivable/payable process. This is why we are able to offer a single platform to do all these features in one simple app: an invoice is just a simplified expense report you send to a client; a bill is just the other side of an invoice. A paycheck is just an expense report that’s automatically submitted for a fixed amount every two weeks. And so on. All of these synchronize with the same ledger system, and pay from the same bank accounts. Expensify isn't an expense management platform, it's an all-in-one business payments platform. It's one app, that's free to start, and easy to upgrade.</w:t>
      </w:r>
    </w:p>
    <w:p>
      <w:pPr>
        <w:spacing w:after="0" w:line="98" w:lineRule="exact"/>
        <w:rPr>
          <w:rFonts w:ascii="Arial" w:cs="Arial" w:eastAsia="Arial" w:hAnsi="Arial"/>
          <w:sz w:val="16"/>
          <w:szCs w:val="16"/>
          <w:color w:val="auto"/>
        </w:rPr>
      </w:pPr>
    </w:p>
    <w:p>
      <w:pPr>
        <w:jc w:val="both"/>
        <w:ind w:left="283" w:right="240" w:hanging="283"/>
        <w:spacing w:after="0" w:line="262"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grows virally. </w:t>
      </w:r>
      <w:r>
        <w:rPr>
          <w:rFonts w:ascii="Arial" w:cs="Arial" w:eastAsia="Arial" w:hAnsi="Arial"/>
          <w:sz w:val="16"/>
          <w:szCs w:val="16"/>
          <w:color w:val="auto"/>
        </w:rPr>
        <w:t>Every time you submit an expense report, you put us in touch with someone closer to the decision maker than</w:t>
      </w:r>
      <w:r>
        <w:rPr>
          <w:rFonts w:ascii="Arial" w:cs="Arial" w:eastAsia="Arial" w:hAnsi="Arial"/>
          <w:sz w:val="16"/>
          <w:szCs w:val="16"/>
          <w:b w:val="1"/>
          <w:bCs w:val="1"/>
          <w:color w:val="auto"/>
        </w:rPr>
        <w:t xml:space="preserve"> </w:t>
      </w:r>
      <w:r>
        <w:rPr>
          <w:rFonts w:ascii="Arial" w:cs="Arial" w:eastAsia="Arial" w:hAnsi="Arial"/>
          <w:sz w:val="16"/>
          <w:szCs w:val="16"/>
          <w:color w:val="auto"/>
        </w:rPr>
        <w:t>you—your boss, your finance team, etc. This is why we give employees a free expense management app: we turn every expense report into a highly targeted endorsement, from a chain of trusted employees, directly to the buyer. That same viral loop works between accounting departments as well (because every invoice is sent from one accounting team to another), and between employees (because personal money requests often go from an employee in one company to an employee in another). No matter which feature is used, members organically promote Expensify to their friends, co-workers, bosses, employees, vendors, and clients—at zero marginal cost to us.</w:t>
      </w:r>
    </w:p>
    <w:p>
      <w:pPr>
        <w:spacing w:after="0" w:line="118"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SMB expense management market is like the land that time forgot—a huge, high margin, largely untapped "silent majority" of the market that is scraping by with antique solutions. And we are the ones that have created a single, powerful, easy-to-use tool with a viral, word-of-mouth model to capture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43"/>
          </w:cols>
          <w:pgMar w:left="317" w:top="1440" w:right="339" w:bottom="1440" w:gutter="0" w:footer="0" w:header="0"/>
        </w:sectPr>
      </w:pPr>
    </w:p>
    <w:bookmarkStart w:id="124" w:name="page125"/>
    <w:bookmarkEnd w:id="124"/>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modernize it at scale. But expense management alone was never the full plan, just the foundation for what's to come.</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we're doing now.</w:t>
      </w:r>
    </w:p>
    <w:p>
      <w:pPr>
        <w:spacing w:after="0" w:line="165"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Expensify is a dynamic platform that changes a little every day, and a lot every year. Every change is a step down a long path to unify all of consumer and business payments into a single household-name superapp that grows rapidly, profitably, and scalably at zero marginal cost through viral use cases. There are a huge number of parallel initiatives underway to achieve that vision, but to highlight a few of my favorites:</w:t>
      </w:r>
    </w:p>
    <w:p>
      <w:pPr>
        <w:spacing w:after="0" w:line="98" w:lineRule="exact"/>
        <w:rPr>
          <w:sz w:val="20"/>
          <w:szCs w:val="20"/>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serve two bosses: your boss, and you. </w:t>
      </w:r>
      <w:r>
        <w:rPr>
          <w:rFonts w:ascii="Arial" w:cs="Arial" w:eastAsia="Arial" w:hAnsi="Arial"/>
          <w:sz w:val="16"/>
          <w:szCs w:val="16"/>
          <w:color w:val="auto"/>
        </w:rPr>
        <w:t>Making a business purchase with your personal card is akin to lending money to your company at zero</w:t>
      </w:r>
    </w:p>
    <w:p>
      <w:pPr>
        <w:spacing w:after="0" w:line="30" w:lineRule="exact"/>
        <w:rPr>
          <w:rFonts w:ascii="Arial" w:cs="Arial" w:eastAsia="Arial" w:hAnsi="Arial"/>
          <w:sz w:val="16"/>
          <w:szCs w:val="16"/>
          <w:color w:val="auto"/>
        </w:rPr>
      </w:pPr>
    </w:p>
    <w:p>
      <w:pPr>
        <w:ind w:left="283"/>
        <w:spacing w:after="0" w:line="258" w:lineRule="auto"/>
        <w:rPr>
          <w:rFonts w:ascii="Arial" w:cs="Arial" w:eastAsia="Arial" w:hAnsi="Arial"/>
          <w:sz w:val="16"/>
          <w:szCs w:val="16"/>
          <w:color w:val="auto"/>
        </w:rPr>
      </w:pPr>
      <w:r>
        <w:rPr>
          <w:rFonts w:ascii="Arial" w:cs="Arial" w:eastAsia="Arial" w:hAnsi="Arial"/>
          <w:sz w:val="16"/>
          <w:szCs w:val="16"/>
          <w:color w:val="auto"/>
        </w:rPr>
        <w:t>interest, and then acting as your own repo man to get paid back. It's not just a company expense: it's your expense, and it's our job to get you paid back. Our novel "individual ownership" legal structure deftly handles the subtle dynamics of joint data ownership in a business/personal context, as well as carefully isolates your personal data (such as your credit card) from company data (such as your corporate card). You own your Expensify account, not your boss. And we work for both of you, equally.</w:t>
      </w:r>
    </w:p>
    <w:p>
      <w:pPr>
        <w:spacing w:after="0" w:line="90" w:lineRule="exact"/>
        <w:rPr>
          <w:rFonts w:ascii="Arial" w:cs="Arial" w:eastAsia="Arial" w:hAnsi="Arial"/>
          <w:sz w:val="16"/>
          <w:szCs w:val="16"/>
          <w:color w:val="auto"/>
        </w:rPr>
      </w:pPr>
    </w:p>
    <w:p>
      <w:pPr>
        <w:jc w:val="both"/>
        <w:ind w:left="283" w:right="80" w:hanging="283"/>
        <w:spacing w:after="0" w:line="262"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are blurring the line between work and home. </w:t>
      </w:r>
      <w:r>
        <w:rPr>
          <w:rFonts w:ascii="Arial" w:cs="Arial" w:eastAsia="Arial" w:hAnsi="Arial"/>
          <w:sz w:val="16"/>
          <w:szCs w:val="16"/>
          <w:color w:val="auto"/>
        </w:rPr>
        <w:t>Because you own your individual account, you take it with you when you change jobs. This makes</w:t>
      </w:r>
      <w:r>
        <w:rPr>
          <w:rFonts w:ascii="Arial" w:cs="Arial" w:eastAsia="Arial" w:hAnsi="Arial"/>
          <w:sz w:val="16"/>
          <w:szCs w:val="16"/>
          <w:b w:val="1"/>
          <w:bCs w:val="1"/>
          <w:color w:val="auto"/>
        </w:rPr>
        <w:t xml:space="preserve"> </w:t>
      </w:r>
      <w:r>
        <w:rPr>
          <w:rFonts w:ascii="Arial" w:cs="Arial" w:eastAsia="Arial" w:hAnsi="Arial"/>
          <w:sz w:val="16"/>
          <w:szCs w:val="16"/>
          <w:color w:val="auto"/>
        </w:rPr>
        <w:t>our design more like LinkedIn or Facebook than Salesforce or Concur; joining a company is as simple as joining a group—company groups, community groups, church groups, our architecture treats them equally. Join as many or as few as you like, and leave whenever you want. You are in control.</w:t>
      </w:r>
    </w:p>
    <w:p>
      <w:pPr>
        <w:spacing w:after="0" w:line="2" w:lineRule="exact"/>
        <w:rPr>
          <w:rFonts w:ascii="Arial" w:cs="Arial" w:eastAsia="Arial" w:hAnsi="Arial"/>
          <w:sz w:val="16"/>
          <w:szCs w:val="16"/>
          <w:color w:val="auto"/>
        </w:rPr>
      </w:pPr>
    </w:p>
    <w:p>
      <w:pPr>
        <w:ind w:left="283" w:right="20"/>
        <w:spacing w:after="0" w:line="268" w:lineRule="auto"/>
        <w:rPr>
          <w:rFonts w:ascii="Arial" w:cs="Arial" w:eastAsia="Arial" w:hAnsi="Arial"/>
          <w:sz w:val="16"/>
          <w:szCs w:val="16"/>
          <w:color w:val="auto"/>
        </w:rPr>
      </w:pPr>
      <w:r>
        <w:rPr>
          <w:rFonts w:ascii="Arial" w:cs="Arial" w:eastAsia="Arial" w:hAnsi="Arial"/>
          <w:sz w:val="16"/>
          <w:szCs w:val="16"/>
          <w:color w:val="auto"/>
        </w:rPr>
        <w:t>Expensify is a single app that works equally across all facets of your life, and our massively scalable blockchain-synchronized database allows everyone to securely swim side by side in the same data lake.</w:t>
      </w:r>
    </w:p>
    <w:p>
      <w:pPr>
        <w:spacing w:after="0" w:line="92"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are adding end-to-end encryption with quantum-safe tech. </w:t>
      </w:r>
      <w:r>
        <w:rPr>
          <w:rFonts w:ascii="Arial" w:cs="Arial" w:eastAsia="Arial" w:hAnsi="Arial"/>
          <w:sz w:val="16"/>
          <w:szCs w:val="16"/>
          <w:color w:val="auto"/>
        </w:rPr>
        <w:t>Our individual ownership design and bottom-up business model make privacy even</w:t>
      </w:r>
      <w:r>
        <w:rPr>
          <w:rFonts w:ascii="Arial" w:cs="Arial" w:eastAsia="Arial" w:hAnsi="Arial"/>
          <w:sz w:val="16"/>
          <w:szCs w:val="16"/>
          <w:b w:val="1"/>
          <w:bCs w:val="1"/>
          <w:color w:val="auto"/>
        </w:rPr>
        <w:t xml:space="preserve"> </w:t>
      </w:r>
      <w:r>
        <w:rPr>
          <w:rFonts w:ascii="Arial" w:cs="Arial" w:eastAsia="Arial" w:hAnsi="Arial"/>
          <w:sz w:val="16"/>
          <w:szCs w:val="16"/>
          <w:color w:val="auto"/>
        </w:rPr>
        <w:t>more paramount than they would normally be. However, quantum computers threaten to undermine the RSA/DH algorithms that underpin all modern cryptography. Accordingly, we are using the latest in lattice-based public key encryption to protect employee communications from advances in quantum computing.</w:t>
      </w:r>
    </w:p>
    <w:p>
      <w:pPr>
        <w:spacing w:after="0" w:line="94" w:lineRule="exact"/>
        <w:rPr>
          <w:rFonts w:ascii="Arial" w:cs="Arial" w:eastAsia="Arial" w:hAnsi="Arial"/>
          <w:sz w:val="16"/>
          <w:szCs w:val="16"/>
          <w:color w:val="auto"/>
        </w:rPr>
      </w:pPr>
    </w:p>
    <w:p>
      <w:pPr>
        <w:ind w:left="283" w:right="40" w:hanging="283"/>
        <w:spacing w:after="0" w:line="274"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are gradually migrating to a chat-centric design. </w:t>
      </w:r>
      <w:r>
        <w:rPr>
          <w:rFonts w:ascii="Arial" w:cs="Arial" w:eastAsia="Arial" w:hAnsi="Arial"/>
          <w:sz w:val="16"/>
          <w:szCs w:val="16"/>
          <w:color w:val="auto"/>
        </w:rPr>
        <w:t>Just like you can't talk to yourself, you can't pay yourself: every payment is a conversation,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resolve some kind of financial tension. Expense management has always involved a complex conversation between employees and companies, and we are doubling down on that inherent truth with a highly-simplified chat-centric design that feels like some kind of WhatsApp/Venmo lovechild.</w:t>
      </w:r>
    </w:p>
    <w:p>
      <w:pPr>
        <w:spacing w:after="0" w:line="76"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are becoming a feature-rich, totally free business chat system. </w:t>
      </w:r>
      <w:r>
        <w:rPr>
          <w:rFonts w:ascii="Arial" w:cs="Arial" w:eastAsia="Arial" w:hAnsi="Arial"/>
          <w:sz w:val="16"/>
          <w:szCs w:val="16"/>
          <w:color w:val="auto"/>
        </w:rPr>
        <w:t>If expense management is ultimately just a complex financial conversation, chat</w:t>
      </w:r>
      <w:r>
        <w:rPr>
          <w:rFonts w:ascii="Arial" w:cs="Arial" w:eastAsia="Arial" w:hAnsi="Arial"/>
          <w:sz w:val="16"/>
          <w:szCs w:val="16"/>
          <w:b w:val="1"/>
          <w:bCs w:val="1"/>
          <w:color w:val="auto"/>
        </w:rPr>
        <w:t xml:space="preserve"> </w:t>
      </w:r>
      <w:r>
        <w:rPr>
          <w:rFonts w:ascii="Arial" w:cs="Arial" w:eastAsia="Arial" w:hAnsi="Arial"/>
          <w:sz w:val="16"/>
          <w:szCs w:val="16"/>
          <w:color w:val="auto"/>
        </w:rPr>
        <w:t>is just expense management without the expenses. And since our bottom-up business model starts with individual employees using Expensify to manage those financial conversations for free, we are extending that model further to allow any business conversation for free. This is being designed to get a foothold in new companies even easier and earlier than before.</w:t>
      </w:r>
    </w:p>
    <w:p>
      <w:pPr>
        <w:spacing w:after="0" w:line="94" w:lineRule="exact"/>
        <w:rPr>
          <w:rFonts w:ascii="Arial" w:cs="Arial" w:eastAsia="Arial" w:hAnsi="Arial"/>
          <w:sz w:val="16"/>
          <w:szCs w:val="16"/>
          <w:color w:val="auto"/>
        </w:rPr>
      </w:pPr>
    </w:p>
    <w:p>
      <w:pPr>
        <w:ind w:left="283" w:right="20" w:hanging="283"/>
        <w:spacing w:after="0" w:line="274"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are consolidating everything into a single, universal codebase. </w:t>
      </w:r>
      <w:r>
        <w:rPr>
          <w:rFonts w:ascii="Arial" w:cs="Arial" w:eastAsia="Arial" w:hAnsi="Arial"/>
          <w:sz w:val="16"/>
          <w:szCs w:val="16"/>
          <w:color w:val="auto"/>
        </w:rPr>
        <w:t>By using React Native, we can build a single codebase that works identically</w:t>
      </w:r>
      <w:r>
        <w:rPr>
          <w:rFonts w:ascii="Arial" w:cs="Arial" w:eastAsia="Arial" w:hAnsi="Arial"/>
          <w:sz w:val="16"/>
          <w:szCs w:val="16"/>
          <w:b w:val="1"/>
          <w:bCs w:val="1"/>
          <w:color w:val="auto"/>
        </w:rPr>
        <w:t xml:space="preserve"> </w:t>
      </w:r>
      <w:r>
        <w:rPr>
          <w:rFonts w:ascii="Arial" w:cs="Arial" w:eastAsia="Arial" w:hAnsi="Arial"/>
          <w:sz w:val="16"/>
          <w:szCs w:val="16"/>
          <w:color w:val="auto"/>
        </w:rPr>
        <w:t>across iPhone, Android, web, and even desktop. This means we don't need to rewrite the same features four times—we have one team, working on one app, that works equally everywhere.</w:t>
      </w:r>
    </w:p>
    <w:p>
      <w:pPr>
        <w:spacing w:after="0" w:line="88" w:lineRule="exact"/>
        <w:rPr>
          <w:rFonts w:ascii="Arial" w:cs="Arial" w:eastAsia="Arial" w:hAnsi="Arial"/>
          <w:sz w:val="16"/>
          <w:szCs w:val="16"/>
          <w:color w:val="auto"/>
        </w:rPr>
      </w:pPr>
    </w:p>
    <w:p>
      <w:pPr>
        <w:ind w:left="283" w:hanging="283"/>
        <w:spacing w:after="0" w:line="274"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leverage the open source community. </w:t>
      </w:r>
      <w:r>
        <w:rPr>
          <w:rFonts w:ascii="Arial" w:cs="Arial" w:eastAsia="Arial" w:hAnsi="Arial"/>
          <w:sz w:val="16"/>
          <w:szCs w:val="16"/>
          <w:color w:val="auto"/>
        </w:rPr>
        <w:t>Great talent appears everywhere, but not everyone wants a full time job. To capture the benefit from this</w:t>
      </w:r>
      <w:r>
        <w:rPr>
          <w:rFonts w:ascii="Arial" w:cs="Arial" w:eastAsia="Arial" w:hAnsi="Arial"/>
          <w:sz w:val="16"/>
          <w:szCs w:val="16"/>
          <w:b w:val="1"/>
          <w:bCs w:val="1"/>
          <w:color w:val="auto"/>
        </w:rPr>
        <w:t xml:space="preserve"> </w:t>
      </w:r>
      <w:r>
        <w:rPr>
          <w:rFonts w:ascii="Arial" w:cs="Arial" w:eastAsia="Arial" w:hAnsi="Arial"/>
          <w:sz w:val="16"/>
          <w:szCs w:val="16"/>
          <w:color w:val="auto"/>
        </w:rPr>
        <w:t>global talent pool we augment our own engineering team with nearly a hundred open source developers around the world. We are committed to an open world of collaborative development, both by supporting existing projects and inviting everyone into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23"/>
          </w:cols>
          <w:pgMar w:left="317" w:top="1440" w:right="359" w:bottom="1440" w:gutter="0" w:footer="0" w:header="0"/>
        </w:sectPr>
      </w:pPr>
    </w:p>
    <w:bookmarkStart w:id="125" w:name="page126"/>
    <w:bookmarkEnd w:id="125"/>
    <w:p>
      <w:pPr>
        <w:ind w:left="283" w:right="280" w:hanging="283"/>
        <w:spacing w:after="0" w:line="27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We will support your side hustle. </w:t>
      </w:r>
      <w:r>
        <w:rPr>
          <w:rFonts w:ascii="Arial" w:cs="Arial" w:eastAsia="Arial" w:hAnsi="Arial"/>
          <w:sz w:val="16"/>
          <w:szCs w:val="16"/>
          <w:color w:val="auto"/>
        </w:rPr>
        <w:t>Today you need to link together a basket of random tools to crowdfund, communicate with fans, and isolate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Expensify will bring the power of enterprise expense management into your pocket, simplified for the smallest project, growing in sophistication as you do.</w:t>
      </w:r>
    </w:p>
    <w:p>
      <w:pPr>
        <w:spacing w:after="0" w:line="76" w:lineRule="exact"/>
        <w:rPr>
          <w:rFonts w:ascii="Arial" w:cs="Arial" w:eastAsia="Arial" w:hAnsi="Arial"/>
          <w:sz w:val="16"/>
          <w:szCs w:val="16"/>
          <w:color w:val="auto"/>
        </w:rPr>
      </w:pPr>
    </w:p>
    <w:p>
      <w:pPr>
        <w:ind w:left="283" w:right="480" w:hanging="283"/>
        <w:spacing w:after="0" w:line="27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We will link your community. </w:t>
      </w:r>
      <w:r>
        <w:rPr>
          <w:rFonts w:ascii="Arial" w:cs="Arial" w:eastAsia="Arial" w:hAnsi="Arial"/>
          <w:sz w:val="16"/>
          <w:szCs w:val="16"/>
          <w:color w:val="auto"/>
        </w:rPr>
        <w:t>Volunteering with your church, hosting a block party, cleaning up a beach—all of these community activities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surprisingly complicated project management exercises, often with people you don't know very well, and often with large financial obligations split amongst the group. Expensify will make this easy.</w:t>
      </w:r>
    </w:p>
    <w:p>
      <w:pPr>
        <w:spacing w:after="0" w:line="88"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We will help you travel with friends</w:t>
      </w:r>
      <w:r>
        <w:rPr>
          <w:rFonts w:ascii="Arial" w:cs="Arial" w:eastAsia="Arial" w:hAnsi="Arial"/>
          <w:sz w:val="16"/>
          <w:szCs w:val="16"/>
          <w:color w:val="auto"/>
        </w:rPr>
        <w:t>. As the world reopens and our wanderlust takes hold, Expensify will be there booking your flights, managing your</w:t>
      </w:r>
      <w:r>
        <w:rPr>
          <w:rFonts w:ascii="Arial" w:cs="Arial" w:eastAsia="Arial" w:hAnsi="Arial"/>
          <w:sz w:val="16"/>
          <w:szCs w:val="16"/>
          <w:b w:val="1"/>
          <w:bCs w:val="1"/>
          <w:color w:val="auto"/>
        </w:rPr>
        <w:t xml:space="preserve"> </w:t>
      </w:r>
      <w:r>
        <w:rPr>
          <w:rFonts w:ascii="Arial" w:cs="Arial" w:eastAsia="Arial" w:hAnsi="Arial"/>
          <w:sz w:val="16"/>
          <w:szCs w:val="16"/>
          <w:color w:val="auto"/>
        </w:rPr>
        <w:t>hotels, keeping track of your tabs, and settling up as you go.</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We will connect your family. </w:t>
      </w:r>
      <w:r>
        <w:rPr>
          <w:rFonts w:ascii="Arial" w:cs="Arial" w:eastAsia="Arial" w:hAnsi="Arial"/>
          <w:sz w:val="16"/>
          <w:szCs w:val="16"/>
          <w:color w:val="auto"/>
        </w:rPr>
        <w:t>Managing allowances, digitizing the tooth fairy, teaching financial literacy—Expensify will grow with your family.</w:t>
      </w:r>
    </w:p>
    <w:p>
      <w:pPr>
        <w:spacing w:after="0" w:line="15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Expensify isn't just a corporate card, any more than Google is just a search engine, or Microsoft just an operating system. Both established an unassailable hold on one critical feature, and then built a moat around it a lightyear wide through ancillary features and services. That deep gravity well of products and services inexorably tugs at every business in the solar system, gradually pulling them into orbit no matter where they started. We aim to do the same: to establish a dominant position in business expense management, and then surround it with a wide array of social, consumer, and prosumer functionality that tips everyone's trajectory towards our sun, a little more every day.</w:t>
      </w:r>
    </w:p>
    <w:p>
      <w:pPr>
        <w:spacing w:after="0" w:line="123"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Given this broad feature set packed into a single, simple app, we call ourselves a "payments superapp" with the tagline: "One app, all free." But if you can keep a secret, the real long term vision is so much bigger. We are building the first "financial social network", devoted to people who are doing the real work of saving this world, every day.</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Save the world.</w:t>
      </w:r>
    </w:p>
    <w:p>
      <w:pPr>
        <w:spacing w:after="0" w:line="153" w:lineRule="exact"/>
        <w:rPr>
          <w:sz w:val="20"/>
          <w:szCs w:val="20"/>
          <w:color w:val="auto"/>
        </w:rPr>
      </w:pPr>
    </w:p>
    <w:p>
      <w:pPr>
        <w:jc w:val="both"/>
        <w:ind w:left="3" w:right="320"/>
        <w:spacing w:after="0" w:line="261" w:lineRule="auto"/>
        <w:rPr>
          <w:sz w:val="20"/>
          <w:szCs w:val="20"/>
          <w:color w:val="auto"/>
        </w:rPr>
      </w:pPr>
      <w:r>
        <w:rPr>
          <w:rFonts w:ascii="Arial" w:cs="Arial" w:eastAsia="Arial" w:hAnsi="Arial"/>
          <w:sz w:val="16"/>
          <w:szCs w:val="16"/>
          <w:color w:val="auto"/>
        </w:rPr>
        <w:t>The last 10 years have been wild. The next 10 years are shaping up to be more of the same. And the next 100 will make today seem quaint. We have a tremendous amount of incredibly important work to do, not just in the office, but in our homes, in our community, and on our streets. The next 100 years won't be defined by technology: they will be defined by people, and all the good and bad things those people choose to do.</w:t>
      </w:r>
    </w:p>
    <w:p>
      <w:pPr>
        <w:spacing w:after="0" w:line="118"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We built Expensify from the very start to be the platform for the world to unite, coordinate, combine resources, and execute on all the myriad tasks that society depends upon to literally survive this difficult inflection point in the human experiment. This is a massive undertaking, and as such every aspect of Expensify is designed to support this long term vision. We have been extremely deliberate about who we hire, what we prioritize, when we push, where we market, and how we govern.</w:t>
      </w:r>
    </w:p>
    <w:p>
      <w:pPr>
        <w:spacing w:after="0" w:line="12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We believe social technology should help us achieve our dreams, not distract us from pursuing them. Enough time has been wasted retweeting cat pictures, spreading misinformation, salivating over food porn, salivating over actual porn, or watching people who are old enough to know better tumble off of terrifyingly tall stacks of milk crates.</w:t>
      </w:r>
    </w:p>
    <w:p>
      <w:pPr>
        <w:spacing w:after="0" w:line="106"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It's time for us to put aside our silly distractions, come together, and get some serious shit done—and for anyone who answers that call, Expensify will be there.</w:t>
      </w:r>
    </w:p>
    <w:p>
      <w:pPr>
        <w:spacing w:after="0" w:line="113"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It's been a long road, and there's so much more to do. I cannot adequately express how proud I am of the team that got us here, how thankful I am for the investors who took a chance on us when nobody else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83"/>
          </w:cols>
          <w:pgMar w:left="317" w:top="1422" w:right="399" w:bottom="1440" w:gutter="0" w:footer="0" w:header="0"/>
        </w:sectPr>
      </w:pPr>
    </w:p>
    <w:bookmarkStart w:id="126" w:name="page127"/>
    <w:bookmarkEnd w:id="126"/>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would, and most of all how appreciative I am for our members and customers who made it all possible. I would be honored for you to join us on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1136650" cy="433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6650" cy="43307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Founder and CEO of Expensify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40"/>
          </w:cols>
          <w:pgMar w:left="320" w:top="1440" w:right="4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26"/>
          <w:szCs w:val="26"/>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1407" w:right="339" w:bottom="1440" w:gutter="0" w:footer="0" w:header="0"/>
        </w:sectPr>
      </w:pPr>
    </w:p>
    <w:bookmarkStart w:id="128" w:name="page129"/>
    <w:bookmarkEnd w:id="128"/>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 In 2020, we launched Expensify.org, which is now a 501(c)(3) non-profit, to increase transparency in the donation process while connecting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16" w:lineRule="exact"/>
        <w:rPr>
          <w:sz w:val="20"/>
          <w:szCs w:val="20"/>
          <w:color w:val="auto"/>
        </w:rPr>
      </w:pPr>
    </w:p>
    <w:p>
      <w:pPr>
        <w:ind w:left="3" w:right="14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$80.5 million and $ 88.1 million in the years ended December 31, 2019 and 2020, respectively. Our net income (loss) was $ 1.2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21"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283" w:right="480" w:hanging="283"/>
        <w:spacing w:after="0" w:line="27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discover. </w:t>
      </w:r>
      <w:r>
        <w:rPr>
          <w:rFonts w:ascii="Arial" w:cs="Arial" w:eastAsia="Arial" w:hAnsi="Arial"/>
          <w:sz w:val="16"/>
          <w:szCs w:val="16"/>
          <w:color w:val="auto"/>
        </w:rPr>
        <w:t>With job responsibilities spanning multiple functions, SMBs do not have the bandwidth and expertise to discover, meet with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several technology vendors. As such, SMBs increasingly rely on online channels for finding new technologies and heavily consider recommendations from experts, friends and colleagues.</w:t>
      </w:r>
    </w:p>
    <w:p>
      <w:pPr>
        <w:spacing w:after="0" w:line="76" w:lineRule="exact"/>
        <w:rPr>
          <w:rFonts w:ascii="Arial" w:cs="Arial" w:eastAsia="Arial" w:hAnsi="Arial"/>
          <w:sz w:val="16"/>
          <w:szCs w:val="16"/>
          <w:color w:val="auto"/>
        </w:rPr>
      </w:pPr>
    </w:p>
    <w:p>
      <w:pPr>
        <w:ind w:left="283" w:right="180" w:hanging="283"/>
        <w:spacing w:after="0" w:line="27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 time away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business to support cumbersome implementation, maintenance and training requirements. As a result, SMBs prefer solutions that are easy to implement, onboard and integrate and that require little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43"/>
          </w:cols>
          <w:pgMar w:left="317" w:top="1440" w:right="339" w:bottom="1440" w:gutter="0" w:footer="0" w:header="0"/>
        </w:sectPr>
      </w:pPr>
    </w:p>
    <w:bookmarkStart w:id="129" w:name="page130"/>
    <w:bookmarkEnd w:id="129"/>
    <w:p>
      <w:pPr>
        <w:ind w:left="283" w:right="440" w:hanging="283"/>
        <w:spacing w:after="0" w:line="29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 often prefer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vendors with transparent, self-service monthly subscription plans that can be paid by credit card.</w:t>
      </w:r>
    </w:p>
    <w:p>
      <w:pPr>
        <w:spacing w:after="0" w:line="60"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manage. </w:t>
      </w:r>
      <w:r>
        <w:rPr>
          <w:rFonts w:ascii="Arial" w:cs="Arial" w:eastAsia="Arial" w:hAnsi="Arial"/>
          <w:sz w:val="16"/>
          <w:szCs w:val="16"/>
          <w:color w:val="auto"/>
        </w:rPr>
        <w:t>Unlike large enterprises, which often require multiple, customized point solutions for specialized business processes, SMBs prefer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single, comprehensive platform from one provider that can solve multiple pain points.</w:t>
      </w:r>
    </w:p>
    <w:p>
      <w:pPr>
        <w:spacing w:after="0" w:line="72" w:lineRule="exact"/>
        <w:rPr>
          <w:rFonts w:ascii="Arial" w:cs="Arial" w:eastAsia="Arial" w:hAnsi="Arial"/>
          <w:sz w:val="16"/>
          <w:szCs w:val="16"/>
          <w:color w:val="auto"/>
        </w:rPr>
      </w:pPr>
    </w:p>
    <w:p>
      <w:pPr>
        <w:ind w:left="283" w:right="120" w:hanging="283"/>
        <w:spacing w:after="0" w:line="29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 that require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training or expertise to operate.</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short, SMBs look for “easy money” management.</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03"/>
          </w:cols>
          <w:pgMar w:left="317" w:top="1422" w:right="479" w:bottom="1440" w:gutter="0" w:footer="0" w:header="0"/>
        </w:sectPr>
      </w:pPr>
    </w:p>
    <w:bookmarkStart w:id="130" w:name="page131"/>
    <w:bookmarkEnd w:id="130"/>
    <w:p>
      <w:pPr>
        <w:spacing w:after="0" w:line="2"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03" w:lineRule="exact"/>
        <w:rPr>
          <w:sz w:val="20"/>
          <w:szCs w:val="20"/>
          <w:color w:val="auto"/>
        </w:rPr>
      </w:pPr>
    </w:p>
    <w:p>
      <w:pPr>
        <w:ind w:left="283" w:right="2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 designed for the employee. </w:t>
      </w:r>
      <w:r>
        <w:rPr>
          <w:rFonts w:ascii="Arial" w:cs="Arial" w:eastAsia="Arial" w:hAnsi="Arial"/>
          <w:sz w:val="16"/>
          <w:szCs w:val="16"/>
          <w:color w:val="auto"/>
        </w:rPr>
        <w:t>Nearly every software provider designs its products around the needs of the buyer, and because existing solutions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in a "top-down" fashion by managers and decision makers, they prioritize esoteric, complex functionality over an elegant, intuitive and user-friendly interface that can enable widespread adoption within any organization by regular employees and managers alike;</w:t>
      </w:r>
    </w:p>
    <w:p>
      <w:pPr>
        <w:spacing w:after="0" w:line="88"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disparate product lines for different features. </w:t>
      </w:r>
      <w:r>
        <w:rPr>
          <w:rFonts w:ascii="Arial" w:cs="Arial" w:eastAsia="Arial" w:hAnsi="Arial"/>
          <w:sz w:val="16"/>
          <w:szCs w:val="16"/>
          <w:color w:val="auto"/>
        </w:rPr>
        <w:t>When adding new products or expanding functionality, traditional software vendors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hierarchical management styles 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82" w:lineRule="exact"/>
        <w:rPr>
          <w:rFonts w:ascii="Arial" w:cs="Arial" w:eastAsia="Arial" w:hAnsi="Arial"/>
          <w:sz w:val="16"/>
          <w:szCs w:val="16"/>
          <w:color w:val="auto"/>
        </w:rPr>
      </w:pPr>
    </w:p>
    <w:p>
      <w:pPr>
        <w:ind w:left="283" w:hanging="283"/>
        <w:spacing w:after="0" w:line="267"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Inaccurate receipt scanning. </w:t>
      </w:r>
      <w:r>
        <w:rPr>
          <w:rFonts w:ascii="Arial" w:cs="Arial" w:eastAsia="Arial" w:hAnsi="Arial"/>
          <w:sz w:val="16"/>
          <w:szCs w:val="16"/>
          <w:color w:val="auto"/>
        </w:rPr>
        <w:t>Existing solutions offer simple, digital-only receipt scanning that, while accurate some of the time, is still inaccurate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enough that it requires 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94"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purposeful automation. </w:t>
      </w:r>
      <w:r>
        <w:rPr>
          <w:rFonts w:ascii="Arial" w:cs="Arial" w:eastAsia="Arial" w:hAnsi="Arial"/>
          <w:sz w:val="16"/>
          <w:szCs w:val="16"/>
          <w:color w:val="auto"/>
        </w:rPr>
        <w:t>Existing solutions view automation as simply digitizing the same steps of the conventional paper process -- an equally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approach that requires the same resources -- rather than creating a truly digital process that makes the process more efficient, continuously improves itself with artificial intelligence (AI) and requires substantially less manpower;</w:t>
      </w:r>
    </w:p>
    <w:p>
      <w:pPr>
        <w:spacing w:after="0" w:line="88" w:lineRule="exact"/>
        <w:rPr>
          <w:rFonts w:ascii="Arial" w:cs="Arial" w:eastAsia="Arial" w:hAnsi="Arial"/>
          <w:sz w:val="16"/>
          <w:szCs w:val="16"/>
          <w:color w:val="auto"/>
        </w:rPr>
      </w:pPr>
    </w:p>
    <w:p>
      <w:pPr>
        <w:ind w:left="283" w:right="180" w:hanging="283"/>
        <w:spacing w:after="0" w:line="26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integration with key systems and applications. </w:t>
      </w:r>
      <w:r>
        <w:rPr>
          <w:rFonts w:ascii="Arial" w:cs="Arial" w:eastAsia="Arial" w:hAnsi="Arial"/>
          <w:sz w:val="16"/>
          <w:szCs w:val="16"/>
          <w:color w:val="auto"/>
        </w:rPr>
        <w:t>Existing solutions are not designed to be easily interoperable with a broad array of back-office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consumer 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43"/>
          </w:cols>
          <w:pgMar w:left="317" w:top="1440" w:right="339" w:bottom="1440" w:gutter="0" w:footer="0" w:header="0"/>
        </w:sectPr>
      </w:pPr>
    </w:p>
    <w:bookmarkStart w:id="131" w:name="page132"/>
    <w:bookmarkEnd w:id="131"/>
    <w:p>
      <w:pPr>
        <w:ind w:left="283" w:hanging="283"/>
        <w:spacing w:after="0" w:line="263"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Partitioned database design. </w:t>
      </w:r>
      <w:r>
        <w:rPr>
          <w:rFonts w:ascii="Arial" w:cs="Arial" w:eastAsia="Arial" w:hAnsi="Arial"/>
          <w:sz w:val="16"/>
          <w:szCs w:val="16"/>
          <w:color w:val="auto"/>
        </w:rPr>
        <w:t>Existing solutions leverage the traditional database design for storing their customer’s data, in which the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partitioned between hundreds or even 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 such as consumer chat between employees of different companies, or paying invoices between accounting departments, is extremely cumbersome and inefficient.</w:t>
      </w:r>
    </w:p>
    <w:p>
      <w:pPr>
        <w:spacing w:after="0" w:line="28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102" w:lineRule="exact"/>
        <w:rPr>
          <w:sz w:val="20"/>
          <w:szCs w:val="20"/>
          <w:color w:val="auto"/>
        </w:rPr>
      </w:pPr>
    </w:p>
    <w:p>
      <w:pPr>
        <w:ind w:left="283" w:right="200" w:hanging="283"/>
        <w:spacing w:after="0" w:line="27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 requiring an ever-increasing pipeline of sales talent. 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76" w:lineRule="exact"/>
        <w:rPr>
          <w:rFonts w:ascii="Arial" w:cs="Arial" w:eastAsia="Arial" w:hAnsi="Arial"/>
          <w:sz w:val="16"/>
          <w:szCs w:val="16"/>
          <w:color w:val="auto"/>
        </w:rPr>
      </w:pPr>
    </w:p>
    <w:p>
      <w:pPr>
        <w:ind w:left="283" w:right="120" w:hanging="283"/>
        <w:spacing w:after="0" w:line="259"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Relative to the massive number of SMBs across the world, there is a smaller,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manageable number of large enterprises, 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104" w:lineRule="exact"/>
        <w:rPr>
          <w:rFonts w:ascii="Arial" w:cs="Arial" w:eastAsia="Arial" w:hAnsi="Arial"/>
          <w:sz w:val="16"/>
          <w:szCs w:val="16"/>
          <w:color w:val="auto"/>
        </w:rPr>
      </w:pPr>
    </w:p>
    <w:p>
      <w:pPr>
        <w:jc w:val="both"/>
        <w:ind w:left="283" w:right="260" w:hanging="283"/>
        <w:spacing w:after="0" w:line="267"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 procurement processes,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emphasize pricing and 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9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 company.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106" w:lineRule="exact"/>
        <w:rPr>
          <w:sz w:val="20"/>
          <w:szCs w:val="20"/>
          <w:color w:val="auto"/>
        </w:rPr>
      </w:pPr>
    </w:p>
    <w:p>
      <w:pPr>
        <w:ind w:left="3" w:right="140"/>
        <w:spacing w:after="0" w:line="268" w:lineRule="auto"/>
        <w:rPr>
          <w:sz w:val="20"/>
          <w:szCs w:val="20"/>
          <w:color w:val="auto"/>
        </w:rPr>
      </w:pPr>
      <w:r>
        <w:rPr>
          <w:rFonts w:ascii="Arial" w:cs="Arial" w:eastAsia="Arial" w:hAnsi="Arial"/>
          <w:sz w:val="16"/>
          <w:szCs w:val="16"/>
          <w:color w:val="auto"/>
        </w:rPr>
        <w:t>We believe that the SMB market requires solutions that emphasize the needs of everyday employees and avoid these pitfalls created by the traditional top-down software sales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43"/>
          </w:cols>
          <w:pgMar w:left="317" w:top="1422" w:right="33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b w:val="1"/>
          <w:bCs w:val="1"/>
          <w:color w:val="auto"/>
        </w:rPr>
        <w:t>Our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96520</wp:posOffset>
            </wp:positionV>
            <wp:extent cx="4826000" cy="2714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 excludes the U.S. market opportunity for companies with greater than 1,000 employees, which we estimate to be $7.1 billion using the same methodology described above.</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00"/>
          </w:cols>
          <w:pgMar w:left="320" w:top="1425" w:right="379" w:bottom="1440" w:gutter="0" w:footer="0" w:header="0"/>
        </w:sectPr>
      </w:pPr>
    </w:p>
    <w:bookmarkStart w:id="133" w:name="page134"/>
    <w:bookmarkEnd w:id="133"/>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13" w:lineRule="exact"/>
        <w:rPr>
          <w:sz w:val="20"/>
          <w:szCs w:val="20"/>
          <w:color w:val="auto"/>
        </w:rPr>
      </w:pPr>
    </w:p>
    <w:p>
      <w:pPr>
        <w:ind w:left="283" w:right="40" w:hanging="283"/>
        <w:spacing w:after="0" w:line="262"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 2019 and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launched fully in early 2020. This 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98" w:lineRule="exact"/>
        <w:rPr>
          <w:rFonts w:ascii="Arial" w:cs="Arial" w:eastAsia="Arial" w:hAnsi="Arial"/>
          <w:sz w:val="16"/>
          <w:szCs w:val="16"/>
          <w:color w:val="auto"/>
        </w:rPr>
      </w:pPr>
    </w:p>
    <w:p>
      <w:pPr>
        <w:ind w:left="283" w:right="20" w:hanging="283"/>
        <w:spacing w:after="0" w:line="264"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Platform expansion</w:t>
      </w:r>
      <w:r>
        <w:rPr>
          <w:rFonts w:ascii="Arial" w:cs="Arial" w:eastAsia="Arial" w:hAnsi="Arial"/>
          <w:sz w:val="16"/>
          <w:szCs w:val="16"/>
          <w:color w:val="auto"/>
        </w:rPr>
        <w:t>. We plan to introduce features that will increase our TAM. Our core features center around expense management, which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a fraction of company 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6" w:lineRule="exact"/>
        <w:rPr>
          <w:rFonts w:ascii="Arial" w:cs="Arial" w:eastAsia="Arial" w:hAnsi="Arial"/>
          <w:sz w:val="16"/>
          <w:szCs w:val="16"/>
          <w:color w:val="auto"/>
        </w:rPr>
      </w:pPr>
    </w:p>
    <w:p>
      <w:pPr>
        <w:ind w:left="283" w:right="100" w:hanging="283"/>
        <w:spacing w:after="0" w:line="267"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 currently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Kingdom, Canada and 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102" w:lineRule="exact"/>
        <w:rPr>
          <w:sz w:val="20"/>
          <w:szCs w:val="20"/>
          <w:color w:val="auto"/>
        </w:rPr>
      </w:pPr>
    </w:p>
    <w:p>
      <w:pPr>
        <w:ind w:left="3" w:right="520"/>
        <w:spacing w:after="0" w:line="268" w:lineRule="auto"/>
        <w:rPr>
          <w:sz w:val="20"/>
          <w:szCs w:val="20"/>
          <w:color w:val="auto"/>
        </w:rPr>
      </w:pPr>
      <w:r>
        <w:rPr>
          <w:rFonts w:ascii="Arial" w:cs="Arial" w:eastAsia="Arial" w:hAnsi="Arial"/>
          <w:sz w:val="16"/>
          <w:szCs w:val="16"/>
          <w:color w:val="auto"/>
        </w:rPr>
        <w:t>We believe our platform and business model have us well-positioned to continue to address our core market and capture the multiple sources of TAM upside.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approach</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13" w:lineRule="exact"/>
        <w:rPr>
          <w:sz w:val="20"/>
          <w:szCs w:val="20"/>
          <w:color w:val="auto"/>
        </w:rPr>
      </w:pPr>
    </w:p>
    <w:p>
      <w:pPr>
        <w:ind w:left="283" w:hanging="283"/>
        <w:spacing w:after="0" w:line="264"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 employee within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96" w:lineRule="exact"/>
        <w:rPr>
          <w:rFonts w:ascii="Arial" w:cs="Arial" w:eastAsia="Arial" w:hAnsi="Arial"/>
          <w:sz w:val="16"/>
          <w:szCs w:val="16"/>
          <w:color w:val="auto"/>
        </w:rPr>
      </w:pPr>
    </w:p>
    <w:p>
      <w:pPr>
        <w:ind w:left="283" w:right="40" w:hanging="283"/>
        <w:spacing w:after="0" w:line="264"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 adoption cycle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96" w:lineRule="exact"/>
        <w:rPr>
          <w:rFonts w:ascii="Arial" w:cs="Arial" w:eastAsia="Arial" w:hAnsi="Arial"/>
          <w:sz w:val="16"/>
          <w:szCs w:val="16"/>
          <w:color w:val="auto"/>
        </w:rPr>
      </w:pPr>
    </w:p>
    <w:p>
      <w:pPr>
        <w:ind w:left="283" w:right="320" w:hanging="283"/>
        <w:spacing w:after="0" w:line="267"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 marketing.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23"/>
          </w:cols>
          <w:pgMar w:left="317" w:top="1440" w:right="359" w:bottom="1440" w:gutter="0" w:footer="0" w:header="0"/>
        </w:sectPr>
      </w:pPr>
    </w:p>
    <w:bookmarkStart w:id="134" w:name="page135"/>
    <w:bookmarkEnd w:id="134"/>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members rather than rely on the expensive and ineffective activities of traditional sales and marketing to drive customer acquisition.</w:t>
      </w:r>
    </w:p>
    <w:p>
      <w:pPr>
        <w:spacing w:after="0" w:line="113" w:lineRule="exact"/>
        <w:rPr>
          <w:sz w:val="20"/>
          <w:szCs w:val="20"/>
          <w:color w:val="auto"/>
        </w:rPr>
      </w:pPr>
    </w:p>
    <w:p>
      <w:pPr>
        <w:ind w:left="283" w:right="20" w:hanging="283"/>
        <w:spacing w:after="0" w:line="267"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 company culture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1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platform strategy</w:t>
      </w:r>
    </w:p>
    <w:p>
      <w:pPr>
        <w:spacing w:after="0" w:line="152"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01" w:lineRule="exact"/>
        <w:rPr>
          <w:sz w:val="20"/>
          <w:szCs w:val="20"/>
          <w:color w:val="auto"/>
        </w:rPr>
      </w:pPr>
    </w:p>
    <w:p>
      <w:pPr>
        <w:ind w:left="283" w:right="180" w:hanging="283"/>
        <w:spacing w:after="0" w:line="264"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 department.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an intuitive, elegant user 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96"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designed our platform to be easily implemented and configured without the need to speak with a sales person. Any employee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85"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designed our platform to leverage leading technology, such as our patented SmartScan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98"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63"/>
          </w:cols>
          <w:pgMar w:left="317" w:top="1440" w:right="319" w:bottom="1440" w:gutter="0" w:footer="0" w:header="0"/>
        </w:sectPr>
      </w:pPr>
    </w:p>
    <w:bookmarkStart w:id="135" w:name="page136"/>
    <w:bookmarkEnd w:id="135"/>
    <w:p>
      <w:pPr>
        <w:ind w:left="283" w:right="100" w:hanging="283"/>
        <w:spacing w:after="0" w:line="267"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 We offer over 40 pre-built integrations,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02" w:lineRule="exact"/>
        <w:rPr>
          <w:sz w:val="20"/>
          <w:szCs w:val="20"/>
          <w:color w:val="auto"/>
        </w:rPr>
      </w:pPr>
    </w:p>
    <w:p>
      <w:pPr>
        <w:ind w:left="3" w:right="680"/>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104775</wp:posOffset>
            </wp:positionV>
            <wp:extent cx="4826000" cy="2714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As of June 30, 2021, 60% of our revenue can be attributed to an instance where an employee used our application first and recommended it to their manager.</w:t>
      </w:r>
    </w:p>
    <w:p>
      <w:pPr>
        <w:spacing w:after="0" w:line="12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3"/>
          </w:cols>
          <w:pgMar w:left="317" w:top="1422" w:right="339" w:bottom="1440" w:gutter="0" w:footer="0" w:header="0"/>
        </w:sectPr>
      </w:pPr>
    </w:p>
    <w:bookmarkStart w:id="136" w:name="page137"/>
    <w:bookmarkEnd w:id="136"/>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suit their specific needs, all without interacting with a sales representative or paying hidden costs for implementation, maintenance, or support.</w:t>
      </w:r>
    </w:p>
    <w:p>
      <w:pPr>
        <w:spacing w:after="0" w:line="117" w:lineRule="exact"/>
        <w:rPr>
          <w:sz w:val="20"/>
          <w:szCs w:val="20"/>
          <w:color w:val="auto"/>
        </w:rPr>
      </w:pPr>
    </w:p>
    <w:p>
      <w:pPr>
        <w:ind w:left="3" w:right="32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w:t>
      </w:r>
    </w:p>
    <w:p>
      <w:pPr>
        <w:spacing w:after="0" w:line="77" w:lineRule="exact"/>
        <w:rPr>
          <w:sz w:val="20"/>
          <w:szCs w:val="20"/>
          <w:color w:val="auto"/>
        </w:rPr>
      </w:pPr>
    </w:p>
    <w:p>
      <w:pPr>
        <w:ind w:left="283" w:hanging="283"/>
        <w:spacing w:after="0"/>
        <w:tabs>
          <w:tab w:leader="none" w:pos="283"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color w:val="auto"/>
        </w:rPr>
      </w:pPr>
    </w:p>
    <w:p>
      <w:pPr>
        <w:ind w:left="883" w:right="120" w:hanging="298"/>
        <w:spacing w:after="0" w:line="294" w:lineRule="auto"/>
        <w:tabs>
          <w:tab w:leader="none" w:pos="879"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 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883" w:right="440" w:hanging="298"/>
        <w:spacing w:after="0" w:line="294" w:lineRule="auto"/>
        <w:tabs>
          <w:tab w:leader="none" w:pos="879"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for reimbursement.</w:t>
      </w:r>
    </w:p>
    <w:p>
      <w:pPr>
        <w:spacing w:after="0" w:line="77" w:lineRule="exact"/>
        <w:rPr>
          <w:sz w:val="20"/>
          <w:szCs w:val="20"/>
          <w:color w:val="auto"/>
        </w:rPr>
      </w:pPr>
    </w:p>
    <w:p>
      <w:pPr>
        <w:ind w:left="3"/>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additional discounts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883" w:right="620" w:hanging="298"/>
        <w:spacing w:after="0" w:line="294" w:lineRule="auto"/>
        <w:tabs>
          <w:tab w:leader="none" w:pos="879"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b w:val="1"/>
          <w:bCs w:val="1"/>
          <w:color w:val="auto"/>
        </w:rPr>
      </w:pPr>
    </w:p>
    <w:p>
      <w:pPr>
        <w:ind w:left="883" w:right="200" w:hanging="298"/>
        <w:spacing w:after="0" w:line="294" w:lineRule="auto"/>
        <w:tabs>
          <w:tab w:leader="none" w:pos="879"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pay employees, contractors and volunteers via Direct Deposit ACH.</w:t>
      </w:r>
    </w:p>
    <w:p>
      <w:pPr>
        <w:spacing w:after="0" w:line="60" w:lineRule="exact"/>
        <w:rPr>
          <w:rFonts w:ascii="Arial" w:cs="Arial" w:eastAsia="Arial" w:hAnsi="Arial"/>
          <w:sz w:val="16"/>
          <w:szCs w:val="16"/>
          <w:color w:val="auto"/>
        </w:rPr>
      </w:pPr>
    </w:p>
    <w:p>
      <w:pPr>
        <w:ind w:left="883" w:right="360" w:hanging="298"/>
        <w:spacing w:after="0" w:line="274" w:lineRule="auto"/>
        <w:tabs>
          <w:tab w:leader="none" w:pos="879"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which is by far our most popular plan, includes everything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as well as other internal systems commonly used by mid-market and enterprise companies.</w:t>
      </w:r>
    </w:p>
    <w:p>
      <w:pPr>
        <w:spacing w:after="0" w:line="108"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28" w:lineRule="exact"/>
        <w:rPr>
          <w:sz w:val="20"/>
          <w:szCs w:val="20"/>
          <w:color w:val="auto"/>
        </w:rPr>
      </w:pPr>
    </w:p>
    <w:p>
      <w:pPr>
        <w:ind w:left="3" w:right="320"/>
        <w:spacing w:after="0" w:line="268" w:lineRule="auto"/>
        <w:rPr>
          <w:sz w:val="20"/>
          <w:szCs w:val="20"/>
          <w:color w:val="auto"/>
        </w:rPr>
      </w:pPr>
      <w:r>
        <w:rPr>
          <w:rFonts w:ascii="Arial" w:cs="Arial" w:eastAsia="Arial" w:hAnsi="Arial"/>
          <w:sz w:val="16"/>
          <w:szCs w:val="16"/>
          <w:color w:val="auto"/>
        </w:rPr>
        <w:t>We also leverage partnerships with accounting and bookkeeping firms, who provide validation of our platform and refer customers to us. We partner with strategic accounting software partners such as Intuit,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43"/>
          </w:cols>
          <w:pgMar w:left="317" w:top="1440" w:right="339" w:bottom="1440" w:gutter="0" w:footer="0" w:header="0"/>
        </w:sectPr>
      </w:pPr>
    </w:p>
    <w:bookmarkStart w:id="137" w:name="page138"/>
    <w:bookmarkEnd w:id="137"/>
    <w:p>
      <w:pPr>
        <w:spacing w:after="0" w:line="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 xml:space="preserve">NetSuite, Xero and Intacct to integrate our software in their clients’ back offices, and recognize us as a top expense tool when their clients are browsing and selecting integrated solutions. Additionally,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trains and supports accountants to use our platform and encourages their customers to use Expensify. 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spacing w:after="0" w:line="111"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w:t>
      </w:r>
    </w:p>
    <w:p>
      <w:pPr>
        <w:spacing w:after="0" w:line="164"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90" w:lineRule="exact"/>
        <w:rPr>
          <w:sz w:val="20"/>
          <w:szCs w:val="20"/>
          <w:color w:val="auto"/>
        </w:rPr>
      </w:pPr>
    </w:p>
    <w:p>
      <w:pPr>
        <w:ind w:left="283" w:hanging="283"/>
        <w:spacing w:after="0" w:line="274"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Live Rich. </w:t>
      </w:r>
      <w:r>
        <w:rPr>
          <w:rFonts w:ascii="Arial" w:cs="Arial" w:eastAsia="Arial" w:hAnsi="Arial"/>
          <w:sz w:val="16"/>
          <w:szCs w:val="16"/>
          <w:color w:val="auto"/>
        </w:rPr>
        <w:t>This means we want to have ample means, and the time to enjoy it. We want to participate in a diverse, equitable, inclusive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88"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Have Fun. </w:t>
      </w:r>
      <w:r>
        <w:rPr>
          <w:rFonts w:ascii="Arial" w:cs="Arial" w:eastAsia="Arial" w:hAnsi="Arial"/>
          <w:sz w:val="16"/>
          <w:szCs w:val="16"/>
          <w:color w:val="auto"/>
        </w:rPr>
        <w:t>Sometimes, we want to do stuff that is awesome just for the sake of awesomeness. Not too often, but often enough to remind ourselves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98" w:lineRule="exact"/>
        <w:rPr>
          <w:rFonts w:ascii="Arial" w:cs="Arial" w:eastAsia="Arial" w:hAnsi="Arial"/>
          <w:sz w:val="16"/>
          <w:szCs w:val="16"/>
          <w:color w:val="auto"/>
        </w:rPr>
      </w:pPr>
    </w:p>
    <w:p>
      <w:pPr>
        <w:ind w:left="283" w:right="80" w:hanging="283"/>
        <w:spacing w:after="0" w:line="274"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Save The World. </w:t>
      </w:r>
      <w:r>
        <w:rPr>
          <w:rFonts w:ascii="Arial" w:cs="Arial" w:eastAsia="Arial" w:hAnsi="Arial"/>
          <w:sz w:val="16"/>
          <w:szCs w:val="16"/>
          <w:color w:val="auto"/>
        </w:rPr>
        <w:t>We like the phrasing of this goal precisely because it is bombastic. We want to play an active role in unwinding the systemic bias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prevented so many from living rich. We believe that even a small team with limited resources, given enough time and focus, can move the world. This is why we started Expensify.org, to “create a just and generous world”, and we are all totally committed to its mission.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there are three common qualities critical to achieving these three goals and the success of our company:</w:t>
      </w:r>
    </w:p>
    <w:p>
      <w:pPr>
        <w:spacing w:after="0" w:line="125" w:lineRule="exact"/>
        <w:rPr>
          <w:sz w:val="20"/>
          <w:szCs w:val="20"/>
          <w:color w:val="auto"/>
        </w:rPr>
      </w:pPr>
    </w:p>
    <w:p>
      <w:pPr>
        <w:ind w:left="283" w:hanging="283"/>
        <w:spacing w:after="0"/>
        <w:tabs>
          <w:tab w:leader="none" w:pos="283"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w:t>
      </w:r>
      <w:r>
        <w:rPr>
          <w:rFonts w:ascii="Arial" w:cs="Arial" w:eastAsia="Arial" w:hAnsi="Arial"/>
          <w:sz w:val="16"/>
          <w:szCs w:val="16"/>
          <w:color w:val="auto"/>
        </w:rPr>
        <w:t>Each of us can learn without being taught, and can teach whatever we’ve learned.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Ambition. </w:t>
      </w:r>
      <w:r>
        <w:rPr>
          <w:rFonts w:ascii="Arial" w:cs="Arial" w:eastAsia="Arial" w:hAnsi="Arial"/>
          <w:sz w:val="16"/>
          <w:szCs w:val="16"/>
          <w:color w:val="auto"/>
        </w:rPr>
        <w:t>Each of us has a genuine desire to accomplish something meaningful to us individually, to create more than we consume in this world.</w:t>
      </w:r>
    </w:p>
    <w:p>
      <w:pPr>
        <w:spacing w:after="0" w:line="132"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Humility. </w:t>
      </w:r>
      <w:r>
        <w:rPr>
          <w:rFonts w:ascii="Arial" w:cs="Arial" w:eastAsia="Arial" w:hAnsi="Arial"/>
          <w:sz w:val="16"/>
          <w:szCs w:val="16"/>
          <w:color w:val="auto"/>
        </w:rPr>
        <w:t>Each of us genuinely values the opinions and perspectives of others, and seeks above all to find the right solution to any given problem,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who came up with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03"/>
          </w:cols>
          <w:pgMar w:left="317" w:top="1440" w:right="379" w:bottom="1440" w:gutter="0" w:footer="0" w:header="0"/>
        </w:sectPr>
      </w:pPr>
    </w:p>
    <w:bookmarkStart w:id="138" w:name="page139"/>
    <w:bookmarkEnd w:id="138"/>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Finally, our long-term commitment to our three life goals is guided by two simple rules:</w:t>
      </w:r>
    </w:p>
    <w:p>
      <w:pPr>
        <w:spacing w:after="0" w:line="113" w:lineRule="exact"/>
        <w:rPr>
          <w:sz w:val="20"/>
          <w:szCs w:val="20"/>
          <w:color w:val="auto"/>
        </w:rPr>
      </w:pPr>
    </w:p>
    <w:p>
      <w:pPr>
        <w:ind w:left="283" w:right="320" w:hanging="283"/>
        <w:spacing w:after="0" w:line="294" w:lineRule="auto"/>
        <w:tabs>
          <w:tab w:leader="none" w:pos="278"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Get Shit Done. </w:t>
      </w:r>
      <w:r>
        <w:rPr>
          <w:rFonts w:ascii="Arial" w:cs="Arial" w:eastAsia="Arial" w:hAnsi="Arial"/>
          <w:sz w:val="16"/>
          <w:szCs w:val="16"/>
          <w:color w:val="auto"/>
        </w:rPr>
        <w:t>We have little-to-no internal hierarchy; nobody reports to anyone else. Everyone is responsible for their own time and empowered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spend it in the way they feel will best advance their own goals, and the goals of the company.</w:t>
      </w:r>
    </w:p>
    <w:p>
      <w:pPr>
        <w:spacing w:after="0" w:line="72" w:lineRule="exact"/>
        <w:rPr>
          <w:rFonts w:ascii="Arial" w:cs="Arial" w:eastAsia="Arial" w:hAnsi="Arial"/>
          <w:sz w:val="16"/>
          <w:szCs w:val="16"/>
          <w:color w:val="auto"/>
        </w:rPr>
      </w:pPr>
    </w:p>
    <w:p>
      <w:pPr>
        <w:ind w:left="283" w:right="200" w:hanging="283"/>
        <w:spacing w:after="0" w:line="274" w:lineRule="auto"/>
        <w:tabs>
          <w:tab w:leader="none" w:pos="278"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Don’t Ruin It for Everyone Else. </w:t>
      </w:r>
      <w:r>
        <w:rPr>
          <w:rFonts w:ascii="Arial" w:cs="Arial" w:eastAsia="Arial" w:hAnsi="Arial"/>
          <w:sz w:val="16"/>
          <w:szCs w:val="16"/>
          <w:color w:val="auto"/>
        </w:rPr>
        <w:t>Whenever there is some complicated scenario with an unclear resolution, we always brainstorm the fairest possible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 -- and then put in the hard work to make that ideal solution our actual solution. Fairness rarely comes easy, and is typically far, far from the norm.</w:t>
      </w:r>
    </w:p>
    <w:p>
      <w:pPr>
        <w:spacing w:after="0" w:line="108"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 As of June 30, 2021, 64% of our 140 employees have a tenure of over 4 years, and our 10-person leadership team has an average tenure of 8.6 years. We dedicate significant time and resources to monitor and improve the happiness of our employees, including a monthly survey to measure our employees’ happiness. In 2020, this survey produced an average employee happiness score of 8.93 out of 10. Additionally, as of June 30, 2021 we had a rating of 4.9 out of 5 on Glassdoor. While we are extremely proud of our employee happiness, we remain relentlessly committed to reevaluating ourselves and continuing to foster a workplace environment that prioritizes the well-being of each and every Expensify employee.</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competitive strengths</w:t>
      </w:r>
    </w:p>
    <w:p>
      <w:pPr>
        <w:spacing w:after="0" w:line="164"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283" w:hanging="283"/>
        <w:spacing w:after="0" w:line="260"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 and powerful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with features designed for the actual end 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90" w:lineRule="exact"/>
        <w:rPr>
          <w:rFonts w:ascii="Arial" w:cs="Arial" w:eastAsia="Arial" w:hAnsi="Arial"/>
          <w:sz w:val="16"/>
          <w:szCs w:val="16"/>
          <w:color w:val="auto"/>
        </w:rPr>
      </w:pPr>
    </w:p>
    <w:p>
      <w:pPr>
        <w:ind w:left="283" w:right="260" w:hanging="283"/>
        <w:spacing w:after="0" w:line="264"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 platform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After the initial use of 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96"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 organizations,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and business 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23"/>
          </w:cols>
          <w:pgMar w:left="317" w:top="1440" w:right="359" w:bottom="1440" w:gutter="0" w:footer="0" w:header="0"/>
        </w:sectPr>
      </w:pPr>
    </w:p>
    <w:bookmarkStart w:id="139" w:name="page140"/>
    <w:bookmarkEnd w:id="139"/>
    <w:p>
      <w:pPr>
        <w:ind w:left="283" w:hanging="283"/>
        <w:spacing w:after="0" w:line="262" w:lineRule="auto"/>
        <w:tabs>
          <w:tab w:leader="none" w:pos="278"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Employee-centric legal structure and database design</w:t>
      </w:r>
      <w:r>
        <w:rPr>
          <w:rFonts w:ascii="Arial" w:cs="Arial" w:eastAsia="Arial" w:hAnsi="Arial"/>
          <w:sz w:val="16"/>
          <w:szCs w:val="16"/>
          <w:color w:val="auto"/>
        </w:rPr>
        <w:t>. Our platform is built on Bedrock, a proprietary and private distributed database that we built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ourselves. Bedrock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 with any other member, no matter where they are or what company employs them. We believe no other company can replicate our bottom-up adoption model without this defensible technical and legal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67945</wp:posOffset>
            </wp:positionV>
            <wp:extent cx="4639945" cy="26060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399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3" w:right="60" w:hanging="283"/>
        <w:spacing w:after="0" w:line="259" w:lineRule="auto"/>
        <w:tabs>
          <w:tab w:leader="none" w:pos="27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 to attract, retain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 We prioritize diversity, equity and inclusion, recognizing diverse perspectives lead to better outcomes. Attracting and retaining a diverse and global workforce, with employees of different races, ethnicities, nationalities, religions, ages, gender identities, sexual orientations and more, is central to our ability to innovate and create value over the long term.</w:t>
      </w:r>
    </w:p>
    <w:p>
      <w:pPr>
        <w:spacing w:after="0" w:line="112"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believe that these strengths set us apart from our competition and put us in a powerful position to maintain and expand our market leadership as we add new features and our industry grows.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13" w:lineRule="exact"/>
        <w:rPr>
          <w:sz w:val="20"/>
          <w:szCs w:val="20"/>
          <w:color w:val="auto"/>
        </w:rPr>
      </w:pPr>
    </w:p>
    <w:p>
      <w:pPr>
        <w:ind w:left="283" w:right="120" w:hanging="283"/>
        <w:spacing w:after="0" w:line="294"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create additional value for existing members. </w:t>
      </w:r>
      <w:r>
        <w:rPr>
          <w:rFonts w:ascii="Arial" w:cs="Arial" w:eastAsia="Arial" w:hAnsi="Arial"/>
          <w:sz w:val="16"/>
          <w:szCs w:val="16"/>
          <w:color w:val="auto"/>
        </w:rPr>
        <w:t>Our word-of-mouth model works well because people genuinely enjoy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Expensify. We intend to continue to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03"/>
          </w:cols>
          <w:pgMar w:left="317" w:top="1422" w:right="379" w:bottom="1440" w:gutter="0" w:footer="0" w:header="0"/>
        </w:sectPr>
      </w:pPr>
    </w:p>
    <w:bookmarkStart w:id="140" w:name="page141"/>
    <w:bookmarkEnd w:id="140"/>
    <w:p>
      <w:pPr>
        <w:spacing w:after="0" w:line="2" w:lineRule="exact"/>
        <w:rPr>
          <w:sz w:val="20"/>
          <w:szCs w:val="20"/>
          <w:color w:val="auto"/>
        </w:rPr>
      </w:pPr>
    </w:p>
    <w:p>
      <w:pPr>
        <w:ind w:left="283" w:right="20"/>
        <w:spacing w:after="0" w:line="258" w:lineRule="auto"/>
        <w:rPr>
          <w:sz w:val="20"/>
          <w:szCs w:val="20"/>
          <w:color w:val="auto"/>
        </w:rPr>
      </w:pPr>
      <w:r>
        <w:rPr>
          <w:rFonts w:ascii="Arial" w:cs="Arial" w:eastAsia="Arial" w:hAnsi="Arial"/>
          <w:sz w:val="16"/>
          <w:szCs w:val="16"/>
          <w:color w:val="auto"/>
        </w:rPr>
        <w:t>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June 2021, 70% of our team was involved in material aspects of research and development. By efficiently investing in new features that prioritize the needs of our members, we can continue to retain existing members and attract new members via word-of-mouth;</w:t>
      </w:r>
    </w:p>
    <w:p>
      <w:pPr>
        <w:spacing w:after="0" w:line="90" w:lineRule="exact"/>
        <w:rPr>
          <w:sz w:val="20"/>
          <w:szCs w:val="20"/>
          <w:color w:val="auto"/>
        </w:rPr>
      </w:pPr>
    </w:p>
    <w:p>
      <w:pPr>
        <w:ind w:left="283" w:hanging="283"/>
        <w:spacing w:after="0" w:line="263"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attract new members beyond employees who submit expenses. </w:t>
      </w:r>
      <w:r>
        <w:rPr>
          <w:rFonts w:ascii="Arial" w:cs="Arial" w:eastAsia="Arial" w:hAnsi="Arial"/>
          <w:sz w:val="16"/>
          <w:szCs w:val="16"/>
          <w:color w:val="auto"/>
        </w:rPr>
        <w:t>We have and will continue to invest in developing features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295" w:lineRule="exact"/>
        <w:rPr>
          <w:rFonts w:ascii="Arial" w:cs="Arial" w:eastAsia="Arial" w:hAnsi="Arial"/>
          <w:sz w:val="16"/>
          <w:szCs w:val="16"/>
          <w:color w:val="auto"/>
        </w:rPr>
      </w:pPr>
    </w:p>
    <w:p>
      <w:pPr>
        <w:ind w:left="283" w:right="60" w:hanging="283"/>
        <w:spacing w:after="0" w:line="259"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viral loops into our member experience that increase adoption by new customers. </w:t>
      </w:r>
      <w:r>
        <w:rPr>
          <w:rFonts w:ascii="Arial" w:cs="Arial" w:eastAsia="Arial" w:hAnsi="Arial"/>
          <w:sz w:val="16"/>
          <w:szCs w:val="16"/>
          <w:color w:val="auto"/>
        </w:rPr>
        <w:t>We design our expense management platform and every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feature with the aim of frictionless adoption. For the six months ended June 30, 2021, approximately 60%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100"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and monetize transaction volume from existing and new customers. </w:t>
      </w:r>
      <w:r>
        <w:rPr>
          <w:rFonts w:ascii="Arial" w:cs="Arial" w:eastAsia="Arial" w:hAnsi="Arial"/>
          <w:sz w:val="16"/>
          <w:szCs w:val="16"/>
          <w:color w:val="auto"/>
        </w:rPr>
        <w:t>We fully launched the Expensify Card in 2020 and, despite pullback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expenses with the 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82" w:lineRule="exact"/>
        <w:rPr>
          <w:rFonts w:ascii="Arial" w:cs="Arial" w:eastAsia="Arial" w:hAnsi="Arial"/>
          <w:sz w:val="16"/>
          <w:szCs w:val="16"/>
          <w:color w:val="auto"/>
        </w:rPr>
      </w:pPr>
    </w:p>
    <w:p>
      <w:pPr>
        <w:ind w:left="283" w:hanging="283"/>
        <w:spacing w:after="0" w:line="264"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Promote Expensify’s culture and values</w:t>
      </w:r>
      <w:r>
        <w:rPr>
          <w:rFonts w:ascii="Arial" w:cs="Arial" w:eastAsia="Arial" w:hAnsi="Arial"/>
          <w:sz w:val="16"/>
          <w:szCs w:val="16"/>
          <w:color w:val="auto"/>
        </w:rPr>
        <w:t>. We believe that consumers are more likely to both use and recommend products from brands they admire.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a proprietary 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96"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strengthen our market consensus. </w:t>
      </w:r>
      <w:r>
        <w:rPr>
          <w:rFonts w:ascii="Arial" w:cs="Arial" w:eastAsia="Arial" w:hAnsi="Arial"/>
          <w:sz w:val="16"/>
          <w:szCs w:val="16"/>
          <w:color w:val="auto"/>
        </w:rPr>
        <w:t>We have worked hard to establish and maintain Expensify as the dominant expense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96" w:lineRule="exact"/>
        <w:rPr>
          <w:rFonts w:ascii="Arial" w:cs="Arial" w:eastAsia="Arial" w:hAnsi="Arial"/>
          <w:sz w:val="16"/>
          <w:szCs w:val="16"/>
          <w:color w:val="auto"/>
        </w:rPr>
      </w:pPr>
    </w:p>
    <w:p>
      <w:pPr>
        <w:ind w:left="283" w:right="200" w:hanging="283"/>
        <w:spacing w:after="0" w:line="294"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integrations and strengthen partnerships. </w:t>
      </w:r>
      <w:r>
        <w:rPr>
          <w:rFonts w:ascii="Arial" w:cs="Arial" w:eastAsia="Arial" w:hAnsi="Arial"/>
          <w:sz w:val="16"/>
          <w:szCs w:val="16"/>
          <w:color w:val="auto"/>
        </w:rPr>
        <w:t>Expense management touches many functions across a company. To provide a seamless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for our customers, we integrate with the accounting, ERP and travel software used by SMBs and their employees every day. We also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3"/>
          </w:cols>
          <w:pgMar w:left="317" w:top="1440" w:right="339" w:bottom="1440" w:gutter="0" w:footer="0" w:header="0"/>
        </w:sectPr>
      </w:pPr>
    </w:p>
    <w:bookmarkStart w:id="141" w:name="page142"/>
    <w:bookmarkEnd w:id="141"/>
    <w:p>
      <w:pPr>
        <w:spacing w:after="0" w:line="2" w:lineRule="exact"/>
        <w:rPr>
          <w:sz w:val="20"/>
          <w:szCs w:val="20"/>
          <w:color w:val="auto"/>
        </w:rPr>
      </w:pPr>
    </w:p>
    <w:p>
      <w:pPr>
        <w:ind w:left="283" w:right="40"/>
        <w:spacing w:after="0" w:line="258" w:lineRule="auto"/>
        <w:rPr>
          <w:sz w:val="20"/>
          <w:szCs w:val="20"/>
          <w:color w:val="auto"/>
        </w:rPr>
      </w:pPr>
      <w:r>
        <w:rPr>
          <w:rFonts w:ascii="Arial" w:cs="Arial" w:eastAsia="Arial" w:hAnsi="Arial"/>
          <w:sz w:val="16"/>
          <w:szCs w:val="16"/>
          <w:color w:val="auto"/>
        </w:rPr>
        <w:t xml:space="preserve">frictionless integrations with many of the technology providers that generate the most receipts for our members, such as Uber and Lyft. Through our </w:t>
      </w:r>
      <w:r>
        <w:rPr>
          <w:rFonts w:ascii="Arial" w:cs="Arial" w:eastAsia="Arial" w:hAnsi="Arial"/>
          <w:sz w:val="16"/>
          <w:szCs w:val="16"/>
          <w:i w:val="1"/>
          <w:iCs w:val="1"/>
          <w:color w:val="auto"/>
        </w:rPr>
        <w:t xml:space="preserve">ExpensifyApproved! </w:t>
      </w:r>
      <w:r>
        <w:rPr>
          <w:rFonts w:ascii="Arial" w:cs="Arial" w:eastAsia="Arial" w:hAnsi="Arial"/>
          <w:sz w:val="16"/>
          <w:szCs w:val="16"/>
          <w:color w:val="auto"/>
        </w:rPr>
        <w:t>Partner Program, we train and support accountants who then encourage their customers to use Expensify. We intend to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both integrations and partnerships as they are critical to delivering best-in-class user experiences and ensuring that Expensify is deeply embedded within our customer base; and</w:t>
      </w:r>
    </w:p>
    <w:p>
      <w:pPr>
        <w:spacing w:after="0" w:line="90" w:lineRule="exact"/>
        <w:rPr>
          <w:sz w:val="20"/>
          <w:szCs w:val="20"/>
          <w:color w:val="auto"/>
        </w:rPr>
      </w:pPr>
    </w:p>
    <w:p>
      <w:pPr>
        <w:ind w:left="283" w:right="220" w:hanging="283"/>
        <w:spacing w:after="0" w:line="264" w:lineRule="auto"/>
        <w:tabs>
          <w:tab w:leader="none" w:pos="278"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For the year ended December 31, 2020 and six months ended June 30, 2021, we derived 10% and 11% of our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from customers outside the United 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1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believe that the combination of the strength of our platform, our scalable business model and our special company culture has us well-positioned to achieve these growth strategies.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Expensify.org</w:t>
      </w:r>
    </w:p>
    <w:p>
      <w:pPr>
        <w:spacing w:after="0" w:line="152" w:lineRule="exact"/>
        <w:rPr>
          <w:sz w:val="20"/>
          <w:szCs w:val="20"/>
          <w:color w:val="auto"/>
        </w:rPr>
      </w:pPr>
    </w:p>
    <w:p>
      <w:pPr>
        <w:ind w:left="3" w:right="300"/>
        <w:spacing w:after="0" w:line="261"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18"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23" w:lineRule="exact"/>
        <w:rPr>
          <w:sz w:val="20"/>
          <w:szCs w:val="20"/>
          <w:color w:val="auto"/>
        </w:rPr>
      </w:pPr>
    </w:p>
    <w:p>
      <w:pPr>
        <w:ind w:left="3" w:right="300"/>
        <w:spacing w:after="0" w:line="257" w:lineRule="auto"/>
        <w:rPr>
          <w:sz w:val="20"/>
          <w:szCs w:val="20"/>
          <w:color w:val="auto"/>
        </w:rPr>
      </w:pPr>
      <w:r>
        <w:rPr>
          <w:rFonts w:ascii="Arial" w:cs="Arial" w:eastAsia="Arial" w:hAnsi="Arial"/>
          <w:sz w:val="16"/>
          <w:szCs w:val="16"/>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11"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amount from the card to Expensify.org. Beginning in 2021, we made an additional commitment to donate 25 cents for every dollar we pay to white, male Expensify employees to Expensify.org to fund social justice and equity efforts.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February 2021, Expensify.org launched the Community Justice Grant Challenge in order to find the most scalable and impactful community-based</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campaigns for each of its five funds. Over 1,000 groups from across the globe applied. 62 groups were selected as semi-finalists and are receiving up to</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$5,000 in funding from Expensify.org. Ten of the 62 groups were selected as finalists via public vote and are receiving up to $25,000 in total funding. A final</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round of donor-voting will be held for the finalists in which five of the finalists will receive up to $100,000 in total funding.</w:t>
      </w:r>
    </w:p>
    <w:p>
      <w:pPr>
        <w:spacing w:after="0" w:line="145"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In May 2021, Expensify.org also launched its SNAP&amp;VAX campaign. This campaign allows those receiving SNAP benefits (also known as food stamps) to receive $50 in grocery reimbursement as well as providing a $50 incentive to get the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3"/>
          </w:cols>
          <w:pgMar w:left="317" w:top="1440" w:right="339" w:bottom="1440" w:gutter="0" w:footer="0" w:header="0"/>
        </w:sectPr>
      </w:pPr>
    </w:p>
    <w:bookmarkStart w:id="142" w:name="page143"/>
    <w:bookmarkEnd w:id="142"/>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platform</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 management</w:t>
      </w:r>
    </w:p>
    <w:p>
      <w:pPr>
        <w:spacing w:after="0" w:line="16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714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1440" w:right="339" w:bottom="1440" w:gutter="0" w:footer="0" w:header="0"/>
        </w:sectPr>
      </w:pPr>
    </w:p>
    <w:bookmarkStart w:id="143" w:name="page144"/>
    <w:bookmarkEnd w:id="143"/>
    <w:p>
      <w:pPr>
        <w:ind w:left="3"/>
        <w:spacing w:after="0"/>
        <w:rPr>
          <w:sz w:val="20"/>
          <w:szCs w:val="20"/>
          <w:color w:val="auto"/>
        </w:rPr>
      </w:pPr>
      <w:r>
        <w:rPr>
          <w:rFonts w:ascii="Arial" w:cs="Arial" w:eastAsia="Arial" w:hAnsi="Arial"/>
          <w:sz w:val="16"/>
          <w:szCs w:val="16"/>
          <w:b w:val="1"/>
          <w:bCs w:val="1"/>
          <w:i w:val="1"/>
          <w:iCs w:val="1"/>
          <w:color w:val="auto"/>
        </w:rPr>
        <w:t>Capture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Most of today’s financial data still exists on paper. Expensify streamlines the capture and normalization of disparate financial data in the following ways:</w:t>
      </w:r>
    </w:p>
    <w:p>
      <w:pPr>
        <w:spacing w:after="0" w:line="125" w:lineRule="exact"/>
        <w:rPr>
          <w:sz w:val="20"/>
          <w:szCs w:val="20"/>
          <w:color w:val="auto"/>
        </w:rPr>
      </w:pPr>
    </w:p>
    <w:p>
      <w:pPr>
        <w:ind w:left="283" w:right="80" w:hanging="283"/>
        <w:spacing w:after="0" w:line="294"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SmartScan. </w:t>
      </w:r>
      <w:r>
        <w:rPr>
          <w:rFonts w:ascii="Arial" w:cs="Arial" w:eastAsia="Arial" w:hAnsi="Arial"/>
          <w:sz w:val="16"/>
          <w:szCs w:val="16"/>
          <w:color w:val="auto"/>
        </w:rPr>
        <w:t>Snap a photo of your receipt, forward receipts from email, or upload attachments directly in the application. SmartScan optimizes for high-accuracy data extraction to support our “fire and forget” receipt capture.</w:t>
      </w:r>
    </w:p>
    <w:p>
      <w:pPr>
        <w:spacing w:after="0" w:line="72" w:lineRule="exact"/>
        <w:rPr>
          <w:rFonts w:ascii="Arial" w:cs="Arial" w:eastAsia="Arial" w:hAnsi="Arial"/>
          <w:sz w:val="16"/>
          <w:szCs w:val="16"/>
          <w:color w:val="auto"/>
        </w:rPr>
      </w:pPr>
    </w:p>
    <w:p>
      <w:pPr>
        <w:ind w:left="283" w:right="400" w:hanging="283"/>
        <w:spacing w:after="0" w:line="294"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Credit card matching. </w:t>
      </w:r>
      <w:r>
        <w:rPr>
          <w:rFonts w:ascii="Arial" w:cs="Arial" w:eastAsia="Arial" w:hAnsi="Arial"/>
          <w:sz w:val="16"/>
          <w:szCs w:val="16"/>
          <w:color w:val="auto"/>
        </w:rPr>
        <w:t>Receipts and emails are automatically matched to incoming credit card transactions in real-time, preventing duplicates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reducing the need to manually reconcile credit card statements at month end.</w:t>
      </w:r>
    </w:p>
    <w:p>
      <w:pPr>
        <w:spacing w:after="0" w:line="60" w:lineRule="exact"/>
        <w:rPr>
          <w:rFonts w:ascii="Arial" w:cs="Arial" w:eastAsia="Arial" w:hAnsi="Arial"/>
          <w:sz w:val="16"/>
          <w:szCs w:val="16"/>
          <w:color w:val="auto"/>
        </w:rPr>
      </w:pPr>
    </w:p>
    <w:p>
      <w:pPr>
        <w:jc w:val="both"/>
        <w:ind w:left="283" w:hanging="283"/>
        <w:spacing w:after="0" w:line="274"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Mobile expense capture. </w:t>
      </w:r>
      <w:r>
        <w:rPr>
          <w:rFonts w:ascii="Arial" w:cs="Arial" w:eastAsia="Arial" w:hAnsi="Arial"/>
          <w:sz w:val="16"/>
          <w:szCs w:val="16"/>
          <w:color w:val="auto"/>
        </w:rPr>
        <w:t>With mobile apps for Android and iOS, it’s possible to capture receipts, mileage expenses and per diems while in the office or</w:t>
      </w:r>
      <w:r>
        <w:rPr>
          <w:rFonts w:ascii="Arial" w:cs="Arial" w:eastAsia="Arial" w:hAnsi="Arial"/>
          <w:sz w:val="16"/>
          <w:szCs w:val="16"/>
          <w:b w:val="1"/>
          <w:bCs w:val="1"/>
          <w:color w:val="auto"/>
        </w:rPr>
        <w:t xml:space="preserve"> </w:t>
      </w:r>
      <w:r>
        <w:rPr>
          <w:rFonts w:ascii="Arial" w:cs="Arial" w:eastAsia="Arial" w:hAnsi="Arial"/>
          <w:sz w:val="16"/>
          <w:szCs w:val="16"/>
          <w:color w:val="auto"/>
        </w:rPr>
        <w:t>anywhere else in the world – online or offline. In addition, members can automatically import receipts from their favorite travel tools, including Uber, Lyft, Grab, Hotel Tonight, among others.</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Approve</w:t>
      </w:r>
    </w:p>
    <w:p>
      <w:pPr>
        <w:spacing w:after="0" w:line="165"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81" w:lineRule="exact"/>
        <w:rPr>
          <w:sz w:val="20"/>
          <w:szCs w:val="20"/>
          <w:color w:val="auto"/>
        </w:rPr>
      </w:pPr>
    </w:p>
    <w:p>
      <w:pPr>
        <w:ind w:left="283" w:hanging="283"/>
        <w:spacing w:after="0" w:line="294"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Multi-level approval workflows. </w:t>
      </w:r>
      <w:r>
        <w:rPr>
          <w:rFonts w:ascii="Arial" w:cs="Arial" w:eastAsia="Arial" w:hAnsi="Arial"/>
          <w:sz w:val="16"/>
          <w:szCs w:val="16"/>
          <w:color w:val="auto"/>
        </w:rPr>
        <w:t>Customizable approval workflows help companies of all sizes tailor their approval hierarchies, route specific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to budget or project owners and approve expenses through an intuitive “Guided Review” that highlights specific items requiring review.</w:t>
      </w:r>
    </w:p>
    <w:p>
      <w:pPr>
        <w:spacing w:after="0" w:line="72"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Intelligent auditing. </w:t>
      </w:r>
      <w:r>
        <w:rPr>
          <w:rFonts w:ascii="Arial" w:cs="Arial" w:eastAsia="Arial" w:hAnsi="Arial"/>
          <w:sz w:val="16"/>
          <w:szCs w:val="16"/>
          <w:color w:val="auto"/>
        </w:rPr>
        <w:t>Process data automatically or configure which types of transactions require review. Expensify detects receipt duplicates by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and automatically verifies that any manually-entered expenses match attached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59690</wp:posOffset>
            </wp:positionV>
            <wp:extent cx="4454525" cy="25057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54525" cy="250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3" w:right="40" w:hanging="283"/>
        <w:spacing w:after="0" w:line="29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Powerful integrations. </w:t>
      </w:r>
      <w:r>
        <w:rPr>
          <w:rFonts w:ascii="Arial" w:cs="Arial" w:eastAsia="Arial" w:hAnsi="Arial"/>
          <w:sz w:val="16"/>
          <w:szCs w:val="16"/>
          <w:color w:val="auto"/>
        </w:rPr>
        <w:t>Connect directly with leading cloud accounting and finance platforms such as QuickBooks, Xero, Oracle NetSuite, Sage Intacct</w:t>
      </w:r>
      <w:r>
        <w:rPr>
          <w:rFonts w:ascii="Arial" w:cs="Arial" w:eastAsia="Arial" w:hAnsi="Arial"/>
          <w:sz w:val="16"/>
          <w:szCs w:val="16"/>
          <w:b w:val="1"/>
          <w:bCs w:val="1"/>
          <w:color w:val="auto"/>
        </w:rPr>
        <w:t xml:space="preserve"> </w:t>
      </w:r>
      <w:r>
        <w:rPr>
          <w:rFonts w:ascii="Arial" w:cs="Arial" w:eastAsia="Arial" w:hAnsi="Arial"/>
          <w:sz w:val="16"/>
          <w:szCs w:val="16"/>
          <w:color w:val="auto"/>
        </w:rPr>
        <w:t>and FinancialForce, among others. A continuous real-time sync means that information is dynamically updated across all connected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83"/>
          </w:cols>
          <w:pgMar w:left="317" w:top="1422" w:right="399" w:bottom="1440" w:gutter="0" w:footer="0" w:header="0"/>
        </w:sectPr>
      </w:pPr>
    </w:p>
    <w:bookmarkStart w:id="144" w:name="page145"/>
    <w:bookmarkEnd w:id="144"/>
    <w:p>
      <w:pPr>
        <w:spacing w:after="0" w:line="2" w:lineRule="exact"/>
        <w:rPr>
          <w:sz w:val="20"/>
          <w:szCs w:val="20"/>
          <w:color w:val="auto"/>
        </w:rPr>
      </w:pPr>
    </w:p>
    <w:p>
      <w:pPr>
        <w:jc w:val="both"/>
        <w:ind w:left="283" w:right="220"/>
        <w:spacing w:after="0" w:line="261" w:lineRule="auto"/>
        <w:rPr>
          <w:sz w:val="20"/>
          <w:szCs w:val="20"/>
          <w:color w:val="auto"/>
        </w:rPr>
      </w:pPr>
      <w:r>
        <w:rPr>
          <w:rFonts w:ascii="Arial" w:cs="Arial" w:eastAsia="Arial" w:hAnsi="Arial"/>
          <w:sz w:val="16"/>
          <w:szCs w:val="16"/>
          <w:color w:val="auto"/>
        </w:rPr>
        <w:t>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86" w:lineRule="exact"/>
        <w:rPr>
          <w:sz w:val="20"/>
          <w:szCs w:val="20"/>
          <w:color w:val="auto"/>
        </w:rPr>
      </w:pPr>
    </w:p>
    <w:p>
      <w:pPr>
        <w:ind w:left="283" w:hanging="283"/>
        <w:spacing w:after="0" w:line="294" w:lineRule="auto"/>
        <w:tabs>
          <w:tab w:leader="none" w:pos="278"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visibility. </w:t>
      </w:r>
      <w:r>
        <w:rPr>
          <w:rFonts w:ascii="Arial" w:cs="Arial" w:eastAsia="Arial" w:hAnsi="Arial"/>
          <w:sz w:val="16"/>
          <w:szCs w:val="16"/>
          <w:color w:val="auto"/>
        </w:rPr>
        <w:t>Whether companies require visibility into transaction approvals, help with corporate credit card reconciliation and remittance,</w:t>
      </w:r>
      <w:r>
        <w:rPr>
          <w:rFonts w:ascii="Arial" w:cs="Arial" w:eastAsia="Arial" w:hAnsi="Arial"/>
          <w:sz w:val="16"/>
          <w:szCs w:val="16"/>
          <w:b w:val="1"/>
          <w:bCs w:val="1"/>
          <w:color w:val="auto"/>
        </w:rPr>
        <w:t xml:space="preserve"> </w:t>
      </w:r>
      <w:r>
        <w:rPr>
          <w:rFonts w:ascii="Arial" w:cs="Arial" w:eastAsia="Arial" w:hAnsi="Arial"/>
          <w:sz w:val="16"/>
          <w:szCs w:val="16"/>
          <w:color w:val="auto"/>
        </w:rPr>
        <w:t>or insights into travel spend, financial data is visible throughout the platform.</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Pay</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After capturing and approving relevant company spend, businesses require an easy and fast method for disbursing funds to employees and vendors.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Expensify’s payments platform streamlines how modern payments are made and reconciled in the following ways:</w:t>
      </w:r>
    </w:p>
    <w:p>
      <w:pPr>
        <w:spacing w:after="0" w:line="113" w:lineRule="exact"/>
        <w:rPr>
          <w:sz w:val="20"/>
          <w:szCs w:val="20"/>
          <w:color w:val="auto"/>
        </w:rPr>
      </w:pPr>
    </w:p>
    <w:p>
      <w:pPr>
        <w:ind w:left="283" w:right="200" w:hanging="283"/>
        <w:spacing w:after="0" w:line="29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Next day ACH direct deposit. </w:t>
      </w:r>
      <w:r>
        <w:rPr>
          <w:rFonts w:ascii="Arial" w:cs="Arial" w:eastAsia="Arial" w:hAnsi="Arial"/>
          <w:sz w:val="16"/>
          <w:szCs w:val="16"/>
          <w:color w:val="auto"/>
        </w:rPr>
        <w:t>For companies that enable automatic processing and reimbursement, employees receive expense reimbursements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their bank account the following business day.</w:t>
      </w:r>
    </w:p>
    <w:p>
      <w:pPr>
        <w:spacing w:after="0" w:line="72"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Centralized travel procurement</w:t>
      </w:r>
      <w:r>
        <w:rPr>
          <w:rFonts w:ascii="Arial" w:cs="Arial" w:eastAsia="Arial" w:hAnsi="Arial"/>
          <w:sz w:val="16"/>
          <w:szCs w:val="16"/>
          <w:color w:val="auto"/>
        </w:rPr>
        <w:t>. Manage and centrally pay for travel bookings made with any Expensify Card, all while ensuring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travel policies.</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Corporate card remittance. </w:t>
      </w:r>
      <w:r>
        <w:rPr>
          <w:rFonts w:ascii="Arial" w:cs="Arial" w:eastAsia="Arial" w:hAnsi="Arial"/>
          <w:sz w:val="16"/>
          <w:szCs w:val="16"/>
          <w:color w:val="auto"/>
        </w:rPr>
        <w:t>Streamline the process of managing and remitting corporate card payments.</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 Card</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13" w:lineRule="exact"/>
        <w:rPr>
          <w:sz w:val="20"/>
          <w:szCs w:val="20"/>
          <w:color w:val="auto"/>
        </w:rPr>
      </w:pPr>
    </w:p>
    <w:p>
      <w:pPr>
        <w:ind w:left="3" w:right="60"/>
        <w:spacing w:after="0" w:line="261" w:lineRule="auto"/>
        <w:rPr>
          <w:sz w:val="20"/>
          <w:szCs w:val="20"/>
          <w:color w:val="auto"/>
        </w:rPr>
      </w:pPr>
      <w:r>
        <w:rPr>
          <w:rFonts w:ascii="Arial" w:cs="Arial" w:eastAsia="Arial" w:hAnsi="Arial"/>
          <w:sz w:val="16"/>
          <w:szCs w:val="16"/>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the Expensify Card include:</w:t>
      </w:r>
    </w:p>
    <w:p>
      <w:pPr>
        <w:spacing w:after="0" w:line="125" w:lineRule="exact"/>
        <w:rPr>
          <w:sz w:val="20"/>
          <w:szCs w:val="20"/>
          <w:color w:val="auto"/>
        </w:rPr>
      </w:pPr>
    </w:p>
    <w:p>
      <w:pPr>
        <w:ind w:left="283" w:right="80" w:hanging="283"/>
        <w:spacing w:after="0" w:line="29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Streamlined card application/setup. </w:t>
      </w:r>
      <w:r>
        <w:rPr>
          <w:rFonts w:ascii="Arial" w:cs="Arial" w:eastAsia="Arial" w:hAnsi="Arial"/>
          <w:sz w:val="16"/>
          <w:szCs w:val="16"/>
          <w:color w:val="auto"/>
        </w:rPr>
        <w:t>Companies receive an automated approval decision in seconds, and card provisioning for an entire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is possible in a few minutes. Every member receives a virtual card for immediate use.</w:t>
      </w:r>
    </w:p>
    <w:p>
      <w:pPr>
        <w:spacing w:after="0" w:line="72"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Continuous automatic reconciliation</w:t>
      </w:r>
      <w:r>
        <w:rPr>
          <w:rFonts w:ascii="Arial" w:cs="Arial" w:eastAsia="Arial" w:hAnsi="Arial"/>
          <w:sz w:val="16"/>
          <w:szCs w:val="16"/>
          <w:color w:val="auto"/>
        </w:rPr>
        <w:t>. Card transactions are synchronized in real-time between Expensify and a company’s accounting systems. This</w:t>
      </w:r>
      <w:r>
        <w:rPr>
          <w:rFonts w:ascii="Arial" w:cs="Arial" w:eastAsia="Arial" w:hAnsi="Arial"/>
          <w:sz w:val="16"/>
          <w:szCs w:val="16"/>
          <w:b w:val="1"/>
          <w:bCs w:val="1"/>
          <w:color w:val="auto"/>
        </w:rPr>
        <w:t xml:space="preserve"> </w:t>
      </w:r>
      <w:r>
        <w:rPr>
          <w:rFonts w:ascii="Arial" w:cs="Arial" w:eastAsia="Arial" w:hAnsi="Arial"/>
          <w:sz w:val="16"/>
          <w:szCs w:val="16"/>
          <w:color w:val="auto"/>
        </w:rPr>
        <w:t>removes the need for an arduous once-a-month statement reconciliation.</w:t>
      </w:r>
    </w:p>
    <w:p>
      <w:pPr>
        <w:spacing w:after="0" w:line="60" w:lineRule="exact"/>
        <w:rPr>
          <w:rFonts w:ascii="Arial" w:cs="Arial" w:eastAsia="Arial" w:hAnsi="Arial"/>
          <w:sz w:val="16"/>
          <w:szCs w:val="16"/>
          <w:color w:val="auto"/>
        </w:rPr>
      </w:pPr>
    </w:p>
    <w:p>
      <w:pPr>
        <w:ind w:left="283" w:right="140" w:hanging="283"/>
        <w:spacing w:after="0" w:line="29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Real-time compliance. </w:t>
      </w:r>
      <w:r>
        <w:rPr>
          <w:rFonts w:ascii="Arial" w:cs="Arial" w:eastAsia="Arial" w:hAnsi="Arial"/>
          <w:sz w:val="16"/>
          <w:szCs w:val="16"/>
          <w:color w:val="auto"/>
        </w:rPr>
        <w:t>Cardholders receive an immediate push notification when their card is charged, which helps protect against fraud.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eReceipts mean that no receipt capture is required for nearly all purchases, though companies can stipulate their own receipt policy where preferred.</w:t>
      </w:r>
    </w:p>
    <w:p>
      <w:pPr>
        <w:spacing w:after="0" w:line="72"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Spend control with Smart Limits. </w:t>
      </w:r>
      <w:r>
        <w:rPr>
          <w:rFonts w:ascii="Arial" w:cs="Arial" w:eastAsia="Arial" w:hAnsi="Arial"/>
          <w:sz w:val="16"/>
          <w:szCs w:val="16"/>
          <w:color w:val="auto"/>
        </w:rPr>
        <w:t>Companies control the maximum exposure they will accept for each employee by stipulating their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unapproved spend, which is another cash control feature. If a cardholder fails to submit their expenses in a timely fashion, card activity is suspended until historical card spend is approved.</w:t>
      </w:r>
    </w:p>
    <w:p>
      <w:pPr>
        <w:spacing w:after="0" w:line="88" w:lineRule="exact"/>
        <w:rPr>
          <w:rFonts w:ascii="Arial" w:cs="Arial" w:eastAsia="Arial" w:hAnsi="Arial"/>
          <w:sz w:val="16"/>
          <w:szCs w:val="16"/>
          <w:color w:val="auto"/>
        </w:rPr>
      </w:pPr>
    </w:p>
    <w:p>
      <w:pPr>
        <w:ind w:left="283" w:right="240" w:hanging="283"/>
        <w:spacing w:after="0" w:line="27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Cash back. </w:t>
      </w:r>
      <w:r>
        <w:rPr>
          <w:rFonts w:ascii="Arial" w:cs="Arial" w:eastAsia="Arial" w:hAnsi="Arial"/>
          <w:sz w:val="16"/>
          <w:szCs w:val="16"/>
          <w:color w:val="auto"/>
        </w:rPr>
        <w:t>Starting in September 2021, companies receive up to 2% cash back with no limits for all spend on their Expensify Cards.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1% cash back when they spend over $25,000 summed across all of their Expensify Cards, or 2% cash back when they spend over $250,000 summed across all of their Expensify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83"/>
          </w:cols>
          <w:pgMar w:left="317" w:top="1440" w:right="399" w:bottom="1440" w:gutter="0" w:footer="0" w:header="0"/>
        </w:sectPr>
      </w:pPr>
    </w:p>
    <w:bookmarkStart w:id="145" w:name="page146"/>
    <w:bookmarkEnd w:id="145"/>
    <w:p>
      <w:pPr>
        <w:ind w:left="283" w:right="100" w:hanging="283"/>
        <w:spacing w:after="0" w:line="294" w:lineRule="auto"/>
        <w:tabs>
          <w:tab w:leader="none" w:pos="278"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Karma Points. </w:t>
      </w:r>
      <w:r>
        <w:rPr>
          <w:rFonts w:ascii="Arial" w:cs="Arial" w:eastAsia="Arial" w:hAnsi="Arial"/>
          <w:sz w:val="16"/>
          <w:szCs w:val="16"/>
          <w:color w:val="auto"/>
        </w:rPr>
        <w:t>Every time a cardholder makes a purchase, Expensify donates 10% of our interchange amount to Expensify.org for use in one of its five</w:t>
      </w:r>
      <w:r>
        <w:rPr>
          <w:rFonts w:ascii="Arial" w:cs="Arial" w:eastAsia="Arial" w:hAnsi="Arial"/>
          <w:sz w:val="16"/>
          <w:szCs w:val="16"/>
          <w:b w:val="1"/>
          <w:bCs w:val="1"/>
          <w:color w:val="auto"/>
        </w:rPr>
        <w:t xml:space="preserve"> </w:t>
      </w:r>
      <w:r>
        <w:rPr>
          <w:rFonts w:ascii="Arial" w:cs="Arial" w:eastAsia="Arial" w:hAnsi="Arial"/>
          <w:sz w:val="16"/>
          <w:szCs w:val="16"/>
          <w:color w:val="auto"/>
        </w:rPr>
        <w:t>funds – Hunger, Climate, Homes, Youth, Reentry.</w:t>
      </w:r>
    </w:p>
    <w:p>
      <w:pPr>
        <w:spacing w:after="0" w:line="60" w:lineRule="exact"/>
        <w:rPr>
          <w:rFonts w:ascii="Arial" w:cs="Arial" w:eastAsia="Arial" w:hAnsi="Arial"/>
          <w:sz w:val="16"/>
          <w:szCs w:val="16"/>
          <w:color w:val="auto"/>
        </w:rPr>
      </w:pPr>
    </w:p>
    <w:p>
      <w:pPr>
        <w:ind w:left="283" w:hanging="283"/>
        <w:spacing w:after="0" w:line="294" w:lineRule="auto"/>
        <w:tabs>
          <w:tab w:leader="none" w:pos="278"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Daily settlement</w:t>
      </w:r>
      <w:r>
        <w:rPr>
          <w:rFonts w:ascii="Arial" w:cs="Arial" w:eastAsia="Arial" w:hAnsi="Arial"/>
          <w:sz w:val="16"/>
          <w:szCs w:val="16"/>
          <w:color w:val="auto"/>
        </w:rPr>
        <w:t>. Ensure that employees never overspend what a company is able to pay. Daily settlement also helps smooth cash flows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month, as opposed to one large, uncertain lump sum at month’s end.</w:t>
      </w:r>
    </w:p>
    <w:p>
      <w:pPr>
        <w:spacing w:after="0" w:line="72" w:lineRule="exact"/>
        <w:rPr>
          <w:rFonts w:ascii="Arial" w:cs="Arial" w:eastAsia="Arial" w:hAnsi="Arial"/>
          <w:sz w:val="16"/>
          <w:szCs w:val="16"/>
          <w:color w:val="auto"/>
        </w:rPr>
      </w:pPr>
    </w:p>
    <w:p>
      <w:pPr>
        <w:ind w:left="283" w:right="40" w:hanging="283"/>
        <w:spacing w:after="0" w:line="267" w:lineRule="auto"/>
        <w:tabs>
          <w:tab w:leader="none" w:pos="278"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Integrated travel booking</w:t>
      </w:r>
      <w:r>
        <w:rPr>
          <w:rFonts w:ascii="Arial" w:cs="Arial" w:eastAsia="Arial" w:hAnsi="Arial"/>
          <w:sz w:val="16"/>
          <w:szCs w:val="16"/>
          <w:color w:val="auto"/>
        </w:rPr>
        <w:t>. Offered at no additional cost for all cardholders, administrators can set flight class, hotel ratings and other travel preferences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1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officially launched the card in January of 2020. As of June 30, 2021 we’ve had 3,957 companies that have signed up for at least one Expensify card. We believe we have growth in many areas in regards to the Expensify card. Our goal is to to continue increasing the amount of companies that have adopted the Expensify card and the number of members that have a card provisioned per company both of which would increase the amount of total spend converted to the Expensify card.</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New features</w:t>
      </w:r>
    </w:p>
    <w:p>
      <w:pPr>
        <w:spacing w:after="0" w:line="164" w:lineRule="exact"/>
        <w:rPr>
          <w:sz w:val="20"/>
          <w:szCs w:val="20"/>
          <w:color w:val="auto"/>
        </w:rPr>
      </w:pPr>
    </w:p>
    <w:p>
      <w:pPr>
        <w:ind w:left="3" w:right="580"/>
        <w:spacing w:after="0" w:line="261" w:lineRule="auto"/>
        <w:rPr>
          <w:sz w:val="20"/>
          <w:szCs w:val="20"/>
          <w:color w:val="auto"/>
        </w:rPr>
      </w:pPr>
      <w:r>
        <w:rPr>
          <w:rFonts w:ascii="Arial" w:cs="Arial" w:eastAsia="Arial" w:hAnsi="Arial"/>
          <w:sz w:val="16"/>
          <w:szCs w:val="16"/>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18"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06"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Accordingly, because bills, invoices and expenses share so many underlying similarities, we are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Invoicing &amp; bill pay</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our invoicing and bill payment features include:</w:t>
      </w:r>
    </w:p>
    <w:p>
      <w:pPr>
        <w:spacing w:after="0" w:line="113" w:lineRule="exact"/>
        <w:rPr>
          <w:sz w:val="20"/>
          <w:szCs w:val="20"/>
          <w:color w:val="auto"/>
        </w:rPr>
      </w:pPr>
    </w:p>
    <w:p>
      <w:pPr>
        <w:ind w:left="283" w:right="24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Payments made easy. </w:t>
      </w:r>
      <w:r>
        <w:rPr>
          <w:rFonts w:ascii="Arial" w:cs="Arial" w:eastAsia="Arial" w:hAnsi="Arial"/>
          <w:sz w:val="16"/>
          <w:szCs w:val="16"/>
          <w:color w:val="auto"/>
        </w:rPr>
        <w:t>With multiple payment options, including credit/debit card, ACH, check, Venmo and PayPal, customers across the globe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quick, easy and frictionless payment options.</w:t>
      </w:r>
    </w:p>
    <w:p>
      <w:pPr>
        <w:spacing w:after="0" w:line="72"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Eliminate manual entry. </w:t>
      </w:r>
      <w:r>
        <w:rPr>
          <w:rFonts w:ascii="Arial" w:cs="Arial" w:eastAsia="Arial" w:hAnsi="Arial"/>
          <w:sz w:val="16"/>
          <w:szCs w:val="16"/>
          <w:color w:val="auto"/>
        </w:rPr>
        <w:t>Bills sent to a company’s @expensify.cash address are automatically SmartScanned, which captures key details for easy</w:t>
      </w:r>
      <w:r>
        <w:rPr>
          <w:rFonts w:ascii="Arial" w:cs="Arial" w:eastAsia="Arial" w:hAnsi="Arial"/>
          <w:sz w:val="16"/>
          <w:szCs w:val="16"/>
          <w:b w:val="1"/>
          <w:bCs w:val="1"/>
          <w:color w:val="auto"/>
        </w:rPr>
        <w:t xml:space="preserve"> </w:t>
      </w:r>
      <w:r>
        <w:rPr>
          <w:rFonts w:ascii="Arial" w:cs="Arial" w:eastAsia="Arial" w:hAnsi="Arial"/>
          <w:sz w:val="16"/>
          <w:szCs w:val="16"/>
          <w:color w:val="auto"/>
        </w:rPr>
        <w:t>review and processing.</w:t>
      </w:r>
    </w:p>
    <w:p>
      <w:pPr>
        <w:spacing w:after="0" w:line="72" w:lineRule="exact"/>
        <w:rPr>
          <w:rFonts w:ascii="Arial" w:cs="Arial" w:eastAsia="Arial" w:hAnsi="Arial"/>
          <w:sz w:val="16"/>
          <w:szCs w:val="16"/>
          <w:color w:val="auto"/>
        </w:rPr>
      </w:pPr>
    </w:p>
    <w:p>
      <w:pPr>
        <w:ind w:left="283" w:right="8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Real-time communication. </w:t>
      </w:r>
      <w:r>
        <w:rPr>
          <w:rFonts w:ascii="Arial" w:cs="Arial" w:eastAsia="Arial" w:hAnsi="Arial"/>
          <w:sz w:val="16"/>
          <w:szCs w:val="16"/>
          <w:color w:val="auto"/>
        </w:rPr>
        <w:t>Customers can leave comments or ask questions on the invoice and both parties can chat in real time directly in Expensify,</w:t>
      </w:r>
      <w:r>
        <w:rPr>
          <w:rFonts w:ascii="Arial" w:cs="Arial" w:eastAsia="Arial" w:hAnsi="Arial"/>
          <w:sz w:val="16"/>
          <w:szCs w:val="16"/>
          <w:b w:val="1"/>
          <w:bCs w:val="1"/>
          <w:color w:val="auto"/>
        </w:rPr>
        <w:t xml:space="preserve"> </w:t>
      </w:r>
      <w:r>
        <w:rPr>
          <w:rFonts w:ascii="Arial" w:cs="Arial" w:eastAsia="Arial" w:hAnsi="Arial"/>
          <w:sz w:val="16"/>
          <w:szCs w:val="16"/>
          <w:color w:val="auto"/>
        </w:rPr>
        <w:t>or receive an email instantly.</w:t>
      </w:r>
    </w:p>
    <w:p>
      <w:pPr>
        <w:spacing w:after="0" w:line="60" w:lineRule="exact"/>
        <w:rPr>
          <w:rFonts w:ascii="Arial" w:cs="Arial" w:eastAsia="Arial" w:hAnsi="Arial"/>
          <w:sz w:val="16"/>
          <w:szCs w:val="16"/>
          <w:color w:val="auto"/>
        </w:rPr>
      </w:pPr>
    </w:p>
    <w:p>
      <w:pPr>
        <w:ind w:left="283" w:right="100" w:hanging="283"/>
        <w:spacing w:after="0" w:line="27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Extensive integrations. </w:t>
      </w:r>
      <w:r>
        <w:rPr>
          <w:rFonts w:ascii="Arial" w:cs="Arial" w:eastAsia="Arial" w:hAnsi="Arial"/>
          <w:sz w:val="16"/>
          <w:szCs w:val="16"/>
          <w:color w:val="auto"/>
        </w:rPr>
        <w:t>Companies can save time by exporting invoices and bills to QuickBooks, Xero, Sage Intacct, Oracle NetSuite and more.</w:t>
      </w:r>
      <w:r>
        <w:rPr>
          <w:rFonts w:ascii="Arial" w:cs="Arial" w:eastAsia="Arial" w:hAnsi="Arial"/>
          <w:sz w:val="16"/>
          <w:szCs w:val="16"/>
          <w:b w:val="1"/>
          <w:bCs w:val="1"/>
          <w:color w:val="auto"/>
        </w:rPr>
        <w:t xml:space="preserve"> </w:t>
      </w:r>
      <w:r>
        <w:rPr>
          <w:rFonts w:ascii="Arial" w:cs="Arial" w:eastAsia="Arial" w:hAnsi="Arial"/>
          <w:sz w:val="16"/>
          <w:szCs w:val="16"/>
          <w:color w:val="auto"/>
        </w:rPr>
        <w:t>Invoices are automatically linked to the corresponding customer and exported as a receivable in the accounting system. Bills are automatically linked to the corresponding vendor and exported as a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3"/>
          </w:cols>
          <w:pgMar w:left="317" w:top="1422"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b w:val="1"/>
          <w:bCs w:val="1"/>
          <w:color w:val="auto"/>
        </w:rPr>
        <w:t>Additional early access features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We are designing this chat functionality to offer end to end encryption and underpin our product as we bring chat and payments together for easy financial collaboration. Additionally, we have developed and adopted our own payroll system for US employees. These features are not the focal points of our existing platform and we have no timeline of when they will be launched for early access to the public or fully launched in general. But they are features we have built, have adopted and are excited to one day bring to our members, both existing and new.</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technology, infrastructure and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foundation</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10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lease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 current load. This means we can significantly increase our customer count many times over without adding developers or incurring additional hardware expense to support them.</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18"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20"/>
          </w:cols>
          <w:pgMar w:left="320" w:top="1425" w:right="359" w:bottom="1440" w:gutter="0" w:footer="0" w:header="0"/>
        </w:sectPr>
      </w:pPr>
    </w:p>
    <w:bookmarkStart w:id="147" w:name="page148"/>
    <w:bookmarkEnd w:id="147"/>
    <w:p>
      <w:pPr>
        <w:ind w:left="3"/>
        <w:spacing w:after="0"/>
        <w:rPr>
          <w:sz w:val="20"/>
          <w:szCs w:val="20"/>
          <w:color w:val="auto"/>
        </w:rPr>
      </w:pPr>
      <w:r>
        <w:rPr>
          <w:rFonts w:ascii="Arial" w:cs="Arial" w:eastAsia="Arial" w:hAnsi="Arial"/>
          <w:sz w:val="16"/>
          <w:szCs w:val="16"/>
          <w:b w:val="1"/>
          <w:bCs w:val="1"/>
          <w:i w:val="1"/>
          <w:iCs w:val="1"/>
          <w:color w:val="auto"/>
        </w:rPr>
        <w:t>Our operations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approach the operational challenges of achieving profitable scale in a two pronged approach:</w:t>
      </w:r>
    </w:p>
    <w:p>
      <w:pPr>
        <w:spacing w:after="0" w:line="145" w:lineRule="exact"/>
        <w:rPr>
          <w:sz w:val="20"/>
          <w:szCs w:val="20"/>
          <w:color w:val="auto"/>
        </w:rPr>
      </w:pPr>
    </w:p>
    <w:p>
      <w:pPr>
        <w:ind w:left="283" w:hanging="283"/>
        <w:spacing w:after="0"/>
        <w:tabs>
          <w:tab w:leader="none" w:pos="283" w:val="left"/>
        </w:tabs>
        <w:numPr>
          <w:ilvl w:val="0"/>
          <w:numId w:val="94"/>
        </w:numPr>
        <w:rPr>
          <w:rFonts w:ascii="Arial" w:cs="Arial" w:eastAsia="Arial" w:hAnsi="Arial"/>
          <w:sz w:val="16"/>
          <w:szCs w:val="16"/>
          <w:color w:val="auto"/>
        </w:rPr>
      </w:pPr>
      <w:r>
        <w:rPr>
          <w:rFonts w:ascii="Arial" w:cs="Arial" w:eastAsia="Arial" w:hAnsi="Arial"/>
          <w:sz w:val="16"/>
          <w:szCs w:val="16"/>
          <w:color w:val="auto"/>
        </w:rPr>
        <w:t>Solve problems with automation, not headcount, wherever possible</w:t>
      </w:r>
    </w:p>
    <w:p>
      <w:pPr>
        <w:spacing w:after="0" w:line="144" w:lineRule="exact"/>
        <w:rPr>
          <w:rFonts w:ascii="Arial" w:cs="Arial" w:eastAsia="Arial" w:hAnsi="Arial"/>
          <w:sz w:val="16"/>
          <w:szCs w:val="16"/>
          <w:color w:val="auto"/>
        </w:rPr>
      </w:pPr>
    </w:p>
    <w:p>
      <w:pPr>
        <w:ind w:left="3" w:right="5120" w:hanging="3"/>
        <w:spacing w:after="0" w:line="407" w:lineRule="auto"/>
        <w:tabs>
          <w:tab w:leader="none" w:pos="2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Smart manual intervention with on-demand, flexible, appropriately skilled humans SmartScan and Concierge are two examples of this approach working in practice.</w:t>
      </w:r>
    </w:p>
    <w:p>
      <w:pPr>
        <w:spacing w:after="0" w:line="1" w:lineRule="exact"/>
        <w:rPr>
          <w:sz w:val="20"/>
          <w:szCs w:val="20"/>
          <w:color w:val="auto"/>
        </w:rPr>
      </w:pPr>
    </w:p>
    <w:p>
      <w:pPr>
        <w:ind w:left="3" w:right="60"/>
        <w:spacing w:after="0" w:line="294" w:lineRule="auto"/>
        <w:rPr>
          <w:sz w:val="20"/>
          <w:szCs w:val="20"/>
          <w:color w:val="auto"/>
        </w:rPr>
      </w:pPr>
      <w:r>
        <w:rPr>
          <w:rFonts w:ascii="Arial" w:cs="Arial" w:eastAsia="Arial" w:hAnsi="Arial"/>
          <w:sz w:val="16"/>
          <w:szCs w:val="16"/>
          <w:b w:val="1"/>
          <w:bCs w:val="1"/>
          <w:i w:val="1"/>
          <w:iCs w:val="1"/>
          <w:color w:val="auto"/>
        </w:rPr>
        <w:t xml:space="preserve">SmartScan. </w:t>
      </w:r>
      <w:r>
        <w:rPr>
          <w:rFonts w:ascii="Arial" w:cs="Arial" w:eastAsia="Arial" w:hAnsi="Arial"/>
          <w:sz w:val="16"/>
          <w:szCs w:val="16"/>
          <w:color w:val="auto"/>
        </w:rPr>
        <w:t>SmartScan is designed for accuracy and optimized for speed and cost. To deliver on the promise of “fire and forget”, we believe that the 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scan need to be more accurate than the user entering their own receipt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59690</wp:posOffset>
            </wp:positionV>
            <wp:extent cx="4826000" cy="2714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To accomplish this:</w:t>
      </w:r>
    </w:p>
    <w:p>
      <w:pPr>
        <w:spacing w:after="0" w:line="145" w:lineRule="exact"/>
        <w:rPr>
          <w:sz w:val="20"/>
          <w:szCs w:val="20"/>
          <w:color w:val="auto"/>
        </w:rPr>
      </w:pPr>
    </w:p>
    <w:p>
      <w:pPr>
        <w:ind w:left="283" w:hanging="283"/>
        <w:spacing w:after="0"/>
        <w:tabs>
          <w:tab w:leader="none" w:pos="28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have a host of OCR-based, AI-powered software parsers that read and transcribe every receipt scanned (or forwarded) to them.</w:t>
      </w:r>
    </w:p>
    <w:p>
      <w:pPr>
        <w:spacing w:after="0" w:line="132" w:lineRule="exact"/>
        <w:rPr>
          <w:rFonts w:ascii="Arial" w:cs="Arial" w:eastAsia="Arial" w:hAnsi="Arial"/>
          <w:sz w:val="16"/>
          <w:szCs w:val="16"/>
          <w:color w:val="auto"/>
        </w:rPr>
      </w:pPr>
    </w:p>
    <w:p>
      <w:pPr>
        <w:ind w:left="283" w:hanging="283"/>
        <w:spacing w:after="0" w:line="261" w:lineRule="auto"/>
        <w:tabs>
          <w:tab w:leader="none" w:pos="272"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Once a receipt has been processed, it is then matched with imported transaction feeds to validate the expense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3"/>
          </w:cols>
          <w:pgMar w:left="317" w:top="1422" w:right="339" w:bottom="1440" w:gutter="0" w:footer="0" w:header="0"/>
        </w:sectPr>
      </w:pPr>
    </w:p>
    <w:bookmarkStart w:id="148" w:name="page149"/>
    <w:bookmarkEnd w:id="148"/>
    <w:p>
      <w:pPr>
        <w:ind w:left="3" w:right="160"/>
        <w:spacing w:after="0" w:line="294" w:lineRule="auto"/>
        <w:rPr>
          <w:sz w:val="20"/>
          <w:szCs w:val="20"/>
          <w:color w:val="auto"/>
        </w:rPr>
      </w:pPr>
      <w:r>
        <w:rPr>
          <w:rFonts w:ascii="Arial" w:cs="Arial" w:eastAsia="Arial" w:hAnsi="Arial"/>
          <w:sz w:val="16"/>
          <w:szCs w:val="16"/>
          <w:b w:val="1"/>
          <w:bCs w:val="1"/>
          <w:i w:val="1"/>
          <w:iCs w:val="1"/>
          <w:color w:val="auto"/>
        </w:rPr>
        <w:t xml:space="preserve">Concierge. </w:t>
      </w:r>
      <w:r>
        <w:rPr>
          <w:rFonts w:ascii="Arial" w:cs="Arial" w:eastAsia="Arial" w:hAnsi="Arial"/>
          <w:sz w:val="16"/>
          <w:szCs w:val="16"/>
          <w:color w:val="auto"/>
        </w:rPr>
        <w:t>Concierge is our customer support engine. Concierge is designed for speed and accuracy and optimized for cost. Concierge is powered by AI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trained by customer support agents, with different levels of skill and training, spread out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51435</wp:posOffset>
            </wp:positionV>
            <wp:extent cx="4826000" cy="2714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respond to most customer queries in less than two minutes. It works like below:</w:t>
      </w:r>
    </w:p>
    <w:p>
      <w:pPr>
        <w:spacing w:after="0" w:line="133" w:lineRule="exact"/>
        <w:rPr>
          <w:sz w:val="20"/>
          <w:szCs w:val="20"/>
          <w:color w:val="auto"/>
        </w:rPr>
      </w:pPr>
    </w:p>
    <w:p>
      <w:pPr>
        <w:ind w:left="283" w:right="160" w:hanging="283"/>
        <w:spacing w:after="0" w:line="268" w:lineRule="auto"/>
        <w:tabs>
          <w:tab w:leader="none" w:pos="272"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Concierge uses natural language processing to break down a question into its component parts, organized into a "conversational hierarchy" that maps out the natural flow of real world conversations.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Concierge will analyze this against previously answered questions asked in the same conversational state, to formulate a response.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unable to answer with high confidence, Concierge will show that question to a "First Responder" along with suggested responses.</w:t>
      </w:r>
    </w:p>
    <w:p>
      <w:pPr>
        <w:spacing w:after="0" w:line="132" w:lineRule="exact"/>
        <w:rPr>
          <w:rFonts w:ascii="Arial" w:cs="Arial" w:eastAsia="Arial" w:hAnsi="Arial"/>
          <w:sz w:val="16"/>
          <w:szCs w:val="16"/>
          <w:color w:val="auto"/>
        </w:rPr>
      </w:pPr>
    </w:p>
    <w:p>
      <w:pPr>
        <w:ind w:left="283" w:right="60" w:hanging="283"/>
        <w:spacing w:after="0" w:line="268" w:lineRule="auto"/>
        <w:tabs>
          <w:tab w:leader="none" w:pos="272" w:val="left"/>
        </w:tabs>
        <w:numPr>
          <w:ilvl w:val="0"/>
          <w:numId w:val="96"/>
        </w:numPr>
        <w:rPr>
          <w:rFonts w:ascii="Arial" w:cs="Arial" w:eastAsia="Arial" w:hAnsi="Arial"/>
          <w:sz w:val="16"/>
          <w:szCs w:val="16"/>
          <w:color w:val="auto"/>
        </w:rPr>
      </w:pPr>
      <w:r>
        <w:rPr>
          <w:rFonts w:ascii="Arial" w:cs="Arial" w:eastAsia="Arial" w:hAnsi="Arial"/>
          <w:sz w:val="16"/>
          <w:szCs w:val="16"/>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First Responders will escalate to a "Second Responder" if none of the suggested responses work.</w:t>
      </w:r>
    </w:p>
    <w:p>
      <w:pPr>
        <w:spacing w:after="0" w:line="144" w:lineRule="exact"/>
        <w:rPr>
          <w:rFonts w:ascii="Arial" w:cs="Arial" w:eastAsia="Arial" w:hAnsi="Arial"/>
          <w:sz w:val="16"/>
          <w:szCs w:val="16"/>
          <w:color w:val="auto"/>
        </w:rPr>
      </w:pPr>
    </w:p>
    <w:p>
      <w:pPr>
        <w:ind w:left="283" w:right="200" w:hanging="283"/>
        <w:spacing w:after="0" w:line="268" w:lineRule="auto"/>
        <w:tabs>
          <w:tab w:leader="none" w:pos="272" w:val="left"/>
        </w:tabs>
        <w:numPr>
          <w:ilvl w:val="0"/>
          <w:numId w:val="96"/>
        </w:numPr>
        <w:rPr>
          <w:rFonts w:ascii="Arial" w:cs="Arial" w:eastAsia="Arial" w:hAnsi="Arial"/>
          <w:sz w:val="16"/>
          <w:szCs w:val="16"/>
          <w:color w:val="auto"/>
        </w:rPr>
      </w:pPr>
      <w:r>
        <w:rPr>
          <w:rFonts w:ascii="Arial" w:cs="Arial" w:eastAsia="Arial" w:hAnsi="Arial"/>
          <w:sz w:val="16"/>
          <w:szCs w:val="16"/>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Success Coaches effectively resolve all questions directed to them.</w:t>
      </w:r>
    </w:p>
    <w:p>
      <w:pPr>
        <w:spacing w:after="0" w:line="14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03"/>
          </w:cols>
          <w:pgMar w:left="317" w:top="1422" w:right="379" w:bottom="1440" w:gutter="0" w:footer="0" w:header="0"/>
        </w:sectPr>
      </w:pPr>
    </w:p>
    <w:bookmarkStart w:id="149" w:name="page150"/>
    <w:bookmarkEnd w:id="149"/>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 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to June 30, 2021, we increased our revenue 547% while only increasing headcount by 31%.</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underwriting and risk management</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which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 Taken together, this multi-layered strategy effectively minimizes fraud on our platform.</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compliance and data security</w:t>
      </w:r>
    </w:p>
    <w:p>
      <w:pPr>
        <w:spacing w:after="0" w:line="15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data</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of June 30,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09"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members and customers</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 xml:space="preserve">We think of the individuals that use one or all of our features of our platform as members. In the quarter ended June 30, 2021, we served an average of 639,000 paid members per month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69850</wp:posOffset>
            </wp:positionV>
            <wp:extent cx="4826000" cy="2714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had approximately 65,700 customers as of December 31, 2019, and approximately 54,600 as of December 31, 2020. We had approximately 53,000 customers as of June 30, 2021. We believe the decline in 2020, which was the first year in our history where we experienced an overall decline in the number of our customers, was due to the impact of the COVID-19 pandemic. The vast majority of customers lost were businesses with less than five members, a segment of customers responsible for only 5% of our total revenue for the three months ending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40"/>
          </w:cols>
          <w:pgMar w:left="320" w:top="1440" w:right="339" w:bottom="1440"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rFonts w:ascii="Arial" w:cs="Arial" w:eastAsia="Arial" w:hAnsi="Arial"/>
          <w:sz w:val="19"/>
          <w:szCs w:val="19"/>
          <w:b w:val="1"/>
          <w:bCs w:val="1"/>
          <w:color w:val="auto"/>
        </w:rPr>
        <w:t>Marketing</w:t>
      </w:r>
    </w:p>
    <w:p>
      <w:pPr>
        <w:spacing w:after="0" w:line="152"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18"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For the six months ended June 30, 2021, 60% of revenue can be attributed to bottom-up adoption where the first member was not a paying administrator (e.g. Controller, HR Manager) and the bottom-up member ultimately brought the paying administrator to our platform.</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5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20"/>
          </w:cols>
          <w:pgMar w:left="320" w:top="1425" w:right="359" w:bottom="1440" w:gutter="0" w:footer="0" w:header="0"/>
        </w:sectPr>
      </w:pPr>
    </w:p>
    <w:bookmarkStart w:id="158" w:name="page159"/>
    <w:bookmarkEnd w:id="158"/>
    <w:p>
      <w:pPr>
        <w:spacing w:after="0" w:line="2"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the end user at the center of every decision, investing substantial time, energy and resources to ensure we have a deep understanding of our members’ needs.</w:t>
      </w:r>
    </w:p>
    <w:p>
      <w:pPr>
        <w:spacing w:after="0" w:line="10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Our unique generalist culture makes research and development activities everyone’s responsibility. In the quarter ended June 30, 2021, approximately 70% of our team was involved in material aspects of research and development. In the same time period, we had a globally distributed team operating across 13 countries. This enables us to have around the clock development schedule and incorporate a diverse range of approaches to solving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97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26000" cy="297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competition</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 principal competitive factors that drive leadership in the markets we compete in include the following:</w:t>
      </w:r>
    </w:p>
    <w:p>
      <w:pPr>
        <w:spacing w:after="0" w:line="133" w:lineRule="exact"/>
        <w:rPr>
          <w:sz w:val="20"/>
          <w:szCs w:val="20"/>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End user design focus;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Ease of access, adoption, deployment and use;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Platform functionality and ability to automate processes;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Mobile access across devices;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Ability to purchase without a sales representative;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Viral, bottom-up business model supported by word-of-mouth adoption;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High interoperability with internal and third party systems and consumer applications;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Flexible, employee-centric legal terms regarding data ownership;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Data security and privacy;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Speed and scalability of architecture underlying the platform;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Brand reputation and market consensus around platform superiority;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Customer service and support.</w:t>
      </w:r>
    </w:p>
    <w:p>
      <w:pPr>
        <w:spacing w:after="0" w:line="13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We believe we compete favorably with our competitors on the basis of the factors described above. However, many of our competitors have significantly greater financial, sales and marketing, and product 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Intellectual property</w:t>
      </w:r>
    </w:p>
    <w:p>
      <w:pPr>
        <w:spacing w:after="0" w:line="164" w:lineRule="exact"/>
        <w:rPr>
          <w:sz w:val="20"/>
          <w:szCs w:val="20"/>
          <w:color w:val="auto"/>
        </w:rPr>
      </w:pPr>
    </w:p>
    <w:p>
      <w:pPr>
        <w:ind w:left="3" w:right="340"/>
        <w:spacing w:after="0" w:line="261" w:lineRule="auto"/>
        <w:rPr>
          <w:sz w:val="20"/>
          <w:szCs w:val="20"/>
          <w:color w:val="auto"/>
        </w:rPr>
      </w:pPr>
      <w:r>
        <w:rPr>
          <w:rFonts w:ascii="Arial" w:cs="Arial" w:eastAsia="Arial" w:hAnsi="Arial"/>
          <w:sz w:val="16"/>
          <w:szCs w:val="16"/>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0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spacing w:after="0" w:line="123" w:lineRule="exact"/>
        <w:rPr>
          <w:sz w:val="20"/>
          <w:szCs w:val="20"/>
          <w:color w:val="auto"/>
        </w:rPr>
      </w:pPr>
    </w:p>
    <w:p>
      <w:pPr>
        <w:jc w:val="both"/>
        <w:ind w:left="3" w:right="80"/>
        <w:spacing w:after="0" w:line="261" w:lineRule="auto"/>
        <w:rPr>
          <w:sz w:val="20"/>
          <w:szCs w:val="20"/>
          <w:color w:val="auto"/>
        </w:rPr>
      </w:pPr>
      <w:r>
        <w:rPr>
          <w:rFonts w:ascii="Arial" w:cs="Arial" w:eastAsia="Arial" w:hAnsi="Arial"/>
          <w:sz w:val="16"/>
          <w:szCs w:val="16"/>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106" w:lineRule="exact"/>
        <w:rPr>
          <w:sz w:val="20"/>
          <w:szCs w:val="20"/>
          <w:color w:val="auto"/>
        </w:rPr>
      </w:pPr>
    </w:p>
    <w:p>
      <w:pPr>
        <w:ind w:left="3" w:right="660"/>
        <w:spacing w:after="0" w:line="268" w:lineRule="auto"/>
        <w:rPr>
          <w:sz w:val="20"/>
          <w:szCs w:val="20"/>
          <w:color w:val="auto"/>
        </w:rPr>
      </w:pPr>
      <w:r>
        <w:rPr>
          <w:rFonts w:ascii="Arial" w:cs="Arial" w:eastAsia="Arial" w:hAnsi="Arial"/>
          <w:sz w:val="16"/>
          <w:szCs w:val="16"/>
          <w:color w:val="auto"/>
        </w:rPr>
        <w:t>We control access to our intellectual property and confidential information through internal and external controls. We maintain a policy requiring our employees, contractors, consultants and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03"/>
          </w:cols>
          <w:pgMar w:left="317" w:top="1440" w:right="379" w:bottom="1440" w:gutter="0" w:footer="0" w:header="0"/>
        </w:sectPr>
      </w:pPr>
    </w:p>
    <w:bookmarkStart w:id="160" w:name="page161"/>
    <w:bookmarkEnd w:id="160"/>
    <w:p>
      <w:pPr>
        <w:spacing w:after="0" w:line="2"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additional information about our intellectual property and associated risks, see the section titled “Risk factors-Risks related to our business.”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 employees and human capital resources</w:t>
      </w:r>
    </w:p>
    <w:p>
      <w:pPr>
        <w:spacing w:after="0" w:line="164" w:lineRule="exact"/>
        <w:rPr>
          <w:sz w:val="20"/>
          <w:szCs w:val="20"/>
          <w:color w:val="auto"/>
        </w:rPr>
      </w:pPr>
    </w:p>
    <w:p>
      <w:pPr>
        <w:ind w:left="3" w:right="240"/>
        <w:spacing w:after="0" w:line="258" w:lineRule="auto"/>
        <w:rPr>
          <w:sz w:val="20"/>
          <w:szCs w:val="20"/>
          <w:color w:val="auto"/>
        </w:rPr>
      </w:pPr>
      <w:r>
        <w:rPr>
          <w:rFonts w:ascii="Arial" w:cs="Arial" w:eastAsia="Arial" w:hAnsi="Arial"/>
          <w:sz w:val="16"/>
          <w:szCs w:val="16"/>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long-term happiness of our employees. Expensify’s culture is centered on the belief that a life well lived is one that enables you to achieve our three life goals: live rich, have fun and save the world.</w:t>
      </w:r>
    </w:p>
    <w:p>
      <w:pPr>
        <w:spacing w:after="0" w:line="11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18"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As of June 30, 2021, we had 140 full-time employees. A majority of our employees have a tenure of over four years, and our 10-person leadership team has an average tenure of 8.6 years.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Environmental, Social and Governance (ESG)</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commitment to ESG principles</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There can be no sustainable, profitable growth without a market that is fair, inclusive and universal. Defending, improving and expanding this market is a core responsibility of any business that intends to last as long as we do. Environmental, Social, and Governance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2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aim to publish a sustainability report in 2021, and we may expand disclosures in these areas in the future - consistent with our commitment to developing a long-term sustainable business.</w:t>
      </w:r>
    </w:p>
    <w:p>
      <w:pPr>
        <w:spacing w:after="0" w:line="89" w:lineRule="exact"/>
        <w:rPr>
          <w:sz w:val="20"/>
          <w:szCs w:val="20"/>
          <w:color w:val="auto"/>
        </w:rPr>
      </w:pPr>
    </w:p>
    <w:p>
      <w:pPr>
        <w:ind w:left="283" w:right="60" w:hanging="283"/>
        <w:spacing w:after="0" w:line="267" w:lineRule="auto"/>
        <w:tabs>
          <w:tab w:leader="none" w:pos="278"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Managing systemic risks from technology disruptions</w:t>
      </w:r>
      <w:r>
        <w:rPr>
          <w:rFonts w:ascii="Arial" w:cs="Arial" w:eastAsia="Arial" w:hAnsi="Arial"/>
          <w:sz w:val="16"/>
          <w:szCs w:val="16"/>
          <w:color w:val="auto"/>
        </w:rPr>
        <w:t>. Expensify is an always-on, business-critical service, committed to platform reliability.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43"/>
          </w:cols>
          <w:pgMar w:left="317" w:top="1440" w:right="339" w:bottom="1440" w:gutter="0" w:footer="0" w:header="0"/>
        </w:sectPr>
      </w:pPr>
    </w:p>
    <w:bookmarkStart w:id="161" w:name="page162"/>
    <w:bookmarkEnd w:id="161"/>
    <w:p>
      <w:pPr>
        <w:spacing w:after="0" w:line="2" w:lineRule="exact"/>
        <w:rPr>
          <w:sz w:val="20"/>
          <w:szCs w:val="20"/>
          <w:color w:val="auto"/>
        </w:rPr>
      </w:pPr>
    </w:p>
    <w:p>
      <w:pPr>
        <w:ind w:left="283" w:right="160"/>
        <w:spacing w:after="0" w:line="268" w:lineRule="auto"/>
        <w:rPr>
          <w:sz w:val="20"/>
          <w:szCs w:val="20"/>
          <w:color w:val="auto"/>
        </w:rPr>
      </w:pPr>
      <w:r>
        <w:rPr>
          <w:rFonts w:ascii="Arial" w:cs="Arial" w:eastAsia="Arial" w:hAnsi="Arial"/>
          <w:sz w:val="16"/>
          <w:szCs w:val="16"/>
          <w:color w:val="auto"/>
        </w:rPr>
        <w:t>issues, and conduct pre-scheduled maintenance without service interruptions. From June 30, 2020, to June 30, 2021, our average service uptime was over 99.9%, exceeding our target of three nines.</w:t>
      </w:r>
    </w:p>
    <w:p>
      <w:pPr>
        <w:spacing w:after="0" w:line="81" w:lineRule="exact"/>
        <w:rPr>
          <w:sz w:val="20"/>
          <w:szCs w:val="20"/>
          <w:color w:val="auto"/>
        </w:rPr>
      </w:pPr>
    </w:p>
    <w:p>
      <w:pPr>
        <w:ind w:left="283" w:right="460" w:hanging="283"/>
        <w:spacing w:after="0" w:line="274" w:lineRule="auto"/>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Ethics and conduct related to financial services products</w:t>
      </w:r>
      <w:r>
        <w:rPr>
          <w:rFonts w:ascii="Arial" w:cs="Arial" w:eastAsia="Arial" w:hAnsi="Arial"/>
          <w:sz w:val="16"/>
          <w:szCs w:val="16"/>
          <w:color w:val="auto"/>
        </w:rPr>
        <w:t>. At Expensify, we prioritize trust, and the safety and security of our financial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Maintaining trust with our members is crucial for our brand reputation. We have robust internal controls to go over and above regulatory compliance and protect stockholder and customer value.</w:t>
      </w:r>
    </w:p>
    <w:p>
      <w:pPr>
        <w:spacing w:after="0" w:line="88"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Recruiting &amp; managing a global, diverse &amp; skilled workforce</w:t>
      </w:r>
      <w:r>
        <w:rPr>
          <w:rFonts w:ascii="Arial" w:cs="Arial" w:eastAsia="Arial" w:hAnsi="Arial"/>
          <w:sz w:val="16"/>
          <w:szCs w:val="16"/>
          <w:color w:val="auto"/>
        </w:rPr>
        <w:t>. Attracting and retaining a diverse and global workforce, with employees of different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98" w:lineRule="exact"/>
        <w:rPr>
          <w:rFonts w:ascii="Arial" w:cs="Arial" w:eastAsia="Arial" w:hAnsi="Arial"/>
          <w:sz w:val="16"/>
          <w:szCs w:val="16"/>
          <w:color w:val="auto"/>
        </w:rPr>
      </w:pPr>
    </w:p>
    <w:p>
      <w:pPr>
        <w:ind w:left="283" w:right="40" w:hanging="283"/>
        <w:spacing w:after="0" w:line="262" w:lineRule="auto"/>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Data privacy</w:t>
      </w:r>
      <w:r>
        <w:rPr>
          <w:rFonts w:ascii="Arial" w:cs="Arial" w:eastAsia="Arial" w:hAnsi="Arial"/>
          <w:sz w:val="16"/>
          <w:szCs w:val="16"/>
          <w:color w:val="auto"/>
        </w:rPr>
        <w:t>. Customer privacy and maintaining customer trust is fundamental to Expensify’s success. We prioritize strong data privacy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85" w:lineRule="exact"/>
        <w:rPr>
          <w:rFonts w:ascii="Arial" w:cs="Arial" w:eastAsia="Arial" w:hAnsi="Arial"/>
          <w:sz w:val="16"/>
          <w:szCs w:val="16"/>
          <w:color w:val="auto"/>
        </w:rPr>
      </w:pPr>
    </w:p>
    <w:p>
      <w:pPr>
        <w:jc w:val="both"/>
        <w:ind w:left="283" w:right="40" w:hanging="283"/>
        <w:spacing w:after="0" w:line="274" w:lineRule="auto"/>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Data security</w:t>
      </w:r>
      <w:r>
        <w:rPr>
          <w:rFonts w:ascii="Arial" w:cs="Arial" w:eastAsia="Arial" w:hAnsi="Arial"/>
          <w:sz w:val="16"/>
          <w:szCs w:val="16"/>
          <w:color w:val="auto"/>
        </w:rPr>
        <w:t>. Data security is essential to maintaining our members' trust, because we process and store sensitive financial and personally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88" w:lineRule="exact"/>
        <w:rPr>
          <w:rFonts w:ascii="Arial" w:cs="Arial" w:eastAsia="Arial" w:hAnsi="Arial"/>
          <w:sz w:val="16"/>
          <w:szCs w:val="16"/>
          <w:color w:val="auto"/>
        </w:rPr>
      </w:pPr>
    </w:p>
    <w:p>
      <w:pPr>
        <w:ind w:left="283" w:right="180" w:hanging="283"/>
        <w:spacing w:after="0" w:line="199" w:lineRule="exact"/>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Environmental footprint of hardware infrastructure and emissions</w:t>
      </w:r>
      <w:r>
        <w:rPr>
          <w:rFonts w:ascii="Arial" w:cs="Arial" w:eastAsia="Arial" w:hAnsi="Arial"/>
          <w:sz w:val="16"/>
          <w:szCs w:val="16"/>
          <w:color w:val="auto"/>
        </w:rPr>
        <w:t>. We recognize the environmental impacts of our business, the impacts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For 2021, our estimated GHG emissions will be 4,736 tCO</w:t>
      </w:r>
      <w:r>
        <w:rPr>
          <w:rFonts w:ascii="MS PGothic" w:cs="MS PGothic" w:eastAsia="MS PGothic" w:hAnsi="MS PGothic"/>
          <w:sz w:val="16"/>
          <w:szCs w:val="16"/>
          <w:color w:val="auto"/>
        </w:rPr>
        <w:t>₂</w:t>
      </w:r>
      <w:r>
        <w:rPr>
          <w:rFonts w:ascii="Arial" w:cs="Arial" w:eastAsia="Arial" w:hAnsi="Arial"/>
          <w:sz w:val="16"/>
          <w:szCs w:val="16"/>
          <w:color w:val="auto"/>
        </w:rPr>
        <w:t>e. As of September 2021, we successfully offset our projected annual carbon footprint and became carbon neutral.</w:t>
      </w:r>
    </w:p>
    <w:p>
      <w:pPr>
        <w:spacing w:after="0" w:line="115" w:lineRule="exact"/>
        <w:rPr>
          <w:rFonts w:ascii="Arial" w:cs="Arial" w:eastAsia="Arial" w:hAnsi="Arial"/>
          <w:sz w:val="16"/>
          <w:szCs w:val="16"/>
          <w:color w:val="auto"/>
        </w:rPr>
      </w:pPr>
    </w:p>
    <w:p>
      <w:pPr>
        <w:ind w:left="283" w:right="240" w:hanging="283"/>
        <w:spacing w:after="0" w:line="267" w:lineRule="auto"/>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Climate risks</w:t>
      </w:r>
      <w:r>
        <w:rPr>
          <w:rFonts w:ascii="Arial" w:cs="Arial" w:eastAsia="Arial" w:hAnsi="Arial"/>
          <w:sz w:val="16"/>
          <w:szCs w:val="16"/>
          <w:color w:val="auto"/>
        </w:rPr>
        <w:t>. We recognize the risks posed by climate change to our operations and revenue, including risks associated with the transition to a low-carbon economy and the physical impacts of climate change. Our efforts to become carbon neutral are one part of our commitment to addressing climate change. Starting in 2022, we aim to manage and report on climate-related risks and opportunities, and set targets and metrics to evaluate our performance, in accordance with the TCFD recommendations.</w:t>
      </w:r>
    </w:p>
    <w:p>
      <w:pPr>
        <w:spacing w:after="0" w:line="82" w:lineRule="exact"/>
        <w:rPr>
          <w:rFonts w:ascii="Arial" w:cs="Arial" w:eastAsia="Arial" w:hAnsi="Arial"/>
          <w:sz w:val="16"/>
          <w:szCs w:val="16"/>
          <w:color w:val="auto"/>
        </w:rPr>
      </w:pPr>
    </w:p>
    <w:p>
      <w:pPr>
        <w:ind w:left="283" w:right="180" w:hanging="283"/>
        <w:spacing w:after="0" w:line="267" w:lineRule="auto"/>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Commitment to long term thinking</w:t>
      </w:r>
      <w:r>
        <w:rPr>
          <w:rFonts w:ascii="Arial" w:cs="Arial" w:eastAsia="Arial" w:hAnsi="Arial"/>
          <w:sz w:val="16"/>
          <w:szCs w:val="16"/>
          <w:color w:val="auto"/>
        </w:rPr>
        <w:t>. We believe that our environment, society, shareholders, and overall company will be best served if we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the long-term impacts of the decisions we make as a business. We aim to align all stakeholders around long-term thinking. To that aim, we are currently pursuing dual-listing on the Long Term Stock Exchange (LTSE) following this offering. At that time, LTSE would serve as our secondary exchange and provide further support for our long-term business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23"/>
          </w:cols>
          <w:pgMar w:left="317" w:top="1440" w:right="35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b w:val="1"/>
          <w:bCs w:val="1"/>
          <w:color w:val="auto"/>
        </w:rPr>
        <w:t>Legal proceedings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facilities</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2022.</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00"/>
          </w:cols>
          <w:pgMar w:left="320" w:top="1425" w:right="379" w:bottom="1440" w:gutter="0" w:footer="0" w:header="0"/>
        </w:sectPr>
      </w:pPr>
    </w:p>
    <w:bookmarkStart w:id="163" w:name="page164"/>
    <w:bookmarkEnd w:id="163"/>
    <w:p>
      <w:pPr>
        <w:ind w:left="3"/>
        <w:spacing w:after="0"/>
        <w:rPr>
          <w:sz w:val="20"/>
          <w:szCs w:val="20"/>
          <w:color w:val="auto"/>
        </w:rPr>
      </w:pPr>
      <w:r>
        <w:rPr>
          <w:rFonts w:ascii="Arial" w:cs="Arial" w:eastAsia="Arial" w:hAnsi="Arial"/>
          <w:sz w:val="26"/>
          <w:szCs w:val="26"/>
          <w:b w:val="1"/>
          <w:bCs w:val="1"/>
          <w:color w:val="auto"/>
        </w:rPr>
        <w:t>Management</w:t>
      </w:r>
    </w:p>
    <w:p>
      <w:pPr>
        <w:spacing w:after="0" w:line="296"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The following table provides information regarding our executive officers, members of our board of directors, and director nominees (ages as of the date of this prospectus):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36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00" w:type="dxa"/>
            <w:vAlign w:val="bottom"/>
            <w:tcBorders>
              <w:top w:val="single" w:sz="8" w:color="auto"/>
              <w:bottom w:val="single" w:sz="8" w:color="CCEEFF"/>
            </w:tcBorders>
          </w:tcPr>
          <w:p>
            <w:pPr>
              <w:spacing w:after="0"/>
              <w:rPr>
                <w:sz w:val="16"/>
                <w:szCs w:val="16"/>
                <w:color w:val="auto"/>
              </w:rPr>
            </w:pPr>
          </w:p>
        </w:tc>
        <w:tc>
          <w:tcPr>
            <w:tcW w:w="6600" w:type="dxa"/>
            <w:vAlign w:val="bottom"/>
            <w:tcBorders>
              <w:top w:val="single" w:sz="8" w:color="auto"/>
              <w:bottom w:val="single" w:sz="8" w:color="auto"/>
            </w:tcBorders>
          </w:tcPr>
          <w:p>
            <w:pPr>
              <w:ind w:left="2960"/>
              <w:spacing w:after="0"/>
              <w:rPr>
                <w:sz w:val="20"/>
                <w:szCs w:val="20"/>
                <w:color w:val="auto"/>
              </w:rPr>
            </w:pPr>
            <w:r>
              <w:rPr>
                <w:rFonts w:ascii="Arial" w:cs="Arial" w:eastAsia="Arial" w:hAnsi="Arial"/>
                <w:sz w:val="13"/>
                <w:szCs w:val="13"/>
                <w:b w:val="1"/>
                <w:bCs w:val="1"/>
                <w:color w:val="auto"/>
              </w:rPr>
              <w:t>Position(s)</w:t>
            </w:r>
          </w:p>
        </w:tc>
      </w:tr>
      <w:tr>
        <w:trPr>
          <w:trHeight w:val="19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Barrett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Founder, Chief Executive Officer, Director</w:t>
            </w:r>
          </w:p>
        </w:tc>
      </w:tr>
      <w:tr>
        <w:trPr>
          <w:trHeight w:val="207"/>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Ryan Schaffer</w:t>
            </w:r>
          </w:p>
        </w:tc>
        <w:tc>
          <w:tcPr>
            <w:tcW w:w="840" w:type="dxa"/>
            <w:vAlign w:val="bottom"/>
          </w:tcPr>
          <w:p>
            <w:pPr>
              <w:jc w:val="center"/>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Chief Financial Officer, Director</w:t>
            </w:r>
          </w:p>
        </w:tc>
      </w:tr>
      <w:tr>
        <w:trPr>
          <w:trHeight w:val="207"/>
        </w:trPr>
        <w:tc>
          <w:tcPr>
            <w:tcW w:w="37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Anu Muralidharan</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 Director Nominee</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Blake Bartlett</w:t>
            </w:r>
            <w:r>
              <w:rPr>
                <w:rFonts w:ascii="Arial" w:cs="Arial" w:eastAsia="Arial" w:hAnsi="Arial"/>
                <w:sz w:val="21"/>
                <w:szCs w:val="21"/>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Robert Lent</w:t>
            </w:r>
            <w:r>
              <w:rPr>
                <w:rFonts w:ascii="Arial" w:cs="Arial" w:eastAsia="Arial" w:hAnsi="Arial"/>
                <w:sz w:val="21"/>
                <w:szCs w:val="21"/>
                <w:color w:val="auto"/>
                <w:vertAlign w:val="superscript"/>
              </w:rPr>
              <w:t>(2)</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Jason Mills</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Daniel Vidal</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Timothy L. Christen</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Ying (Vivian) Liu</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 Nominee</w:t>
            </w:r>
          </w:p>
        </w:tc>
      </w:tr>
      <w:tr>
        <w:trPr>
          <w:trHeight w:val="271"/>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Ellen Pao</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56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50" w:lineRule="exact"/>
        <w:rPr>
          <w:sz w:val="20"/>
          <w:szCs w:val="20"/>
          <w:color w:val="auto"/>
        </w:rPr>
      </w:pPr>
    </w:p>
    <w:p>
      <w:pPr>
        <w:ind w:left="283" w:right="280" w:hanging="283"/>
        <w:spacing w:after="0" w:line="254" w:lineRule="auto"/>
        <w:tabs>
          <w:tab w:leader="none" w:pos="273"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Mr. Christen will be elected to our board of directors contingent upon, and effective upon, the effectiveness of the registration statement on Form S-1 of which this prospectus forms a part. Each of Ms. Muralidharan, Mr. Mills, Mr. Vidal, Ms. Liu and Ms. Pao will be elected to our board of directors contingent upon, and effective immediately prior to, the completion of this offering.</w:t>
      </w:r>
    </w:p>
    <w:p>
      <w:pPr>
        <w:ind w:left="283" w:hanging="283"/>
        <w:spacing w:after="0"/>
        <w:tabs>
          <w:tab w:leader="none" w:pos="283" w:val="left"/>
        </w:tabs>
        <w:numPr>
          <w:ilvl w:val="0"/>
          <w:numId w:val="100"/>
        </w:numPr>
        <w:rPr>
          <w:rFonts w:ascii="Arial" w:cs="Arial" w:eastAsia="Arial" w:hAnsi="Arial"/>
          <w:sz w:val="12"/>
          <w:szCs w:val="12"/>
          <w:color w:val="auto"/>
        </w:rPr>
      </w:pPr>
      <w:r>
        <w:rPr>
          <w:rFonts w:ascii="Arial" w:cs="Arial" w:eastAsia="Arial" w:hAnsi="Arial"/>
          <w:sz w:val="12"/>
          <w:szCs w:val="12"/>
          <w:color w:val="auto"/>
        </w:rPr>
        <w:t>Each of Mr. Bartlett and Mr. Lent will resign from our board of directors contingent upon, and effective immediately prior to, the completion of this offering.</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officers and employee directors and employee director nominees</w:t>
      </w:r>
    </w:p>
    <w:p>
      <w:pPr>
        <w:spacing w:after="0" w:line="144" w:lineRule="exact"/>
        <w:rPr>
          <w:sz w:val="20"/>
          <w:szCs w:val="20"/>
          <w:color w:val="auto"/>
        </w:rPr>
      </w:pPr>
    </w:p>
    <w:p>
      <w:pPr>
        <w:ind w:left="3" w:right="80"/>
        <w:spacing w:after="0" w:line="264" w:lineRule="auto"/>
        <w:rPr>
          <w:sz w:val="20"/>
          <w:szCs w:val="20"/>
          <w:color w:val="auto"/>
        </w:rPr>
      </w:pPr>
      <w:r>
        <w:rPr>
          <w:rFonts w:ascii="Arial" w:cs="Arial" w:eastAsia="Arial" w:hAnsi="Arial"/>
          <w:sz w:val="16"/>
          <w:szCs w:val="16"/>
          <w:b w:val="1"/>
          <w:bCs w:val="1"/>
          <w:i w:val="1"/>
          <w:iCs w:val="1"/>
          <w:color w:val="auto"/>
        </w:rPr>
        <w:t xml:space="preserve">David Barrett </w:t>
      </w:r>
      <w:r>
        <w:rPr>
          <w:rFonts w:ascii="Arial" w:cs="Arial" w:eastAsia="Arial" w:hAnsi="Arial"/>
          <w:sz w:val="16"/>
          <w:szCs w:val="16"/>
          <w:color w:val="auto"/>
        </w:rPr>
        <w:t>founded Expensify and has served as our Chief Executive Officer and as a member of our board of directors since 2009. Prior to Expensify,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84" w:lineRule="exact"/>
        <w:rPr>
          <w:sz w:val="20"/>
          <w:szCs w:val="20"/>
          <w:color w:val="auto"/>
        </w:rPr>
      </w:pPr>
    </w:p>
    <w:p>
      <w:pPr>
        <w:ind w:left="3" w:right="220"/>
        <w:spacing w:after="0" w:line="264" w:lineRule="auto"/>
        <w:rPr>
          <w:sz w:val="20"/>
          <w:szCs w:val="20"/>
          <w:color w:val="auto"/>
        </w:rPr>
      </w:pPr>
      <w:r>
        <w:rPr>
          <w:rFonts w:ascii="Arial" w:cs="Arial" w:eastAsia="Arial" w:hAnsi="Arial"/>
          <w:sz w:val="16"/>
          <w:szCs w:val="16"/>
          <w:b w:val="1"/>
          <w:bCs w:val="1"/>
          <w:i w:val="1"/>
          <w:iCs w:val="1"/>
          <w:color w:val="auto"/>
        </w:rPr>
        <w:t xml:space="preserve">Ryan Schaffer </w:t>
      </w:r>
      <w:r>
        <w:rPr>
          <w:rFonts w:ascii="Arial" w:cs="Arial" w:eastAsia="Arial" w:hAnsi="Arial"/>
          <w:sz w:val="16"/>
          <w:szCs w:val="16"/>
          <w:color w:val="auto"/>
        </w:rPr>
        <w:t>has served as our Chief Financial Officer and a member of our board of directors since 2017, and he previously served as our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96" w:lineRule="exact"/>
        <w:rPr>
          <w:sz w:val="20"/>
          <w:szCs w:val="20"/>
          <w:color w:val="auto"/>
        </w:rPr>
      </w:pPr>
    </w:p>
    <w:p>
      <w:pPr>
        <w:ind w:left="3" w:right="160"/>
        <w:spacing w:after="0" w:line="260" w:lineRule="auto"/>
        <w:rPr>
          <w:sz w:val="20"/>
          <w:szCs w:val="20"/>
          <w:color w:val="auto"/>
        </w:rPr>
      </w:pPr>
      <w:r>
        <w:rPr>
          <w:rFonts w:ascii="Arial" w:cs="Arial" w:eastAsia="Arial" w:hAnsi="Arial"/>
          <w:sz w:val="16"/>
          <w:szCs w:val="16"/>
          <w:b w:val="1"/>
          <w:bCs w:val="1"/>
          <w:i w:val="1"/>
          <w:iCs w:val="1"/>
          <w:color w:val="auto"/>
        </w:rPr>
        <w:t xml:space="preserve">Anu Muralidharan </w:t>
      </w:r>
      <w:r>
        <w:rPr>
          <w:rFonts w:ascii="Arial" w:cs="Arial" w:eastAsia="Arial" w:hAnsi="Arial"/>
          <w:sz w:val="16"/>
          <w:szCs w:val="16"/>
          <w:color w:val="auto"/>
        </w:rPr>
        <w:t>is expected to serve on our board of directors upon the completion of this offering, and has served as our Chief Operating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Ms. Muralidharan 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w:t>
      </w:r>
    </w:p>
    <w:p>
      <w:pPr>
        <w:spacing w:after="0" w:line="103" w:lineRule="exact"/>
        <w:rPr>
          <w:sz w:val="20"/>
          <w:szCs w:val="20"/>
          <w:color w:val="auto"/>
        </w:rPr>
      </w:pPr>
    </w:p>
    <w:p>
      <w:pPr>
        <w:ind w:left="3" w:right="180"/>
        <w:spacing w:after="0" w:line="294" w:lineRule="auto"/>
        <w:rPr>
          <w:sz w:val="20"/>
          <w:szCs w:val="20"/>
          <w:color w:val="auto"/>
        </w:rPr>
      </w:pPr>
      <w:r>
        <w:rPr>
          <w:rFonts w:ascii="Arial" w:cs="Arial" w:eastAsia="Arial" w:hAnsi="Arial"/>
          <w:sz w:val="16"/>
          <w:szCs w:val="16"/>
          <w:b w:val="1"/>
          <w:bCs w:val="1"/>
          <w:i w:val="1"/>
          <w:iCs w:val="1"/>
          <w:color w:val="auto"/>
        </w:rPr>
        <w:t xml:space="preserve">Jason Mills </w:t>
      </w:r>
      <w:r>
        <w:rPr>
          <w:rFonts w:ascii="Arial" w:cs="Arial" w:eastAsia="Arial" w:hAnsi="Arial"/>
          <w:sz w:val="16"/>
          <w:szCs w:val="16"/>
          <w:color w:val="auto"/>
        </w:rPr>
        <w:t>is expected to serve on our board of directors upon the completion of this offering. Mr. Mills has served as our Chief Product Officer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he previously served as our Director of Product and Customers from January 2013 to May 2021. Prior to Expensify, Mr. Mills served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63"/>
          </w:cols>
          <w:pgMar w:left="317" w:top="1407" w:right="319" w:bottom="1440" w:gutter="0" w:footer="0" w:header="0"/>
        </w:sectPr>
      </w:pPr>
    </w:p>
    <w:bookmarkStart w:id="164" w:name="page165"/>
    <w:bookmarkEnd w:id="164"/>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 our board of directors due to his long history of leadership with our company, his perspective and experience as our Chief Product Officer and his comprehensive knowledge of our business.</w:t>
      </w:r>
    </w:p>
    <w:p>
      <w:pPr>
        <w:spacing w:after="0" w:line="91"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 xml:space="preserve">Daniel Vidal </w:t>
      </w:r>
      <w:r>
        <w:rPr>
          <w:rFonts w:ascii="Arial" w:cs="Arial" w:eastAsia="Arial" w:hAnsi="Arial"/>
          <w:sz w:val="16"/>
          <w:szCs w:val="16"/>
          <w:color w:val="auto"/>
        </w:rPr>
        <w:t>is expected to serve on our board of directors upon the completion of this offering. Mr. Vidal has served as our Chief Strategy Officer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he previously served 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Non-employee directors and director nominees</w:t>
      </w:r>
    </w:p>
    <w:p>
      <w:pPr>
        <w:spacing w:after="0" w:line="14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i w:val="1"/>
          <w:iCs w:val="1"/>
          <w:color w:val="auto"/>
        </w:rPr>
        <w:t xml:space="preserve">Blake Bartlett </w:t>
      </w:r>
      <w:r>
        <w:rPr>
          <w:rFonts w:ascii="Arial" w:cs="Arial" w:eastAsia="Arial" w:hAnsi="Arial"/>
          <w:sz w:val="16"/>
          <w:szCs w:val="16"/>
          <w:color w:val="auto"/>
        </w:rPr>
        <w:t>has served as a member of our board of directors since January 2015. Mr. Bartlett has served as Partner of Openview Venture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capital firm, since 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 Mr. Bartlett will resign from our board of directors contingent upon, and effective immediately prior to, the completion of this offering.</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i w:val="1"/>
          <w:iCs w:val="1"/>
          <w:color w:val="auto"/>
        </w:rPr>
        <w:t xml:space="preserve">Robert Lent </w:t>
      </w:r>
      <w:r>
        <w:rPr>
          <w:rFonts w:ascii="Arial" w:cs="Arial" w:eastAsia="Arial" w:hAnsi="Arial"/>
          <w:sz w:val="16"/>
          <w:szCs w:val="16"/>
          <w:color w:val="auto"/>
        </w:rPr>
        <w:t>has served as a member of our board of directors since February 2018, and was previously on our board of directors from 2012 to 2015.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Lent has served as Managing 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 We believe that Mr. Lent is qualified to serve as a member of our board of directors due to his extensive experience as a board member of various high-growth software companies, his success as a founder and his knowledge of our industry. Mr. Lent will resign from our board of directors contingent upon, and effective immediately prior to, the completion of this offering.</w:t>
      </w:r>
    </w:p>
    <w:p>
      <w:pPr>
        <w:spacing w:after="0" w:line="10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b w:val="1"/>
          <w:bCs w:val="1"/>
          <w:i w:val="1"/>
          <w:iCs w:val="1"/>
          <w:color w:val="auto"/>
        </w:rPr>
        <w:t xml:space="preserve">Timothy L. Christen </w:t>
      </w:r>
      <w:r>
        <w:rPr>
          <w:rFonts w:ascii="Arial" w:cs="Arial" w:eastAsia="Arial" w:hAnsi="Arial"/>
          <w:sz w:val="16"/>
          <w:szCs w:val="16"/>
          <w:color w:val="auto"/>
        </w:rPr>
        <w:t>is expected to serve on our board of directors contingent upon, and effective upon, the effectiveness of the registration statement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S-1 of which this prospectus is a part. Mr. Christen has served as a director of Mayville Engineering Company, a publicly traded value added manufacturer, since June 2016 and serves as the Chairman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00"/>
          </w:cols>
          <w:pgMar w:left="320" w:top="1440" w:right="379" w:bottom="1440" w:gutter="0" w:footer="0" w:header="0"/>
        </w:sectPr>
      </w:pPr>
    </w:p>
    <w:bookmarkStart w:id="165" w:name="page166"/>
    <w:bookmarkEnd w:id="165"/>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Ying (Vivian) Liu </w:t>
      </w:r>
      <w:r>
        <w:rPr>
          <w:rFonts w:ascii="Arial" w:cs="Arial" w:eastAsia="Arial" w:hAnsi="Arial"/>
          <w:sz w:val="16"/>
          <w:szCs w:val="16"/>
          <w:color w:val="auto"/>
        </w:rPr>
        <w:t>is expected to serve on our board of directors upon the completion of this offering. Ms. Liu will serve as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ContextLogic Inc. (d/b/a Wish), a mobile ecommerce platform, beginning November 2021. Prior to Wish, Ms. Liu served as Chief Financial Officer of Shutterfly, Inc., a retailer and manufacturing platform for personalized products, from April 2020 to November 2021.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eight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Ellen Pao </w:t>
      </w:r>
      <w:r>
        <w:rPr>
          <w:rFonts w:ascii="Arial" w:cs="Arial" w:eastAsia="Arial" w:hAnsi="Arial"/>
          <w:sz w:val="16"/>
          <w:szCs w:val="16"/>
          <w:color w:val="auto"/>
        </w:rPr>
        <w:t>is expected to serve on our board of directors upon the completion of this offering. Ms. Pao cofounded and has lead Project Include, a nonprofit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advocating for diversity, equity and inclusion in technology companies, since December 2015. Ms. Pao has served as Chief Executive Officer and board member of Project Include since January 2017. Prior to Project Include, Ms. Pao served as Interim Chief Executive Officer and Executive Vice President of Buisness Development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2012.</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Family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Composition of our board of directors</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board of directors currently consists of four directors. However, Messrs. Bartlett and Lent will resign from our board of directors contingent upon, and effective immediately prior to, the completion of this offering. In addition, Mr. Christen will be elected to our board of directors contingent upon, and effective upon, the effectiveness of the registration statement of which this prospectus forms a part, and Messrs. Mills and Vidal and Mses. Muralidharan, Liu and Pao will be elected to our board of directors upon the completion of this offering. Accordingly, upon the completion of this offering, our board of directors will consist of eight members.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12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20"/>
          </w:cols>
          <w:pgMar w:left="320" w:top="1422" w:right="359" w:bottom="1440" w:gutter="0" w:footer="0" w:header="0"/>
        </w:sectPr>
      </w:pPr>
    </w:p>
    <w:bookmarkStart w:id="166" w:name="page167"/>
    <w:bookmarkEnd w:id="166"/>
    <w:p>
      <w:pPr>
        <w:spacing w:after="0" w:line="2"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responsibilities. Our board of directors has affirmatively determined that Mr. Christen, Ms. Liu and Ms. Pao are each an “independent director,” as defined under the Exchange Act and the rules of Nasdaq.</w:t>
      </w:r>
    </w:p>
    <w:p>
      <w:pPr>
        <w:spacing w:after="0" w:line="8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Committees of our board of directors</w:t>
      </w:r>
    </w:p>
    <w:p>
      <w:pPr>
        <w:spacing w:after="0" w:line="164"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Executive Committee</w:t>
      </w:r>
    </w:p>
    <w:p>
      <w:pPr>
        <w:spacing w:after="0" w:line="15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Our amended and restated certificate of incorporation will provide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Upon the completion of this offering, our Executive Committee will consist of Messrs. Barrett, Schaffer, Mills and Vidal and Ms. Muralidharan.</w:t>
      </w:r>
    </w:p>
    <w:p>
      <w:pPr>
        <w:spacing w:after="0" w:line="29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Audit Committee</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Audit Committee will be responsible for, among other things:</w:t>
      </w:r>
    </w:p>
    <w:p>
      <w:pPr>
        <w:spacing w:after="0" w:line="133" w:lineRule="exact"/>
        <w:rPr>
          <w:sz w:val="20"/>
          <w:szCs w:val="20"/>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our independent registered public accounting firm;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its independence from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144"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reviewing and monitoring our accounting principles, accounting policies, financial and accounting controls and compliance with legal and regulatory requirements;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reviewing related party transactions;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internal controls or auditing matters.</w:t>
      </w:r>
    </w:p>
    <w:p>
      <w:pPr>
        <w:spacing w:after="0" w:line="133"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Upon the completion of this offering, our Audit Committee will consist of Mr. Christen, Ms. Liu and Ms. Pao, with Mr. Christen serving as chair. Rule 10A-3 of the Exchange Act and Nasdaq rules require that our audit committee have at least one independent member upon the listing of our common stock,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03"/>
          </w:cols>
          <w:pgMar w:left="317" w:top="1440" w:right="379" w:bottom="1440" w:gutter="0" w:footer="0" w:header="0"/>
        </w:sectPr>
      </w:pPr>
    </w:p>
    <w:bookmarkStart w:id="167" w:name="page168"/>
    <w:bookmarkEnd w:id="167"/>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majority of independent members within 90 days of the date of this prospectus and be composed entirely of independent members within one year of the date of this prospectus. Our board of directors has affirmatively determined that Mr. Christen, Ms. Liu and Ms. Pao each meet the definition of “independent director” for purposes of serving on the audit committee under Rule 10A-3 and Nasdaq rules. Each member of our audit committee meets the financial literacy requirements of Nasdaq listing standards. In addition, our board of directors has determined that Mr. Christen will qualify as an “audit committee financial expert,” as such term is defined in Item 407(d)(5) of Regulation S-K. Our board of directors will adopt a new written charter for the audit committee, which will be available on our principal corporate website at use.expensify.com substantially concurrently with the completion of this offering. The information on or accessed through our website is deemed not to be incorporated in this prospectus or to be part of this prospectus.</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oversight</w:t>
      </w:r>
    </w:p>
    <w:p>
      <w:pPr>
        <w:spacing w:after="0" w:line="16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board of directors is responsible for overseeing our risk management process. Our board of directors focuses on our general risk management strategy, the most significant risks facing us, our material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ethics and conduct</w:t>
      </w:r>
    </w:p>
    <w:p>
      <w:pPr>
        <w:spacing w:after="0" w:line="152" w:lineRule="exact"/>
        <w:rPr>
          <w:sz w:val="20"/>
          <w:szCs w:val="20"/>
          <w:color w:val="auto"/>
        </w:rPr>
      </w:pPr>
    </w:p>
    <w:p>
      <w:pPr>
        <w:jc w:val="both"/>
        <w:ind w:right="100"/>
        <w:spacing w:after="0" w:line="254" w:lineRule="auto"/>
        <w:rPr>
          <w:sz w:val="20"/>
          <w:szCs w:val="20"/>
          <w:color w:val="auto"/>
        </w:rPr>
      </w:pPr>
      <w:r>
        <w:rPr>
          <w:rFonts w:ascii="Arial" w:cs="Arial" w:eastAsia="Arial" w:hAnsi="Arial"/>
          <w:sz w:val="16"/>
          <w:szCs w:val="16"/>
          <w:color w:val="auto"/>
        </w:rPr>
        <w:t>Prior to the completion of this offering, we will adopt a written code of ethics and conduct that applies to our directors, officers and employees, including our principal executive officer, principal financial officer, principal accounting officer or controller, or persons performing similar functions. A copy of the code will be posted on our website, use.expensify.com. In addition, we intend to post on our website voluntary disclosures related to material ESG issues and all</w:t>
      </w:r>
    </w:p>
    <w:p>
      <w:pPr>
        <w:ind w:right="640"/>
        <w:spacing w:after="0" w:line="268" w:lineRule="auto"/>
        <w:rPr>
          <w:sz w:val="20"/>
          <w:szCs w:val="20"/>
          <w:color w:val="auto"/>
        </w:rPr>
      </w:pPr>
      <w:r>
        <w:rPr>
          <w:rFonts w:ascii="Arial" w:cs="Arial" w:eastAsia="Arial" w:hAnsi="Arial"/>
          <w:sz w:val="16"/>
          <w:szCs w:val="16"/>
          <w:color w:val="auto"/>
        </w:rPr>
        <w:t>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20"/>
          </w:cols>
          <w:pgMar w:left="320" w:top="1440" w:right="359" w:bottom="1440" w:gutter="0" w:footer="0" w:header="0"/>
        </w:sectPr>
      </w:pPr>
    </w:p>
    <w:bookmarkStart w:id="168" w:name="page169"/>
    <w:bookmarkEnd w:id="168"/>
    <w:p>
      <w:pPr>
        <w:ind w:left="3"/>
        <w:spacing w:after="0"/>
        <w:rPr>
          <w:sz w:val="20"/>
          <w:szCs w:val="20"/>
          <w:color w:val="auto"/>
        </w:rPr>
      </w:pPr>
      <w:r>
        <w:rPr>
          <w:rFonts w:ascii="Arial" w:cs="Arial" w:eastAsia="Arial" w:hAnsi="Arial"/>
          <w:sz w:val="26"/>
          <w:szCs w:val="26"/>
          <w:b w:val="1"/>
          <w:bCs w:val="1"/>
          <w:color w:val="auto"/>
        </w:rPr>
        <w:t>Executive compensation</w:t>
      </w:r>
    </w:p>
    <w:p>
      <w:pPr>
        <w:spacing w:after="0" w:line="29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NEOs for fiscal year 2020 were as follows:</w:t>
      </w:r>
    </w:p>
    <w:p>
      <w:pPr>
        <w:spacing w:after="0" w:line="133" w:lineRule="exact"/>
        <w:rPr>
          <w:sz w:val="20"/>
          <w:szCs w:val="20"/>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David Barrett, our Chief Executive Officer;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Ryan Schaffer, our Chief Financial Officer;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Anuradha Muralidharan, our Chief Operating Officer.</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2020 summary compensation table</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total compensation paid to our named executive officers for the fiscal year ending on December 31, 2020.</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31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Salary ($)</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Bonus ($)</w:t>
            </w:r>
            <w:r>
              <w:rPr>
                <w:rFonts w:ascii="Arial" w:cs="Arial" w:eastAsia="Arial" w:hAnsi="Arial"/>
                <w:sz w:val="16"/>
                <w:szCs w:val="16"/>
                <w:b w:val="1"/>
                <w:bCs w:val="1"/>
                <w:color w:val="auto"/>
                <w:vertAlign w:val="superscript"/>
              </w:rPr>
              <w:t>(1)</w:t>
            </w:r>
          </w:p>
        </w:tc>
        <w:tc>
          <w:tcPr>
            <w:tcW w:w="100" w:type="dxa"/>
            <w:vAlign w:val="bottom"/>
            <w:tcBorders>
              <w:top w:val="single" w:sz="8" w:color="auto"/>
            </w:tcBorders>
            <w:vMerge w:val="restart"/>
          </w:tcPr>
          <w:p>
            <w:pPr>
              <w:spacing w:after="0"/>
              <w:rPr>
                <w:sz w:val="13"/>
                <w:szCs w:val="13"/>
                <w:color w:val="auto"/>
              </w:rPr>
            </w:pPr>
          </w:p>
        </w:tc>
        <w:tc>
          <w:tcPr>
            <w:tcW w:w="980" w:type="dxa"/>
            <w:vAlign w:val="bottom"/>
            <w:tcBorders>
              <w:top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87"/>
              </w:rPr>
              <w:t>Option awards</w:t>
            </w:r>
            <w:r>
              <w:rPr>
                <w:rFonts w:ascii="Arial" w:cs="Arial" w:eastAsia="Arial" w:hAnsi="Arial"/>
                <w:sz w:val="16"/>
                <w:szCs w:val="16"/>
                <w:b w:val="1"/>
                <w:bCs w:val="1"/>
                <w:color w:val="auto"/>
                <w:w w:val="87"/>
                <w:vertAlign w:val="subscript"/>
              </w:rPr>
              <w:t>(2)</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All other compensation</w:t>
            </w:r>
          </w:p>
        </w:tc>
        <w:tc>
          <w:tcPr>
            <w:tcW w:w="12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58"/>
        </w:trPr>
        <w:tc>
          <w:tcPr>
            <w:tcW w:w="31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(3)</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6"/>
                <w:szCs w:val="16"/>
                <w:color w:val="auto"/>
              </w:rPr>
              <w:t>David Barrett</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Executive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933,072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126,851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1,059,923</w:t>
            </w:r>
          </w:p>
        </w:tc>
        <w:tc>
          <w:tcPr>
            <w:tcW w:w="0" w:type="dxa"/>
            <w:vAlign w:val="bottom"/>
          </w:tcPr>
          <w:p>
            <w:pPr>
              <w:spacing w:after="0"/>
              <w:rPr>
                <w:sz w:val="1"/>
                <w:szCs w:val="1"/>
                <w:color w:val="auto"/>
              </w:rPr>
            </w:pPr>
          </w:p>
        </w:tc>
      </w:tr>
      <w:tr>
        <w:trPr>
          <w:trHeight w:val="158"/>
        </w:trPr>
        <w:tc>
          <w:tcPr>
            <w:tcW w:w="32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Ryan Schaffer</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20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6"/>
                <w:szCs w:val="16"/>
                <w:color w:val="auto"/>
              </w:rPr>
              <w:t>677,006</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109,751</w:t>
            </w:r>
          </w:p>
        </w:tc>
        <w:tc>
          <w:tcPr>
            <w:tcW w:w="100" w:type="dxa"/>
            <w:vAlign w:val="bottom"/>
          </w:tcPr>
          <w:p>
            <w:pPr>
              <w:spacing w:after="0"/>
              <w:rPr>
                <w:sz w:val="18"/>
                <w:szCs w:val="18"/>
                <w:color w:val="auto"/>
              </w:rPr>
            </w:pPr>
          </w:p>
        </w:tc>
        <w:tc>
          <w:tcPr>
            <w:tcW w:w="980" w:type="dxa"/>
            <w:vAlign w:val="bottom"/>
          </w:tcPr>
          <w:p>
            <w:pPr>
              <w:jc w:val="center"/>
              <w:ind w:left="143"/>
              <w:spacing w:after="0"/>
              <w:rPr>
                <w:sz w:val="20"/>
                <w:szCs w:val="20"/>
                <w:color w:val="auto"/>
              </w:rPr>
            </w:pPr>
            <w:r>
              <w:rPr>
                <w:rFonts w:ascii="Arial" w:cs="Arial" w:eastAsia="Arial" w:hAnsi="Arial"/>
                <w:sz w:val="16"/>
                <w:szCs w:val="16"/>
                <w:color w:val="auto"/>
                <w:w w:val="98"/>
              </w:rPr>
              <w:t>35,930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860,148</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Anuradha Muralidharan</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Operating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166,275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214,465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18,778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407,918</w:t>
            </w:r>
          </w:p>
        </w:tc>
        <w:tc>
          <w:tcPr>
            <w:tcW w:w="0" w:type="dxa"/>
            <w:vAlign w:val="bottom"/>
          </w:tcPr>
          <w:p>
            <w:pPr>
              <w:spacing w:after="0"/>
              <w:rPr>
                <w:sz w:val="1"/>
                <w:szCs w:val="1"/>
                <w:color w:val="auto"/>
              </w:rPr>
            </w:pPr>
          </w:p>
        </w:tc>
      </w:tr>
      <w:tr>
        <w:trPr>
          <w:trHeight w:val="49"/>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83" w:right="80" w:hanging="283"/>
        <w:spacing w:after="0" w:line="254" w:lineRule="auto"/>
        <w:tabs>
          <w:tab w:leader="none" w:pos="273" w:val="left"/>
        </w:tabs>
        <w:numPr>
          <w:ilvl w:val="0"/>
          <w:numId w:val="103"/>
        </w:numPr>
        <w:rPr>
          <w:rFonts w:ascii="Arial" w:cs="Arial" w:eastAsia="Arial" w:hAnsi="Arial"/>
          <w:sz w:val="12"/>
          <w:szCs w:val="12"/>
          <w:color w:val="auto"/>
        </w:rPr>
      </w:pPr>
      <w:r>
        <w:rPr>
          <w:rFonts w:ascii="Arial" w:cs="Arial" w:eastAsia="Arial" w:hAnsi="Arial"/>
          <w:sz w:val="12"/>
          <w:szCs w:val="12"/>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eligibility criteria by paying a one-time bonus equal to the exercise price of 10% of the employees’ vested stock options as of February 1, 2020.</w:t>
      </w:r>
    </w:p>
    <w:p>
      <w:pPr>
        <w:ind w:left="283" w:right="300" w:hanging="283"/>
        <w:spacing w:after="0" w:line="254" w:lineRule="auto"/>
        <w:tabs>
          <w:tab w:leader="none" w:pos="273"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left="283" w:right="200" w:hanging="283"/>
        <w:spacing w:after="0" w:line="268" w:lineRule="auto"/>
        <w:tabs>
          <w:tab w:leader="none" w:pos="273"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Narrative to summary compensation table</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Total compensation and base salaries</w:t>
      </w:r>
    </w:p>
    <w:p>
      <w:pPr>
        <w:spacing w:after="0" w:line="15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63"/>
          </w:cols>
          <w:pgMar w:left="317" w:top="1407" w:right="319" w:bottom="1440" w:gutter="0" w:footer="0" w:header="0"/>
        </w:sectPr>
      </w:pPr>
    </w:p>
    <w:bookmarkStart w:id="169" w:name="page170"/>
    <w:bookmarkEnd w:id="169"/>
    <w:p>
      <w:pPr>
        <w:spacing w:after="0" w:line="2" w:lineRule="exact"/>
        <w:rPr>
          <w:sz w:val="20"/>
          <w:szCs w:val="20"/>
          <w:color w:val="auto"/>
        </w:rPr>
      </w:pPr>
    </w:p>
    <w:p>
      <w:pPr>
        <w:ind w:right="860"/>
        <w:spacing w:after="0" w:line="268" w:lineRule="auto"/>
        <w:rPr>
          <w:sz w:val="20"/>
          <w:szCs w:val="20"/>
          <w:color w:val="auto"/>
        </w:rPr>
      </w:pPr>
      <w:r>
        <w:rPr>
          <w:rFonts w:ascii="Arial" w:cs="Arial" w:eastAsia="Arial" w:hAnsi="Arial"/>
          <w:sz w:val="16"/>
          <w:szCs w:val="16"/>
          <w:color w:val="auto"/>
        </w:rPr>
        <w:t>In March 2021, our board of directors increased the total compensation target of Mr. Schaffer and Ms. Muralidharan to $1,221,150 and $836,064, respectively. Following the completion of this offering, we expect to increase Mr. Barrett's total compensation target to $5,011,503.</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executive committee may adjust base salaries from time to time in their discretion.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Bonuses</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2020, Mr. Schaffer was eligible for a bonus under our graduate perk program that rewarded employees who met certain eligibility criteria by paying a one-time bonus. The bonus earned by Mr. Schaffer equaled the exercise price of 10% of Mr. Schaffer’s vested stock options as of February 1, 2020.</w:t>
      </w:r>
    </w:p>
    <w:p>
      <w:pPr>
        <w:spacing w:after="0" w:line="10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Also during 2020, we paid Ms. Muralidharan a discretionary bonus that was intended to make her whole for exercise prices she paid in excess of the $1.60 fair market value for our common stock determined by our board of directors in June 2020. We also grossed up the bonus, as well as other taxes Ms. Muralidharan paid in connection with the exercise of her stock options.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December 2020, we paid Mr. Schaffer a bonus equal to the aggregate exercise price paid by him to exercise stock options. We also provided gross up to Mr. Schaffer in connection with the bonus.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amount of each bonus is set forth in the Summary Compensation Table above.</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June 2021, our board of directors awarded each of our NEOs a discretionary bonus having a value equal to the estimated amount it would cost the NEO to exercise 45% of the NEO’s options, including estimated tax obligations in connection with such exercise and the bonus, limited by the available number of options to exercise. While the purpose of the bonus was to encourage each NEO to exercise his or her options, none of the NEOs was required to exercise his or her options in order to be paid the bonus. Mr. Barrett, Mr. Schaffer and Ms. Muralidharan were paid $0, $566,516 and $ 634,414, respectively, of his or her bonus in June 2021 and are entitled to receive an estimated additional $0, $3,001,331 and $568,148, respectively, in late 2021 or such other date determined appropriate by our board of directors.</w:t>
      </w:r>
    </w:p>
    <w:p>
      <w:pPr>
        <w:spacing w:after="0" w:line="121"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Our board of directors and executive committee may provide additional discretionary bonuses to our NEOs whenever it determines it is necessary or appropriate to incentivize them or reward them for past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February 2020, we granted Mr. Schaffer and Ms. Muralidharan an option to purchase 3,820 and 12,750 shares of our common stock, respectively. Each option had an exercise price equal to $3.29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$1.60 per share as described below.</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June 2020, we granted each of Messrs. Barrett and Schaffer and Ms. Muralidharan an option to purchase 41,550, 4,540 and 18,750 shares of our common stock, respectively, in each case, in accordance with the stated preference the NEO expressed for the portion of his or her total compensation to be taken in the form of stock options and determined using a formula determined appropriate by our board of directors. Each option had an exercise price equal to $1.60 per share, which our board of directors determined equaled fair market value on the date of grant, and vests and becomes exercisable as to 1/48th of the shares on each monthly anniversary of March 1, 2020 over a four-year period, subject to the applicable NEO’s continued service through the applicable vesting date.</w:t>
      </w:r>
    </w:p>
    <w:p>
      <w:pPr>
        <w:spacing w:after="0" w:line="121"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Also in June 2020, we repriced the exercise prices of options to purchase an aggregate of 3,820 and 40,120 shares of our common stock held by Mr. Schaffer and Ms. Muralidharan, respectively, to $1.60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 w:lineRule="exact"/>
        <w:rPr>
          <w:sz w:val="20"/>
          <w:szCs w:val="20"/>
          <w:color w:val="auto"/>
        </w:rPr>
      </w:pPr>
    </w:p>
    <w:p>
      <w:pPr>
        <w:ind w:right="500"/>
        <w:spacing w:after="0" w:line="268" w:lineRule="auto"/>
        <w:rPr>
          <w:sz w:val="20"/>
          <w:szCs w:val="20"/>
          <w:color w:val="auto"/>
        </w:rPr>
      </w:pPr>
      <w:r>
        <w:rPr>
          <w:rFonts w:ascii="Arial" w:cs="Arial" w:eastAsia="Arial" w:hAnsi="Arial"/>
          <w:sz w:val="16"/>
          <w:szCs w:val="16"/>
          <w:color w:val="auto"/>
        </w:rPr>
        <w:t>share, which our board of directors determined equaled fair market value on the date of the repricing. Each repriced option retained its original vesting schedule.</w:t>
      </w:r>
    </w:p>
    <w:p>
      <w:pPr>
        <w:spacing w:after="0" w:line="10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September 2021, our board of directors granted awards of 925,640, 251,040 and 202,780 restricted stock units to Mr. Barrett, Mr. Schaffer and Ms. Muralidharan, respectively, such grants effective immediately prior to the effectiveness of the registration statement on Form S-1, of which this prospectus is a part. Each restricted stock unit entitles the holder to receive half a share of our LT50 common stock and half a share of our Class A common stock. Each award vests as to 12.5% of the restricted stock units subject to the award on the first anniversary of the date of grant and in equal quarterly installments thereafter through the eighth anniversary of the date of grant, in each case, subject to continued employment with us.</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Class A common stock, subject to approval of such plan by our stockholders. For additional information about the 2021 Plan, please see the section titled “Equity Incentive Plans” below.</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elements of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savings and health and welfare benefits</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Perquisites and other personal benefits</w:t>
      </w:r>
    </w:p>
    <w:p>
      <w:pPr>
        <w:spacing w:after="0" w:line="165"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provide our NEOs perquisites and other personal benefits when we determine that the perquisites or personal benefits will act to incentivize our NEOs. As described above under "Bonuses," during fiscal year 2020, we provided a gross up on the taxes incurred by Mr. Schaffer and Ms. Muralidharan in connection with the payment of bonuses and the exercise of stock options, and, during fiscal year 2021, we provided a gross up on the taxes incurred by each of our NEOs in connection with bonuses we paid to the NEO.</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Our executive committee from time to time may provide additional perquisites and personal benefits to our NEOs when it determines that it is necessary or advisable to fairly compensate or incentivize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40"/>
          </w:cols>
          <w:pgMar w:left="320" w:top="1440" w:right="339" w:bottom="1440" w:gutter="0" w:footer="0" w:header="0"/>
        </w:sectPr>
      </w:pPr>
    </w:p>
    <w:bookmarkStart w:id="171" w:name="page172"/>
    <w:bookmarkEnd w:id="171"/>
    <w:p>
      <w:pPr>
        <w:ind w:left="3"/>
        <w:spacing w:after="0"/>
        <w:rPr>
          <w:sz w:val="20"/>
          <w:szCs w:val="20"/>
          <w:color w:val="auto"/>
        </w:rPr>
      </w:pPr>
      <w:r>
        <w:rPr>
          <w:rFonts w:ascii="Arial" w:cs="Arial" w:eastAsia="Arial" w:hAnsi="Arial"/>
          <w:sz w:val="19"/>
          <w:szCs w:val="19"/>
          <w:b w:val="1"/>
          <w:bCs w:val="1"/>
          <w:color w:val="auto"/>
        </w:rPr>
        <w:t>Outstanding equity awards at 2020 fiscal year end</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lists all outstanding equity awards held by our NEOs as of December 31, 2020.</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80"/>
        </w:trPr>
        <w:tc>
          <w:tcPr>
            <w:tcW w:w="3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ind w:left="1100"/>
              <w:spacing w:after="0"/>
              <w:rPr>
                <w:sz w:val="20"/>
                <w:szCs w:val="20"/>
                <w:color w:val="auto"/>
              </w:rPr>
            </w:pPr>
            <w:r>
              <w:rPr>
                <w:rFonts w:ascii="Arial" w:cs="Arial" w:eastAsia="Arial" w:hAnsi="Arial"/>
                <w:sz w:val="11"/>
                <w:szCs w:val="11"/>
                <w:b w:val="1"/>
                <w:bCs w:val="1"/>
                <w:color w:val="auto"/>
              </w:rPr>
              <w:t>Option awards</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Vesting commencement</w:t>
            </w:r>
          </w:p>
        </w:tc>
        <w:tc>
          <w:tcPr>
            <w:tcW w:w="8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Option exercise price ($)</w:t>
            </w:r>
          </w:p>
        </w:tc>
        <w:tc>
          <w:tcPr>
            <w:tcW w:w="100" w:type="dxa"/>
            <w:vAlign w:val="bottom"/>
          </w:tcPr>
          <w:p>
            <w:pPr>
              <w:spacing w:after="0"/>
              <w:rPr>
                <w:sz w:val="9"/>
                <w:szCs w:val="9"/>
                <w:color w:val="auto"/>
              </w:rPr>
            </w:pPr>
          </w:p>
        </w:tc>
        <w:tc>
          <w:tcPr>
            <w:tcW w:w="1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Option expiration date</w:t>
            </w:r>
          </w:p>
        </w:tc>
        <w:tc>
          <w:tcPr>
            <w:tcW w:w="0" w:type="dxa"/>
            <w:vAlign w:val="bottom"/>
          </w:tcPr>
          <w:p>
            <w:pPr>
              <w:spacing w:after="0"/>
              <w:rPr>
                <w:sz w:val="1"/>
                <w:szCs w:val="1"/>
                <w:color w:val="auto"/>
              </w:rPr>
            </w:pPr>
          </w:p>
        </w:tc>
      </w:tr>
      <w:tr>
        <w:trPr>
          <w:trHeight w:val="158"/>
        </w:trPr>
        <w:tc>
          <w:tcPr>
            <w:tcW w:w="3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 xml:space="preserve">date </w:t>
            </w:r>
            <w:r>
              <w:rPr>
                <w:rFonts w:ascii="Arial" w:cs="Arial" w:eastAsia="Arial" w:hAnsi="Arial"/>
                <w:sz w:val="14"/>
                <w:szCs w:val="14"/>
                <w:b w:val="1"/>
                <w:bCs w:val="1"/>
                <w:color w:val="auto"/>
                <w:w w:val="96"/>
                <w:vertAlign w:val="superscript"/>
              </w:rPr>
              <w:t>(1)</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unexercisable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David Barrett</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8"/>
              </w:rPr>
              <w:t>1,585,640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0.21</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8"/>
              </w:rPr>
              <w:t>1,302,720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1.07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4/12/2025</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41,550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1.60</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5"/>
                <w:szCs w:val="15"/>
                <w:color w:val="auto"/>
              </w:rPr>
              <w:t>Ryan Schaffer</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32,360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0.19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10/28/2024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w w:val="99"/>
              </w:rPr>
              <w:t>293,070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0.19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2/1/2015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53,200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0.54</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5/30/2025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32,600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0.54</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8/11/2025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1/1/2016</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12,930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0.53</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3/31/2026</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3,510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0.55</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3/22/2027</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10/30/2018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29,120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1/10/2029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2/1/2019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6,990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15,910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w w:val="99"/>
              </w:rPr>
              <w:t>421,050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3,820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1.60</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540" w:type="dxa"/>
            <w:vAlign w:val="bottom"/>
            <w:gridSpan w:val="2"/>
          </w:tcPr>
          <w:p>
            <w:pPr>
              <w:jc w:val="center"/>
              <w:ind w:left="27"/>
              <w:spacing w:after="0" w:line="183"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4,540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1.60</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Anuradha Muralidharan</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9"/>
              </w:rPr>
              <w:t>7/1/2016</w:t>
            </w:r>
          </w:p>
        </w:tc>
        <w:tc>
          <w:tcPr>
            <w:tcW w:w="15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5"/>
              </w:rPr>
              <w:t>20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0.53</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9/12/2026</w:t>
            </w: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1,850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0.55</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3/21/2027</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1/1/2018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3,500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0.55</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1/11/2028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7/1/2018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13,080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7/29/2028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10,840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64,390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4/16/2019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7,990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0.97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6/10/2019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27,370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1.60</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12,750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1.60</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18,750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1.60</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49"/>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83" w:right="80" w:hanging="283"/>
        <w:spacing w:after="0" w:line="254" w:lineRule="auto"/>
        <w:tabs>
          <w:tab w:leader="none" w:pos="27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283" w:right="200" w:hanging="283"/>
        <w:spacing w:after="0" w:line="254" w:lineRule="auto"/>
        <w:tabs>
          <w:tab w:leader="none" w:pos="27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jc w:val="both"/>
        <w:ind w:left="283" w:right="40" w:hanging="283"/>
        <w:spacing w:after="0" w:line="261" w:lineRule="auto"/>
        <w:tabs>
          <w:tab w:leader="none" w:pos="27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compensation arrangements</w:t>
      </w:r>
    </w:p>
    <w:p>
      <w:pPr>
        <w:spacing w:after="0" w:line="164" w:lineRule="exact"/>
        <w:rPr>
          <w:sz w:val="20"/>
          <w:szCs w:val="20"/>
          <w:color w:val="auto"/>
        </w:rPr>
      </w:pPr>
    </w:p>
    <w:p>
      <w:pPr>
        <w:jc w:val="both"/>
        <w:ind w:left="3" w:right="300"/>
        <w:spacing w:after="0" w:line="261" w:lineRule="auto"/>
        <w:rPr>
          <w:sz w:val="20"/>
          <w:szCs w:val="20"/>
          <w:color w:val="auto"/>
        </w:rPr>
      </w:pPr>
      <w:r>
        <w:rPr>
          <w:rFonts w:ascii="Arial" w:cs="Arial" w:eastAsia="Arial" w:hAnsi="Arial"/>
          <w:sz w:val="16"/>
          <w:szCs w:val="16"/>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63"/>
          </w:cols>
          <w:pgMar w:left="317" w:top="1425" w:right="319" w:bottom="1440" w:gutter="0" w:footer="0" w:header="0"/>
        </w:sectPr>
      </w:pPr>
    </w:p>
    <w:bookmarkStart w:id="172" w:name="page173"/>
    <w:bookmarkEnd w:id="172"/>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offering, we intend to enter into new employment agreements with our NEOs that are effective at the closing of the offering.</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Equity compensation plans</w:t>
      </w:r>
    </w:p>
    <w:p>
      <w:pPr>
        <w:spacing w:after="0" w:line="164" w:lineRule="exact"/>
        <w:rPr>
          <w:sz w:val="20"/>
          <w:szCs w:val="20"/>
          <w:color w:val="auto"/>
        </w:rPr>
      </w:pPr>
    </w:p>
    <w:p>
      <w:pPr>
        <w:ind w:left="3" w:right="340"/>
        <w:spacing w:after="0" w:line="261" w:lineRule="auto"/>
        <w:rPr>
          <w:sz w:val="20"/>
          <w:szCs w:val="20"/>
          <w:color w:val="auto"/>
        </w:rPr>
      </w:pPr>
      <w:r>
        <w:rPr>
          <w:rFonts w:ascii="Arial" w:cs="Arial" w:eastAsia="Arial" w:hAnsi="Arial"/>
          <w:sz w:val="16"/>
          <w:szCs w:val="16"/>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2021 incentive award plan</w:t>
      </w:r>
    </w:p>
    <w:p>
      <w:pPr>
        <w:spacing w:after="0" w:line="153" w:lineRule="exact"/>
        <w:rPr>
          <w:sz w:val="20"/>
          <w:szCs w:val="20"/>
          <w:color w:val="auto"/>
        </w:rPr>
      </w:pPr>
    </w:p>
    <w:p>
      <w:pPr>
        <w:jc w:val="both"/>
        <w:ind w:left="3" w:right="80"/>
        <w:spacing w:after="0" w:line="261" w:lineRule="auto"/>
        <w:rPr>
          <w:sz w:val="20"/>
          <w:szCs w:val="20"/>
          <w:color w:val="auto"/>
        </w:rPr>
      </w:pPr>
      <w:r>
        <w:rPr>
          <w:rFonts w:ascii="Arial" w:cs="Arial" w:eastAsia="Arial" w:hAnsi="Arial"/>
          <w:sz w:val="16"/>
          <w:szCs w:val="16"/>
          <w:color w:val="auto"/>
        </w:rPr>
        <w:t>We intend to adopt the 2021 Plan, which will be effective on the day prior to the first public trading date of our Class A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102" w:lineRule="exact"/>
        <w:rPr>
          <w:sz w:val="20"/>
          <w:szCs w:val="20"/>
          <w:color w:val="auto"/>
        </w:rPr>
      </w:pPr>
    </w:p>
    <w:p>
      <w:pPr>
        <w:jc w:val="both"/>
        <w:ind w:left="3"/>
        <w:spacing w:after="0" w:line="258"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2021 Plan and the 2021 Stock Purchase and Matching Plan (the "2021 Purchase and Matching Plan" and, together with the 2021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"2021 Incentive Plans") use a combined share reserve. Under the 2021 Incentive Plans, 11,676,932 shares of our Class A common stock will be initially reserved for issuance pursuant to a variety of stock-based compensation awards, including stock options, stock appreciation rights, or SARs, restricted stock awards, restricted stock unit awards and other stock-based awards under the 2021 Plan and purchase rights and matching awards under the 2021 Purchase and Matching Plan. The number of shares initially reserved for issuance or transfer pursuant to awards under the 2021 Incentive Plans will be increased by</w:t>
      </w:r>
    </w:p>
    <w:p>
      <w:pPr>
        <w:spacing w:after="0" w:line="1" w:lineRule="exact"/>
        <w:rPr>
          <w:sz w:val="20"/>
          <w:szCs w:val="20"/>
          <w:color w:val="auto"/>
        </w:rPr>
      </w:pPr>
    </w:p>
    <w:p>
      <w:pPr>
        <w:ind w:left="3" w:right="80" w:hanging="3"/>
        <w:spacing w:after="0" w:line="257" w:lineRule="auto"/>
        <w:tabs>
          <w:tab w:leader="none" w:pos="19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number of shares represented by awards outstanding under our 2012 Plan, or Prior Plan Awards, that become available for issuance under the counting provisions described below following the effective date and (ii) an annual increase on the first day of each fiscal year beginning in 2022 and ending in 2031, equal to the lesser of (A) 6% of the shares of our Class A common stock outstanding (on an as converted basis) on the last day of the immediately preceding fiscal year and (B) such smaller number of shares of stock as determined by our board of directors; provided, however, that no more than 87,576,990 shares of stock may be issued upon the exercise of incentive stock options.</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counting provisions will be in effect for the share reserve under the 2021 Incentive Plans:</w:t>
      </w:r>
    </w:p>
    <w:p>
      <w:pPr>
        <w:spacing w:after="0" w:line="133" w:lineRule="exact"/>
        <w:rPr>
          <w:sz w:val="20"/>
          <w:szCs w:val="20"/>
          <w:color w:val="auto"/>
        </w:rPr>
      </w:pPr>
    </w:p>
    <w:p>
      <w:pPr>
        <w:ind w:left="283" w:right="76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2021 Incentive Plans will be reduced by each share of Class A common stock issued or underlying an award granted under either 2021 Incentive Plan;</w:t>
      </w:r>
    </w:p>
    <w:p>
      <w:pPr>
        <w:spacing w:after="0" w:line="112"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Incentive Plans;</w:t>
      </w:r>
    </w:p>
    <w:p>
      <w:pPr>
        <w:spacing w:after="0" w:line="112"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2021 Incentive Plans or Prior Plan Award, such tendered or withheld shares will be available for future grants under the 2021 Incentive Plans;</w:t>
      </w:r>
    </w:p>
    <w:p>
      <w:pPr>
        <w:spacing w:after="0" w:line="100"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shares subject to stock appreciation rights are not issued in connection with the stock settlement of stock appreciation rights on exercise thereof, such shares will be available for future grants under the 2021 Incentive Plans;</w:t>
      </w:r>
    </w:p>
    <w:p>
      <w:pPr>
        <w:spacing w:after="0" w:line="112" w:lineRule="exact"/>
        <w:rPr>
          <w:rFonts w:ascii="Arial" w:cs="Arial" w:eastAsia="Arial" w:hAnsi="Arial"/>
          <w:sz w:val="16"/>
          <w:szCs w:val="16"/>
          <w:color w:val="auto"/>
        </w:rPr>
      </w:pPr>
    </w:p>
    <w:p>
      <w:pPr>
        <w:ind w:left="283" w:right="12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that shares of our common stock are repurchased by us prior to vesting so that shares are returned to us, such shares will be available for future grants under the 2021 Incentive Plans;</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payment of dividend equivalents in cash in conjunction with any outstanding awards or Prior Plan Awards will not be counted against the shares available for issuance under the 2021 Incentive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43"/>
          </w:cols>
          <w:pgMar w:left="317" w:top="1440" w:right="339" w:bottom="1440" w:gutter="0" w:footer="0" w:header="0"/>
        </w:sectPr>
      </w:pPr>
    </w:p>
    <w:bookmarkStart w:id="173" w:name="page174"/>
    <w:bookmarkEnd w:id="173"/>
    <w:p>
      <w:pPr>
        <w:spacing w:after="0" w:line="2" w:lineRule="exact"/>
        <w:rPr>
          <w:sz w:val="20"/>
          <w:szCs w:val="20"/>
          <w:color w:val="auto"/>
        </w:rPr>
      </w:pPr>
    </w:p>
    <w:p>
      <w:pPr>
        <w:ind w:left="283" w:right="140" w:hanging="283"/>
        <w:spacing w:after="0" w:line="261" w:lineRule="auto"/>
        <w:tabs>
          <w:tab w:leader="none" w:pos="27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Incentive Plans.</w:t>
      </w:r>
    </w:p>
    <w:p>
      <w:pPr>
        <w:spacing w:after="0" w:line="106"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In addition, the sum of the grant date fair value of all equity-based awards and the maximum that may become payable pursuant to all cash-based awards to any individual for services as a non-employee director during any calendar year may not exceed $1,000,000 for such individual's first year of service as a non-employee director and $750,000 for each year thereafter.</w:t>
      </w:r>
    </w:p>
    <w:p>
      <w:pPr>
        <w:spacing w:after="0" w:line="102" w:lineRule="exact"/>
        <w:rPr>
          <w:sz w:val="20"/>
          <w:szCs w:val="20"/>
          <w:color w:val="auto"/>
        </w:rPr>
      </w:pPr>
    </w:p>
    <w:p>
      <w:pPr>
        <w:ind w:left="3" w:right="180"/>
        <w:spacing w:after="0" w:line="26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is expected to administer the 2021 Plan. The 2021 Plan provides that the board may delegate its authority to grant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17"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w:t>
      </w:r>
    </w:p>
    <w:p>
      <w:pPr>
        <w:spacing w:after="0" w:line="94" w:lineRule="exact"/>
        <w:rPr>
          <w:sz w:val="20"/>
          <w:szCs w:val="20"/>
          <w:color w:val="auto"/>
        </w:rPr>
      </w:pPr>
    </w:p>
    <w:p>
      <w:pPr>
        <w:ind w:left="3"/>
        <w:spacing w:after="0" w:line="27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SARs, restricted stock and all other stock-based and cash-based awards under the 2021 Plan may be granted to individuals who are then</w:t>
      </w:r>
      <w:r>
        <w:rPr>
          <w:rFonts w:ascii="Arial" w:cs="Arial" w:eastAsia="Arial" w:hAnsi="Arial"/>
          <w:sz w:val="16"/>
          <w:szCs w:val="16"/>
          <w:i w:val="1"/>
          <w:iCs w:val="1"/>
          <w:color w:val="auto"/>
        </w:rPr>
        <w:t xml:space="preserve"> </w:t>
      </w:r>
      <w:r>
        <w:rPr>
          <w:rFonts w:ascii="Arial" w:cs="Arial" w:eastAsia="Arial" w:hAnsi="Arial"/>
          <w:sz w:val="16"/>
          <w:szCs w:val="16"/>
          <w:color w:val="auto"/>
        </w:rPr>
        <w:t>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95" w:lineRule="exact"/>
        <w:rPr>
          <w:sz w:val="20"/>
          <w:szCs w:val="20"/>
          <w:color w:val="auto"/>
        </w:rPr>
      </w:pPr>
    </w:p>
    <w:p>
      <w:pPr>
        <w:ind w:left="3" w:right="140"/>
        <w:spacing w:after="0" w:line="271"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2021 Plan provides that the administrator may grant or issue stock options, SARs, restricted stock, restricted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95" w:lineRule="exact"/>
        <w:rPr>
          <w:sz w:val="20"/>
          <w:szCs w:val="20"/>
          <w:color w:val="auto"/>
        </w:rPr>
      </w:pPr>
    </w:p>
    <w:p>
      <w:pPr>
        <w:ind w:left="283" w:right="120" w:hanging="283"/>
        <w:spacing w:after="0" w:line="262"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Nonstatutory stock options</w:t>
      </w:r>
      <w:r>
        <w:rPr>
          <w:rFonts w:ascii="Arial" w:cs="Arial" w:eastAsia="Arial" w:hAnsi="Arial"/>
          <w:sz w:val="16"/>
          <w:szCs w:val="16"/>
          <w:color w:val="auto"/>
        </w:rPr>
        <w:t>, or NSOs, will provide for the right to purchase shares of our Class A common stock at a specified price which may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1" w:lineRule="exact"/>
        <w:rPr>
          <w:rFonts w:ascii="Arial" w:cs="Arial" w:eastAsia="Arial" w:hAnsi="Arial"/>
          <w:sz w:val="16"/>
          <w:szCs w:val="16"/>
          <w:color w:val="auto"/>
        </w:rPr>
      </w:pPr>
    </w:p>
    <w:p>
      <w:pPr>
        <w:ind w:left="283" w:right="100" w:hanging="283"/>
        <w:spacing w:after="0" w:line="260"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or ISOs, will be designed in a manner intended to comply with the provisions of Section 422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as amended, or the Code, 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Class A common stock on the date of grant and the ISO must not be exercisable after a period of five years measured from the date of grant.</w:t>
      </w:r>
    </w:p>
    <w:p>
      <w:pPr>
        <w:spacing w:after="0" w:line="102" w:lineRule="exact"/>
        <w:rPr>
          <w:rFonts w:ascii="Arial" w:cs="Arial" w:eastAsia="Arial" w:hAnsi="Arial"/>
          <w:sz w:val="16"/>
          <w:szCs w:val="16"/>
          <w:color w:val="auto"/>
        </w:rPr>
      </w:pPr>
    </w:p>
    <w:p>
      <w:pPr>
        <w:jc w:val="both"/>
        <w:ind w:left="283" w:right="200" w:hanging="283"/>
        <w:spacing w:after="0" w:line="271"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typically, may be forfeited for no consideration or repurchased by us at the original purchase price if the conditions or restrictions on vesting are not met. In general, restricted stock may not be sold or otherwise transferred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43"/>
          </w:cols>
          <w:pgMar w:left="317" w:top="1440" w:right="339" w:bottom="1440" w:gutter="0" w:footer="0" w:header="0"/>
        </w:sectPr>
      </w:pPr>
    </w:p>
    <w:bookmarkStart w:id="174" w:name="page175"/>
    <w:bookmarkEnd w:id="174"/>
    <w:p>
      <w:pPr>
        <w:spacing w:after="0" w:line="2" w:lineRule="exact"/>
        <w:rPr>
          <w:sz w:val="20"/>
          <w:szCs w:val="20"/>
          <w:color w:val="auto"/>
        </w:rPr>
      </w:pPr>
    </w:p>
    <w:p>
      <w:pPr>
        <w:ind w:left="283" w:right="300"/>
        <w:spacing w:after="0" w:line="261" w:lineRule="auto"/>
        <w:rPr>
          <w:sz w:val="20"/>
          <w:szCs w:val="20"/>
          <w:color w:val="auto"/>
        </w:rPr>
      </w:pPr>
      <w:r>
        <w:rPr>
          <w:rFonts w:ascii="Arial" w:cs="Arial" w:eastAsia="Arial" w:hAnsi="Arial"/>
          <w:sz w:val="16"/>
          <w:szCs w:val="16"/>
          <w:color w:val="auto"/>
        </w:rPr>
        <w:t>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90" w:lineRule="exact"/>
        <w:rPr>
          <w:sz w:val="20"/>
          <w:szCs w:val="20"/>
          <w:color w:val="auto"/>
        </w:rPr>
      </w:pPr>
    </w:p>
    <w:p>
      <w:pPr>
        <w:ind w:left="283" w:hanging="283"/>
        <w:spacing w:after="0" w:line="262"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04" w:lineRule="exact"/>
        <w:rPr>
          <w:rFonts w:ascii="Arial" w:cs="Arial" w:eastAsia="Arial" w:hAnsi="Arial"/>
          <w:sz w:val="16"/>
          <w:szCs w:val="16"/>
          <w:color w:val="auto"/>
        </w:rPr>
      </w:pPr>
    </w:p>
    <w:p>
      <w:pPr>
        <w:ind w:left="283" w:right="40" w:hanging="283"/>
        <w:spacing w:after="0" w:line="262"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or SARs, may be granted in connection with stock options or other awards, or separately. SARs granted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or other awards typically will provide for payments to the holder based upon increases in the price of our Class A common stock over a set exercise price. The exercise price of any SAR granted under the 2021 Plan must be at least 100% of the fair market value of a share of our Class A common stock on the date of grant. SARs under the 2021 Plan will be settled in cash or shares of our Class A common stock, or in a combination of both, at the election of the administrator.</w:t>
      </w:r>
    </w:p>
    <w:p>
      <w:pPr>
        <w:spacing w:after="0" w:line="10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fully vested shares of our Class A common stock and other awards valued wholly or partially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to, or otherwise based on, shares of our Class A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91"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Class A common stock and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20"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Any award may be granted as a performance award, meaning that the award will be subject to vesting and/or payment based on the attainment of specified performance goals.</w:t>
      </w:r>
    </w:p>
    <w:p>
      <w:pPr>
        <w:spacing w:after="0" w:line="97" w:lineRule="exact"/>
        <w:rPr>
          <w:sz w:val="20"/>
          <w:szCs w:val="20"/>
          <w:color w:val="auto"/>
        </w:rPr>
      </w:pPr>
    </w:p>
    <w:p>
      <w:pPr>
        <w:ind w:left="3" w:right="140"/>
        <w:spacing w:after="0" w:line="260"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unless the plan administrator elects to terminate an award in exchange for cash, rights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91" w:lineRule="exact"/>
        <w:rPr>
          <w:sz w:val="20"/>
          <w:szCs w:val="20"/>
          <w:color w:val="auto"/>
        </w:rPr>
      </w:pPr>
    </w:p>
    <w:p>
      <w:pPr>
        <w:ind w:left="3" w:right="280"/>
        <w:spacing w:after="0" w:line="289"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In the event of any stock dividend or other distribution, stock split, reverse stock split, reorganization, combination or exchange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merger, consolidation, split-up,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43"/>
          </w:cols>
          <w:pgMar w:left="317" w:top="1440" w:right="339" w:bottom="1440" w:gutter="0" w:footer="0" w:header="0"/>
        </w:sectPr>
      </w:pPr>
    </w:p>
    <w:bookmarkStart w:id="175" w:name="page176"/>
    <w:bookmarkEnd w:id="175"/>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Incentive Plans;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9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administrator may terminate, amend or modify the 2021 Plan at any time and from time to time. However,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stock purchase and matching plan</w:t>
      </w:r>
    </w:p>
    <w:p>
      <w:pPr>
        <w:spacing w:after="0" w:line="153"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We intend to adopt and ask our stockholders to approve the 2021 Purchase and Matching Plan, which will be effective upon the day prior to the effectiveness of the registration statement to which this prospectus relates. The 2021 Purchase and Matching Plan is designed to allow our eligible employees, consultants and directors to purchase shares of our Class A common stock for fair market value at regular intervals, which we refer to as purchase periods, using accumulated deductions from compensation and to receive matching shares of our Class A common stock for purchased and retained shares, which we refer to as matching shares. Participants may also purchase shares with cash, up to 100% of their gross compensation for a purchase period, and we may also issue shares under the 2021 Purchase and Matching Plan without requiring the payment of a purchase price. The material terms of the 2021 Purchase and Matching Plan, as it is currently contemplated, are summarized below.</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Subject to the terms and conditions of the 2021 Purchase and Matching Plan, our compensation committee will administer the 2021</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and Matching Plan. Our compensation committee can delegate administrative tasks under the 2021 Purchase and Matching Plan to the services of an agent and/or employees to assist in the administration of the 2021 Purchase and Matching Plan. The administrator will have the discretionary authority to administer and interpret the 2021 Purchase and Matching Plan. Interpretations and constructions of the administrator of any provision of the 2021 Purchase and Matching Plan or of any rights thereunder will be conclusive and binding on all persons. We will bear all expenses and liabilities incurred by the 2021 Purchase and Matching Plan administrator.</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2021 Purchase and Matching Plan and 2021 Plan use a combined share reserve as described above under “Equity compensation plans</w:t>
      </w:r>
      <w:r>
        <w:rPr>
          <w:rFonts w:ascii="Arial" w:cs="Arial" w:eastAsia="Arial" w:hAnsi="Arial"/>
          <w:sz w:val="16"/>
          <w:szCs w:val="16"/>
          <w:i w:val="1"/>
          <w:iCs w:val="1"/>
          <w:color w:val="auto"/>
        </w:rPr>
        <w:t xml:space="preserve"> </w:t>
      </w:r>
      <w:r>
        <w:rPr>
          <w:rFonts w:ascii="Arial" w:cs="Arial" w:eastAsia="Arial" w:hAnsi="Arial"/>
          <w:sz w:val="16"/>
          <w:szCs w:val="16"/>
          <w:color w:val="auto"/>
        </w:rPr>
        <w:t>– 2021 incentive award plan – share reserve.”</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consultants and directors eligible to participate in the 2021 Purchase and Matching Plan for a given purchase period generally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consultants and directors who are employed or engaged by us or one of our subsidiaries on the first day of the purchase period.</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Participants will enroll under the 2021 Purchase and Matching Plan by completing a compensation deduction form prior to the commencement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a particular purchase period that permits deductions from their compensation that are accumulated to purchase shares of our Class A common stock. Participants will also be permitted to purchase shares using cash, but the combined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80"/>
          </w:cols>
          <w:pgMar w:left="320" w:top="1440" w:right="399" w:bottom="1440" w:gutter="0" w:footer="0" w:header="0"/>
        </w:sectPr>
      </w:pPr>
    </w:p>
    <w:bookmarkStart w:id="176" w:name="page177"/>
    <w:bookmarkEnd w:id="176"/>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deductions and cash paid by a participant may not exceed the participant’s gross compensation for the purchase period. In addition, we may issue shares to participants without requiring the participants to pay a purchase price.</w:t>
      </w:r>
    </w:p>
    <w:p>
      <w:pPr>
        <w:spacing w:after="0" w:line="85" w:lineRule="exact"/>
        <w:rPr>
          <w:sz w:val="20"/>
          <w:szCs w:val="20"/>
          <w:color w:val="auto"/>
        </w:rPr>
      </w:pPr>
    </w:p>
    <w:p>
      <w:pPr>
        <w:ind w:right="80"/>
        <w:spacing w:after="0"/>
        <w:rPr>
          <w:sz w:val="20"/>
          <w:szCs w:val="20"/>
          <w:color w:val="auto"/>
        </w:rPr>
      </w:pPr>
      <w:r>
        <w:rPr>
          <w:rFonts w:ascii="Arial" w:cs="Arial" w:eastAsia="Arial" w:hAnsi="Arial"/>
          <w:sz w:val="16"/>
          <w:szCs w:val="16"/>
          <w:i w:val="1"/>
          <w:iCs w:val="1"/>
          <w:color w:val="auto"/>
        </w:rPr>
        <w:t xml:space="preserve">Matching shares. </w:t>
      </w:r>
      <w:r>
        <w:rPr>
          <w:rFonts w:ascii="Arial" w:cs="Arial" w:eastAsia="Arial" w:hAnsi="Arial"/>
          <w:sz w:val="16"/>
          <w:szCs w:val="16"/>
          <w:color w:val="auto"/>
        </w:rPr>
        <w:t>At the end of each purchase period, we will match a fractional share of our Class A common stock for each share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purchased, issued or previously acquired under the 2021 Purchase and Matching Plan that is retained through the end of the applicable purchase period. Initially, we intend to match 1/10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a share of Class A common stock for each share of Class A common stock purchased, issued or retained at the end of a purchase period; however, we may limit the aggregate number of matching shares we award at the end of any purchase period.</w:t>
      </w:r>
    </w:p>
    <w:p>
      <w:pPr>
        <w:spacing w:after="0" w:line="12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A participant may not assign, transfer, pledge or otherwise dispose of (other than by will or the laws of descent and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deductions credited to a participant’s account or any rights to purchase or otherwise receive shares of our Class A common stock under the 2021 Purchase and Matching Plan, and during a participant’s lifetime, purchase rights under the 2021 Purchase and Matching Plan are only exercisable only by such participant. Any such attempt at assignment, transfer, pledge or other disposition will not be given effect.</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Adjustments upon changes in recapitalization, dissolution, liquidation, merger or asset sale. </w:t>
      </w:r>
      <w:r>
        <w:rPr>
          <w:rFonts w:ascii="Arial" w:cs="Arial" w:eastAsia="Arial" w:hAnsi="Arial"/>
          <w:sz w:val="16"/>
          <w:szCs w:val="16"/>
          <w:color w:val="auto"/>
        </w:rPr>
        <w:t>In the event of any increase or decrease in the number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2021 Incentive Plans and the number and price of shares which any participant has elected to purchase under the 2021 Purchase and Matching Plan. If there is a proposal to dissolve or liquidate us, then the 2021 Purchase and Matching Plan will terminate immediately prior to the consummation of such proposed dissolution or liquidation, and any matching period and purchase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purchase right will be assumed or an equivalent purchase right substituted by the successor corporation or the parent or subsidiary of the successor corporation. If the successor corporation refuses to assume the outstanding purchase rights or substitute equivalent purchase rights, then any purchase period then in progress will be shortened by setting a new purchase date to take place before the date of our proposed sale or merger, and the vesting of all matching shares will be accelerated for participants who continue to provide services through the date of our proposed sale or merger. We will notify each participant of such change in writing at least ten business days prior to the new exercise date.</w:t>
      </w:r>
    </w:p>
    <w:p>
      <w:pPr>
        <w:spacing w:after="0" w:line="94"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suspend or terminate the 2021 Purchase and Matching Plan at any time. However,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may not amend the 2021 Purchase and Matching Plan without obtaining stockholder approval within 12 months before or after such amendment to the extent required by applicable laws.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stock plan</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0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40"/>
          </w:cols>
          <w:pgMar w:left="320" w:top="1440" w:right="339" w:bottom="1440" w:gutter="0" w:footer="0" w:header="0"/>
        </w:sectPr>
      </w:pPr>
    </w:p>
    <w:bookmarkStart w:id="177" w:name="page178"/>
    <w:bookmarkEnd w:id="177"/>
    <w:p>
      <w:pPr>
        <w:ind w:right="46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2019 Plan provides for the grant of non-qualified options, restricted stock and restricted stock units to employees,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board of directors and consultants. The 2019 Plan provides for the grant of ISOs to employees.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16,856,770 shares of our LT50 and Class A common stock for issuance under the 2019 Plan, plus any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subject to outstanding 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 June 30, 2021, the aggregate number of shares of our LT50 and Class A common stock reserved for issuance under the 2019 Plan is 6,888,320. As of June 30, 2021, options to purchase a total of 5,902,760 shares of our Class A common stock were outstanding, and 985,560 shares remained available for future grants. Subsequent to June 30, 2021, an aggregate of 8,679,380 restricted stock units covering shares of our LT50 and Class A common stock were approved to be granted immediately prior to the effectiveness of the registration statement on Form S-1 of which this prospectus is a part, and following such grant, 776,600 shares will remain available for future grants.</w:t>
      </w:r>
    </w:p>
    <w:p>
      <w:pPr>
        <w:spacing w:after="0" w:line="10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2019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2019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2019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upon the death of the trustor or by gift to qualified family members.</w:t>
      </w:r>
    </w:p>
    <w:p>
      <w:pPr>
        <w:spacing w:after="0" w:line="95"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103"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2019 Plan or any portion thereof at any time; an amendment of the 2019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2019 Plan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40"/>
          </w:cols>
          <w:pgMar w:left="320" w:top="1426" w:right="33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b w:val="1"/>
          <w:bCs w:val="1"/>
          <w:i w:val="1"/>
          <w:iCs w:val="1"/>
          <w:color w:val="auto"/>
        </w:rPr>
        <w:t>2009 stock plan</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12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9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2009 Plan provides for the grant of non-qualified options and restricted stock to employees, non-employee members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consultants. The 2009 Plan provides for the grant of ISOs to employees.</w:t>
      </w:r>
    </w:p>
    <w:p>
      <w:pPr>
        <w:spacing w:after="0" w:line="68"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As of June 30, 2021, an aggregate of 2,662,560 shares of our Class A common stock were reserved for issuance under the 2009 Plan.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2021, options to purchase a total of 2,662,560 shares of our Class A common stock were outstanding and no shares remained available for future grants.</w:t>
      </w:r>
    </w:p>
    <w:p>
      <w:pPr>
        <w:spacing w:after="0" w:line="9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2009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2009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2009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of the trustor or by gift to qualified family members.</w:t>
      </w:r>
    </w:p>
    <w:p>
      <w:pPr>
        <w:spacing w:after="0" w:line="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302"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2009 Plan or any portion thereof at any time; an amendment of the 2009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2009 Plan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0"/>
          </w:cols>
          <w:pgMar w:left="320" w:top="1422" w:right="339" w:bottom="1440" w:gutter="0" w:footer="0" w:header="0"/>
        </w:sectPr>
      </w:pPr>
    </w:p>
    <w:bookmarkStart w:id="179" w:name="page180"/>
    <w:bookmarkEnd w:id="179"/>
    <w:p>
      <w:pPr>
        <w:ind w:left="3"/>
        <w:spacing w:after="0"/>
        <w:rPr>
          <w:sz w:val="20"/>
          <w:szCs w:val="20"/>
          <w:color w:val="auto"/>
        </w:rPr>
      </w:pPr>
      <w:r>
        <w:rPr>
          <w:rFonts w:ascii="Arial" w:cs="Arial" w:eastAsia="Arial" w:hAnsi="Arial"/>
          <w:sz w:val="19"/>
          <w:szCs w:val="19"/>
          <w:b w:val="1"/>
          <w:bCs w:val="1"/>
          <w:color w:val="auto"/>
        </w:rPr>
        <w:t>Non-Employee Director Compensation Program</w:t>
      </w:r>
    </w:p>
    <w:p>
      <w:pPr>
        <w:spacing w:after="0" w:line="15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We have adopted a non-employee director compensation program (the “Director Compensation Program”) to become effective on the completion of this offering pursuant to which our non-employee directors will be eligible to receive cash compensation and equity awards for service on our board of directors and the audit committee of our board of directors.</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the Director Compensation Program, our non-employee directors will be eligible to receive cash compensation as follows:</w:t>
      </w:r>
    </w:p>
    <w:p>
      <w:pPr>
        <w:spacing w:after="0" w:line="145" w:lineRule="exact"/>
        <w:rPr>
          <w:sz w:val="20"/>
          <w:szCs w:val="20"/>
          <w:color w:val="auto"/>
        </w:rPr>
      </w:pPr>
    </w:p>
    <w:p>
      <w:pPr>
        <w:ind w:left="283" w:hanging="283"/>
        <w:spacing w:after="0"/>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non-employee director receives an annual cash retainer in the amount of $30,000 per year.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chair of the audit committee receives additional annual cash compensation in the amount of $20,000 per year for service on the audit committee.</w:t>
      </w:r>
    </w:p>
    <w:p>
      <w:pPr>
        <w:spacing w:after="0" w:line="144"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non-chair member of the audit committee receives additional annual cash compensation in the amount of $10,000 per year for service on the audit committee.</w:t>
      </w:r>
    </w:p>
    <w:p>
      <w:pPr>
        <w:spacing w:after="0" w:line="113"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Each non-employee director may elect to receive all of his or her annual cash retainers in the form of restricted stock units ("RSUs") under our 2021 Plan. Elections to convert all of the annual cash retainers into RSUs must generally be made on or prior to December 31 of the year prior to the year in which the annual cash retainers are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RSUs, provided that the election is made prior to the date the individual becomes a non-employee director. RSUs granted in lieu of the annual cash retainers are fully vested on the grant date, which corresponds to the date the cash retainers would otherwise be paid, and cover a number of shares of Class A common stock calculated by dividing the amount of the cash retainers that would otherwise be paid by the average closing trading price of a share of Class A common stock over the 30 days preceding the grant date. In addition, the Director Compensation Program provides that non-employee directors may elect to defer the settlement of RSUs granted to them.</w:t>
      </w:r>
    </w:p>
    <w:p>
      <w:pPr>
        <w:spacing w:after="0" w:line="116" w:lineRule="exact"/>
        <w:rPr>
          <w:sz w:val="20"/>
          <w:szCs w:val="20"/>
          <w:color w:val="auto"/>
        </w:rPr>
      </w:pPr>
    </w:p>
    <w:p>
      <w:pPr>
        <w:ind w:left="3" w:right="120"/>
        <w:spacing w:after="0" w:line="254" w:lineRule="auto"/>
        <w:rPr>
          <w:sz w:val="20"/>
          <w:szCs w:val="20"/>
          <w:color w:val="auto"/>
        </w:rPr>
      </w:pPr>
      <w:r>
        <w:rPr>
          <w:rFonts w:ascii="Arial" w:cs="Arial" w:eastAsia="Arial" w:hAnsi="Arial"/>
          <w:sz w:val="16"/>
          <w:szCs w:val="16"/>
          <w:color w:val="auto"/>
        </w:rPr>
        <w:t>Under the Director Compensation Program, as currently contemplated, in connection with the initial appointment or election of a non-employee director, the director will automatically be granted an award of RSUs with respect to a number of shares of Class A common stock calculated by dividing (i) $250,000 by</w:t>
      </w:r>
    </w:p>
    <w:p>
      <w:pPr>
        <w:ind w:left="3" w:hanging="3"/>
        <w:spacing w:after="0" w:line="257" w:lineRule="auto"/>
        <w:tabs>
          <w:tab w:leader="none" w:pos="2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average closing trading price of a share of Class A common stock over the 30 days preceding the grant date or, solely with respect to non-employee directors who commence service on the board of directors in connection with this offering, including, Timothy Christen, Vivian Liu and Ellen Pao, the initial public offering price set forth on the cover of the prospectus related to this offering, that vests in equal quarterly installments over three years. Additionally, on the date of each annual stockholders meeting, each non-employee director automatically will be granted an award of RSUs with respect to a number of shares of Class A common stock calculated by dividing (a) $125,000 by (b) the average closing trading price of a share of Class A common stock over the 30 days preceding the grant date that vests in equal quarterly installments through the date of the next annual stockholders meeting.</w:t>
      </w:r>
    </w:p>
    <w:p>
      <w:pPr>
        <w:spacing w:after="0" w:line="121" w:lineRule="exact"/>
        <w:rPr>
          <w:sz w:val="20"/>
          <w:szCs w:val="20"/>
          <w:color w:val="auto"/>
        </w:rPr>
      </w:pPr>
    </w:p>
    <w:p>
      <w:pPr>
        <w:ind w:left="3" w:right="380"/>
        <w:spacing w:after="0" w:line="268" w:lineRule="auto"/>
        <w:rPr>
          <w:sz w:val="20"/>
          <w:szCs w:val="20"/>
          <w:color w:val="auto"/>
        </w:rPr>
      </w:pPr>
      <w:r>
        <w:rPr>
          <w:rFonts w:ascii="Arial" w:cs="Arial" w:eastAsia="Arial" w:hAnsi="Arial"/>
          <w:sz w:val="16"/>
          <w:szCs w:val="16"/>
          <w:color w:val="auto"/>
        </w:rPr>
        <w:t>Each initial award and annual award of RSUs, along with any other equity-based awards held by any non-employee director, will vest upon a Change in Control (as defined in the 2021 Plan).</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will also reimburse our directors for reasonable out-of-pocket expenses in connection with the performance of his or her duties as a director.</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Director compensation</w:t>
      </w:r>
    </w:p>
    <w:p>
      <w:pPr>
        <w:spacing w:after="0" w:line="164"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43"/>
          </w:cols>
          <w:pgMar w:left="317" w:top="1425" w:right="339" w:bottom="1440" w:gutter="0" w:footer="0" w:header="0"/>
        </w:sectPr>
      </w:pPr>
    </w:p>
    <w:bookmarkStart w:id="180" w:name="page181"/>
    <w:bookmarkEnd w:id="180"/>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We intend to approve and implement a compensation policy for our non-employee directors to be effective on the consummation of this offering.</w:t>
      </w:r>
    </w:p>
    <w:p>
      <w:pPr>
        <w:sectPr>
          <w:pgSz w:w="11900" w:h="16838" w:orient="portrait"/>
          <w:cols w:equalWidth="0" w:num="1">
            <w:col w:w="10320"/>
          </w:cols>
          <w:pgMar w:left="320" w:top="144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320"/>
          </w:cols>
          <w:pgMar w:left="320" w:top="1440" w:right="125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26"/>
          <w:szCs w:val="26"/>
          <w:b w:val="1"/>
          <w:bCs w:val="1"/>
          <w:color w:val="auto"/>
        </w:rPr>
        <w:t>Certain relationships and related party transactions</w:t>
      </w:r>
    </w:p>
    <w:p>
      <w:pPr>
        <w:spacing w:after="0" w:line="296"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The following includes a summary of transactions since January 1, 2018 and any currently proposed transactions to which we were or are expected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redemption agreement</w:t>
      </w:r>
    </w:p>
    <w:p>
      <w:pPr>
        <w:spacing w:after="0" w:line="15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March 2018, we entered into a Stock Redemption Agreement with Redpoint Associates IV, LLC and Redpoint Ventures IV, L.P. (together, “Redpoint”) pursuant to which we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convertible note financing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April 2018, we issued and sold convertible promissory notes in the aggregate principal amount of $20,000,072 to certain investors. The convertible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accrued interest at 13% annually and were paid off in November 2018 with funds from our non-amortizing term loan from CIBC. OpenView</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Venture Partners IV, L.P. and OpenView Affiliates Fund IV, L.P. (together, “OpenView”), a beneficial owner of more than 5% of our capital stock, purchased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convertible promissory notes in the aggregate principal amount of $10,000,000 in the financing. Mr. Bartlett, a member of our board of directors, is an affiliate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OpenView. Point Judith Venture Fund IV, L.P. and PJC-DV II, LLC purchased convertible promissory notes in the aggregate principal amount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$1,700,673 in the financing. Point Judith Venture Fund IV, L.P., PJC-DV II, LLC and affiliated entities (together, "Point Judith") beneficially own more than 5%</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our capital stock.</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loan</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September 2018, we loaned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Mr. Barrett repaid the loan in full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40"/>
          </w:cols>
          <w:pgMar w:left="320" w:top="1407"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b w:val="1"/>
          <w:bCs w:val="1"/>
          <w:color w:val="auto"/>
        </w:rPr>
        <w:t>2019 tender offer</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In October 2019, we conducted a tender offer in which we repurchased from certain then-current employees an aggregate of 55,200 shares of our common stock at $32.54 per share, for an aggregate purchase price of $1,794,703.</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The table below sets forth the number of shares of common stock repurchased from beneficial owners of more than 5% of our capital stock, our directors, officers or their respective affiliates: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0" w:type="dxa"/>
            <w:vAlign w:val="bottom"/>
            <w:tcBorders>
              <w:top w:val="single" w:sz="8" w:color="auto"/>
            </w:tcBorders>
          </w:tcPr>
          <w:p>
            <w:pPr>
              <w:spacing w:after="0"/>
              <w:rPr>
                <w:sz w:val="13"/>
                <w:szCs w:val="13"/>
                <w:color w:val="auto"/>
              </w:rPr>
            </w:pPr>
          </w:p>
        </w:tc>
        <w:tc>
          <w:tcPr>
            <w:tcW w:w="36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Shares of common</w:t>
            </w:r>
          </w:p>
        </w:tc>
        <w:tc>
          <w:tcPr>
            <w:tcW w:w="3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Total repurchase price</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3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stock repurchased</w:t>
            </w:r>
          </w:p>
        </w:tc>
        <w:tc>
          <w:tcPr>
            <w:tcW w:w="3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Entities affiliated with David Barrett</w:t>
            </w: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4,600</w:t>
            </w:r>
          </w:p>
        </w:tc>
        <w:tc>
          <w:tcPr>
            <w:tcW w:w="1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207"/>
        </w:trPr>
        <w:tc>
          <w:tcPr>
            <w:tcW w:w="4000" w:type="dxa"/>
            <w:vAlign w:val="bottom"/>
          </w:tcPr>
          <w:p>
            <w:pPr>
              <w:ind w:left="20"/>
              <w:spacing w:after="0"/>
              <w:rPr>
                <w:sz w:val="20"/>
                <w:szCs w:val="20"/>
                <w:color w:val="auto"/>
              </w:rPr>
            </w:pPr>
            <w:r>
              <w:rPr>
                <w:rFonts w:ascii="Arial" w:cs="Arial" w:eastAsia="Arial" w:hAnsi="Arial"/>
                <w:sz w:val="16"/>
                <w:szCs w:val="16"/>
                <w:color w:val="auto"/>
              </w:rPr>
              <w:t>Ryan Schaffer</w:t>
            </w:r>
          </w:p>
        </w:tc>
        <w:tc>
          <w:tcPr>
            <w:tcW w:w="3580" w:type="dxa"/>
            <w:vAlign w:val="bottom"/>
          </w:tcPr>
          <w:p>
            <w:pPr>
              <w:jc w:val="center"/>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Daniel Vidal</w:t>
            </w:r>
          </w:p>
        </w:tc>
        <w:tc>
          <w:tcPr>
            <w:tcW w:w="3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49"/>
        </w:trPr>
        <w:tc>
          <w:tcPr>
            <w:tcW w:w="40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Mr. Schaffer is our chief financial officer and a member of our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Mr. Vidal will be elected to our board of directors contingent upon, and effective immediately prior to, the completion of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2020 tender offer</w:t>
      </w:r>
    </w:p>
    <w:p>
      <w:pPr>
        <w:spacing w:after="0" w:line="164" w:lineRule="exact"/>
        <w:rPr>
          <w:sz w:val="20"/>
          <w:szCs w:val="20"/>
          <w:color w:val="auto"/>
        </w:rPr>
      </w:pPr>
    </w:p>
    <w:p>
      <w:pPr>
        <w:jc w:val="both"/>
        <w:ind w:right="100"/>
        <w:spacing w:after="0" w:line="254" w:lineRule="auto"/>
        <w:rPr>
          <w:sz w:val="20"/>
          <w:szCs w:val="20"/>
          <w:color w:val="auto"/>
        </w:rPr>
      </w:pPr>
      <w:r>
        <w:rPr>
          <w:rFonts w:ascii="Arial" w:cs="Arial" w:eastAsia="Arial" w:hAnsi="Arial"/>
          <w:sz w:val="16"/>
          <w:szCs w:val="16"/>
          <w:color w:val="auto"/>
        </w:rPr>
        <w:t>In September 2020, entities affiliated with Mr. Barrett sold 1,783,610 shares of our common stock at a price of $11.213266 per share to EXP 2020 SPV LP, for an aggregate purchase price of $ 20,000,093. In a related transaction in November 2020, certain then-current employees sold an aggregate of 1,048,630 shares of our common stock to EXP 2020 SPV, LP via a tender offer, at a price per share of $11.213266, for an aggregate purchase price of $11,758,567.</w:t>
      </w:r>
    </w:p>
    <w:p>
      <w:pPr>
        <w:ind w:right="20"/>
        <w:spacing w:after="0" w:line="256" w:lineRule="auto"/>
        <w:rPr>
          <w:sz w:val="20"/>
          <w:szCs w:val="20"/>
          <w:color w:val="auto"/>
        </w:rPr>
      </w:pPr>
      <w:r>
        <w:rPr>
          <w:rFonts w:ascii="Arial" w:cs="Arial" w:eastAsia="Arial" w:hAnsi="Arial"/>
          <w:sz w:val="16"/>
          <w:szCs w:val="16"/>
          <w:color w:val="auto"/>
        </w:rPr>
        <w:t>EXP 2020 SPV, LP purchased 219,990 shares of our common stock from Mr. Schaffer for an aggregate purchase price of $2,466,806; 183,500 shares of our common stock from Jason Mills, who will be elected to our board of directors contingent upon, and effective immediately prior to, the completion of this offering, for an aggregate purchase price of $2,057,634; 35,710 shares of our common stock from William Barrett, the brother of Mr. Barrett, for an aggregate purchase price of $400,426, and 30,000 shares of our common stock from Mr. Vidal for an aggregate purchase price of $336,398. As part of that transaction, we paid an aggregate of $706,186 in cash bonuses to certain employees who tendered shares that they obtained by exercising options in connection with the transaction, including a cash bonus of $108,322 to Mr. Schaffer, $3,987 to William Barrett, the brother of Mr. Barrett, $267,185 to Mr. Mills and $3,466 to Mr. Vidal.</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agreement</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The Investor Voting Agreement is expected to be terminated immediately prior to the effectiveness of the registration statement on Form S-1 of which this prospectus forms a part. For more information on the voting rights of our common stock following the completion of this offering, see “Description of capital stock—Common stock—Voting.”</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of first refusal and co-sale agreement</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260"/>
          </w:cols>
          <w:pgMar w:left="320" w:top="1425" w:right="319" w:bottom="1440" w:gutter="0" w:footer="0" w:header="0"/>
        </w:sectPr>
      </w:pPr>
    </w:p>
    <w:bookmarkStart w:id="183" w:name="page184"/>
    <w:bookmarkEnd w:id="183"/>
    <w:p>
      <w:pPr>
        <w:spacing w:after="0" w:line="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OpenView and Hillsven LLC.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co-sale relating to the shares of our common stock held by certain parties to the agreement. The Right of First Refusal and Co-Sale Agreement will terminate upon the completion of this offering.</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Investors’ rights agreement</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agreements</w:t>
      </w:r>
    </w:p>
    <w:p>
      <w:pPr>
        <w:spacing w:after="0" w:line="152"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 and transfer rights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Expensify.org</w:t>
      </w:r>
    </w:p>
    <w:p>
      <w:pPr>
        <w:spacing w:after="0" w:line="164"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arrangement</w:t>
      </w:r>
    </w:p>
    <w:p>
      <w:pPr>
        <w:spacing w:after="0" w:line="15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From January 1, 2018 through October 1, 2021, William Barrett, the brother of Mr. Barrett, has received an aggregate of $540,546 cash compensation and $379,075 stock based compensation in connection with his employment with us as a Success Coach. William Barrett’s compensation is commensurate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 w:lineRule="exact"/>
        <w:rPr>
          <w:sz w:val="20"/>
          <w:szCs w:val="20"/>
          <w:color w:val="auto"/>
        </w:rPr>
      </w:pPr>
    </w:p>
    <w:p>
      <w:pPr>
        <w:ind w:right="980"/>
        <w:spacing w:after="0" w:line="268" w:lineRule="auto"/>
        <w:rPr>
          <w:sz w:val="20"/>
          <w:szCs w:val="20"/>
          <w:color w:val="auto"/>
        </w:rPr>
      </w:pPr>
      <w:r>
        <w:rPr>
          <w:rFonts w:ascii="Arial" w:cs="Arial" w:eastAsia="Arial" w:hAnsi="Arial"/>
          <w:sz w:val="16"/>
          <w:szCs w:val="16"/>
          <w:color w:val="auto"/>
        </w:rPr>
        <w:t>other employees with his title and tenure. Mr. Barrett plays no personal role in determining his brother’s compensation or reviewing his brother’s performance.</w:t>
      </w:r>
    </w:p>
    <w:p>
      <w:pPr>
        <w:spacing w:after="0" w:line="101" w:lineRule="exact"/>
        <w:rPr>
          <w:sz w:val="20"/>
          <w:szCs w:val="20"/>
          <w:color w:val="auto"/>
        </w:rPr>
      </w:pPr>
    </w:p>
    <w:p>
      <w:pPr>
        <w:ind w:right="660"/>
        <w:spacing w:after="0" w:line="268" w:lineRule="auto"/>
        <w:rPr>
          <w:sz w:val="20"/>
          <w:szCs w:val="20"/>
          <w:color w:val="auto"/>
        </w:rPr>
      </w:pPr>
      <w:r>
        <w:rPr>
          <w:rFonts w:ascii="Arial" w:cs="Arial" w:eastAsia="Arial" w:hAnsi="Arial"/>
          <w:sz w:val="16"/>
          <w:szCs w:val="16"/>
          <w:color w:val="auto"/>
        </w:rPr>
        <w:t>From January 1, 2018 through October 1, 2021, Mr. Mills has received an aggregate of $8,808,087 cash compensation and $1,400,583 stock based compensation in connection with his employment with us as Chief Product Officer.</w:t>
      </w:r>
    </w:p>
    <w:p>
      <w:pPr>
        <w:spacing w:after="0" w:line="113" w:lineRule="exact"/>
        <w:rPr>
          <w:sz w:val="20"/>
          <w:szCs w:val="20"/>
          <w:color w:val="auto"/>
        </w:rPr>
      </w:pPr>
    </w:p>
    <w:p>
      <w:pPr>
        <w:ind w:right="760"/>
        <w:spacing w:after="0" w:line="268" w:lineRule="auto"/>
        <w:rPr>
          <w:sz w:val="20"/>
          <w:szCs w:val="20"/>
          <w:color w:val="auto"/>
        </w:rPr>
      </w:pPr>
      <w:r>
        <w:rPr>
          <w:rFonts w:ascii="Arial" w:cs="Arial" w:eastAsia="Arial" w:hAnsi="Arial"/>
          <w:sz w:val="16"/>
          <w:szCs w:val="16"/>
          <w:color w:val="auto"/>
        </w:rPr>
        <w:t>From January 1, 2018 through October 1, 2021, Mr. Vidal has received an aggregate of $1,517,820 cash compensation and $441,710 stock based compensation in connection with his employment with us as a Chief Strategy Officer.</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Exchange offer and voting trust</w:t>
      </w:r>
    </w:p>
    <w:p>
      <w:pPr>
        <w:spacing w:after="0" w:line="15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completed the Exchange Offer, pursuant to which each current employee and other service provider holding our common stock, including Messrs. Barrett, Schaffer, Mills and Vidal and Ms. Muralidharan, was 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in the Voting Trust formed pursuant to the Voting Agreement. Messrs. Barrett, Schaffer, Mills and Vidal and Ms. Muralidharan have made irrevocable elections to exchange shares of common stock for shares of LT10 and/or LT50 common stock, on a one-for-one basis, in the Exchange Offer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620"/>
              <w:spacing w:after="0"/>
              <w:rPr>
                <w:sz w:val="20"/>
                <w:szCs w:val="20"/>
                <w:color w:val="auto"/>
              </w:rPr>
            </w:pPr>
            <w:r>
              <w:rPr>
                <w:rFonts w:ascii="Arial" w:cs="Arial" w:eastAsia="Arial" w:hAnsi="Arial"/>
                <w:sz w:val="13"/>
                <w:szCs w:val="13"/>
                <w:b w:val="1"/>
                <w:bCs w:val="1"/>
                <w:color w:val="auto"/>
              </w:rPr>
              <w:t>LT10</w:t>
            </w:r>
          </w:p>
        </w:tc>
        <w:tc>
          <w:tcPr>
            <w:tcW w:w="1580" w:type="dxa"/>
            <w:vAlign w:val="bottom"/>
            <w:tcBorders>
              <w:top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LT50</w:t>
            </w:r>
          </w:p>
        </w:tc>
      </w:tr>
      <w:tr>
        <w:trPr>
          <w:trHeight w:val="19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Mr. Barrett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3,588,640</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3,588,630</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Mr. Schaffer</w:t>
            </w:r>
          </w:p>
        </w:tc>
        <w:tc>
          <w:tcPr>
            <w:tcW w:w="1560" w:type="dxa"/>
            <w:vAlign w:val="bottom"/>
          </w:tcPr>
          <w:p>
            <w:pPr>
              <w:jc w:val="right"/>
              <w:spacing w:after="0"/>
              <w:rPr>
                <w:sz w:val="20"/>
                <w:szCs w:val="20"/>
                <w:color w:val="auto"/>
              </w:rPr>
            </w:pPr>
            <w:r>
              <w:rPr>
                <w:rFonts w:ascii="Arial" w:cs="Arial" w:eastAsia="Arial" w:hAnsi="Arial"/>
                <w:sz w:val="16"/>
                <w:szCs w:val="16"/>
                <w:color w:val="auto"/>
              </w:rPr>
              <w:t>498,090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 Muralidharan</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89,850</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Mr. Mills</w:t>
            </w:r>
          </w:p>
        </w:tc>
        <w:tc>
          <w:tcPr>
            <w:tcW w:w="1560" w:type="dxa"/>
            <w:vAlign w:val="bottom"/>
          </w:tcPr>
          <w:p>
            <w:pPr>
              <w:jc w:val="right"/>
              <w:spacing w:after="0"/>
              <w:rPr>
                <w:sz w:val="20"/>
                <w:szCs w:val="20"/>
                <w:color w:val="auto"/>
              </w:rPr>
            </w:pPr>
            <w:r>
              <w:rPr>
                <w:rFonts w:ascii="Arial" w:cs="Arial" w:eastAsia="Arial" w:hAnsi="Arial"/>
                <w:sz w:val="16"/>
                <w:szCs w:val="16"/>
                <w:color w:val="auto"/>
              </w:rPr>
              <w:t>576,720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519,640</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Mr. Vidal</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112,650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112,640</w:t>
            </w:r>
          </w:p>
        </w:tc>
      </w:tr>
      <w:tr>
        <w:trPr>
          <w:trHeight w:val="49"/>
        </w:trPr>
        <w:tc>
          <w:tcPr>
            <w:tcW w:w="80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Messrs. Barrett, Schaffer and Mills will also be the three initial Trustees of the Voting Trust.</w:t>
      </w:r>
    </w:p>
    <w:p>
      <w:pPr>
        <w:spacing w:after="0" w:line="14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will enter into the Voting Trust Agreement with the Trustees and the Trust Beneficiaries upon the completion of the Exchange Offer.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 no responsibility under the Voting Trust Agreement as stockholder, trustee or otherwise, except for his or her own individual malfeasance. For more information, see “Risk factors—Risks relating to the multiple class structure of our common stock and the Voting Trust Agreement” and “Description of capital stock.”</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 for related party transactions</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60"/>
          </w:cols>
          <w:pgMar w:left="320" w:top="1440" w:right="319" w:bottom="1440" w:gutter="0" w:footer="0" w:header="0"/>
        </w:sectPr>
      </w:pPr>
    </w:p>
    <w:bookmarkStart w:id="185" w:name="page186"/>
    <w:bookmarkEnd w:id="185"/>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unaffiliated third party under the same or similar circumstances and the extent of the related person’s interest in the transaction.</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139"/>
          </w:cols>
          <w:pgMar w:left="320" w:top="1440" w:right="1440" w:bottom="1440" w:gutter="0" w:footer="0" w:header="0"/>
          <w:type w:val="continuous"/>
        </w:sectPr>
      </w:pPr>
    </w:p>
    <w:bookmarkStart w:id="186" w:name="page187"/>
    <w:bookmarkEnd w:id="186"/>
    <w:p>
      <w:pPr>
        <w:ind w:left="3"/>
        <w:spacing w:after="0"/>
        <w:rPr>
          <w:sz w:val="20"/>
          <w:szCs w:val="20"/>
          <w:color w:val="auto"/>
        </w:rPr>
      </w:pPr>
      <w:r>
        <w:rPr>
          <w:rFonts w:ascii="Arial" w:cs="Arial" w:eastAsia="Arial" w:hAnsi="Arial"/>
          <w:sz w:val="26"/>
          <w:szCs w:val="26"/>
          <w:b w:val="1"/>
          <w:bCs w:val="1"/>
          <w:color w:val="auto"/>
        </w:rPr>
        <w:t>Principal and selling stockholders</w:t>
      </w:r>
    </w:p>
    <w:p>
      <w:pPr>
        <w:spacing w:after="0" w:line="29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as of October 25, 2021 (i) reflecting (a) the exercise of options pursuant to the Option Exercise, (b) the reclassification of all outstanding shares of our common stock into shares of Class A common stock followed by the completion of the Exchange Offer immediately prior to the effectiveness of the registration statement on Form S-1, of which this prospectus is a part, and (c) the conversion of all outstanding shares of our preferred stock into shares of Class A common stock immediately prior to the completion of this offering, and (ii) as adjusted to give effect to this offering, for:</w:t>
      </w:r>
    </w:p>
    <w:p>
      <w:pPr>
        <w:spacing w:after="0" w:line="123" w:lineRule="exact"/>
        <w:rPr>
          <w:sz w:val="20"/>
          <w:szCs w:val="20"/>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person known by us to be the beneficial owner of more than five percent of any class of our voting securities;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the selling stockholders.</w:t>
      </w:r>
    </w:p>
    <w:p>
      <w:pPr>
        <w:spacing w:after="0" w:line="145"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October 25, 2021, subject to community property laws where applicable. We have deemed shares of our common stock subject to stock options that are currently exercisable or will be exercisable within 60 days of October 25, 2021 or net issuable pursuant to RSUs which are subject to vesting and settlement conditions expected to occur within 60 days of October 25, 2021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318"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The percentage ownership of our common stock after this offering also assumes the foregoing and the issuance and sale of 2,608,696 shares by us in this offering, the sale of 7,122,080 shares by the selling stockholders and no exercise of the underwriters’ option to purchase from the selling stockholders 1,459,616 additional shares of our Class A common stock.</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43"/>
          </w:cols>
          <w:pgMar w:left="317" w:top="1407" w:right="339" w:bottom="1440" w:gutter="0" w:footer="0" w:header="0"/>
        </w:sectPr>
      </w:pPr>
    </w:p>
    <w:bookmarkStart w:id="187" w:name="page188"/>
    <w:bookmarkEnd w:id="187"/>
    <w:p>
      <w:pPr>
        <w:spacing w:after="0" w:line="2" w:lineRule="exact"/>
        <w:rPr>
          <w:sz w:val="20"/>
          <w:szCs w:val="20"/>
          <w:color w:val="auto"/>
        </w:rPr>
      </w:pPr>
    </w:p>
    <w:p>
      <w:pPr>
        <w:ind w:left="3" w:right="700"/>
        <w:spacing w:after="0" w:line="268" w:lineRule="auto"/>
        <w:rPr>
          <w:sz w:val="20"/>
          <w:szCs w:val="20"/>
          <w:color w:val="auto"/>
        </w:rPr>
      </w:pPr>
      <w:r>
        <w:rPr>
          <w:rFonts w:ascii="Arial" w:cs="Arial" w:eastAsia="Arial" w:hAnsi="Arial"/>
          <w:sz w:val="16"/>
          <w:szCs w:val="16"/>
          <w:color w:val="auto"/>
        </w:rPr>
        <w:t>Each of the stockholders listed has sole voting and investment power with respect to the shares beneficially owned by the stockholder unless noted otherwise, subject to community property laws where applicable.</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600" w:type="dxa"/>
            <w:vAlign w:val="bottom"/>
            <w:tcBorders>
              <w:top w:val="single" w:sz="8" w:color="auto"/>
              <w:bottom w:val="single" w:sz="8" w:color="auto"/>
            </w:tcBorders>
            <w:gridSpan w:val="8"/>
          </w:tcPr>
          <w:p>
            <w:pPr>
              <w:jc w:val="center"/>
              <w:ind w:right="360"/>
              <w:spacing w:after="0"/>
              <w:rPr>
                <w:sz w:val="20"/>
                <w:szCs w:val="20"/>
                <w:color w:val="auto"/>
              </w:rPr>
            </w:pPr>
            <w:r>
              <w:rPr>
                <w:rFonts w:ascii="Arial" w:cs="Arial" w:eastAsia="Arial" w:hAnsi="Arial"/>
                <w:sz w:val="9"/>
                <w:szCs w:val="9"/>
                <w:b w:val="1"/>
                <w:bCs w:val="1"/>
                <w:color w:val="auto"/>
                <w:w w:val="99"/>
              </w:rPr>
              <w:t>Shares beneficially owned prior to this offering</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gridSpan w:val="7"/>
          </w:tcPr>
          <w:p>
            <w:pPr>
              <w:jc w:val="center"/>
              <w:ind w:left="139"/>
              <w:spacing w:after="0"/>
              <w:rPr>
                <w:sz w:val="20"/>
                <w:szCs w:val="20"/>
                <w:color w:val="auto"/>
              </w:rPr>
            </w:pPr>
            <w:r>
              <w:rPr>
                <w:rFonts w:ascii="Arial" w:cs="Arial" w:eastAsia="Arial" w:hAnsi="Arial"/>
                <w:sz w:val="9"/>
                <w:szCs w:val="9"/>
                <w:b w:val="1"/>
                <w:bCs w:val="1"/>
                <w:color w:val="auto"/>
                <w:w w:val="99"/>
              </w:rPr>
              <w:t>Shares beneficially owned after this offering</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gridSpan w:val="3"/>
          </w:tcPr>
          <w:p>
            <w:pPr>
              <w:ind w:left="480"/>
              <w:spacing w:after="0"/>
              <w:rPr>
                <w:sz w:val="20"/>
                <w:szCs w:val="20"/>
                <w:color w:val="auto"/>
              </w:rPr>
            </w:pPr>
            <w:r>
              <w:rPr>
                <w:rFonts w:ascii="Arial" w:cs="Arial" w:eastAsia="Arial" w:hAnsi="Arial"/>
                <w:sz w:val="9"/>
                <w:szCs w:val="9"/>
                <w:b w:val="1"/>
                <w:bCs w:val="1"/>
                <w:color w:val="auto"/>
              </w:rPr>
              <w:t>Class A</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9"/>
                <w:szCs w:val="9"/>
                <w:b w:val="1"/>
                <w:bCs w:val="1"/>
                <w:color w:val="auto"/>
                <w:w w:val="94"/>
              </w:rPr>
              <w:t>LT10</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gridSpan w:val="2"/>
          </w:tcPr>
          <w:p>
            <w:pPr>
              <w:ind w:left="540"/>
              <w:spacing w:after="0"/>
              <w:rPr>
                <w:sz w:val="20"/>
                <w:szCs w:val="20"/>
                <w:color w:val="auto"/>
              </w:rPr>
            </w:pPr>
            <w:r>
              <w:rPr>
                <w:rFonts w:ascii="Arial" w:cs="Arial" w:eastAsia="Arial" w:hAnsi="Arial"/>
                <w:sz w:val="9"/>
                <w:szCs w:val="9"/>
                <w:b w:val="1"/>
                <w:bCs w:val="1"/>
                <w:color w:val="auto"/>
                <w:w w:val="94"/>
              </w:rPr>
              <w:t>LT50</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gridSpan w:val="3"/>
          </w:tcPr>
          <w:p>
            <w:pPr>
              <w:ind w:left="480"/>
              <w:spacing w:after="0"/>
              <w:rPr>
                <w:sz w:val="20"/>
                <w:szCs w:val="20"/>
                <w:color w:val="auto"/>
              </w:rPr>
            </w:pPr>
            <w:r>
              <w:rPr>
                <w:rFonts w:ascii="Arial" w:cs="Arial" w:eastAsia="Arial" w:hAnsi="Arial"/>
                <w:sz w:val="9"/>
                <w:szCs w:val="9"/>
                <w:b w:val="1"/>
                <w:bCs w:val="1"/>
                <w:color w:val="auto"/>
              </w:rPr>
              <w:t>Class A</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9"/>
                <w:szCs w:val="9"/>
                <w:b w:val="1"/>
                <w:bCs w:val="1"/>
                <w:color w:val="auto"/>
                <w:w w:val="94"/>
              </w:rPr>
              <w:t>LT10</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ind w:left="360"/>
              <w:spacing w:after="0"/>
              <w:rPr>
                <w:sz w:val="20"/>
                <w:szCs w:val="20"/>
                <w:color w:val="auto"/>
              </w:rPr>
            </w:pPr>
            <w:r>
              <w:rPr>
                <w:rFonts w:ascii="Arial" w:cs="Arial" w:eastAsia="Arial" w:hAnsi="Arial"/>
                <w:sz w:val="9"/>
                <w:szCs w:val="9"/>
                <w:b w:val="1"/>
                <w:bCs w:val="1"/>
                <w:color w:val="auto"/>
              </w:rPr>
              <w:t>LT50</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940" w:type="dxa"/>
            <w:vAlign w:val="bottom"/>
            <w:gridSpan w:val="2"/>
            <w:vMerge w:val="restart"/>
          </w:tcPr>
          <w:p>
            <w:pPr>
              <w:ind w:left="20"/>
              <w:spacing w:after="0"/>
              <w:rPr>
                <w:sz w:val="20"/>
                <w:szCs w:val="20"/>
                <w:color w:val="auto"/>
              </w:rPr>
            </w:pPr>
            <w:r>
              <w:rPr>
                <w:rFonts w:ascii="Arial" w:cs="Arial" w:eastAsia="Arial" w:hAnsi="Arial"/>
                <w:sz w:val="9"/>
                <w:szCs w:val="9"/>
                <w:color w:val="auto"/>
              </w:rPr>
              <w:t>Name of</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color w:val="auto"/>
                <w:w w:val="98"/>
              </w:rPr>
              <w:t>% of voting</w:t>
            </w:r>
          </w:p>
        </w:tc>
        <w:tc>
          <w:tcPr>
            <w:tcW w:w="720" w:type="dxa"/>
            <w:vAlign w:val="bottom"/>
            <w:gridSpan w:val="2"/>
          </w:tcPr>
          <w:p>
            <w:pPr>
              <w:jc w:val="center"/>
              <w:ind w:right="100"/>
              <w:spacing w:after="0" w:line="90" w:lineRule="exact"/>
              <w:rPr>
                <w:sz w:val="20"/>
                <w:szCs w:val="20"/>
                <w:color w:val="auto"/>
              </w:rPr>
            </w:pPr>
            <w:r>
              <w:rPr>
                <w:rFonts w:ascii="Arial" w:cs="Arial" w:eastAsia="Arial" w:hAnsi="Arial"/>
                <w:sz w:val="9"/>
                <w:szCs w:val="9"/>
                <w:color w:val="auto"/>
                <w:w w:val="99"/>
              </w:rPr>
              <w:t>Number of</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ind w:right="59"/>
              <w:spacing w:after="0"/>
              <w:rPr>
                <w:sz w:val="20"/>
                <w:szCs w:val="20"/>
                <w:color w:val="auto"/>
              </w:rPr>
            </w:pPr>
            <w:r>
              <w:rPr>
                <w:rFonts w:ascii="Arial" w:cs="Arial" w:eastAsia="Arial" w:hAnsi="Arial"/>
                <w:sz w:val="9"/>
                <w:szCs w:val="9"/>
                <w:color w:val="auto"/>
              </w:rPr>
              <w:t>% of voting</w:t>
            </w:r>
          </w:p>
        </w:tc>
        <w:tc>
          <w:tcPr>
            <w:tcW w:w="0" w:type="dxa"/>
            <w:vAlign w:val="bottom"/>
          </w:tcPr>
          <w:p>
            <w:pPr>
              <w:spacing w:after="0"/>
              <w:rPr>
                <w:sz w:val="1"/>
                <w:szCs w:val="1"/>
                <w:color w:val="auto"/>
              </w:rPr>
            </w:pPr>
          </w:p>
        </w:tc>
      </w:tr>
      <w:tr>
        <w:trPr>
          <w:trHeight w:val="85"/>
        </w:trPr>
        <w:tc>
          <w:tcPr>
            <w:tcW w:w="9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gridSpan w:val="2"/>
          </w:tcPr>
          <w:p>
            <w:pPr>
              <w:jc w:val="center"/>
              <w:ind w:right="100"/>
              <w:spacing w:after="0" w:line="85" w:lineRule="exact"/>
              <w:rPr>
                <w:sz w:val="20"/>
                <w:szCs w:val="20"/>
                <w:color w:val="auto"/>
              </w:rPr>
            </w:pPr>
            <w:r>
              <w:rPr>
                <w:rFonts w:ascii="Arial" w:cs="Arial" w:eastAsia="Arial" w:hAnsi="Arial"/>
                <w:sz w:val="9"/>
                <w:szCs w:val="9"/>
                <w:color w:val="auto"/>
              </w:rPr>
              <w:t>shares of</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940" w:type="dxa"/>
            <w:vAlign w:val="bottom"/>
            <w:gridSpan w:val="2"/>
          </w:tcPr>
          <w:p>
            <w:pPr>
              <w:ind w:left="20"/>
              <w:spacing w:after="0" w:line="85" w:lineRule="exact"/>
              <w:rPr>
                <w:sz w:val="20"/>
                <w:szCs w:val="20"/>
                <w:color w:val="auto"/>
              </w:rPr>
            </w:pPr>
            <w:r>
              <w:rPr>
                <w:rFonts w:ascii="Arial" w:cs="Arial" w:eastAsia="Arial" w:hAnsi="Arial"/>
                <w:sz w:val="9"/>
                <w:szCs w:val="9"/>
                <w:color w:val="auto"/>
              </w:rPr>
              <w:t>Beneficial</w:t>
            </w:r>
          </w:p>
        </w:tc>
        <w:tc>
          <w:tcPr>
            <w:tcW w:w="660" w:type="dxa"/>
            <w:vAlign w:val="bottom"/>
            <w:vMerge w:val="restart"/>
          </w:tcPr>
          <w:p>
            <w:pPr>
              <w:jc w:val="right"/>
              <w:ind w:right="139"/>
              <w:spacing w:after="0"/>
              <w:rPr>
                <w:sz w:val="20"/>
                <w:szCs w:val="20"/>
                <w:color w:val="auto"/>
              </w:rPr>
            </w:pPr>
            <w:r>
              <w:rPr>
                <w:rFonts w:ascii="Arial" w:cs="Arial" w:eastAsia="Arial" w:hAnsi="Arial"/>
                <w:sz w:val="9"/>
                <w:szCs w:val="9"/>
                <w:color w:val="auto"/>
              </w:rPr>
              <w:t>Shares</w:t>
            </w:r>
          </w:p>
        </w:tc>
        <w:tc>
          <w:tcPr>
            <w:tcW w:w="10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9"/>
                <w:szCs w:val="9"/>
                <w:color w:val="auto"/>
              </w:rPr>
              <w:t>Shares</w:t>
            </w:r>
          </w:p>
        </w:tc>
        <w:tc>
          <w:tcPr>
            <w:tcW w:w="100" w:type="dxa"/>
            <w:vAlign w:val="bottom"/>
            <w:vMerge w:val="restart"/>
          </w:tcPr>
          <w:p>
            <w:pPr>
              <w:spacing w:after="0"/>
              <w:rPr>
                <w:sz w:val="7"/>
                <w:szCs w:val="7"/>
                <w:color w:val="auto"/>
              </w:rPr>
            </w:pPr>
          </w:p>
        </w:tc>
        <w:tc>
          <w:tcPr>
            <w:tcW w:w="520" w:type="dxa"/>
            <w:vAlign w:val="bottom"/>
            <w:vMerge w:val="restart"/>
          </w:tcPr>
          <w:p>
            <w:pPr>
              <w:jc w:val="right"/>
              <w:ind w:right="179"/>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9"/>
                <w:szCs w:val="9"/>
                <w:color w:val="auto"/>
              </w:rPr>
              <w:t>Shares</w:t>
            </w:r>
          </w:p>
        </w:tc>
        <w:tc>
          <w:tcPr>
            <w:tcW w:w="100" w:type="dxa"/>
            <w:vAlign w:val="bottom"/>
            <w:vMerge w:val="restart"/>
          </w:tcPr>
          <w:p>
            <w:pPr>
              <w:spacing w:after="0"/>
              <w:rPr>
                <w:sz w:val="7"/>
                <w:szCs w:val="7"/>
                <w:color w:val="auto"/>
              </w:rPr>
            </w:pPr>
          </w:p>
        </w:tc>
        <w:tc>
          <w:tcPr>
            <w:tcW w:w="520" w:type="dxa"/>
            <w:vAlign w:val="bottom"/>
            <w:vMerge w:val="restart"/>
          </w:tcPr>
          <w:p>
            <w:pPr>
              <w:jc w:val="right"/>
              <w:ind w:right="179"/>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700" w:type="dxa"/>
            <w:vAlign w:val="bottom"/>
            <w:gridSpan w:val="2"/>
          </w:tcPr>
          <w:p>
            <w:pPr>
              <w:jc w:val="center"/>
              <w:ind w:right="100"/>
              <w:spacing w:after="0" w:line="85" w:lineRule="exact"/>
              <w:rPr>
                <w:sz w:val="20"/>
                <w:szCs w:val="20"/>
                <w:color w:val="auto"/>
              </w:rPr>
            </w:pPr>
            <w:r>
              <w:rPr>
                <w:rFonts w:ascii="Arial" w:cs="Arial" w:eastAsia="Arial" w:hAnsi="Arial"/>
                <w:sz w:val="9"/>
                <w:szCs w:val="9"/>
                <w:color w:val="auto"/>
                <w:w w:val="98"/>
              </w:rPr>
              <w:t>power before</w:t>
            </w:r>
          </w:p>
        </w:tc>
        <w:tc>
          <w:tcPr>
            <w:tcW w:w="720" w:type="dxa"/>
            <w:vAlign w:val="bottom"/>
            <w:gridSpan w:val="2"/>
          </w:tcPr>
          <w:p>
            <w:pPr>
              <w:jc w:val="center"/>
              <w:ind w:right="100"/>
              <w:spacing w:after="0" w:line="85" w:lineRule="exact"/>
              <w:rPr>
                <w:sz w:val="20"/>
                <w:szCs w:val="20"/>
                <w:color w:val="auto"/>
              </w:rPr>
            </w:pPr>
            <w:r>
              <w:rPr>
                <w:rFonts w:ascii="Arial" w:cs="Arial" w:eastAsia="Arial" w:hAnsi="Arial"/>
                <w:sz w:val="9"/>
                <w:szCs w:val="9"/>
                <w:color w:val="auto"/>
                <w:w w:val="97"/>
              </w:rPr>
              <w:t>Class A being</w:t>
            </w:r>
          </w:p>
        </w:tc>
        <w:tc>
          <w:tcPr>
            <w:tcW w:w="680" w:type="dxa"/>
            <w:vAlign w:val="bottom"/>
            <w:vMerge w:val="restart"/>
          </w:tcPr>
          <w:p>
            <w:pPr>
              <w:jc w:val="right"/>
              <w:ind w:right="159"/>
              <w:spacing w:after="0"/>
              <w:rPr>
                <w:sz w:val="20"/>
                <w:szCs w:val="20"/>
                <w:color w:val="auto"/>
              </w:rPr>
            </w:pPr>
            <w:r>
              <w:rPr>
                <w:rFonts w:ascii="Arial" w:cs="Arial" w:eastAsia="Arial" w:hAnsi="Arial"/>
                <w:sz w:val="9"/>
                <w:szCs w:val="9"/>
                <w:color w:val="auto"/>
              </w:rPr>
              <w:t>Shares</w:t>
            </w:r>
          </w:p>
        </w:tc>
        <w:tc>
          <w:tcPr>
            <w:tcW w:w="10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380" w:type="dxa"/>
            <w:vAlign w:val="bottom"/>
            <w:vMerge w:val="restart"/>
          </w:tcPr>
          <w:p>
            <w:pPr>
              <w:jc w:val="right"/>
              <w:ind w:right="159"/>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60" w:type="dxa"/>
            <w:vAlign w:val="bottom"/>
            <w:vMerge w:val="restart"/>
          </w:tcPr>
          <w:p>
            <w:pPr>
              <w:jc w:val="right"/>
              <w:ind w:right="139"/>
              <w:spacing w:after="0"/>
              <w:rPr>
                <w:sz w:val="20"/>
                <w:szCs w:val="20"/>
                <w:color w:val="auto"/>
              </w:rPr>
            </w:pPr>
            <w:r>
              <w:rPr>
                <w:rFonts w:ascii="Arial" w:cs="Arial" w:eastAsia="Arial" w:hAnsi="Arial"/>
                <w:sz w:val="9"/>
                <w:szCs w:val="9"/>
                <w:color w:val="auto"/>
              </w:rPr>
              <w:t>Shares</w:t>
            </w:r>
          </w:p>
        </w:tc>
        <w:tc>
          <w:tcPr>
            <w:tcW w:w="100" w:type="dxa"/>
            <w:vAlign w:val="bottom"/>
            <w:vMerge w:val="restart"/>
          </w:tcPr>
          <w:p>
            <w:pPr>
              <w:spacing w:after="0"/>
              <w:rPr>
                <w:sz w:val="7"/>
                <w:szCs w:val="7"/>
                <w:color w:val="auto"/>
              </w:rPr>
            </w:pPr>
          </w:p>
        </w:tc>
        <w:tc>
          <w:tcPr>
            <w:tcW w:w="540" w:type="dxa"/>
            <w:vAlign w:val="bottom"/>
            <w:vMerge w:val="restart"/>
          </w:tcPr>
          <w:p>
            <w:pPr>
              <w:jc w:val="right"/>
              <w:ind w:right="179"/>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vMerge w:val="restart"/>
          </w:tcPr>
          <w:p>
            <w:pPr>
              <w:jc w:val="right"/>
              <w:ind w:right="139"/>
              <w:spacing w:after="0"/>
              <w:rPr>
                <w:sz w:val="20"/>
                <w:szCs w:val="20"/>
                <w:color w:val="auto"/>
              </w:rPr>
            </w:pPr>
            <w:r>
              <w:rPr>
                <w:rFonts w:ascii="Arial" w:cs="Arial" w:eastAsia="Arial" w:hAnsi="Arial"/>
                <w:sz w:val="9"/>
                <w:szCs w:val="9"/>
                <w:color w:val="auto"/>
                <w:w w:val="91"/>
              </w:rPr>
              <w:t>Shares</w:t>
            </w:r>
          </w:p>
        </w:tc>
        <w:tc>
          <w:tcPr>
            <w:tcW w:w="10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420" w:type="dxa"/>
            <w:vAlign w:val="bottom"/>
            <w:vMerge w:val="restart"/>
          </w:tcPr>
          <w:p>
            <w:pPr>
              <w:jc w:val="right"/>
              <w:ind w:right="199"/>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40" w:type="dxa"/>
            <w:vAlign w:val="bottom"/>
          </w:tcPr>
          <w:p>
            <w:pPr>
              <w:jc w:val="right"/>
              <w:ind w:right="59"/>
              <w:spacing w:after="0" w:line="85" w:lineRule="exact"/>
              <w:rPr>
                <w:sz w:val="20"/>
                <w:szCs w:val="20"/>
                <w:color w:val="auto"/>
              </w:rPr>
            </w:pPr>
            <w:r>
              <w:rPr>
                <w:rFonts w:ascii="Arial" w:cs="Arial" w:eastAsia="Arial" w:hAnsi="Arial"/>
                <w:sz w:val="9"/>
                <w:szCs w:val="9"/>
                <w:color w:val="auto"/>
              </w:rPr>
              <w:t>power after</w:t>
            </w:r>
          </w:p>
        </w:tc>
        <w:tc>
          <w:tcPr>
            <w:tcW w:w="0" w:type="dxa"/>
            <w:vAlign w:val="bottom"/>
          </w:tcPr>
          <w:p>
            <w:pPr>
              <w:spacing w:after="0"/>
              <w:rPr>
                <w:sz w:val="1"/>
                <w:szCs w:val="1"/>
                <w:color w:val="auto"/>
              </w:rPr>
            </w:pPr>
          </w:p>
        </w:tc>
      </w:tr>
      <w:tr>
        <w:trPr>
          <w:trHeight w:val="112"/>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Owner</w:t>
            </w:r>
          </w:p>
        </w:tc>
        <w:tc>
          <w:tcPr>
            <w:tcW w:w="10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8"/>
              </w:rPr>
              <w:t>this offering</w:t>
            </w:r>
          </w:p>
        </w:tc>
        <w:tc>
          <w:tcPr>
            <w:tcW w:w="10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2"/>
              </w:rPr>
              <w:t>offered</w:t>
            </w:r>
          </w:p>
        </w:tc>
        <w:tc>
          <w:tcPr>
            <w:tcW w:w="10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9"/>
                <w:szCs w:val="9"/>
                <w:color w:val="auto"/>
              </w:rPr>
              <w:t>this offering</w:t>
            </w:r>
          </w:p>
        </w:tc>
        <w:tc>
          <w:tcPr>
            <w:tcW w:w="0" w:type="dxa"/>
            <w:vAlign w:val="bottom"/>
          </w:tcPr>
          <w:p>
            <w:pPr>
              <w:spacing w:after="0"/>
              <w:rPr>
                <w:sz w:val="1"/>
                <w:szCs w:val="1"/>
                <w:color w:val="auto"/>
              </w:rPr>
            </w:pPr>
          </w:p>
        </w:tc>
      </w:tr>
      <w:tr>
        <w:trPr>
          <w:trHeight w:val="83"/>
        </w:trPr>
        <w:tc>
          <w:tcPr>
            <w:tcW w:w="940" w:type="dxa"/>
            <w:vAlign w:val="bottom"/>
            <w:gridSpan w:val="2"/>
            <w:shd w:val="clear" w:color="auto" w:fill="CCEEFF"/>
          </w:tcPr>
          <w:p>
            <w:pPr>
              <w:ind w:left="20"/>
              <w:spacing w:after="0" w:line="83" w:lineRule="exact"/>
              <w:rPr>
                <w:sz w:val="20"/>
                <w:szCs w:val="20"/>
                <w:color w:val="auto"/>
              </w:rPr>
            </w:pPr>
            <w:r>
              <w:rPr>
                <w:rFonts w:ascii="Arial" w:cs="Arial" w:eastAsia="Arial" w:hAnsi="Arial"/>
                <w:sz w:val="8"/>
                <w:szCs w:val="8"/>
                <w:b w:val="1"/>
                <w:bCs w:val="1"/>
                <w:color w:val="auto"/>
              </w:rPr>
              <w:t>Named Executive</w:t>
            </w: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940" w:type="dxa"/>
            <w:vAlign w:val="bottom"/>
            <w:gridSpan w:val="2"/>
            <w:shd w:val="clear" w:color="auto" w:fill="CCEEFF"/>
          </w:tcPr>
          <w:p>
            <w:pPr>
              <w:ind w:left="20"/>
              <w:spacing w:after="0" w:line="73" w:lineRule="exact"/>
              <w:rPr>
                <w:sz w:val="20"/>
                <w:szCs w:val="20"/>
                <w:color w:val="auto"/>
              </w:rPr>
            </w:pPr>
            <w:r>
              <w:rPr>
                <w:rFonts w:ascii="Arial" w:cs="Arial" w:eastAsia="Arial" w:hAnsi="Arial"/>
                <w:sz w:val="8"/>
                <w:szCs w:val="8"/>
                <w:b w:val="1"/>
                <w:bCs w:val="1"/>
                <w:color w:val="auto"/>
              </w:rPr>
              <w:t>Officers, Directors</w:t>
            </w: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940" w:type="dxa"/>
            <w:vAlign w:val="bottom"/>
            <w:gridSpan w:val="2"/>
            <w:shd w:val="clear" w:color="auto" w:fill="CCEEFF"/>
          </w:tcPr>
          <w:p>
            <w:pPr>
              <w:ind w:left="20"/>
              <w:spacing w:after="0" w:line="73" w:lineRule="exact"/>
              <w:rPr>
                <w:sz w:val="20"/>
                <w:szCs w:val="20"/>
                <w:color w:val="auto"/>
              </w:rPr>
            </w:pPr>
            <w:r>
              <w:rPr>
                <w:rFonts w:ascii="Arial" w:cs="Arial" w:eastAsia="Arial" w:hAnsi="Arial"/>
                <w:sz w:val="8"/>
                <w:szCs w:val="8"/>
                <w:b w:val="1"/>
                <w:bCs w:val="1"/>
                <w:color w:val="auto"/>
              </w:rPr>
              <w:t>and Director</w:t>
            </w: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b w:val="1"/>
                <w:bCs w:val="1"/>
                <w:color w:val="auto"/>
              </w:rPr>
              <w:t>Nominees:</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940" w:type="dxa"/>
            <w:vAlign w:val="bottom"/>
            <w:gridSpan w:val="2"/>
          </w:tcPr>
          <w:p>
            <w:pPr>
              <w:ind w:left="20"/>
              <w:spacing w:after="0" w:line="86" w:lineRule="exact"/>
              <w:rPr>
                <w:sz w:val="20"/>
                <w:szCs w:val="20"/>
                <w:color w:val="auto"/>
              </w:rPr>
            </w:pPr>
            <w:r>
              <w:rPr>
                <w:rFonts w:ascii="Arial" w:cs="Arial" w:eastAsia="Arial" w:hAnsi="Arial"/>
                <w:sz w:val="8"/>
                <w:szCs w:val="8"/>
                <w:color w:val="auto"/>
              </w:rPr>
              <w:t>David</w:t>
            </w: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6,518,550</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9.6 %</w:t>
            </w:r>
          </w:p>
        </w:tc>
        <w:tc>
          <w:tcPr>
            <w:tcW w:w="10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3,588,640</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48.9 %</w:t>
            </w:r>
          </w:p>
        </w:tc>
        <w:tc>
          <w:tcPr>
            <w:tcW w:w="100" w:type="dxa"/>
            <w:vAlign w:val="bottom"/>
          </w:tcPr>
          <w:p>
            <w:pPr>
              <w:spacing w:after="0"/>
              <w:rPr>
                <w:sz w:val="7"/>
                <w:szCs w:val="7"/>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8"/>
                <w:szCs w:val="8"/>
                <w:color w:val="auto"/>
              </w:rPr>
              <w:t>3,588,630</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57.7 %</w:t>
            </w: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49.4 %</w:t>
            </w: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6,518,550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9.3 %</w:t>
            </w:r>
          </w:p>
        </w:tc>
        <w:tc>
          <w:tcPr>
            <w:tcW w:w="1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3,588,640</w:t>
            </w:r>
          </w:p>
        </w:tc>
        <w:tc>
          <w:tcPr>
            <w:tcW w:w="1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48.9 %</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8"/>
                <w:szCs w:val="8"/>
                <w:color w:val="auto"/>
              </w:rPr>
              <w:t>3,588,630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8"/>
                <w:szCs w:val="8"/>
                <w:color w:val="auto"/>
              </w:rPr>
              <w:t>57.7 %</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47.7 %</w:t>
            </w:r>
          </w:p>
        </w:tc>
        <w:tc>
          <w:tcPr>
            <w:tcW w:w="0" w:type="dxa"/>
            <w:vAlign w:val="bottom"/>
          </w:tcPr>
          <w:p>
            <w:pPr>
              <w:spacing w:after="0"/>
              <w:rPr>
                <w:sz w:val="1"/>
                <w:szCs w:val="1"/>
                <w:color w:val="auto"/>
              </w:rPr>
            </w:pPr>
          </w:p>
        </w:tc>
      </w:tr>
      <w:tr>
        <w:trPr>
          <w:trHeight w:val="110"/>
        </w:trPr>
        <w:tc>
          <w:tcPr>
            <w:tcW w:w="940" w:type="dxa"/>
            <w:vAlign w:val="bottom"/>
            <w:gridSpan w:val="2"/>
          </w:tcPr>
          <w:p>
            <w:pPr>
              <w:ind w:left="20"/>
              <w:spacing w:after="0" w:line="110" w:lineRule="exact"/>
              <w:rPr>
                <w:sz w:val="20"/>
                <w:szCs w:val="20"/>
                <w:color w:val="auto"/>
              </w:rPr>
            </w:pPr>
            <w:r>
              <w:rPr>
                <w:rFonts w:ascii="Arial" w:cs="Arial" w:eastAsia="Arial" w:hAnsi="Arial"/>
                <w:sz w:val="8"/>
                <w:szCs w:val="8"/>
                <w:color w:val="auto"/>
              </w:rPr>
              <w:t>Barrett</w:t>
            </w:r>
            <w:r>
              <w:rPr>
                <w:rFonts w:ascii="Arial" w:cs="Arial" w:eastAsia="Arial" w:hAnsi="Arial"/>
                <w:sz w:val="10"/>
                <w:szCs w:val="10"/>
                <w:color w:val="auto"/>
                <w:vertAlign w:val="superscript"/>
              </w:rPr>
              <w:t>(1)</w:t>
            </w: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940" w:type="dxa"/>
            <w:vAlign w:val="bottom"/>
            <w:gridSpan w:val="2"/>
            <w:shd w:val="clear" w:color="auto" w:fill="CCEEFF"/>
          </w:tcPr>
          <w:p>
            <w:pPr>
              <w:ind w:left="20"/>
              <w:spacing w:after="0" w:line="86" w:lineRule="exact"/>
              <w:rPr>
                <w:sz w:val="20"/>
                <w:szCs w:val="20"/>
                <w:color w:val="auto"/>
              </w:rPr>
            </w:pPr>
            <w:r>
              <w:rPr>
                <w:rFonts w:ascii="Arial" w:cs="Arial" w:eastAsia="Arial" w:hAnsi="Arial"/>
                <w:sz w:val="8"/>
                <w:szCs w:val="8"/>
                <w:color w:val="auto"/>
              </w:rPr>
              <w:t>Ryan</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615,670</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489,090</w:t>
            </w:r>
          </w:p>
        </w:tc>
        <w:tc>
          <w:tcPr>
            <w:tcW w:w="10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6.8 %</w:t>
            </w:r>
          </w:p>
        </w:tc>
        <w:tc>
          <w:tcPr>
            <w:tcW w:w="10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1.3 %</w:t>
            </w:r>
          </w:p>
        </w:tc>
        <w:tc>
          <w:tcPr>
            <w:tcW w:w="10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119,996</w:t>
            </w:r>
          </w:p>
        </w:tc>
        <w:tc>
          <w:tcPr>
            <w:tcW w:w="10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495,674</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489,090</w:t>
            </w:r>
          </w:p>
        </w:tc>
        <w:tc>
          <w:tcPr>
            <w:tcW w:w="10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6.8 %</w:t>
            </w: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1.2 %</w:t>
            </w:r>
          </w:p>
        </w:tc>
        <w:tc>
          <w:tcPr>
            <w:tcW w:w="0" w:type="dxa"/>
            <w:vAlign w:val="bottom"/>
          </w:tcPr>
          <w:p>
            <w:pPr>
              <w:spacing w:after="0"/>
              <w:rPr>
                <w:sz w:val="1"/>
                <w:szCs w:val="1"/>
                <w:color w:val="auto"/>
              </w:rPr>
            </w:pPr>
          </w:p>
        </w:tc>
      </w:tr>
      <w:tr>
        <w:trPr>
          <w:trHeight w:val="110"/>
        </w:trPr>
        <w:tc>
          <w:tcPr>
            <w:tcW w:w="940" w:type="dxa"/>
            <w:vAlign w:val="bottom"/>
            <w:gridSpan w:val="2"/>
            <w:shd w:val="clear" w:color="auto" w:fill="CCEEFF"/>
          </w:tcPr>
          <w:p>
            <w:pPr>
              <w:ind w:left="20"/>
              <w:spacing w:after="0" w:line="110" w:lineRule="exact"/>
              <w:rPr>
                <w:sz w:val="20"/>
                <w:szCs w:val="20"/>
                <w:color w:val="auto"/>
              </w:rPr>
            </w:pPr>
            <w:r>
              <w:rPr>
                <w:rFonts w:ascii="Arial" w:cs="Arial" w:eastAsia="Arial" w:hAnsi="Arial"/>
                <w:sz w:val="8"/>
                <w:szCs w:val="8"/>
                <w:color w:val="auto"/>
              </w:rPr>
              <w:t>Schaffer</w:t>
            </w:r>
            <w:r>
              <w:rPr>
                <w:rFonts w:ascii="Arial" w:cs="Arial" w:eastAsia="Arial" w:hAnsi="Arial"/>
                <w:sz w:val="10"/>
                <w:szCs w:val="10"/>
                <w:color w:val="auto"/>
                <w:vertAlign w:val="superscript"/>
              </w:rPr>
              <w:t>(2)</w:t>
            </w:r>
          </w:p>
        </w:tc>
        <w:tc>
          <w:tcPr>
            <w:tcW w:w="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3"/>
            <w:vMerge w:val="continue"/>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Anu Muralidharan</w:t>
            </w:r>
            <w:r>
              <w:rPr>
                <w:rFonts w:ascii="Arial" w:cs="Arial" w:eastAsia="Arial" w:hAnsi="Arial"/>
                <w:sz w:val="10"/>
                <w:szCs w:val="10"/>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8"/>
                <w:szCs w:val="8"/>
                <w:color w:val="auto"/>
              </w:rPr>
              <w:t>115,050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102,140</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1.4 %</w:t>
            </w:r>
          </w:p>
        </w:tc>
        <w:tc>
          <w:tcPr>
            <w:tcW w:w="100" w:type="dxa"/>
            <w:vAlign w:val="bottom"/>
          </w:tcPr>
          <w:p>
            <w:pPr>
              <w:spacing w:after="0"/>
              <w:rPr>
                <w:sz w:val="10"/>
                <w:szCs w:val="10"/>
                <w:color w:val="auto"/>
              </w:rPr>
            </w:pPr>
          </w:p>
        </w:tc>
        <w:tc>
          <w:tcPr>
            <w:tcW w:w="660" w:type="dxa"/>
            <w:vAlign w:val="bottom"/>
          </w:tcPr>
          <w:p>
            <w:pPr>
              <w:jc w:val="right"/>
              <w:ind w:right="19"/>
              <w:spacing w:after="0"/>
              <w:rPr>
                <w:sz w:val="20"/>
                <w:szCs w:val="20"/>
                <w:color w:val="auto"/>
              </w:rPr>
            </w:pPr>
            <w:r>
              <w:rPr>
                <w:rFonts w:ascii="Arial" w:cs="Arial" w:eastAsia="Arial" w:hAnsi="Arial"/>
                <w:sz w:val="8"/>
                <w:szCs w:val="8"/>
                <w:color w:val="auto"/>
              </w:rPr>
              <w:t>89,850</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1.4 %</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1.3 %</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115,050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102,140</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1.4 %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89,850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1.4 %</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1.2 %</w:t>
            </w:r>
          </w:p>
        </w:tc>
        <w:tc>
          <w:tcPr>
            <w:tcW w:w="0" w:type="dxa"/>
            <w:vAlign w:val="bottom"/>
          </w:tcPr>
          <w:p>
            <w:pPr>
              <w:spacing w:after="0"/>
              <w:rPr>
                <w:sz w:val="1"/>
                <w:szCs w:val="1"/>
                <w:color w:val="auto"/>
              </w:rPr>
            </w:pPr>
          </w:p>
        </w:tc>
      </w:tr>
      <w:tr>
        <w:trPr>
          <w:trHeight w:val="85"/>
        </w:trPr>
        <w:tc>
          <w:tcPr>
            <w:tcW w:w="940" w:type="dxa"/>
            <w:vAlign w:val="bottom"/>
            <w:gridSpan w:val="2"/>
            <w:shd w:val="clear" w:color="auto" w:fill="CCEEFF"/>
          </w:tcPr>
          <w:p>
            <w:pPr>
              <w:ind w:left="20"/>
              <w:spacing w:after="0" w:line="86" w:lineRule="exact"/>
              <w:rPr>
                <w:sz w:val="20"/>
                <w:szCs w:val="20"/>
                <w:color w:val="auto"/>
              </w:rPr>
            </w:pPr>
            <w:r>
              <w:rPr>
                <w:rFonts w:ascii="Arial" w:cs="Arial" w:eastAsia="Arial" w:hAnsi="Arial"/>
                <w:sz w:val="8"/>
                <w:szCs w:val="8"/>
                <w:color w:val="auto"/>
              </w:rPr>
              <w:t>Blake</w:t>
            </w:r>
          </w:p>
        </w:tc>
        <w:tc>
          <w:tcPr>
            <w:tcW w:w="90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8"/>
                <w:szCs w:val="8"/>
                <w:color w:val="auto"/>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9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vMerge w:val="restart"/>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0"/>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Bartlett</w:t>
            </w:r>
          </w:p>
        </w:tc>
        <w:tc>
          <w:tcPr>
            <w:tcW w:w="900" w:type="dxa"/>
            <w:vAlign w:val="bottom"/>
            <w:gridSpan w:val="3"/>
            <w:vMerge w:val="continue"/>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900" w:type="dxa"/>
            <w:vAlign w:val="bottom"/>
            <w:gridSpan w:val="3"/>
            <w:vMerge w:val="continue"/>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820" w:type="dxa"/>
            <w:vAlign w:val="bottom"/>
            <w:gridSpan w:val="3"/>
            <w:vMerge w:val="continue"/>
            <w:shd w:val="clear" w:color="auto" w:fill="CCEEFF"/>
          </w:tcPr>
          <w:p>
            <w:pPr>
              <w:spacing w:after="0"/>
              <w:rPr>
                <w:sz w:val="9"/>
                <w:szCs w:val="9"/>
                <w:color w:val="auto"/>
              </w:rPr>
            </w:pPr>
          </w:p>
        </w:tc>
        <w:tc>
          <w:tcPr>
            <w:tcW w:w="680" w:type="dxa"/>
            <w:vAlign w:val="bottom"/>
            <w:gridSpan w:val="3"/>
            <w:vMerge w:val="continue"/>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940" w:type="dxa"/>
            <w:vAlign w:val="bottom"/>
            <w:gridSpan w:val="2"/>
          </w:tcPr>
          <w:p>
            <w:pPr>
              <w:ind w:left="20"/>
              <w:spacing w:after="0" w:line="86" w:lineRule="exact"/>
              <w:rPr>
                <w:sz w:val="20"/>
                <w:szCs w:val="20"/>
                <w:color w:val="auto"/>
              </w:rPr>
            </w:pPr>
            <w:r>
              <w:rPr>
                <w:rFonts w:ascii="Arial" w:cs="Arial" w:eastAsia="Arial" w:hAnsi="Arial"/>
                <w:sz w:val="8"/>
                <w:szCs w:val="8"/>
                <w:color w:val="auto"/>
              </w:rPr>
              <w:t>Robert</w:t>
            </w:r>
          </w:p>
        </w:tc>
        <w:tc>
          <w:tcPr>
            <w:tcW w:w="900" w:type="dxa"/>
            <w:vAlign w:val="bottom"/>
            <w:gridSpan w:val="3"/>
            <w:vMerge w:val="restart"/>
          </w:tcPr>
          <w:p>
            <w:pPr>
              <w:jc w:val="right"/>
              <w:ind w:right="280"/>
              <w:spacing w:after="0"/>
              <w:rPr>
                <w:sz w:val="20"/>
                <w:szCs w:val="20"/>
                <w:color w:val="auto"/>
              </w:rPr>
            </w:pPr>
            <w:r>
              <w:rPr>
                <w:rFonts w:ascii="Arial" w:cs="Arial" w:eastAsia="Arial" w:hAnsi="Arial"/>
                <w:sz w:val="8"/>
                <w:szCs w:val="8"/>
                <w:color w:val="auto"/>
              </w:rPr>
              <w:t>—</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8"/>
                <w:szCs w:val="8"/>
                <w:color w:val="auto"/>
              </w:rPr>
              <w:t>—</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vMerge w:val="restart"/>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vMerge w:val="restart"/>
          </w:tcPr>
          <w:p>
            <w:pPr>
              <w:jc w:val="right"/>
              <w:ind w:right="7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4"/>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Lent</w:t>
            </w:r>
          </w:p>
        </w:tc>
        <w:tc>
          <w:tcPr>
            <w:tcW w:w="900" w:type="dxa"/>
            <w:vAlign w:val="bottom"/>
            <w:gridSpan w:val="3"/>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Jason Mills</w:t>
            </w:r>
            <w:r>
              <w:rPr>
                <w:rFonts w:ascii="Arial" w:cs="Arial" w:eastAsia="Arial" w:hAnsi="Arial"/>
                <w:sz w:val="10"/>
                <w:szCs w:val="10"/>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633,020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576,720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7.9 %</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519,640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8.4 %</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7.2 %</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633,020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576,720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7.9%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519,640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8.4 %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7.0 %</w:t>
            </w:r>
          </w:p>
        </w:tc>
        <w:tc>
          <w:tcPr>
            <w:tcW w:w="0" w:type="dxa"/>
            <w:vAlign w:val="bottom"/>
          </w:tcPr>
          <w:p>
            <w:pPr>
              <w:spacing w:after="0"/>
              <w:rPr>
                <w:sz w:val="1"/>
                <w:szCs w:val="1"/>
                <w:color w:val="auto"/>
              </w:rPr>
            </w:pPr>
          </w:p>
        </w:tc>
      </w:tr>
      <w:tr>
        <w:trPr>
          <w:trHeight w:val="122"/>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Daniel Vidal</w:t>
            </w:r>
            <w:r>
              <w:rPr>
                <w:rFonts w:ascii="Arial" w:cs="Arial" w:eastAsia="Arial" w:hAnsi="Arial"/>
                <w:sz w:val="10"/>
                <w:szCs w:val="10"/>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8"/>
                <w:szCs w:val="8"/>
                <w:color w:val="auto"/>
              </w:rPr>
              <w:t>284,070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112,650</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1.5 %</w:t>
            </w:r>
          </w:p>
        </w:tc>
        <w:tc>
          <w:tcPr>
            <w:tcW w:w="100" w:type="dxa"/>
            <w:vAlign w:val="bottom"/>
          </w:tcPr>
          <w:p>
            <w:pPr>
              <w:spacing w:after="0"/>
              <w:rPr>
                <w:sz w:val="10"/>
                <w:szCs w:val="10"/>
                <w:color w:val="auto"/>
              </w:rPr>
            </w:pPr>
          </w:p>
        </w:tc>
        <w:tc>
          <w:tcPr>
            <w:tcW w:w="660" w:type="dxa"/>
            <w:vAlign w:val="bottom"/>
          </w:tcPr>
          <w:p>
            <w:pPr>
              <w:jc w:val="right"/>
              <w:ind w:right="19"/>
              <w:spacing w:after="0"/>
              <w:rPr>
                <w:sz w:val="20"/>
                <w:szCs w:val="20"/>
                <w:color w:val="auto"/>
              </w:rPr>
            </w:pPr>
            <w:r>
              <w:rPr>
                <w:rFonts w:ascii="Arial" w:cs="Arial" w:eastAsia="Arial" w:hAnsi="Arial"/>
                <w:sz w:val="8"/>
                <w:szCs w:val="8"/>
                <w:color w:val="auto"/>
              </w:rPr>
              <w:t>112,640</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1.8 %</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1.6 %</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284,070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112,650</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112,640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1.8 %</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1.5 %</w:t>
            </w:r>
          </w:p>
        </w:tc>
        <w:tc>
          <w:tcPr>
            <w:tcW w:w="0" w:type="dxa"/>
            <w:vAlign w:val="bottom"/>
          </w:tcPr>
          <w:p>
            <w:pPr>
              <w:spacing w:after="0"/>
              <w:rPr>
                <w:sz w:val="1"/>
                <w:szCs w:val="1"/>
                <w:color w:val="auto"/>
              </w:rPr>
            </w:pPr>
          </w:p>
        </w:tc>
      </w:tr>
      <w:tr>
        <w:trPr>
          <w:trHeight w:val="122"/>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Timothy L. Christen</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6"/>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Ying (Vivian) Liu</w:t>
            </w:r>
          </w:p>
        </w:tc>
        <w:tc>
          <w:tcPr>
            <w:tcW w:w="900" w:type="dxa"/>
            <w:vAlign w:val="bottom"/>
            <w:gridSpan w:val="3"/>
          </w:tcPr>
          <w:p>
            <w:pPr>
              <w:jc w:val="right"/>
              <w:ind w:right="28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8"/>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Ellen Pao</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5"/>
        </w:trPr>
        <w:tc>
          <w:tcPr>
            <w:tcW w:w="940" w:type="dxa"/>
            <w:vAlign w:val="bottom"/>
            <w:gridSpan w:val="2"/>
          </w:tcPr>
          <w:p>
            <w:pPr>
              <w:ind w:left="20"/>
              <w:spacing w:after="0" w:line="86" w:lineRule="exact"/>
              <w:rPr>
                <w:sz w:val="20"/>
                <w:szCs w:val="20"/>
                <w:color w:val="auto"/>
              </w:rPr>
            </w:pPr>
            <w:r>
              <w:rPr>
                <w:rFonts w:ascii="Arial" w:cs="Arial" w:eastAsia="Arial" w:hAnsi="Arial"/>
                <w:sz w:val="8"/>
                <w:szCs w:val="8"/>
                <w:color w:val="auto"/>
              </w:rPr>
              <w:t>All current executive</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940" w:type="dxa"/>
            <w:vAlign w:val="bottom"/>
            <w:gridSpan w:val="2"/>
          </w:tcPr>
          <w:p>
            <w:pPr>
              <w:ind w:left="20"/>
              <w:spacing w:after="0" w:line="73" w:lineRule="exact"/>
              <w:rPr>
                <w:sz w:val="20"/>
                <w:szCs w:val="20"/>
                <w:color w:val="auto"/>
              </w:rPr>
            </w:pPr>
            <w:r>
              <w:rPr>
                <w:rFonts w:ascii="Arial" w:cs="Arial" w:eastAsia="Arial" w:hAnsi="Arial"/>
                <w:sz w:val="8"/>
                <w:szCs w:val="8"/>
                <w:color w:val="auto"/>
              </w:rPr>
              <w:t>officers, directors and</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940" w:type="dxa"/>
            <w:vAlign w:val="bottom"/>
            <w:gridSpan w:val="2"/>
          </w:tcPr>
          <w:p>
            <w:pPr>
              <w:ind w:left="20"/>
              <w:spacing w:after="0" w:line="73" w:lineRule="exact"/>
              <w:rPr>
                <w:sz w:val="20"/>
                <w:szCs w:val="20"/>
                <w:color w:val="auto"/>
              </w:rPr>
            </w:pPr>
            <w:r>
              <w:rPr>
                <w:rFonts w:ascii="Arial" w:cs="Arial" w:eastAsia="Arial" w:hAnsi="Arial"/>
                <w:sz w:val="8"/>
                <w:szCs w:val="8"/>
                <w:color w:val="auto"/>
              </w:rPr>
              <w:t>director nominees as a</w:t>
            </w: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8,166,360</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11.9 %</w:t>
            </w:r>
          </w:p>
        </w:tc>
        <w:tc>
          <w:tcPr>
            <w:tcW w:w="10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4,878,240</w:t>
            </w:r>
          </w:p>
        </w:tc>
        <w:tc>
          <w:tcPr>
            <w:tcW w:w="100" w:type="dxa"/>
            <w:vAlign w:val="bottom"/>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66.5 %</w:t>
            </w:r>
          </w:p>
        </w:tc>
        <w:tc>
          <w:tcPr>
            <w:tcW w:w="100" w:type="dxa"/>
            <w:vAlign w:val="bottom"/>
          </w:tcPr>
          <w:p>
            <w:pPr>
              <w:spacing w:after="0"/>
              <w:rPr>
                <w:sz w:val="6"/>
                <w:szCs w:val="6"/>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8"/>
                <w:szCs w:val="8"/>
                <w:color w:val="auto"/>
              </w:rPr>
              <w:t>4,310,760</w:t>
            </w:r>
          </w:p>
        </w:tc>
        <w:tc>
          <w:tcPr>
            <w:tcW w:w="100" w:type="dxa"/>
            <w:vAlign w:val="bottom"/>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69.3 %</w:t>
            </w:r>
          </w:p>
        </w:tc>
        <w:tc>
          <w:tcPr>
            <w:tcW w:w="10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60.7 %</w:t>
            </w:r>
          </w:p>
        </w:tc>
        <w:tc>
          <w:tcPr>
            <w:tcW w:w="10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119,996</w:t>
            </w:r>
          </w:p>
        </w:tc>
        <w:tc>
          <w:tcPr>
            <w:tcW w:w="10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8,046,364</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11.3 %</w:t>
            </w:r>
          </w:p>
        </w:tc>
        <w:tc>
          <w:tcPr>
            <w:tcW w:w="10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4,878,240</w:t>
            </w:r>
          </w:p>
        </w:tc>
        <w:tc>
          <w:tcPr>
            <w:tcW w:w="10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66.5 %</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8"/>
                <w:szCs w:val="8"/>
                <w:color w:val="auto"/>
              </w:rPr>
              <w:t>4,310,760</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8"/>
                <w:szCs w:val="8"/>
                <w:color w:val="auto"/>
              </w:rPr>
              <w:t>69.3 %</w:t>
            </w:r>
          </w:p>
        </w:tc>
        <w:tc>
          <w:tcPr>
            <w:tcW w:w="8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58.5 %</w:t>
            </w:r>
          </w:p>
        </w:tc>
        <w:tc>
          <w:tcPr>
            <w:tcW w:w="0" w:type="dxa"/>
            <w:vAlign w:val="bottom"/>
          </w:tcPr>
          <w:p>
            <w:pPr>
              <w:spacing w:after="0"/>
              <w:rPr>
                <w:sz w:val="1"/>
                <w:szCs w:val="1"/>
                <w:color w:val="auto"/>
              </w:rPr>
            </w:pPr>
          </w:p>
        </w:tc>
      </w:tr>
      <w:tr>
        <w:trPr>
          <w:trHeight w:val="110"/>
        </w:trPr>
        <w:tc>
          <w:tcPr>
            <w:tcW w:w="940" w:type="dxa"/>
            <w:vAlign w:val="bottom"/>
            <w:gridSpan w:val="2"/>
          </w:tcPr>
          <w:p>
            <w:pPr>
              <w:ind w:left="20"/>
              <w:spacing w:after="0" w:line="110" w:lineRule="exact"/>
              <w:rPr>
                <w:sz w:val="20"/>
                <w:szCs w:val="20"/>
                <w:color w:val="auto"/>
              </w:rPr>
            </w:pPr>
            <w:r>
              <w:rPr>
                <w:rFonts w:ascii="Arial" w:cs="Arial" w:eastAsia="Arial" w:hAnsi="Arial"/>
                <w:sz w:val="8"/>
                <w:szCs w:val="8"/>
                <w:color w:val="auto"/>
              </w:rPr>
              <w:t>group (10 persons)</w:t>
            </w:r>
            <w:r>
              <w:rPr>
                <w:rFonts w:ascii="Arial" w:cs="Arial" w:eastAsia="Arial" w:hAnsi="Arial"/>
                <w:sz w:val="10"/>
                <w:szCs w:val="10"/>
                <w:color w:val="auto"/>
                <w:vertAlign w:val="superscript"/>
              </w:rPr>
              <w:t>(6)</w:t>
            </w: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840" w:type="dxa"/>
            <w:vAlign w:val="bottom"/>
            <w:shd w:val="clear" w:color="auto" w:fill="CCEEFF"/>
          </w:tcPr>
          <w:p>
            <w:pPr>
              <w:ind w:left="20"/>
              <w:spacing w:after="0" w:line="86" w:lineRule="exact"/>
              <w:rPr>
                <w:sz w:val="20"/>
                <w:szCs w:val="20"/>
                <w:color w:val="auto"/>
              </w:rPr>
            </w:pPr>
            <w:r>
              <w:rPr>
                <w:rFonts w:ascii="Arial" w:cs="Arial" w:eastAsia="Arial" w:hAnsi="Arial"/>
                <w:sz w:val="8"/>
                <w:szCs w:val="8"/>
                <w:b w:val="1"/>
                <w:bCs w:val="1"/>
                <w:color w:val="auto"/>
              </w:rPr>
              <w:t>5%</w:t>
            </w: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b w:val="1"/>
                <w:bCs w:val="1"/>
                <w:color w:val="auto"/>
              </w:rPr>
              <w:t>Stockholders:</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940" w:type="dxa"/>
            <w:vAlign w:val="bottom"/>
            <w:gridSpan w:val="2"/>
          </w:tcPr>
          <w:p>
            <w:pPr>
              <w:ind w:left="20"/>
              <w:spacing w:after="0" w:line="86" w:lineRule="exact"/>
              <w:rPr>
                <w:sz w:val="20"/>
                <w:szCs w:val="20"/>
                <w:color w:val="auto"/>
              </w:rPr>
            </w:pPr>
            <w:r>
              <w:rPr>
                <w:rFonts w:ascii="Arial" w:cs="Arial" w:eastAsia="Arial" w:hAnsi="Arial"/>
                <w:sz w:val="8"/>
                <w:szCs w:val="8"/>
                <w:color w:val="auto"/>
              </w:rPr>
              <w:t>Expensify Voting</w:t>
            </w:r>
          </w:p>
        </w:tc>
        <w:tc>
          <w:tcPr>
            <w:tcW w:w="900" w:type="dxa"/>
            <w:vAlign w:val="bottom"/>
            <w:gridSpan w:val="3"/>
            <w:vMerge w:val="restart"/>
          </w:tcPr>
          <w:p>
            <w:pPr>
              <w:jc w:val="right"/>
              <w:ind w:right="280"/>
              <w:spacing w:after="0"/>
              <w:rPr>
                <w:sz w:val="20"/>
                <w:szCs w:val="20"/>
                <w:color w:val="auto"/>
              </w:rPr>
            </w:pPr>
            <w:r>
              <w:rPr>
                <w:rFonts w:ascii="Arial" w:cs="Arial" w:eastAsia="Arial" w:hAnsi="Arial"/>
                <w:sz w:val="8"/>
                <w:szCs w:val="8"/>
                <w:color w:val="auto"/>
              </w:rPr>
              <w:t>—</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7,332,640</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100.0 %</w:t>
            </w:r>
          </w:p>
        </w:tc>
        <w:tc>
          <w:tcPr>
            <w:tcW w:w="100" w:type="dxa"/>
            <w:vAlign w:val="bottom"/>
          </w:tcPr>
          <w:p>
            <w:pPr>
              <w:spacing w:after="0"/>
              <w:rPr>
                <w:sz w:val="7"/>
                <w:szCs w:val="7"/>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8"/>
                <w:szCs w:val="8"/>
                <w:color w:val="auto"/>
              </w:rPr>
              <w:t>6,224,160</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100.0 %</w:t>
            </w: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85.6 %</w:t>
            </w: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8"/>
                <w:szCs w:val="8"/>
                <w:color w:val="auto"/>
              </w:rPr>
              <w:t>—</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7,332,640</w:t>
            </w:r>
          </w:p>
        </w:tc>
        <w:tc>
          <w:tcPr>
            <w:tcW w:w="1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100.0 %</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8"/>
                <w:szCs w:val="8"/>
                <w:color w:val="auto"/>
              </w:rPr>
              <w:t>6,224,160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8"/>
                <w:szCs w:val="8"/>
                <w:color w:val="auto"/>
              </w:rPr>
              <w:t>100 %</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color w:val="auto"/>
              </w:rPr>
              <w:t>82.6 %</w:t>
            </w:r>
          </w:p>
        </w:tc>
        <w:tc>
          <w:tcPr>
            <w:tcW w:w="0" w:type="dxa"/>
            <w:vAlign w:val="bottom"/>
          </w:tcPr>
          <w:p>
            <w:pPr>
              <w:spacing w:after="0"/>
              <w:rPr>
                <w:sz w:val="1"/>
                <w:szCs w:val="1"/>
                <w:color w:val="auto"/>
              </w:rPr>
            </w:pPr>
          </w:p>
        </w:tc>
      </w:tr>
      <w:tr>
        <w:trPr>
          <w:trHeight w:val="110"/>
        </w:trPr>
        <w:tc>
          <w:tcPr>
            <w:tcW w:w="940" w:type="dxa"/>
            <w:vAlign w:val="bottom"/>
            <w:gridSpan w:val="2"/>
          </w:tcPr>
          <w:p>
            <w:pPr>
              <w:ind w:left="20"/>
              <w:spacing w:after="0" w:line="110" w:lineRule="exact"/>
              <w:rPr>
                <w:sz w:val="20"/>
                <w:szCs w:val="20"/>
                <w:color w:val="auto"/>
              </w:rPr>
            </w:pPr>
            <w:r>
              <w:rPr>
                <w:rFonts w:ascii="Arial" w:cs="Arial" w:eastAsia="Arial" w:hAnsi="Arial"/>
                <w:sz w:val="8"/>
                <w:szCs w:val="8"/>
                <w:color w:val="auto"/>
              </w:rPr>
              <w:t>Trust</w:t>
            </w:r>
            <w:r>
              <w:rPr>
                <w:rFonts w:ascii="Arial" w:cs="Arial" w:eastAsia="Arial" w:hAnsi="Arial"/>
                <w:sz w:val="10"/>
                <w:szCs w:val="10"/>
                <w:color w:val="auto"/>
                <w:vertAlign w:val="superscript"/>
              </w:rPr>
              <w:t>(7)</w:t>
            </w:r>
          </w:p>
        </w:tc>
        <w:tc>
          <w:tcPr>
            <w:tcW w:w="900" w:type="dxa"/>
            <w:vAlign w:val="bottom"/>
            <w:gridSpan w:val="3"/>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Hillsven LLC</w:t>
            </w:r>
            <w:r>
              <w:rPr>
                <w:rFonts w:ascii="Arial" w:cs="Arial" w:eastAsia="Arial" w:hAnsi="Arial"/>
                <w:sz w:val="10"/>
                <w:szCs w:val="10"/>
                <w:color w:val="auto"/>
                <w:vertAlign w:val="superscript"/>
              </w:rPr>
              <w:t>(8)</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11,148,320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17.2 %</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2.5 %</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1,660,986</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9,487,334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14.1 %</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2.0 %</w:t>
            </w:r>
          </w:p>
        </w:tc>
        <w:tc>
          <w:tcPr>
            <w:tcW w:w="0" w:type="dxa"/>
            <w:vAlign w:val="bottom"/>
          </w:tcPr>
          <w:p>
            <w:pPr>
              <w:spacing w:after="0"/>
              <w:rPr>
                <w:sz w:val="1"/>
                <w:szCs w:val="1"/>
                <w:color w:val="auto"/>
              </w:rPr>
            </w:pPr>
          </w:p>
        </w:tc>
      </w:tr>
      <w:tr>
        <w:trPr>
          <w:trHeight w:val="121"/>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Entities affiliated with</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OpenView Venture</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Partners</w:t>
            </w:r>
            <w:r>
              <w:rPr>
                <w:rFonts w:ascii="Arial" w:cs="Arial" w:eastAsia="Arial" w:hAnsi="Arial"/>
                <w:sz w:val="10"/>
                <w:szCs w:val="10"/>
                <w:color w:val="auto"/>
                <w:vertAlign w:val="superscript"/>
              </w:rPr>
              <w:t>(9)</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12,920,990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20.0 %</w:t>
            </w:r>
          </w:p>
        </w:tc>
        <w:tc>
          <w:tcPr>
            <w:tcW w:w="10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2.9 %</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2,365,404</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10,555,586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15.7 %</w:t>
            </w:r>
          </w:p>
        </w:tc>
        <w:tc>
          <w:tcPr>
            <w:tcW w:w="10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2.3 %</w:t>
            </w:r>
          </w:p>
        </w:tc>
        <w:tc>
          <w:tcPr>
            <w:tcW w:w="0" w:type="dxa"/>
            <w:vAlign w:val="bottom"/>
          </w:tcPr>
          <w:p>
            <w:pPr>
              <w:spacing w:after="0"/>
              <w:rPr>
                <w:sz w:val="1"/>
                <w:szCs w:val="1"/>
                <w:color w:val="auto"/>
              </w:rPr>
            </w:pPr>
          </w:p>
        </w:tc>
      </w:tr>
      <w:tr>
        <w:trPr>
          <w:trHeight w:val="128"/>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Entities affiliated with</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6"/>
                <w:szCs w:val="16"/>
                <w:color w:val="auto"/>
                <w:vertAlign w:val="subscript"/>
              </w:rPr>
              <w:t>PJC</w:t>
            </w:r>
            <w:r>
              <w:rPr>
                <w:rFonts w:ascii="Arial" w:cs="Arial" w:eastAsia="Arial" w:hAnsi="Arial"/>
                <w:sz w:val="5"/>
                <w:szCs w:val="5"/>
                <w:color w:val="auto"/>
              </w:rPr>
              <w:t>(10)</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9,186,730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14.2 %</w:t>
            </w: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2.0 %</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1,678,949</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7,507,781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11.2 %</w:t>
            </w: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1.6 %</w:t>
            </w:r>
          </w:p>
        </w:tc>
        <w:tc>
          <w:tcPr>
            <w:tcW w:w="0" w:type="dxa"/>
            <w:vAlign w:val="bottom"/>
          </w:tcPr>
          <w:p>
            <w:pPr>
              <w:spacing w:after="0"/>
              <w:rPr>
                <w:sz w:val="1"/>
                <w:szCs w:val="1"/>
                <w:color w:val="auto"/>
              </w:rPr>
            </w:pPr>
          </w:p>
        </w:tc>
      </w:tr>
      <w:tr>
        <w:trPr>
          <w:trHeight w:val="159"/>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Octopus Head Inc.</w:t>
            </w:r>
            <w:r>
              <w:rPr>
                <w:rFonts w:ascii="Arial" w:cs="Arial" w:eastAsia="Arial" w:hAnsi="Arial"/>
                <w:sz w:val="10"/>
                <w:szCs w:val="10"/>
                <w:color w:val="auto"/>
                <w:vertAlign w:val="superscript"/>
              </w:rPr>
              <w:t>(11)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6,516,640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10.1 %</w:t>
            </w:r>
          </w:p>
        </w:tc>
        <w:tc>
          <w:tcPr>
            <w:tcW w:w="10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1.5 %</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6,516,640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9.7 %</w:t>
            </w:r>
          </w:p>
        </w:tc>
        <w:tc>
          <w:tcPr>
            <w:tcW w:w="10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1.4 %</w:t>
            </w:r>
          </w:p>
        </w:tc>
        <w:tc>
          <w:tcPr>
            <w:tcW w:w="0" w:type="dxa"/>
            <w:vAlign w:val="bottom"/>
          </w:tcPr>
          <w:p>
            <w:pPr>
              <w:spacing w:after="0"/>
              <w:rPr>
                <w:sz w:val="1"/>
                <w:szCs w:val="1"/>
                <w:color w:val="auto"/>
              </w:rPr>
            </w:pPr>
          </w:p>
        </w:tc>
      </w:tr>
      <w:tr>
        <w:trPr>
          <w:trHeight w:val="128"/>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Laurel Trust Company,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as trustee of the BHR</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 xml:space="preserve">2021 NG Trusts </w:t>
            </w:r>
            <w:r>
              <w:rPr>
                <w:rFonts w:ascii="Arial" w:cs="Arial" w:eastAsia="Arial" w:hAnsi="Arial"/>
                <w:sz w:val="10"/>
                <w:szCs w:val="10"/>
                <w:color w:val="auto"/>
                <w:vertAlign w:val="superscript"/>
              </w:rPr>
              <w:t>(12)</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3,361,590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5.2 %</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886,968</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2,474,622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3.7 %</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940" w:type="dxa"/>
            <w:vAlign w:val="bottom"/>
            <w:gridSpan w:val="2"/>
          </w:tcPr>
          <w:p>
            <w:pPr>
              <w:ind w:left="20"/>
              <w:spacing w:after="0"/>
              <w:rPr>
                <w:sz w:val="20"/>
                <w:szCs w:val="20"/>
                <w:color w:val="auto"/>
              </w:rPr>
            </w:pPr>
            <w:r>
              <w:rPr>
                <w:rFonts w:ascii="Arial" w:cs="Arial" w:eastAsia="Arial" w:hAnsi="Arial"/>
                <w:sz w:val="8"/>
                <w:szCs w:val="8"/>
                <w:b w:val="1"/>
                <w:bCs w:val="1"/>
                <w:color w:val="auto"/>
              </w:rPr>
              <w:t>Other Selling</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40" w:type="dxa"/>
            <w:vAlign w:val="bottom"/>
            <w:gridSpan w:val="2"/>
          </w:tcPr>
          <w:p>
            <w:pPr>
              <w:ind w:left="20"/>
              <w:spacing w:after="0"/>
              <w:rPr>
                <w:sz w:val="20"/>
                <w:szCs w:val="20"/>
                <w:color w:val="auto"/>
              </w:rPr>
            </w:pPr>
            <w:r>
              <w:rPr>
                <w:rFonts w:ascii="Arial" w:cs="Arial" w:eastAsia="Arial" w:hAnsi="Arial"/>
                <w:sz w:val="8"/>
                <w:szCs w:val="8"/>
                <w:b w:val="1"/>
                <w:bCs w:val="1"/>
                <w:color w:val="auto"/>
              </w:rPr>
              <w:t>Stockholders:</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8"/>
                <w:szCs w:val="8"/>
                <w:color w:val="auto"/>
              </w:rPr>
              <w:t>Matthew McNamara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756,920</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1.2 %</w:t>
            </w:r>
          </w:p>
        </w:tc>
        <w:tc>
          <w:tcPr>
            <w:tcW w:w="1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150,000</w:t>
            </w: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606,920</w:t>
            </w: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8"/>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Jean Kovacs</w:t>
            </w:r>
            <w:r>
              <w:rPr>
                <w:rFonts w:ascii="Arial" w:cs="Arial" w:eastAsia="Arial" w:hAnsi="Arial"/>
                <w:sz w:val="10"/>
                <w:szCs w:val="10"/>
                <w:color w:val="auto"/>
                <w:vertAlign w:val="superscript"/>
              </w:rPr>
              <w:t>(13)</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139,350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133,835</w:t>
            </w:r>
          </w:p>
        </w:tc>
        <w:tc>
          <w:tcPr>
            <w:tcW w:w="10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5,515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8"/>
                <w:szCs w:val="8"/>
                <w:color w:val="auto"/>
              </w:rPr>
              <w:t>Thomas Jacobs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1,252,910</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2.0 %</w:t>
            </w:r>
          </w:p>
        </w:tc>
        <w:tc>
          <w:tcPr>
            <w:tcW w:w="1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100,000</w:t>
            </w: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1,152,910</w:t>
            </w: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1.7 %</w:t>
            </w: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8"/>
        </w:trPr>
        <w:tc>
          <w:tcPr>
            <w:tcW w:w="940" w:type="dxa"/>
            <w:vAlign w:val="bottom"/>
            <w:gridSpan w:val="2"/>
          </w:tcPr>
          <w:p>
            <w:pPr>
              <w:ind w:left="20"/>
              <w:spacing w:after="0"/>
              <w:rPr>
                <w:sz w:val="20"/>
                <w:szCs w:val="20"/>
                <w:color w:val="auto"/>
              </w:rPr>
            </w:pPr>
            <w:r>
              <w:rPr>
                <w:rFonts w:ascii="Arial" w:cs="Arial" w:eastAsia="Arial" w:hAnsi="Arial"/>
                <w:sz w:val="8"/>
                <w:szCs w:val="8"/>
                <w:color w:val="auto"/>
              </w:rPr>
              <w:t>Morpheus Partners</w:t>
            </w:r>
            <w:r>
              <w:rPr>
                <w:rFonts w:ascii="Arial" w:cs="Arial" w:eastAsia="Arial" w:hAnsi="Arial"/>
                <w:sz w:val="10"/>
                <w:szCs w:val="10"/>
                <w:color w:val="auto"/>
                <w:vertAlign w:val="superscript"/>
              </w:rPr>
              <w:t>(14)</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126,210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25,942</w:t>
            </w:r>
          </w:p>
        </w:tc>
        <w:tc>
          <w:tcPr>
            <w:tcW w:w="10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100,268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820" w:type="dxa"/>
            <w:vAlign w:val="bottom"/>
            <w:gridSpan w:val="3"/>
          </w:tcPr>
          <w:p>
            <w:pPr>
              <w:jc w:val="right"/>
              <w:ind w:right="400"/>
              <w:spacing w:after="0"/>
              <w:rPr>
                <w:sz w:val="20"/>
                <w:szCs w:val="20"/>
                <w:color w:val="auto"/>
              </w:rPr>
            </w:pPr>
            <w:r>
              <w:rPr>
                <w:rFonts w:ascii="Arial" w:cs="Arial" w:eastAsia="Arial" w:hAnsi="Arial"/>
                <w:sz w:val="8"/>
                <w:szCs w:val="8"/>
                <w:color w:val="auto"/>
              </w:rPr>
              <w:t>—</w:t>
            </w:r>
          </w:p>
        </w:tc>
        <w:tc>
          <w:tcPr>
            <w:tcW w:w="680" w:type="dxa"/>
            <w:vAlign w:val="bottom"/>
            <w:gridSpan w:val="3"/>
          </w:tcPr>
          <w:p>
            <w:pPr>
              <w:jc w:val="right"/>
              <w:ind w:righ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3"/>
        </w:trPr>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
        <w:spacing w:after="0"/>
        <w:rPr>
          <w:sz w:val="20"/>
          <w:szCs w:val="20"/>
          <w:color w:val="auto"/>
        </w:rPr>
      </w:pPr>
      <w:r>
        <w:rPr>
          <w:rFonts w:ascii="Arial" w:cs="Arial" w:eastAsia="Arial" w:hAnsi="Arial"/>
          <w:sz w:val="12"/>
          <w:szCs w:val="12"/>
          <w:color w:val="auto"/>
        </w:rPr>
        <w:t>* Represents less than 1%.</w:t>
      </w:r>
    </w:p>
    <w:p>
      <w:pPr>
        <w:spacing w:after="0" w:line="8" w:lineRule="exact"/>
        <w:rPr>
          <w:sz w:val="20"/>
          <w:szCs w:val="20"/>
          <w:color w:val="auto"/>
        </w:rPr>
      </w:pPr>
    </w:p>
    <w:p>
      <w:pPr>
        <w:ind w:left="283" w:right="280" w:hanging="283"/>
        <w:spacing w:after="0" w:line="254" w:lineRule="auto"/>
        <w:tabs>
          <w:tab w:leader="none" w:pos="27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Consists of (i) 2,929,910 shares of Class A common stock that may be acquired pursuant to the exercise of stock options within 60 days of October 25, 2021, (ii) 3,588,640 shares of Class A common stock, 3,588,640 shares of LT10 common stock and 3,588,640 shares of LT50 common stock held directly by David Barrett Trust LLC. David Barrett Trust LLC is a manager-managed limited liability company. The investment and voting decisions of David Barrett Trust LLC are made by its manager, Mr. Barrett, and its controlling member is the Barrett Family Trust, for which Mr. Barrett serves as trustee. In such capacities, Mr. Barrett may be deemed to beneficially own such shares beneficially owned by David Barrett Trust LLC.</w:t>
      </w:r>
    </w:p>
    <w:p>
      <w:pPr>
        <w:ind w:left="283" w:hanging="283"/>
        <w:spacing w:after="0"/>
        <w:tabs>
          <w:tab w:leader="none" w:pos="28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435,640 shares of Class A common stock that may be acquired pursuant to the exercise of stock options within 60 days of October 25, 2021.</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38,250 shares of Class A common stock that may be acquired pursuant to the exercise of stock options within 60 days of October 25, 2021.</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10,130 shares of Class A common stock that may be acquired pursuant to the exercise of stock options within 60 days of October 25, 2021.</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Includes 222,480 shares of Class A common stock that may be acquired pursuant to the exercise of stock options within 60 days of October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263"/>
          </w:cols>
          <w:pgMar w:left="317" w:top="1440" w:right="319" w:bottom="1440" w:gutter="0" w:footer="0" w:header="0"/>
        </w:sectPr>
      </w:pPr>
    </w:p>
    <w:bookmarkStart w:id="188" w:name="page189"/>
    <w:bookmarkEnd w:id="188"/>
    <w:p>
      <w:pPr>
        <w:spacing w:after="0" w:line="2" w:lineRule="exact"/>
        <w:rPr>
          <w:sz w:val="20"/>
          <w:szCs w:val="20"/>
          <w:color w:val="auto"/>
        </w:rPr>
      </w:pPr>
    </w:p>
    <w:p>
      <w:pPr>
        <w:ind w:left="283" w:hanging="283"/>
        <w:spacing w:after="0"/>
        <w:tabs>
          <w:tab w:leader="none" w:pos="28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Includes 3,636,410 shares of Class A common stock that may be acquired pursuant to the exercise of stock options within 60 days of October 25, 2021.</w:t>
      </w:r>
    </w:p>
    <w:p>
      <w:pPr>
        <w:spacing w:after="0" w:line="8" w:lineRule="exact"/>
        <w:rPr>
          <w:rFonts w:ascii="Arial" w:cs="Arial" w:eastAsia="Arial" w:hAnsi="Arial"/>
          <w:sz w:val="12"/>
          <w:szCs w:val="12"/>
          <w:color w:val="auto"/>
        </w:rPr>
      </w:pPr>
    </w:p>
    <w:p>
      <w:pPr>
        <w:ind w:left="283" w:right="100" w:hanging="283"/>
        <w:spacing w:after="0" w:line="254" w:lineRule="auto"/>
        <w:tabs>
          <w:tab w:leader="none" w:pos="27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shares of LT10 and LT50 common stock held indirectly by the Trust Beneficiaries through a voting trust of which David Barrett, Ryan Schaffer and Jason Mills are the trustees. All decisions with respect to the voting of the shares of LT10 and LT50 common stock, as well as any other shares of any class of common stock held in the Voting Trust from time to time, will be made by the trustees of the Voting Trust in their sole and absolute discretion, with no responsibility under the Voting Trust Agreement as stockholder, trustee or otherwise, except for his or her own individual malfeasance.</w:t>
      </w:r>
    </w:p>
    <w:p>
      <w:pPr>
        <w:ind w:left="283" w:hanging="283"/>
        <w:spacing w:after="0" w:line="254" w:lineRule="auto"/>
        <w:tabs>
          <w:tab w:leader="none" w:pos="27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11,148,320 shares of Class A common stock held directly by Hillsven LLC. FBHR Associates, LLC is the manager of Hillsven, LLC, and in such capacity may be deemed to share voting and investment power over such shares. Jim DeMartini, as trustee of Unameit Trust, is the manager of FBHR Associates, LLC, and in such capacity may be deemed to share voting and investment power over such shares. The address of each of these entities is Three Lagoon Dr., Suite 400, Redwood City, CA 94065. If the underwriters exercise in full their option to purchase additional shares of Class A common stock, an additional 441,184 shares of Class A common stock will be sold.</w:t>
      </w:r>
    </w:p>
    <w:p>
      <w:pPr>
        <w:ind w:left="283" w:right="20" w:hanging="283"/>
        <w:spacing w:after="0" w:line="254" w:lineRule="auto"/>
        <w:tabs>
          <w:tab w:leader="none" w:pos="27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(i) 12,511,960 shares of Class A common stock held by OpenView Venture Partners IV, L.P. and (ii) 409,030 shares of Class A common stock held by OpenView Affiliates Fund IV, L.P. OpenView General Partner IV, L.P. is the general partner of each of OpenView Venture Partners IV, L.P. and OpenView Affiliates Fund IV, L.P. and in such capacity may be deemed to share voting and investment power over the shares held by these entities. Blake Bartlett, Scott Maxwell, Daniel Demmer, John (Mackey) Craven, Richard Pelletier, Sanjiv Kalevar, Brian Carthas, Daniel Heck, Tom Holahan and Tim Keebler are members of the investment committee of OpenView Advisors, LLC, and in such capacity may be deemed to share voting and investment power over the shares held by these entities. The address of each of these entities is 303 Congress Street, 6th Floor, Boston, MA 02210. If the underwriters exercise in full their option to purchase additional shares of Class A common stock, an additional 511,336 shares of Class A common stock will be sold.</w:t>
      </w:r>
    </w:p>
    <w:p>
      <w:pPr>
        <w:ind w:left="283" w:right="20" w:hanging="283"/>
        <w:spacing w:after="0" w:line="254" w:lineRule="auto"/>
        <w:tabs>
          <w:tab w:leader="none" w:pos="2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(i) 3,065,230 shares of Class A common stock held by PJC-DV LLC, (ii) 230,190 shares of Class A common stock held by PJC-DV II LLC, (iii) 333,640 shares of Class A common stock held by Point Judith Venture Fund III, L.P., (iv) 4,289,510 shares of Class A common stock held by Point Judith Venture Fund III (QP), L.P., (v) 1,123,920 shares of Class A common stock held by Point Judith Venture Fund IV, L.P., and (v) 144,240 shares of Class A common stock held by MKC Holdings Group LLC. Point Judith Capital Partners III LLC is the general partner of each of Point Judith Venture Fund III, L.P. and Point Judith Venture Fund III (QP), L.P. Point Judith Capital Partners IV LLC is the general partner of Point Judith Venture Fund IV, L.P. DMM SPV Management LLC is the manager of PJC-DV LLC. David Martirano is the Manager of PJC-DVII LLC, Point Judith Capital Partners III LLC, Point Judith Capital Partners IV LLC, DMM SPV Management LLC and MKC Holdings Group, LLC, and in such capacity may be deemed to beneficially own all such shares. The address for each of these entities and for Mr. Martirano is 15 Humboldt Ave, Providence, RI 02906. If the underwriters exercise in full their option to purchase additional shares of Class A common stock, an additional 362,941 shares of Class A common stock will be sold.</w:t>
      </w:r>
    </w:p>
    <w:p>
      <w:pPr>
        <w:ind w:left="283" w:right="300" w:hanging="283"/>
        <w:spacing w:after="0" w:line="254" w:lineRule="auto"/>
        <w:tabs>
          <w:tab w:leader="none" w:pos="2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6,516,640 shares of Class A common stock held directly by Octopus Head, Inc. ("Octopus Head"). 415 Foundation is the sole stockholder of Octopus Head and in such capacity may be deemed to share voting and investment power over such shares. Witold Stankiewicz is the sole director of Octopus Head and the controlling person of 415 Foundation, and in such capacity may be deemed to share voting and investment power over such shares. The address for Octopus Head, 415 Foundation and Mr. Stankiewicz is 275 New N Rd, Ste 3082, London, N1 7AA, United Kingdom.</w:t>
      </w:r>
    </w:p>
    <w:p>
      <w:pPr>
        <w:ind w:left="283" w:right="520" w:hanging="283"/>
        <w:spacing w:after="0" w:line="254" w:lineRule="auto"/>
        <w:tabs>
          <w:tab w:leader="none" w:pos="2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3,361,591 shares of Class A common stock held by Laurel Trust Company, as trustee of the BHR 2021 NG Trusts. Laurel Trust Company is managed by a board of directors. It sole stockholder is Hall Capital Partners LLC, which may be deemed to share voting and investment power over such shares. The address for these entities is P.O. Box 40100, Reno, NV 89504. If the underwriters exercise in full their option to purchase additional shares of Class A common stock, an additional 133,032 shares of Class A common stock will be sold.</w:t>
      </w:r>
    </w:p>
    <w:p>
      <w:pPr>
        <w:ind w:left="283" w:hanging="283"/>
        <w:spacing w:after="0"/>
        <w:tabs>
          <w:tab w:leader="none" w:pos="28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If the underwriters exercise in full their option to purchase additional shares of Class A common stock, an additional 5,515 shares of Class A common stock will be sold.</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If the underwriters exercise in full their option to purchase additional shares of Class A common stock, an additional 5,608 shares of Class A common stock will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43"/>
          </w:cols>
          <w:pgMar w:left="317" w:top="1440" w:right="339" w:bottom="1440" w:gutter="0" w:footer="0" w:header="0"/>
        </w:sectPr>
      </w:pPr>
    </w:p>
    <w:bookmarkStart w:id="189" w:name="page190"/>
    <w:bookmarkEnd w:id="189"/>
    <w:p>
      <w:pPr>
        <w:ind w:left="3"/>
        <w:spacing w:after="0"/>
        <w:rPr>
          <w:sz w:val="20"/>
          <w:szCs w:val="20"/>
          <w:color w:val="auto"/>
        </w:rPr>
      </w:pPr>
      <w:r>
        <w:rPr>
          <w:rFonts w:ascii="Arial" w:cs="Arial" w:eastAsia="Arial" w:hAnsi="Arial"/>
          <w:sz w:val="26"/>
          <w:szCs w:val="26"/>
          <w:b w:val="1"/>
          <w:bCs w:val="1"/>
          <w:color w:val="auto"/>
        </w:rPr>
        <w:t>Description of capital stock</w:t>
      </w:r>
    </w:p>
    <w:p>
      <w:pPr>
        <w:spacing w:after="0" w:line="280" w:lineRule="exact"/>
        <w:rPr>
          <w:sz w:val="20"/>
          <w:szCs w:val="20"/>
          <w:color w:val="auto"/>
        </w:rPr>
      </w:pPr>
    </w:p>
    <w:p>
      <w:pPr>
        <w:ind w:left="3"/>
        <w:spacing w:after="0" w:line="262" w:lineRule="auto"/>
        <w:rPr>
          <w:sz w:val="20"/>
          <w:szCs w:val="20"/>
          <w:color w:val="auto"/>
        </w:rPr>
      </w:pPr>
      <w:r>
        <w:rPr>
          <w:rFonts w:ascii="Arial" w:cs="Arial" w:eastAsia="Arial" w:hAnsi="Arial"/>
          <w:sz w:val="16"/>
          <w:szCs w:val="16"/>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General</w:t>
      </w:r>
    </w:p>
    <w:p>
      <w:pPr>
        <w:spacing w:after="0" w:line="152" w:lineRule="exact"/>
        <w:rPr>
          <w:sz w:val="20"/>
          <w:szCs w:val="20"/>
          <w:color w:val="auto"/>
        </w:rPr>
      </w:pPr>
    </w:p>
    <w:p>
      <w:pPr>
        <w:ind w:left="3" w:right="140"/>
        <w:spacing w:after="0" w:line="268" w:lineRule="auto"/>
        <w:rPr>
          <w:sz w:val="20"/>
          <w:szCs w:val="20"/>
          <w:color w:val="auto"/>
        </w:rPr>
      </w:pPr>
      <w:r>
        <w:rPr>
          <w:rFonts w:ascii="Arial" w:cs="Arial" w:eastAsia="Arial" w:hAnsi="Arial"/>
          <w:sz w:val="16"/>
          <w:szCs w:val="16"/>
          <w:color w:val="auto"/>
        </w:rPr>
        <w:t>Upon the filing of our amended and restated certificate of incorporation and the completion of this offering, the total number of shares of all classes of stock we are authorized to issue will be 1,060,000,000, consisting of:</w:t>
      </w:r>
    </w:p>
    <w:p>
      <w:pPr>
        <w:spacing w:after="0" w:line="113" w:lineRule="exact"/>
        <w:rPr>
          <w:sz w:val="20"/>
          <w:szCs w:val="20"/>
          <w:color w:val="auto"/>
        </w:rPr>
      </w:pPr>
    </w:p>
    <w:p>
      <w:pPr>
        <w:ind w:left="283" w:hanging="283"/>
        <w:spacing w:after="0"/>
        <w:tabs>
          <w:tab w:leader="none" w:pos="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1,000,000,000 shares of Class A common stock, par value $0.0001 per share;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25,000,000 shares of LT10 common stock, par value $0.0001 per share;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25,000,000 shares of LT50 common stock, par value $0.0001 per share;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10,000,000 shares of preferred stock, par value $0.0001 per share.</w:t>
      </w:r>
    </w:p>
    <w:p>
      <w:pPr>
        <w:spacing w:after="0" w:line="145" w:lineRule="exact"/>
        <w:rPr>
          <w:sz w:val="20"/>
          <w:szCs w:val="20"/>
          <w:color w:val="auto"/>
        </w:rPr>
      </w:pPr>
    </w:p>
    <w:p>
      <w:pPr>
        <w:ind w:left="3" w:right="180"/>
        <w:spacing w:after="0" w:line="268" w:lineRule="auto"/>
        <w:rPr>
          <w:sz w:val="20"/>
          <w:szCs w:val="20"/>
          <w:color w:val="auto"/>
        </w:rPr>
      </w:pPr>
      <w:r>
        <w:rPr>
          <w:rFonts w:ascii="Arial" w:cs="Arial" w:eastAsia="Arial" w:hAnsi="Arial"/>
          <w:sz w:val="16"/>
          <w:szCs w:val="16"/>
          <w:color w:val="auto"/>
        </w:rPr>
        <w:t>We are selling 2,608,696 shares of Class A common stock in this offering. All shares of our common stock outstanding upon completion of this offering will be fully paid and non-assessable.</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13"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Common stock</w:t>
      </w:r>
    </w:p>
    <w:p>
      <w:pPr>
        <w:spacing w:after="0" w:line="152"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Voting</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111" w:lineRule="exact"/>
        <w:rPr>
          <w:sz w:val="20"/>
          <w:szCs w:val="20"/>
          <w:color w:val="auto"/>
        </w:rPr>
      </w:pPr>
    </w:p>
    <w:p>
      <w:pPr>
        <w:ind w:left="283" w:right="180" w:hanging="283"/>
        <w:spacing w:after="0" w:line="268" w:lineRule="auto"/>
        <w:tabs>
          <w:tab w:leader="none" w:pos="2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43"/>
          </w:cols>
          <w:pgMar w:left="317" w:top="1407" w:right="339" w:bottom="1440" w:gutter="0" w:footer="0" w:header="0"/>
        </w:sectPr>
      </w:pPr>
    </w:p>
    <w:bookmarkStart w:id="190" w:name="page191"/>
    <w:bookmarkEnd w:id="190"/>
    <w:p>
      <w:pPr>
        <w:spacing w:after="0" w:line="2" w:lineRule="exact"/>
        <w:rPr>
          <w:sz w:val="20"/>
          <w:szCs w:val="20"/>
          <w:color w:val="auto"/>
        </w:rPr>
      </w:pPr>
    </w:p>
    <w:p>
      <w:pPr>
        <w:ind w:left="283" w:right="40" w:hanging="283"/>
        <w:spacing w:after="0" w:line="258" w:lineRule="auto"/>
        <w:tabs>
          <w:tab w:leader="none" w:pos="2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30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amended and restated certificate of incorporation will not provide for cumulative voting for the election of directors.</w:t>
      </w:r>
    </w:p>
    <w:p>
      <w:pPr>
        <w:spacing w:after="0" w:line="145"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Upon the completion of this offering, we expect that the Voting Trust will control approximately 82.6% of the combined voting power of our common stock as a result of the shares of LT10 and LT50 common stock that will be contributed to it prior to the completion of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all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Dividend rights</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6"/>
          <w:szCs w:val="16"/>
          <w:color w:val="auto"/>
        </w:rPr>
        <w:t>See the section titled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243"/>
          </w:cols>
          <w:pgMar w:left="317" w:top="1440" w:right="33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b w:val="1"/>
          <w:bCs w:val="1"/>
          <w:i w:val="1"/>
          <w:iCs w:val="1"/>
          <w:color w:val="auto"/>
        </w:rPr>
        <w:t>Conversion and transfer</w:t>
      </w:r>
    </w:p>
    <w:p>
      <w:pPr>
        <w:spacing w:after="0" w:line="15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Shares of our Class A common stock are not convertible. Each share of Class A common stock will be freely transferable, subject to compliance with any applicable lock-up, vesting requirements under our equity plans, laws, rules and regulations, and our post-IPO insider trading policy.</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(ii) in an LT Exchange (as defined below) or (iii) approved by the affirmative vote of a majority of the members of our board of directors. Our amended and restated certificate of incorporation will also permit a majority of the members of our board of directors to waive other requirements applicable to transfer or conversion of LT10 and LT50 common stock, including the notice period described below. Additionally, our amended and restated certificate of incorporation will provide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If a holder proposes to convert or transfer any shares of LT10 or LT50 common stock, the holder (or the beneficial holder if such shares are held in the Voting Trust) must first provide written notice to us and a copy of such notice to the Trustees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11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amended and restated certificate of incorporation will provide that, from and after the time that a holder of shares of LT10 or LT50 common stock is no longer an employee of or service provider to Expensify, we will have the right to submit a written notice of conversion on such former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40"/>
          </w:cols>
          <w:pgMar w:left="320" w:top="1422" w:right="339" w:bottom="1440" w:gutter="0" w:footer="0" w:header="0"/>
        </w:sectPr>
      </w:pPr>
    </w:p>
    <w:bookmarkStart w:id="192" w:name="page193"/>
    <w:bookmarkEnd w:id="192"/>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101"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Once converted into Class A common stock, the LT10 or LT50 common stock will not be reissued. Except for the issuance of shares of LT10 or LT50 common stock issuable in respect of any restricted stock unit outstanding immediately prior to the completion of this offering, a dividend payable in shares of LT10 or LT50 common stock as permitted by the amended and restated certificate of incorporation, or a reclassification, subdivision, or combination of such shares, we will not be permitted at any time after the completion of this offering to issue any additional shares of LT10 or LT50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dissolution and winding Up</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preemptive or similar rights</w:t>
      </w:r>
    </w:p>
    <w:p>
      <w:pPr>
        <w:spacing w:after="0" w:line="165"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Holders of shares of our common stock do not have preemptive, subscription or redemption rights. There will be no redemption or sinking fund provisions applicable to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All of the outstanding shares of our Class A, LT10 and LT50 common stock are fully paid and non-assessable.</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152"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Upon the completion of this offering and the effectiveness of our amended and restated certificate of incorporation that will become effective immediately prior to the completion of this offering, the total of our authorized shares of preferred stock will be 10,000,000 shares. Upon the completion of this offering, we will have no shares of preferred stock outstanding.</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15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As of June 30, 2021, without giving effect to the exercise of options pursuant to the Option Exercise, we had outstanding options to purchase an aggregate of 8,565,230 shares of our common stock,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200"/>
          </w:cols>
          <w:pgMar w:left="320" w:top="1440" w:right="379" w:bottom="1440" w:gutter="0" w:footer="0" w:header="0"/>
        </w:sectPr>
      </w:pPr>
    </w:p>
    <w:bookmarkStart w:id="193" w:name="page194"/>
    <w:bookmarkEnd w:id="193"/>
    <w:p>
      <w:pPr>
        <w:spacing w:after="0" w:line="2"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weighted-average exercise price of $1.27 per share. For more information regarding the terms of our equity incentive plans, see “Executive and director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had no outstanding RSUs.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Warrants</w:t>
      </w:r>
    </w:p>
    <w:p>
      <w:pPr>
        <w:spacing w:after="0" w:line="152"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As of June 30, 2021, we had outstanding warrants to purchase 300,000 shares of our Class A common stock, with an exercise price of $0.07 per share, and 130,080 shares of our Class A common stock, with an exercise price of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Voting Trust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consummated the Exchange Offer, pursuant to which all of our current employees and other service providers were offered the opportunity to exchange any common stock beneficially owned by such employee or service provider for newly issued shares of LT10 and/or LT50 common stock on a one-for-one basis, subject to certain limitations. Any shares not so exchanged remain shares of Class A common stock following this offering. All participants in the Exchange Offer were required to become parties to the Voting Trust Agreement, and all shares of LT10 and LT50 common stock issued in the Exchange Offer were irrevocably deposited in the Voting Trust.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following the completion of this offering,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initial Trustees of the Voting Trust will be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12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Upon the completion of this offering, approximately 7,332,640 shares of LT10 common stock and 6,224,160 shares of LT50 common stock will be held directly by the Voting Trust, representing approximately 82.6% of the combined voting power and 16.8% of the economic interest in us immediately following the completion of this offering. Employees of ours who are not Trust Beneficiaries upon the completion of this offering may become parties to the Voting Trust Agreement under certain circumstances following the completion of this offering.</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party to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than 1% of our then-outstanding common stock and such stockholder can sell all of its shares under Rule 144 under the Securities Act during any three-month period.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Demand registration rights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holders of an aggregate of 35,530,382 shares of our Class A common stock as of October 25, 2021 (after giving effect to sales by selling stockholders in this offering, assuming no exercise of the underwriters’ option to purchase additional shares from the selling stockholders) will be entitled to certain demand registration rights. At any time beginning 180 days after the effective date of the registration statement, of 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Piggyback registration rights</w:t>
      </w:r>
    </w:p>
    <w:p>
      <w:pPr>
        <w:spacing w:after="0" w:line="14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connection with this offering, the holders of an aggregate of 35,530,382 shares of our Class A common stock, as of October 25, 2021 were entitled to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S-3 registration rights</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holders of an aggregate of 35,530,382 shares of Class A common stock as of October 25, 2021 (after giving effect to sales by selling stockholders in this offering, 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Forum selection</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3"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Although our amended and restated certificate of incorporation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provisions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203 of the DGCL</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Multi-series stock</w:t>
      </w:r>
    </w:p>
    <w:p>
      <w:pPr>
        <w:spacing w:after="0" w:line="153"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As described above in the subsection titled “Common Stock—Voting,” our amended and restated certificate of incorporation will provide for a multi-class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16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w:t>
      </w:r>
    </w:p>
    <w:p>
      <w:pPr>
        <w:spacing w:after="0" w:line="16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our board of directors, the chairperson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Advance notice requirements for stockholder proposals and director nominations</w:t>
      </w:r>
    </w:p>
    <w:p>
      <w:pPr>
        <w:spacing w:after="0" w:line="165"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Election and removal of directors; filling vacancies</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certificate of incorporation or bylaws</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For a discussion of the limitation on liability and indemnification, see the section titled “Management— Limitations on liability and indemnification of and advancement of expenses to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15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The transfer agent and registrar for our common stock is Computershare Trust Company, N.A. The transfer agent and registrar’s address is 150 Royall Street, Canton, Massachusetts 02021.</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our Class A common stock on Nasdaq 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140"/>
          </w:cols>
          <w:pgMar w:left="320" w:top="1440" w:right="439" w:bottom="1440" w:gutter="0" w:footer="0" w:header="0"/>
        </w:sectPr>
      </w:pPr>
    </w:p>
    <w:bookmarkStart w:id="198" w:name="page199"/>
    <w:bookmarkEnd w:id="198"/>
    <w:p>
      <w:pPr>
        <w:ind w:left="3"/>
        <w:spacing w:after="0"/>
        <w:rPr>
          <w:sz w:val="20"/>
          <w:szCs w:val="20"/>
          <w:color w:val="auto"/>
        </w:rPr>
      </w:pPr>
      <w:r>
        <w:rPr>
          <w:rFonts w:ascii="Arial" w:cs="Arial" w:eastAsia="Arial" w:hAnsi="Arial"/>
          <w:sz w:val="26"/>
          <w:szCs w:val="26"/>
          <w:b w:val="1"/>
          <w:bCs w:val="1"/>
          <w:color w:val="auto"/>
        </w:rPr>
        <w:t>Shares eligible for future sale</w:t>
      </w:r>
    </w:p>
    <w:p>
      <w:pPr>
        <w:spacing w:after="0" w:line="296" w:lineRule="exact"/>
        <w:rPr>
          <w:sz w:val="20"/>
          <w:szCs w:val="20"/>
          <w:color w:val="auto"/>
        </w:rPr>
      </w:pPr>
    </w:p>
    <w:p>
      <w:pPr>
        <w:ind w:left="3" w:right="260"/>
        <w:spacing w:after="0" w:line="258" w:lineRule="auto"/>
        <w:rPr>
          <w:sz w:val="20"/>
          <w:szCs w:val="20"/>
          <w:color w:val="auto"/>
        </w:rPr>
      </w:pPr>
      <w:r>
        <w:rPr>
          <w:rFonts w:ascii="Arial" w:cs="Arial" w:eastAsia="Arial" w:hAnsi="Arial"/>
          <w:sz w:val="16"/>
          <w:szCs w:val="16"/>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22"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Upon the completion of this offering, based on the number of shares of our common stock outstanding as of June 30, 2021, we will have a total of 67,347,706 shares of our Class A common stock, 7,332,640 shares of our LT10 common stock and 6,224,160 shares of our LT50 common stock outstanding, assuming (i) the conversion of all outstanding shares of our preferred stock on a one-for-one basis into 42,031,390 shares of our Class A common stock, (ii) the reclassification of all outstanding shares of our common stock on a one-for-one basis into 34,780,520 shares of our Class A common stock, based on 34,780,520 shares of common stock outstanding as of June 30, 2021, (iii) the issuance of 1,483,900 shares of our Class A common stock in connection with the exercise of 1,483,900 stock options pursuant to the Option Exercise, and (iv) the issuance of 7,332,640 and 6,224,160 shares of our LT10 and LT50 common stock in exchange for 13,556,800 shares of Class A common stock pursuant to the 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310" w:lineRule="exact"/>
        <w:rPr>
          <w:sz w:val="20"/>
          <w:szCs w:val="20"/>
          <w:color w:val="auto"/>
        </w:rPr>
      </w:pPr>
    </w:p>
    <w:p>
      <w:pPr>
        <w:ind w:left="3" w:right="140"/>
        <w:spacing w:after="0" w:line="258" w:lineRule="auto"/>
        <w:rPr>
          <w:sz w:val="20"/>
          <w:szCs w:val="20"/>
          <w:color w:val="auto"/>
        </w:rPr>
      </w:pPr>
      <w:r>
        <w:rPr>
          <w:rFonts w:ascii="Arial" w:cs="Arial" w:eastAsia="Arial" w:hAnsi="Arial"/>
          <w:sz w:val="16"/>
          <w:szCs w:val="16"/>
          <w:color w:val="auto"/>
        </w:rPr>
        <w:t>The remaining shares of Class A, LT10 and LT50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Rule 144</w:t>
      </w:r>
    </w:p>
    <w:p>
      <w:pPr>
        <w:spacing w:after="0" w:line="164"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11" w:lineRule="exact"/>
        <w:rPr>
          <w:sz w:val="20"/>
          <w:szCs w:val="20"/>
          <w:color w:val="auto"/>
        </w:rPr>
      </w:pPr>
    </w:p>
    <w:p>
      <w:pPr>
        <w:jc w:val="both"/>
        <w:ind w:left="3" w:right="40"/>
        <w:spacing w:after="0" w:line="261"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18" w:lineRule="exact"/>
        <w:rPr>
          <w:sz w:val="20"/>
          <w:szCs w:val="20"/>
          <w:color w:val="auto"/>
        </w:rPr>
      </w:pPr>
    </w:p>
    <w:p>
      <w:pPr>
        <w:ind w:left="283" w:right="560" w:hanging="283"/>
        <w:spacing w:after="0" w:line="268" w:lineRule="auto"/>
        <w:tabs>
          <w:tab w:leader="none" w:pos="2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1% of the number of shares of our Class A common stock then outstanding, which will equal approximately 673,477 shares immediately after the completion of this offering;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1243"/>
          </w:cols>
          <w:pgMar w:left="317" w:top="1407" w:right="339" w:bottom="1440" w:gutter="0" w:footer="0" w:header="0"/>
        </w:sectPr>
      </w:pPr>
    </w:p>
    <w:bookmarkStart w:id="199" w:name="page200"/>
    <w:bookmarkEnd w:id="199"/>
    <w:p>
      <w:pPr>
        <w:spacing w:after="0" w:line="2" w:lineRule="exact"/>
        <w:rPr>
          <w:sz w:val="20"/>
          <w:szCs w:val="20"/>
          <w:color w:val="auto"/>
        </w:rPr>
      </w:pPr>
    </w:p>
    <w:p>
      <w:pPr>
        <w:ind w:left="283" w:right="80" w:hanging="283"/>
        <w:spacing w:after="0" w:line="268" w:lineRule="auto"/>
        <w:tabs>
          <w:tab w:leader="none" w:pos="2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average weekly trading volume of our Class A common stock on the Nasdaq during the four calendar weeks preceding the filing of a notice on Form 144 with respect to such sale.</w:t>
      </w:r>
    </w:p>
    <w:p>
      <w:pPr>
        <w:spacing w:after="0" w:line="101" w:lineRule="exact"/>
        <w:rPr>
          <w:sz w:val="20"/>
          <w:szCs w:val="20"/>
          <w:color w:val="auto"/>
        </w:rPr>
      </w:pPr>
    </w:p>
    <w:p>
      <w:pPr>
        <w:ind w:left="3" w:right="440"/>
        <w:spacing w:after="0" w:line="268"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Rule 701</w:t>
      </w:r>
    </w:p>
    <w:p>
      <w:pPr>
        <w:spacing w:after="0" w:line="164" w:lineRule="exact"/>
        <w:rPr>
          <w:sz w:val="20"/>
          <w:szCs w:val="20"/>
          <w:color w:val="auto"/>
        </w:rPr>
      </w:pPr>
    </w:p>
    <w:p>
      <w:pPr>
        <w:ind w:left="3" w:right="100"/>
        <w:spacing w:after="0" w:line="255"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Lock-up agreements and other transfer restrictions</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our officers and directors and substantially all of our security holders have agreed or will agree that, without the prior written consent of J.P. Morgan Securities LLC, as representative of the underwriters, we and they will not, among other things, subject to certain exceptions, during the period ending 180 days after the date of this prospectus, subject to earlier termination as described below (such period, the "restricted period"):</w:t>
      </w:r>
    </w:p>
    <w:p>
      <w:pPr>
        <w:spacing w:after="0" w:line="118" w:lineRule="exact"/>
        <w:rPr>
          <w:sz w:val="20"/>
          <w:szCs w:val="20"/>
          <w:color w:val="auto"/>
        </w:rPr>
      </w:pPr>
    </w:p>
    <w:p>
      <w:pPr>
        <w:ind w:left="283" w:right="500" w:hanging="283"/>
        <w:spacing w:after="0" w:line="268" w:lineRule="auto"/>
        <w:tabs>
          <w:tab w:leader="none" w:pos="2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publicly disclose the intent to do any of the foregoing,</w:t>
      </w:r>
    </w:p>
    <w:p>
      <w:pPr>
        <w:spacing w:after="0" w:line="145" w:lineRule="exact"/>
        <w:rPr>
          <w:sz w:val="20"/>
          <w:szCs w:val="20"/>
          <w:color w:val="auto"/>
        </w:rPr>
      </w:pPr>
    </w:p>
    <w:p>
      <w:pPr>
        <w:ind w:left="3" w:right="1520"/>
        <w:spacing w:after="0" w:line="420" w:lineRule="auto"/>
        <w:rPr>
          <w:sz w:val="20"/>
          <w:szCs w:val="20"/>
          <w:color w:val="auto"/>
        </w:rPr>
      </w:pPr>
      <w:r>
        <w:rPr>
          <w:rFonts w:ascii="Arial" w:cs="Arial" w:eastAsia="Arial" w:hAnsi="Arial"/>
          <w:sz w:val="16"/>
          <w:szCs w:val="16"/>
          <w:color w:val="auto"/>
        </w:rPr>
        <w:t>whether any transaction described above is to be settled by delivery of our common stock or such other securities, in cash or otherwise. Notwithstanding the foregoing,</w:t>
      </w:r>
    </w:p>
    <w:p>
      <w:pPr>
        <w:spacing w:after="0" w:line="2" w:lineRule="exact"/>
        <w:rPr>
          <w:sz w:val="20"/>
          <w:szCs w:val="20"/>
          <w:color w:val="auto"/>
        </w:rPr>
      </w:pPr>
    </w:p>
    <w:p>
      <w:pPr>
        <w:ind w:left="283" w:right="300" w:hanging="283"/>
        <w:spacing w:after="0" w:line="261" w:lineRule="auto"/>
        <w:tabs>
          <w:tab w:leader="none" w:pos="2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the holder is a current employee of our company or our subsidiaries (including current contractor, consultant or other service provider but excluding any of our directors, director nominees or officers), 15% of that holder's securities shall not be subject to a lock-up agreement or other transfer restrictions (in the aggregate, this will represent up to approximately 1.67 million shares); and</w:t>
      </w:r>
    </w:p>
    <w:p>
      <w:pPr>
        <w:spacing w:after="0" w:line="118" w:lineRule="exact"/>
        <w:rPr>
          <w:rFonts w:ascii="Arial" w:cs="Arial" w:eastAsia="Arial" w:hAnsi="Arial"/>
          <w:sz w:val="16"/>
          <w:szCs w:val="16"/>
          <w:color w:val="auto"/>
        </w:rPr>
      </w:pPr>
    </w:p>
    <w:p>
      <w:pPr>
        <w:ind w:left="283" w:right="60" w:hanging="283"/>
        <w:spacing w:after="0" w:line="257" w:lineRule="auto"/>
        <w:tabs>
          <w:tab w:leader="none" w:pos="2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43"/>
          </w:cols>
          <w:pgMar w:left="317" w:top="1440" w:right="339" w:bottom="1440" w:gutter="0" w:footer="0" w:header="0"/>
        </w:sectPr>
      </w:pPr>
    </w:p>
    <w:bookmarkStart w:id="200" w:name="page201"/>
    <w:bookmarkEnd w:id="200"/>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Upon the expiration of the applicable lock-up periods, substantially all of the shares of Class A common stock subject to such lock-up restrictions will become eligible for sale, subject to the limitations discussed. Shares of our LT10 and LT50 common stock will remain subject to the transfer restrictions contained in our charter, as described under “Description of capital stock— Common stock—Conversion and transfer.”</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statements on form S-8</w:t>
      </w:r>
    </w:p>
    <w:p>
      <w:pPr>
        <w:spacing w:after="0" w:line="164"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Upon the completion of this offering, the holders of up to 35,530,382 shares of our Class A common stock (assuming no exercise of the underwriters’ option to purchase additional shares from the selling stockholders) as of October 25, 2021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40"/>
          </w:cols>
          <w:pgMar w:left="320" w:top="1440" w:right="339" w:bottom="1440" w:gutter="0" w:footer="0" w:header="0"/>
        </w:sectPr>
      </w:pPr>
    </w:p>
    <w:bookmarkStart w:id="201" w:name="page202"/>
    <w:bookmarkEnd w:id="201"/>
    <w:p>
      <w:pPr>
        <w:ind w:left="3"/>
        <w:spacing w:after="0"/>
        <w:rPr>
          <w:sz w:val="20"/>
          <w:szCs w:val="20"/>
          <w:color w:val="auto"/>
        </w:rPr>
      </w:pPr>
      <w:r>
        <w:rPr>
          <w:rFonts w:ascii="Arial" w:cs="Arial" w:eastAsia="Arial" w:hAnsi="Arial"/>
          <w:sz w:val="26"/>
          <w:szCs w:val="26"/>
          <w:b w:val="1"/>
          <w:bCs w:val="1"/>
          <w:color w:val="auto"/>
        </w:rPr>
        <w:t>Material U.S. federal income tax consequences to Non-U.S. Holders</w:t>
      </w:r>
    </w:p>
    <w:p>
      <w:pPr>
        <w:spacing w:after="0" w:line="29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318"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10" w:lineRule="exact"/>
        <w:rPr>
          <w:sz w:val="20"/>
          <w:szCs w:val="20"/>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144"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persons holding our Class A common stock as part of a hedge, straddle, synthetic security, or other risk reduction strategy or as part of a conversion transaction or other integrated investment;</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in exchange or in conversion of shares of LT10 or LT50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144"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243"/>
          </w:cols>
          <w:pgMar w:left="317" w:top="1407" w:right="339" w:bottom="1440" w:gutter="0" w:footer="0" w:header="0"/>
        </w:sectPr>
      </w:pPr>
    </w:p>
    <w:bookmarkStart w:id="202" w:name="page203"/>
    <w:bookmarkEnd w:id="202"/>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level. Accordingly, partnerships holding our Class A common stock and the partners in such partnerships should consult their tax advisors regarding the U.S.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federal income tax consequences to them.</w:t>
      </w:r>
    </w:p>
    <w:p>
      <w:pPr>
        <w:spacing w:after="0" w:line="113" w:lineRule="exact"/>
        <w:rPr>
          <w:sz w:val="20"/>
          <w:szCs w:val="20"/>
          <w:color w:val="auto"/>
        </w:rPr>
      </w:pPr>
    </w:p>
    <w:p>
      <w:pPr>
        <w:ind w:left="3" w:right="60"/>
        <w:spacing w:after="0" w:line="264"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Definition of a Non-U.S. Holder</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06" w:lineRule="exact"/>
        <w:rPr>
          <w:sz w:val="20"/>
          <w:szCs w:val="20"/>
          <w:color w:val="auto"/>
        </w:rPr>
      </w:pPr>
    </w:p>
    <w:p>
      <w:pPr>
        <w:ind w:left="283" w:hanging="283"/>
        <w:spacing w:after="0"/>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32"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Distributions</w:t>
      </w:r>
    </w:p>
    <w:p>
      <w:pPr>
        <w:spacing w:after="0" w:line="164"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09"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 -U.S.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43"/>
          </w:cols>
          <w:pgMar w:left="317" w:top="1440" w:right="339" w:bottom="1440" w:gutter="0" w:footer="0" w:header="0"/>
        </w:sectPr>
      </w:pPr>
    </w:p>
    <w:bookmarkStart w:id="203" w:name="page204"/>
    <w:bookmarkEnd w:id="203"/>
    <w:p>
      <w:pPr>
        <w:spacing w:after="0" w:line="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06" w:lineRule="exact"/>
        <w:rPr>
          <w:sz w:val="20"/>
          <w:szCs w:val="20"/>
          <w:color w:val="auto"/>
        </w:rPr>
      </w:pPr>
    </w:p>
    <w:p>
      <w:pPr>
        <w:jc w:val="both"/>
        <w:ind w:left="3" w:right="140"/>
        <w:spacing w:after="0" w:line="258" w:lineRule="auto"/>
        <w:rPr>
          <w:sz w:val="20"/>
          <w:szCs w:val="20"/>
          <w:color w:val="auto"/>
        </w:rPr>
      </w:pPr>
      <w:r>
        <w:rPr>
          <w:rFonts w:ascii="Arial" w:cs="Arial" w:eastAsia="Arial" w:hAnsi="Arial"/>
          <w:sz w:val="16"/>
          <w:szCs w:val="16"/>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Sale or other taxable disposition</w:t>
      </w:r>
    </w:p>
    <w:p>
      <w:pPr>
        <w:spacing w:after="0" w:line="164" w:lineRule="exact"/>
        <w:rPr>
          <w:sz w:val="20"/>
          <w:szCs w:val="20"/>
          <w:color w:val="auto"/>
        </w:rPr>
      </w:pPr>
    </w:p>
    <w:p>
      <w:pPr>
        <w:ind w:left="3" w:right="280"/>
        <w:spacing w:after="0" w:line="268" w:lineRule="auto"/>
        <w:rPr>
          <w:sz w:val="20"/>
          <w:szCs w:val="20"/>
          <w:color w:val="auto"/>
        </w:rPr>
      </w:pPr>
      <w:r>
        <w:rPr>
          <w:rFonts w:ascii="Arial" w:cs="Arial" w:eastAsia="Arial" w:hAnsi="Arial"/>
          <w:sz w:val="16"/>
          <w:szCs w:val="16"/>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101" w:lineRule="exact"/>
        <w:rPr>
          <w:sz w:val="20"/>
          <w:szCs w:val="20"/>
          <w:color w:val="auto"/>
        </w:rPr>
      </w:pPr>
    </w:p>
    <w:p>
      <w:pPr>
        <w:ind w:left="283" w:right="320" w:hanging="283"/>
        <w:spacing w:after="0" w:line="268" w:lineRule="auto"/>
        <w:tabs>
          <w:tab w:leader="none" w:pos="27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1"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12" w:lineRule="exact"/>
        <w:rPr>
          <w:rFonts w:ascii="Arial" w:cs="Arial" w:eastAsia="Arial" w:hAnsi="Arial"/>
          <w:sz w:val="16"/>
          <w:szCs w:val="16"/>
          <w:color w:val="auto"/>
        </w:rPr>
      </w:pPr>
    </w:p>
    <w:p>
      <w:pPr>
        <w:ind w:left="283" w:right="620" w:hanging="283"/>
        <w:spacing w:after="0" w:line="268" w:lineRule="auto"/>
        <w:tabs>
          <w:tab w:leader="none" w:pos="27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jc w:val="both"/>
        <w:ind w:left="3" w:right="60"/>
        <w:spacing w:after="0" w:line="26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18"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 -U.S.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164" w:lineRule="exact"/>
        <w:rPr>
          <w:sz w:val="20"/>
          <w:szCs w:val="20"/>
          <w:color w:val="auto"/>
        </w:rPr>
      </w:pPr>
    </w:p>
    <w:p>
      <w:pPr>
        <w:ind w:left="3" w:right="340"/>
        <w:spacing w:after="0" w:line="268"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43"/>
          </w:cols>
          <w:pgMar w:left="317" w:top="1440" w:right="339" w:bottom="1440" w:gutter="0" w:footer="0" w:header="0"/>
        </w:sectPr>
      </w:pPr>
    </w:p>
    <w:bookmarkStart w:id="204" w:name="page205"/>
    <w:bookmarkEnd w:id="204"/>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11"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withholding tax on payments made to foreign accounts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7"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22"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240"/>
          </w:cols>
          <w:pgMar w:left="320" w:top="1440" w:right="339" w:bottom="1440" w:gutter="0" w:footer="0" w:header="0"/>
        </w:sectPr>
      </w:pPr>
    </w:p>
    <w:bookmarkStart w:id="205" w:name="page206"/>
    <w:bookmarkEnd w:id="205"/>
    <w:p>
      <w:pPr>
        <w:spacing w:after="0"/>
        <w:rPr>
          <w:sz w:val="20"/>
          <w:szCs w:val="20"/>
          <w:color w:val="auto"/>
        </w:rPr>
      </w:pPr>
      <w:r>
        <w:rPr>
          <w:rFonts w:ascii="Arial" w:cs="Arial" w:eastAsia="Arial" w:hAnsi="Arial"/>
          <w:sz w:val="26"/>
          <w:szCs w:val="26"/>
          <w:b w:val="1"/>
          <w:bCs w:val="1"/>
          <w:color w:val="auto"/>
        </w:rPr>
        <w:t>Underwriting</w:t>
      </w:r>
    </w:p>
    <w:p>
      <w:pPr>
        <w:spacing w:after="0" w:line="29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and the selling stockholders are offering the shares of Class A common stock described in this prospectus through a number of underwriters. J.P. Morgan Securities LLC, Citigroup Global Markets Inc. and BofA Securities, Inc.are acting as joint book-running managers of the offering and as representatives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4565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990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139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J.P. Morgan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Loop Capital Markets LLC</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9,730,776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underwriters are committed to purchase all the shares of Class A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propose to offer the Class A common stock directly to the public at the initial public offering price set forth on the cover page of this</w:t>
      </w:r>
    </w:p>
    <w:p>
      <w:pPr>
        <w:spacing w:after="0" w:line="1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prospectus and to certain dealers at that price less a concession not in excess of $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underwriters have an option to buy up to 1,459,616 additional shares of Class A common stock from certain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underwriters to us per share of</w:t>
      </w:r>
    </w:p>
    <w:p>
      <w:pPr>
        <w:spacing w:after="0" w:line="1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Class A common stock. The underwriting fee is $ per share. The following table shows the per share and total underwriting discounts and commissions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1260"/>
          </w:cols>
          <w:pgMar w:left="320" w:top="1407" w:right="319" w:bottom="1440" w:gutter="0" w:footer="0" w:header="0"/>
        </w:sectPr>
      </w:pPr>
    </w:p>
    <w:bookmarkStart w:id="206" w:name="page207"/>
    <w:bookmarkEnd w:id="206"/>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be paid by us and the selling stockholders to the underwriters assuming both no exercise and full exercise of the underwriters’ option to purchase additional shares from certain selling stockholders.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9"/>
              </w:rPr>
              <w:t>Paid by the selling</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Paid by the selling</w:t>
            </w:r>
          </w:p>
        </w:tc>
        <w:tc>
          <w:tcPr>
            <w:tcW w:w="0" w:type="dxa"/>
            <w:vAlign w:val="bottom"/>
          </w:tcPr>
          <w:p>
            <w:pPr>
              <w:spacing w:after="0"/>
              <w:rPr>
                <w:sz w:val="1"/>
                <w:szCs w:val="1"/>
                <w:color w:val="auto"/>
              </w:rPr>
            </w:pPr>
          </w:p>
        </w:tc>
      </w:tr>
      <w:tr>
        <w:trPr>
          <w:trHeight w:val="122"/>
        </w:trPr>
        <w:tc>
          <w:tcPr>
            <w:tcW w:w="6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rPr>
              <w:t>stockholders without full</w:t>
            </w:r>
          </w:p>
        </w:tc>
        <w:tc>
          <w:tcPr>
            <w:tcW w:w="1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stockholders with full</w:t>
            </w:r>
          </w:p>
        </w:tc>
        <w:tc>
          <w:tcPr>
            <w:tcW w:w="0" w:type="dxa"/>
            <w:vAlign w:val="bottom"/>
          </w:tcPr>
          <w:p>
            <w:pPr>
              <w:spacing w:after="0"/>
              <w:rPr>
                <w:sz w:val="1"/>
                <w:szCs w:val="1"/>
                <w:color w:val="auto"/>
              </w:rPr>
            </w:pPr>
          </w:p>
        </w:tc>
      </w:tr>
      <w:tr>
        <w:trPr>
          <w:trHeight w:val="122"/>
        </w:trPr>
        <w:tc>
          <w:tcPr>
            <w:tcW w:w="6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option to purchase</w:t>
            </w:r>
          </w:p>
        </w:tc>
        <w:tc>
          <w:tcPr>
            <w:tcW w:w="1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option to purchase</w:t>
            </w:r>
          </w:p>
        </w:tc>
        <w:tc>
          <w:tcPr>
            <w:tcW w:w="0" w:type="dxa"/>
            <w:vAlign w:val="bottom"/>
          </w:tcPr>
          <w:p>
            <w:pPr>
              <w:spacing w:after="0"/>
              <w:rPr>
                <w:sz w:val="1"/>
                <w:szCs w:val="1"/>
                <w:color w:val="auto"/>
              </w:rPr>
            </w:pPr>
          </w:p>
        </w:tc>
      </w:tr>
      <w:tr>
        <w:trPr>
          <w:trHeight w:val="122"/>
        </w:trPr>
        <w:tc>
          <w:tcPr>
            <w:tcW w:w="6340" w:type="dxa"/>
            <w:vAlign w:val="bottom"/>
          </w:tcPr>
          <w:p>
            <w:pPr>
              <w:spacing w:after="0"/>
              <w:rPr>
                <w:sz w:val="10"/>
                <w:szCs w:val="10"/>
                <w:color w:val="auto"/>
              </w:rPr>
            </w:pPr>
          </w:p>
        </w:tc>
        <w:tc>
          <w:tcPr>
            <w:tcW w:w="168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Paid by us</w:t>
            </w:r>
          </w:p>
        </w:tc>
        <w:tc>
          <w:tcPr>
            <w:tcW w:w="1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additional share</w:t>
            </w:r>
          </w:p>
        </w:tc>
        <w:tc>
          <w:tcPr>
            <w:tcW w:w="1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additional share</w:t>
            </w:r>
          </w:p>
        </w:tc>
        <w:tc>
          <w:tcPr>
            <w:tcW w:w="0" w:type="dxa"/>
            <w:vAlign w:val="bottom"/>
          </w:tcPr>
          <w:p>
            <w:pPr>
              <w:spacing w:after="0"/>
              <w:rPr>
                <w:sz w:val="1"/>
                <w:szCs w:val="1"/>
                <w:color w:val="auto"/>
              </w:rPr>
            </w:pPr>
          </w:p>
        </w:tc>
      </w:tr>
      <w:tr>
        <w:trPr>
          <w:trHeight w:val="158"/>
        </w:trPr>
        <w:tc>
          <w:tcPr>
            <w:tcW w:w="63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exercise</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9"/>
              </w:rPr>
              <w:t>exercise</w:t>
            </w:r>
          </w:p>
        </w:tc>
        <w:tc>
          <w:tcPr>
            <w:tcW w:w="0" w:type="dxa"/>
            <w:vAlign w:val="bottom"/>
          </w:tcPr>
          <w:p>
            <w:pPr>
              <w:spacing w:after="0"/>
              <w:rPr>
                <w:sz w:val="1"/>
                <w:szCs w:val="1"/>
                <w:color w:val="auto"/>
              </w:rPr>
            </w:pPr>
          </w:p>
        </w:tc>
      </w:tr>
      <w:tr>
        <w:trPr>
          <w:trHeight w:val="199"/>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 share</w:t>
            </w:r>
          </w:p>
        </w:tc>
        <w:tc>
          <w:tcPr>
            <w:tcW w:w="1580" w:type="dxa"/>
            <w:vAlign w:val="bottom"/>
            <w:tcBorders>
              <w:top w:val="single" w:sz="8" w:color="auto"/>
            </w:tcBorders>
            <w:shd w:val="clear" w:color="auto" w:fill="CCEEFF"/>
          </w:tcPr>
          <w:p>
            <w:pPr>
              <w:jc w:val="right"/>
              <w:ind w:right="1404"/>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ind w:right="1390"/>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41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6340" w:type="dxa"/>
            <w:vAlign w:val="bottom"/>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Pr>
          <w:p>
            <w:pPr>
              <w:jc w:val="right"/>
              <w:ind w:right="1404"/>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560" w:type="dxa"/>
            <w:vAlign w:val="bottom"/>
          </w:tcPr>
          <w:p>
            <w:pPr>
              <w:jc w:val="right"/>
              <w:ind w:right="139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580" w:type="dxa"/>
            <w:vAlign w:val="bottom"/>
          </w:tcPr>
          <w:p>
            <w:pPr>
              <w:jc w:val="right"/>
              <w:ind w:right="141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49"/>
        </w:trPr>
        <w:tc>
          <w:tcPr>
            <w:tcW w:w="63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currently anticipate that up to 2% of the shares of Class A common stock offered hereby will, at our request, be offered to retail investors through Robinhood Financial, LLC, as a selling group member, via its online brokerage platform. Robinhood Financial is not acting as an underwriter in the offering and is not affiliated with the company. Purchases through the Robinhood platform will be subject to the terms, conditions and requirements set by Robinhood. Any purchase of our Class A common stock in this offering through the Robinhood platform will be at the same initial public offering price, and at the same time, as any other purchases in this offering, including purchases by institutions and other large investors. The Robinhood platform and information on the Robinhood application do not form a part of this prospectus.</w:t>
      </w:r>
    </w:p>
    <w:p>
      <w:pPr>
        <w:spacing w:after="0" w:line="10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 approximately $6.2 million. We have also agreed to reimburse the underwriters for expenses relating to the clearance of this offering with the Financial Industry Regulatory Authority, Inc. in an amount up to $35,000.</w:t>
      </w:r>
    </w:p>
    <w:p>
      <w:pPr>
        <w:spacing w:after="0" w:line="11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subject to earlier termination as described below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60"/>
          </w:cols>
          <w:pgMar w:left="320" w:top="1440" w:right="319" w:bottom="1440" w:gutter="0" w:footer="0" w:header="0"/>
        </w:sectPr>
      </w:pPr>
    </w:p>
    <w:bookmarkStart w:id="207" w:name="page208"/>
    <w:bookmarkEnd w:id="207"/>
    <w:p>
      <w:pPr>
        <w:spacing w:after="0" w:line="2"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warrant to purchase, lend or otherwise transfer or dispose of, directly or indirectly, any shares of our Class A common stock or any securities convertible into or exercisable or exchangeable for our Class A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14"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Notwithstanding the foregoing,</w:t>
      </w:r>
    </w:p>
    <w:p>
      <w:pPr>
        <w:spacing w:after="0" w:line="145" w:lineRule="exact"/>
        <w:rPr>
          <w:sz w:val="20"/>
          <w:szCs w:val="20"/>
          <w:color w:val="auto"/>
        </w:rPr>
      </w:pPr>
    </w:p>
    <w:p>
      <w:pPr>
        <w:ind w:left="283" w:right="300" w:hanging="283"/>
        <w:spacing w:after="0" w:line="268" w:lineRule="auto"/>
        <w:tabs>
          <w:tab w:leader="none" w:pos="27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the holder is a current employee of our company or our subsidiaries (including current contractor, consultant or other service provider but excluding any of our directors, director nominees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1243"/>
          </w:cols>
          <w:pgMar w:left="317" w:top="1440" w:right="339" w:bottom="1440" w:gutter="0" w:footer="0" w:header="0"/>
        </w:sectPr>
      </w:pPr>
    </w:p>
    <w:bookmarkStart w:id="208" w:name="page209"/>
    <w:bookmarkEnd w:id="208"/>
    <w:p>
      <w:pPr>
        <w:spacing w:after="0" w:line="2" w:lineRule="exact"/>
        <w:rPr>
          <w:sz w:val="20"/>
          <w:szCs w:val="20"/>
          <w:color w:val="auto"/>
        </w:rPr>
      </w:pPr>
    </w:p>
    <w:p>
      <w:pPr>
        <w:ind w:left="283" w:right="600"/>
        <w:spacing w:after="0" w:line="268" w:lineRule="auto"/>
        <w:rPr>
          <w:sz w:val="20"/>
          <w:szCs w:val="20"/>
          <w:color w:val="auto"/>
        </w:rPr>
      </w:pPr>
      <w:r>
        <w:rPr>
          <w:rFonts w:ascii="Arial" w:cs="Arial" w:eastAsia="Arial" w:hAnsi="Arial"/>
          <w:sz w:val="16"/>
          <w:szCs w:val="16"/>
          <w:color w:val="auto"/>
        </w:rPr>
        <w:t>15% of that holder's securities shall not be subject to a lock-up agreement or other transfer restrictions (in the aggregate, this will represent up to approximately 1.67 million shares); and</w:t>
      </w:r>
    </w:p>
    <w:p>
      <w:pPr>
        <w:spacing w:after="0" w:line="101" w:lineRule="exact"/>
        <w:rPr>
          <w:sz w:val="20"/>
          <w:szCs w:val="20"/>
          <w:color w:val="auto"/>
        </w:rPr>
      </w:pPr>
    </w:p>
    <w:p>
      <w:pPr>
        <w:ind w:left="283" w:right="60" w:hanging="283"/>
        <w:spacing w:after="0" w:line="257" w:lineRule="auto"/>
        <w:tabs>
          <w:tab w:leader="none" w:pos="27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123"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J.P. Morgan Securities LLC, in its sole discretion, may release the securities subject to any of the lock-up agreements with the underwriters described above, in whole or in part at any time.</w:t>
      </w:r>
    </w:p>
    <w:p>
      <w:pPr>
        <w:spacing w:after="0" w:line="113" w:lineRule="exact"/>
        <w:rPr>
          <w:sz w:val="20"/>
          <w:szCs w:val="20"/>
          <w:color w:val="auto"/>
        </w:rPr>
      </w:pPr>
    </w:p>
    <w:p>
      <w:pPr>
        <w:ind w:left="3" w:right="920"/>
        <w:spacing w:after="0" w:line="420" w:lineRule="auto"/>
        <w:rPr>
          <w:sz w:val="20"/>
          <w:szCs w:val="20"/>
          <w:color w:val="auto"/>
        </w:rPr>
      </w:pPr>
      <w:r>
        <w:rPr>
          <w:rFonts w:ascii="Arial" w:cs="Arial" w:eastAsia="Arial" w:hAnsi="Arial"/>
          <w:sz w:val="16"/>
          <w:szCs w:val="16"/>
          <w:color w:val="auto"/>
        </w:rPr>
        <w:t>We and the selling stockholders have agreed to indemnify the underwriters against certain liabilities, including liabilities under the Securities Act. We have applied to list our Class A common stock on Nasdaq under the symbol “EXFY.”</w:t>
      </w:r>
    </w:p>
    <w:p>
      <w:pPr>
        <w:spacing w:after="0" w:line="2"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our Class A common stock on the open market to cover positions created by short sales. Short sales may be “covered” shorts, which are short positions in an amount not 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 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321" w:lineRule="exact"/>
        <w:rPr>
          <w:sz w:val="20"/>
          <w:szCs w:val="20"/>
          <w:color w:val="auto"/>
        </w:rPr>
      </w:pPr>
    </w:p>
    <w:p>
      <w:pPr>
        <w:ind w:left="3" w:right="240"/>
        <w:spacing w:after="0" w:line="25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0"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22" w:lineRule="exact"/>
        <w:rPr>
          <w:sz w:val="20"/>
          <w:szCs w:val="20"/>
          <w:color w:val="auto"/>
        </w:rPr>
      </w:pPr>
    </w:p>
    <w:p>
      <w:pPr>
        <w:ind w:left="3" w:right="500"/>
        <w:spacing w:after="0" w:line="268"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will be determined by negotiations between us and the representatives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243"/>
          </w:cols>
          <w:pgMar w:left="317" w:top="1440" w:right="339" w:bottom="1440" w:gutter="0" w:footer="0" w:header="0"/>
        </w:sectPr>
      </w:pPr>
    </w:p>
    <w:bookmarkStart w:id="209" w:name="page210"/>
    <w:bookmarkEnd w:id="209"/>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determining the initial public offering price, we and the representatives of the underwriters expect to consider a number of factors including:</w:t>
      </w:r>
    </w:p>
    <w:p>
      <w:pPr>
        <w:spacing w:after="0" w:line="133" w:lineRule="exact"/>
        <w:rPr>
          <w:sz w:val="20"/>
          <w:szCs w:val="20"/>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our prospects and the history and prospects for the industry in which we compete;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 assessment of our management;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our prospects for future earnings;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general condition of the securities markets at the time of this offering;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common stock of generally comparable companies;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other factors deemed relevant by the underwriters and us.</w:t>
      </w:r>
    </w:p>
    <w:p>
      <w:pPr>
        <w:spacing w:after="0" w:line="145"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Other relationships</w:t>
      </w:r>
    </w:p>
    <w:p>
      <w:pPr>
        <w:spacing w:after="0" w:line="15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Selling restrictions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General</w:t>
      </w:r>
    </w:p>
    <w:p>
      <w:pPr>
        <w:spacing w:after="0" w:line="153" w:lineRule="exact"/>
        <w:rPr>
          <w:sz w:val="20"/>
          <w:szCs w:val="20"/>
          <w:color w:val="auto"/>
        </w:rPr>
      </w:pPr>
    </w:p>
    <w:p>
      <w:pPr>
        <w:ind w:left="3" w:right="40"/>
        <w:spacing w:after="0" w:line="256"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165"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10" w:lineRule="exact"/>
        <w:rPr>
          <w:sz w:val="20"/>
          <w:szCs w:val="20"/>
          <w:color w:val="auto"/>
        </w:rPr>
      </w:pPr>
    </w:p>
    <w:p>
      <w:pPr>
        <w:ind w:left="283" w:hanging="283"/>
        <w:spacing w:after="0"/>
        <w:tabs>
          <w:tab w:leader="none" w:pos="2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Prospectus Regulation;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5483"/>
        <w:spacing w:after="0"/>
        <w:rPr>
          <w:rFonts w:ascii="Arial" w:cs="Arial" w:eastAsia="Arial" w:hAnsi="Arial"/>
          <w:sz w:val="16"/>
          <w:szCs w:val="16"/>
          <w:color w:val="auto"/>
        </w:rPr>
      </w:pPr>
      <w:r>
        <w:rPr>
          <w:rFonts w:ascii="Arial" w:cs="Arial" w:eastAsia="Arial" w:hAnsi="Arial"/>
          <w:sz w:val="16"/>
          <w:szCs w:val="16"/>
          <w:color w:val="auto"/>
        </w:rPr>
        <w:t>197</w:t>
      </w:r>
    </w:p>
    <w:p>
      <w:pPr>
        <w:sectPr>
          <w:pgSz w:w="11900" w:h="16838" w:orient="portrait"/>
          <w:cols w:equalWidth="0" w:num="1">
            <w:col w:w="11183"/>
          </w:cols>
          <w:pgMar w:left="317" w:top="1440" w:right="399" w:bottom="1440" w:gutter="0" w:footer="0" w:header="0"/>
        </w:sectPr>
      </w:pPr>
    </w:p>
    <w:bookmarkStart w:id="210" w:name="page211"/>
    <w:bookmarkEnd w:id="210"/>
    <w:p>
      <w:pPr>
        <w:spacing w:after="0" w:line="2" w:lineRule="exact"/>
        <w:rPr>
          <w:sz w:val="20"/>
          <w:szCs w:val="20"/>
          <w:color w:val="auto"/>
        </w:rPr>
      </w:pPr>
    </w:p>
    <w:p>
      <w:pPr>
        <w:ind w:left="283" w:right="200" w:hanging="283"/>
        <w:spacing w:after="0" w:line="268" w:lineRule="auto"/>
        <w:tabs>
          <w:tab w:leader="none" w:pos="28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representatives for any such offer;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45"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13"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165"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8" w:lineRule="exact"/>
        <w:rPr>
          <w:sz w:val="20"/>
          <w:szCs w:val="20"/>
          <w:color w:val="auto"/>
        </w:rPr>
      </w:pPr>
    </w:p>
    <w:p>
      <w:pPr>
        <w:ind w:left="283" w:hanging="283"/>
        <w:spacing w:after="0"/>
        <w:tabs>
          <w:tab w:leader="none" w:pos="2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132" w:lineRule="exact"/>
        <w:rPr>
          <w:rFonts w:ascii="Arial" w:cs="Arial" w:eastAsia="Arial" w:hAnsi="Arial"/>
          <w:sz w:val="16"/>
          <w:szCs w:val="16"/>
          <w:color w:val="auto"/>
        </w:rPr>
      </w:pPr>
    </w:p>
    <w:p>
      <w:pPr>
        <w:ind w:left="283" w:right="640" w:hanging="283"/>
        <w:spacing w:after="0" w:line="268" w:lineRule="auto"/>
        <w:tabs>
          <w:tab w:leader="none" w:pos="28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w:t>
      </w:r>
    </w:p>
    <w:p>
      <w:pPr>
        <w:spacing w:after="0" w:line="145"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165"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2"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1223"/>
          </w:cols>
          <w:pgMar w:left="317" w:top="1440" w:right="359" w:bottom="1440" w:gutter="0" w:footer="0" w:header="0"/>
        </w:sectPr>
      </w:pPr>
    </w:p>
    <w:bookmarkStart w:id="211" w:name="page212"/>
    <w:bookmarkEnd w:id="211"/>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Switzerland</w:t>
      </w:r>
    </w:p>
    <w:p>
      <w:pPr>
        <w:spacing w:after="0" w:line="15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Dubai International Financial Centre</w:t>
      </w:r>
    </w:p>
    <w:p>
      <w:pPr>
        <w:spacing w:after="0" w:line="15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21"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Arab Emirates</w:t>
      </w:r>
    </w:p>
    <w:p>
      <w:pPr>
        <w:spacing w:after="0" w:line="15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Australia</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prospectus:</w:t>
      </w:r>
    </w:p>
    <w:p>
      <w:pPr>
        <w:spacing w:after="0" w:line="133" w:lineRule="exact"/>
        <w:rPr>
          <w:sz w:val="20"/>
          <w:szCs w:val="20"/>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4"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243"/>
          </w:cols>
          <w:pgMar w:left="317" w:top="1422" w:right="339" w:bottom="1440" w:gutter="0" w:footer="0" w:header="0"/>
        </w:sectPr>
      </w:pPr>
    </w:p>
    <w:bookmarkStart w:id="212" w:name="page213"/>
    <w:bookmarkEnd w:id="212"/>
    <w:p>
      <w:pPr>
        <w:spacing w:after="0" w:line="2" w:lineRule="exact"/>
        <w:rPr>
          <w:sz w:val="20"/>
          <w:szCs w:val="20"/>
          <w:color w:val="auto"/>
        </w:rPr>
      </w:pPr>
    </w:p>
    <w:p>
      <w:pPr>
        <w:ind w:left="283" w:right="660" w:hanging="283"/>
        <w:spacing w:after="0" w:line="268" w:lineRule="auto"/>
        <w:tabs>
          <w:tab w:leader="none" w:pos="27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15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165" w:lineRule="exact"/>
        <w:rPr>
          <w:sz w:val="20"/>
          <w:szCs w:val="20"/>
          <w:color w:val="auto"/>
        </w:rPr>
      </w:pPr>
    </w:p>
    <w:p>
      <w:pPr>
        <w:jc w:val="both"/>
        <w:ind w:left="3" w:right="140"/>
        <w:spacing w:after="0" w:line="25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w:t>
      </w:r>
    </w:p>
    <w:p>
      <w:pPr>
        <w:ind w:left="3" w:right="80"/>
        <w:spacing w:after="0" w:line="257" w:lineRule="auto"/>
        <w:rPr>
          <w:sz w:val="20"/>
          <w:szCs w:val="20"/>
          <w:color w:val="auto"/>
        </w:rPr>
      </w:pPr>
      <w:r>
        <w:rPr>
          <w:rFonts w:ascii="Arial" w:cs="Arial" w:eastAsia="Arial" w:hAnsi="Arial"/>
          <w:sz w:val="16"/>
          <w:szCs w:val="16"/>
          <w:color w:val="auto"/>
        </w:rPr>
        <w:t>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165"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243"/>
          </w:cols>
          <w:pgMar w:left="317" w:top="1440" w:right="339" w:bottom="1440" w:gutter="0" w:footer="0" w:header="0"/>
        </w:sectPr>
      </w:pPr>
    </w:p>
    <w:bookmarkStart w:id="213" w:name="page214"/>
    <w:bookmarkEnd w:id="213"/>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invitation for subscription or purchase, of the shares, whether directly or indirectly, to any person in Singapore other than:</w:t>
      </w:r>
    </w:p>
    <w:p>
      <w:pPr>
        <w:spacing w:after="0" w:line="133" w:lineRule="exact"/>
        <w:rPr>
          <w:sz w:val="20"/>
          <w:szCs w:val="20"/>
          <w:color w:val="auto"/>
        </w:rPr>
      </w:pPr>
    </w:p>
    <w:p>
      <w:pPr>
        <w:ind w:left="283" w:right="80" w:hanging="283"/>
        <w:spacing w:after="0" w:line="268" w:lineRule="auto"/>
        <w:tabs>
          <w:tab w:leader="none" w:pos="2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w:t>
      </w:r>
    </w:p>
    <w:p>
      <w:pPr>
        <w:spacing w:after="0" w:line="112" w:lineRule="exact"/>
        <w:rPr>
          <w:rFonts w:ascii="Arial" w:cs="Arial" w:eastAsia="Arial" w:hAnsi="Arial"/>
          <w:sz w:val="16"/>
          <w:szCs w:val="16"/>
          <w:color w:val="auto"/>
        </w:rPr>
      </w:pPr>
    </w:p>
    <w:p>
      <w:pPr>
        <w:ind w:left="283" w:right="140" w:hanging="283"/>
        <w:spacing w:after="0" w:line="268" w:lineRule="auto"/>
        <w:tabs>
          <w:tab w:leader="none" w:pos="2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45" w:lineRule="exact"/>
        <w:rPr>
          <w:sz w:val="20"/>
          <w:szCs w:val="20"/>
          <w:color w:val="auto"/>
        </w:rPr>
      </w:pPr>
    </w:p>
    <w:p>
      <w:pPr>
        <w:ind w:left="283" w:right="40" w:hanging="283"/>
        <w:spacing w:after="0" w:line="268" w:lineRule="auto"/>
        <w:tabs>
          <w:tab w:leader="none" w:pos="2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2" w:lineRule="exact"/>
        <w:rPr>
          <w:rFonts w:ascii="Arial" w:cs="Arial" w:eastAsia="Arial" w:hAnsi="Arial"/>
          <w:sz w:val="16"/>
          <w:szCs w:val="16"/>
          <w:color w:val="auto"/>
        </w:rPr>
      </w:pPr>
    </w:p>
    <w:p>
      <w:pPr>
        <w:ind w:left="283" w:right="80" w:hanging="283"/>
        <w:spacing w:after="0" w:line="268" w:lineRule="auto"/>
        <w:tabs>
          <w:tab w:leader="none" w:pos="2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8" w:lineRule="exact"/>
        <w:rPr>
          <w:sz w:val="20"/>
          <w:szCs w:val="20"/>
          <w:color w:val="auto"/>
        </w:rPr>
      </w:pPr>
    </w:p>
    <w:p>
      <w:pPr>
        <w:ind w:left="283" w:hanging="283"/>
        <w:spacing w:after="0"/>
        <w:tabs>
          <w:tab w:leader="none" w:pos="28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276(4)(i)(B) of the SFA;</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44" w:lineRule="exact"/>
        <w:rPr>
          <w:rFonts w:ascii="Arial" w:cs="Arial" w:eastAsia="Arial" w:hAnsi="Arial"/>
          <w:sz w:val="16"/>
          <w:szCs w:val="16"/>
          <w:color w:val="auto"/>
        </w:rPr>
      </w:pPr>
    </w:p>
    <w:p>
      <w:pPr>
        <w:ind w:left="283" w:hanging="283"/>
        <w:spacing w:after="0" w:line="268" w:lineRule="auto"/>
        <w:tabs>
          <w:tab w:leader="none" w:pos="27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as specified in Regulation 37A of the Securities and Futures (Offers of Investments) (Securities and Securities-based Derivatives Contracts) Regulations 2018.</w:t>
      </w:r>
    </w:p>
    <w:p>
      <w:pPr>
        <w:spacing w:after="0" w:line="101"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Bermuda</w:t>
      </w:r>
    </w:p>
    <w:p>
      <w:pPr>
        <w:spacing w:after="0" w:line="165"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Saudi Arabia</w:t>
      </w:r>
    </w:p>
    <w:p>
      <w:pPr>
        <w:spacing w:after="0" w:line="165"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203"/>
          </w:cols>
          <w:pgMar w:left="317" w:top="1440" w:right="379" w:bottom="1440" w:gutter="0" w:footer="0" w:header="0"/>
        </w:sectPr>
      </w:pPr>
    </w:p>
    <w:bookmarkStart w:id="214" w:name="page215"/>
    <w:bookmarkEnd w:id="214"/>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British Virgin Islands</w:t>
      </w:r>
    </w:p>
    <w:p>
      <w:pPr>
        <w:spacing w:after="0" w:line="165"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China</w:t>
      </w:r>
    </w:p>
    <w:p>
      <w:pPr>
        <w:spacing w:after="0" w:line="15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Korea</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Malaysia</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1220"/>
          </w:cols>
          <w:pgMar w:left="320" w:top="1440" w:right="359" w:bottom="1440" w:gutter="0" w:footer="0" w:header="0"/>
        </w:sectPr>
      </w:pPr>
    </w:p>
    <w:bookmarkStart w:id="215" w:name="page216"/>
    <w:bookmarkEnd w:id="215"/>
    <w:p>
      <w:pPr>
        <w:spacing w:after="0" w:line="2" w:lineRule="exact"/>
        <w:rPr>
          <w:sz w:val="20"/>
          <w:szCs w:val="20"/>
          <w:color w:val="auto"/>
        </w:rPr>
      </w:pPr>
    </w:p>
    <w:p>
      <w:pPr>
        <w:ind w:left="3" w:right="180"/>
        <w:spacing w:after="0" w:line="268" w:lineRule="auto"/>
        <w:rPr>
          <w:sz w:val="20"/>
          <w:szCs w:val="20"/>
          <w:color w:val="auto"/>
        </w:rPr>
      </w:pPr>
      <w:r>
        <w:rPr>
          <w:rFonts w:ascii="Arial" w:cs="Arial" w:eastAsia="Arial" w:hAnsi="Arial"/>
          <w:sz w:val="16"/>
          <w:szCs w:val="16"/>
          <w:color w:val="auto"/>
        </w:rPr>
        <w:t>of RM400,000 (or its equivalent in foreign currencies), per annum in the preceding twelve months; (vii) a corporation with total net assets exceeding RM10 million (or its equivalent in a foreign currencies) based on the last audited accounts;</w:t>
      </w:r>
    </w:p>
    <w:p>
      <w:pPr>
        <w:spacing w:after="0" w:line="101" w:lineRule="exact"/>
        <w:rPr>
          <w:sz w:val="20"/>
          <w:szCs w:val="20"/>
          <w:color w:val="auto"/>
        </w:rPr>
      </w:pPr>
    </w:p>
    <w:p>
      <w:pPr>
        <w:ind w:left="3" w:right="40" w:hanging="3"/>
        <w:spacing w:after="0" w:line="256" w:lineRule="auto"/>
        <w:tabs>
          <w:tab w:leader="none" w:pos="34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Taiwan</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South Africa</w:t>
      </w:r>
    </w:p>
    <w:p>
      <w:pPr>
        <w:spacing w:after="0" w:line="149" w:lineRule="exact"/>
        <w:rPr>
          <w:sz w:val="20"/>
          <w:szCs w:val="20"/>
          <w:color w:val="auto"/>
        </w:rPr>
      </w:pPr>
    </w:p>
    <w:p>
      <w:pPr>
        <w:ind w:left="3" w:right="140"/>
        <w:spacing w:after="0" w:line="260" w:lineRule="auto"/>
        <w:rPr>
          <w:sz w:val="20"/>
          <w:szCs w:val="20"/>
          <w:color w:val="auto"/>
        </w:rPr>
      </w:pPr>
      <w:r>
        <w:rPr>
          <w:rFonts w:ascii="Arial" w:cs="Arial" w:eastAsia="Arial" w:hAnsi="Arial"/>
          <w:sz w:val="16"/>
          <w:szCs w:val="16"/>
          <w:color w:val="auto"/>
        </w:rPr>
        <w:t>Due to restrictions under the securities laws of South Africa, no “</w:t>
      </w:r>
      <w:r>
        <w:rPr>
          <w:rFonts w:ascii="Arial" w:cs="Arial" w:eastAsia="Arial" w:hAnsi="Arial"/>
          <w:sz w:val="16"/>
          <w:szCs w:val="16"/>
          <w:i w:val="1"/>
          <w:iCs w:val="1"/>
          <w:color w:val="auto"/>
        </w:rPr>
        <w:t>offer to the public</w:t>
      </w:r>
      <w:r>
        <w:rPr>
          <w:rFonts w:ascii="Arial" w:cs="Arial" w:eastAsia="Arial" w:hAnsi="Arial"/>
          <w:sz w:val="16"/>
          <w:szCs w:val="16"/>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6"/>
          <w:szCs w:val="16"/>
          <w:i w:val="1"/>
          <w:iCs w:val="1"/>
          <w:color w:val="auto"/>
        </w:rPr>
        <w:t>registered prospectus</w:t>
      </w:r>
      <w:r>
        <w:rPr>
          <w:rFonts w:ascii="Arial" w:cs="Arial" w:eastAsia="Arial" w:hAnsi="Arial"/>
          <w:sz w:val="16"/>
          <w:szCs w:val="16"/>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223"/>
          </w:cols>
          <w:pgMar w:left="317" w:top="1440" w:right="359" w:bottom="1440" w:gutter="0" w:footer="0" w:header="0"/>
        </w:sectPr>
      </w:pPr>
    </w:p>
    <w:p>
      <w:pPr>
        <w:spacing w:after="0" w:line="155" w:lineRule="exact"/>
        <w:rPr>
          <w:sz w:val="20"/>
          <w:szCs w:val="20"/>
          <w:color w:val="auto"/>
        </w:rPr>
      </w:pPr>
    </w:p>
    <w:p>
      <w:pPr>
        <w:ind w:left="23"/>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3"/>
        <w:spacing w:after="0"/>
        <w:rPr>
          <w:sz w:val="20"/>
          <w:szCs w:val="20"/>
          <w:color w:val="auto"/>
        </w:rPr>
      </w:pPr>
      <w:r>
        <w:rPr>
          <w:rFonts w:ascii="Arial" w:cs="Arial" w:eastAsia="Arial" w:hAnsi="Arial"/>
          <w:sz w:val="16"/>
          <w:szCs w:val="16"/>
          <w:color w:val="auto"/>
        </w:rPr>
        <w:t>(1)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3"/>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3"/>
        <w:spacing w:after="0"/>
        <w:rPr>
          <w:sz w:val="20"/>
          <w:szCs w:val="20"/>
          <w:color w:val="auto"/>
        </w:rPr>
      </w:pPr>
      <w:r>
        <w:rPr>
          <w:rFonts w:ascii="Arial" w:cs="Arial" w:eastAsia="Arial" w:hAnsi="Arial"/>
          <w:sz w:val="16"/>
          <w:szCs w:val="16"/>
          <w:color w:val="auto"/>
        </w:rPr>
        <w:t>(1) (b)</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265" w:lineRule="exact"/>
        <w:rPr>
          <w:sz w:val="20"/>
          <w:szCs w:val="20"/>
          <w:color w:val="auto"/>
        </w:rPr>
      </w:pPr>
    </w:p>
    <w:p>
      <w:pPr>
        <w:ind w:left="300" w:hanging="294"/>
        <w:spacing w:after="0"/>
        <w:tabs>
          <w:tab w:leader="none" w:pos="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ind w:left="300" w:hanging="294"/>
        <w:spacing w:after="0" w:line="206" w:lineRule="auto"/>
        <w:tabs>
          <w:tab w:leader="none" w:pos="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ind w:left="300" w:hanging="294"/>
        <w:spacing w:after="0" w:line="206" w:lineRule="auto"/>
        <w:tabs>
          <w:tab w:leader="none" w:pos="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ind w:left="300" w:hanging="294"/>
        <w:spacing w:after="0" w:line="206" w:lineRule="auto"/>
        <w:tabs>
          <w:tab w:leader="none" w:pos="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authorised financial service providers under South African law,</w:t>
      </w:r>
    </w:p>
    <w:p>
      <w:pPr>
        <w:ind w:left="300" w:hanging="294"/>
        <w:spacing w:after="0" w:line="206" w:lineRule="auto"/>
        <w:tabs>
          <w:tab w:leader="none" w:pos="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financial institutions recognised as such under South African law,</w:t>
      </w:r>
    </w:p>
    <w:p>
      <w:pPr>
        <w:ind w:left="300" w:right="60" w:hanging="294"/>
        <w:spacing w:after="0" w:line="206" w:lineRule="auto"/>
        <w:tabs>
          <w:tab w:leader="none" w:pos="2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6"/>
          <w:szCs w:val="16"/>
          <w:color w:val="auto"/>
        </w:rPr>
      </w:pPr>
    </w:p>
    <w:p>
      <w:pPr>
        <w:ind w:left="300" w:hanging="294"/>
        <w:spacing w:after="0"/>
        <w:tabs>
          <w:tab w:leader="none" w:pos="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combination of the person in (i) to (vi); or</w:t>
      </w:r>
    </w:p>
    <w:p>
      <w:pPr>
        <w:spacing w:after="0" w:line="35" w:lineRule="exact"/>
        <w:rPr>
          <w:sz w:val="20"/>
          <w:szCs w:val="20"/>
          <w:color w:val="auto"/>
        </w:rPr>
      </w:pPr>
    </w:p>
    <w:p>
      <w:pPr>
        <w:jc w:val="both"/>
        <w:ind w:right="400"/>
        <w:spacing w:after="0" w:line="222" w:lineRule="auto"/>
        <w:rPr>
          <w:sz w:val="20"/>
          <w:szCs w:val="20"/>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26" w:lineRule="exact"/>
        <w:rPr>
          <w:sz w:val="20"/>
          <w:szCs w:val="20"/>
          <w:color w:val="auto"/>
        </w:rPr>
      </w:pPr>
    </w:p>
    <w:p>
      <w:pPr>
        <w:sectPr>
          <w:pgSz w:w="11900" w:h="16838" w:orient="portrait"/>
          <w:cols w:equalWidth="0" w:num="2">
            <w:col w:w="983" w:space="720"/>
            <w:col w:w="9520"/>
          </w:cols>
          <w:pgMar w:left="317" w:top="1440" w:right="359" w:bottom="1440" w:gutter="0" w:footer="0" w:header="0"/>
          <w:type w:val="continuous"/>
        </w:sectPr>
      </w:pPr>
    </w:p>
    <w:p>
      <w:pPr>
        <w:spacing w:after="0" w:line="18" w:lineRule="exact"/>
        <w:rPr>
          <w:sz w:val="20"/>
          <w:szCs w:val="20"/>
          <w:color w:val="auto"/>
        </w:rPr>
      </w:pPr>
    </w:p>
    <w:p>
      <w:pPr>
        <w:ind w:left="3" w:right="380"/>
        <w:spacing w:after="0" w:line="268" w:lineRule="auto"/>
        <w:rPr>
          <w:sz w:val="20"/>
          <w:szCs w:val="20"/>
          <w:color w:val="auto"/>
        </w:rPr>
      </w:pPr>
      <w:r>
        <w:rPr>
          <w:rFonts w:ascii="Arial" w:cs="Arial" w:eastAsia="Arial" w:hAnsi="Arial"/>
          <w:sz w:val="16"/>
          <w:szCs w:val="16"/>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1223"/>
          </w:cols>
          <w:pgMar w:left="317" w:top="1440" w:right="359"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26"/>
          <w:szCs w:val="26"/>
          <w:b w:val="1"/>
          <w:bCs w:val="1"/>
          <w:color w:val="auto"/>
        </w:rPr>
        <w:t>Legal matters</w:t>
      </w:r>
    </w:p>
    <w:p>
      <w:pPr>
        <w:spacing w:after="0" w:line="29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Menlo Park, California. Cooley LLP, San Francisco, California, is acting as counsel for the underwriters in connection with certain legal matters related to this offering.</w:t>
      </w:r>
    </w:p>
    <w:p>
      <w:pPr>
        <w:spacing w:after="0" w:line="7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Experts</w:t>
      </w:r>
    </w:p>
    <w:p>
      <w:pPr>
        <w:spacing w:after="0" w:line="29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8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Where you can find more information</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use.expensify.com,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240"/>
          </w:cols>
          <w:pgMar w:left="320" w:top="1407" w:right="339" w:bottom="1440" w:gutter="0" w:footer="0" w:header="0"/>
        </w:sectPr>
      </w:pPr>
    </w:p>
    <w:bookmarkStart w:id="217" w:name="page218"/>
    <w:bookmarkEnd w:id="217"/>
    <w:p>
      <w:pPr>
        <w:spacing w:after="0" w:line="16"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14565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580" w:type="dxa"/>
            <w:vAlign w:val="bottom"/>
            <w:gridSpan w:val="8"/>
          </w:tcPr>
          <w:p>
            <w:pPr>
              <w:spacing w:after="0"/>
              <w:rPr>
                <w:rFonts w:ascii="Arial" w:cs="Arial" w:eastAsia="Arial" w:hAnsi="Arial"/>
                <w:sz w:val="16"/>
                <w:szCs w:val="16"/>
                <w:color w:val="0000FF"/>
              </w:rPr>
            </w:pPr>
            <w:hyperlink w:anchor="page218">
              <w:r>
                <w:rPr>
                  <w:rFonts w:ascii="Arial" w:cs="Arial" w:eastAsia="Arial" w:hAnsi="Arial"/>
                  <w:sz w:val="16"/>
                  <w:szCs w:val="16"/>
                  <w:color w:val="0000FF"/>
                </w:rPr>
                <w:t>Report of Independent Registered Public Accounting Firm</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8">
              <w:r>
                <w:rPr>
                  <w:rFonts w:ascii="Arial" w:cs="Arial" w:eastAsia="Arial" w:hAnsi="Arial"/>
                  <w:sz w:val="16"/>
                  <w:szCs w:val="16"/>
                  <w:color w:val="0000FF"/>
                  <w:w w:val="99"/>
                </w:rPr>
                <w:t>F-2</w:t>
              </w:r>
            </w:hyperlink>
          </w:p>
        </w:tc>
      </w:tr>
      <w:tr>
        <w:trPr>
          <w:trHeight w:val="203"/>
        </w:trPr>
        <w:tc>
          <w:tcPr>
            <w:tcW w:w="20" w:type="dxa"/>
            <w:vAlign w:val="bottom"/>
          </w:tcPr>
          <w:p>
            <w:pPr>
              <w:spacing w:after="0"/>
              <w:rPr>
                <w:sz w:val="17"/>
                <w:szCs w:val="17"/>
                <w:color w:val="auto"/>
              </w:rPr>
            </w:pPr>
          </w:p>
        </w:tc>
        <w:tc>
          <w:tcPr>
            <w:tcW w:w="414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4440" w:type="dxa"/>
            <w:vAlign w:val="bottom"/>
            <w:gridSpan w:val="2"/>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40" w:type="dxa"/>
            <w:vAlign w:val="bottom"/>
            <w:gridSpan w:val="7"/>
          </w:tcPr>
          <w:p>
            <w:pPr>
              <w:spacing w:after="0" w:line="171" w:lineRule="exact"/>
              <w:rPr>
                <w:rFonts w:ascii="Arial" w:cs="Arial" w:eastAsia="Arial" w:hAnsi="Arial"/>
                <w:sz w:val="16"/>
                <w:szCs w:val="16"/>
                <w:color w:val="0000FF"/>
              </w:rPr>
            </w:pPr>
            <w:hyperlink w:anchor="page219">
              <w:r>
                <w:rPr>
                  <w:rFonts w:ascii="Arial" w:cs="Arial" w:eastAsia="Arial" w:hAnsi="Arial"/>
                  <w:sz w:val="16"/>
                  <w:szCs w:val="16"/>
                  <w:color w:val="0000FF"/>
                </w:rPr>
                <w:t>Consolidated Balance Sheets</w:t>
              </w:r>
            </w:hyperlink>
          </w:p>
        </w:tc>
        <w:tc>
          <w:tcPr>
            <w:tcW w:w="2660" w:type="dxa"/>
            <w:vAlign w:val="bottom"/>
            <w:gridSpan w:val="3"/>
          </w:tcPr>
          <w:p>
            <w:pPr>
              <w:ind w:left="2400"/>
              <w:spacing w:after="0" w:line="171" w:lineRule="exact"/>
              <w:rPr>
                <w:rFonts w:ascii="Arial" w:cs="Arial" w:eastAsia="Arial" w:hAnsi="Arial"/>
                <w:sz w:val="16"/>
                <w:szCs w:val="16"/>
                <w:color w:val="0000FF"/>
                <w:w w:val="99"/>
              </w:rPr>
            </w:pPr>
            <w:hyperlink w:anchor="page219">
              <w:r>
                <w:rPr>
                  <w:rFonts w:ascii="Arial" w:cs="Arial" w:eastAsia="Arial" w:hAnsi="Arial"/>
                  <w:sz w:val="16"/>
                  <w:szCs w:val="16"/>
                  <w:color w:val="0000FF"/>
                  <w:w w:val="99"/>
                </w:rPr>
                <w:t>F-3</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20">
              <w:r>
                <w:rPr>
                  <w:rFonts w:ascii="Arial" w:cs="Arial" w:eastAsia="Arial" w:hAnsi="Arial"/>
                  <w:sz w:val="16"/>
                  <w:szCs w:val="16"/>
                  <w:color w:val="0000FF"/>
                </w:rPr>
                <w:t>Consolidated Statements of Income</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20">
              <w:r>
                <w:rPr>
                  <w:rFonts w:ascii="Arial" w:cs="Arial" w:eastAsia="Arial" w:hAnsi="Arial"/>
                  <w:sz w:val="16"/>
                  <w:szCs w:val="16"/>
                  <w:color w:val="0000FF"/>
                  <w:w w:val="99"/>
                </w:rPr>
                <w:t>F-4</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21">
              <w:r>
                <w:rPr>
                  <w:rFonts w:ascii="Arial" w:cs="Arial" w:eastAsia="Arial" w:hAnsi="Arial"/>
                  <w:sz w:val="16"/>
                  <w:szCs w:val="16"/>
                  <w:color w:val="0000FF"/>
                </w:rPr>
                <w:t>Consolidated Statements of Convertible Preferred Stock and Stockholders’ Deficit</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21">
              <w:r>
                <w:rPr>
                  <w:rFonts w:ascii="Arial" w:cs="Arial" w:eastAsia="Arial" w:hAnsi="Arial"/>
                  <w:sz w:val="16"/>
                  <w:szCs w:val="16"/>
                  <w:color w:val="0000FF"/>
                  <w:w w:val="99"/>
                </w:rPr>
                <w:t>F-5</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23">
              <w:r>
                <w:rPr>
                  <w:rFonts w:ascii="Arial" w:cs="Arial" w:eastAsia="Arial" w:hAnsi="Arial"/>
                  <w:sz w:val="16"/>
                  <w:szCs w:val="16"/>
                  <w:color w:val="0000FF"/>
                </w:rPr>
                <w:t>Consolidated Statements of Cash Flows</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23">
              <w:r>
                <w:rPr>
                  <w:rFonts w:ascii="Arial" w:cs="Arial" w:eastAsia="Arial" w:hAnsi="Arial"/>
                  <w:sz w:val="16"/>
                  <w:szCs w:val="16"/>
                  <w:color w:val="0000FF"/>
                  <w:w w:val="99"/>
                </w:rPr>
                <w:t>F-7</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25">
              <w:r>
                <w:rPr>
                  <w:rFonts w:ascii="Arial" w:cs="Arial" w:eastAsia="Arial" w:hAnsi="Arial"/>
                  <w:sz w:val="16"/>
                  <w:szCs w:val="16"/>
                  <w:color w:val="0000FF"/>
                </w:rPr>
                <w:t>Notes to Consolidated Financial Statements</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25">
              <w:r>
                <w:rPr>
                  <w:rFonts w:ascii="Arial" w:cs="Arial" w:eastAsia="Arial" w:hAnsi="Arial"/>
                  <w:sz w:val="16"/>
                  <w:szCs w:val="16"/>
                  <w:color w:val="0000FF"/>
                  <w:w w:val="99"/>
                </w:rPr>
                <w:t>F-9</w:t>
              </w:r>
            </w:hyperlink>
          </w:p>
        </w:tc>
      </w:tr>
      <w:tr>
        <w:trPr>
          <w:trHeight w:val="65"/>
        </w:trPr>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12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3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8" w:name="page219"/>
    <w:bookmarkEnd w:id="218"/>
    <w:p>
      <w:pPr>
        <w:spacing w:after="0"/>
        <w:rPr>
          <w:sz w:val="20"/>
          <w:szCs w:val="20"/>
          <w:color w:val="auto"/>
        </w:rPr>
      </w:pPr>
      <w:r>
        <w:rPr>
          <w:rFonts w:ascii="Arial" w:cs="Arial" w:eastAsia="Arial" w:hAnsi="Arial"/>
          <w:sz w:val="26"/>
          <w:szCs w:val="26"/>
          <w:b w:val="1"/>
          <w:bCs w:val="1"/>
          <w:color w:val="auto"/>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Stockholders and Board of Directors of Expensify, Inc.</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audited the accompanying consolidated balance sheets of Expensify, Inc. (the Company) as of December 31, 2020 and 2019, the related consolidated statements of income,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2020.</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 Francisco, California</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28, 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Except for the reclassification of employee and employee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related expenses disclosed in Note 1, as to which the date is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September 24, 2021</w:t>
      </w:r>
    </w:p>
    <w:p>
      <w:pPr>
        <w:spacing w:after="0" w:line="35" w:lineRule="exact"/>
        <w:rPr>
          <w:sz w:val="20"/>
          <w:szCs w:val="20"/>
          <w:color w:val="auto"/>
        </w:rPr>
      </w:pPr>
    </w:p>
    <w:p>
      <w:pPr>
        <w:ind w:left="20" w:right="5420"/>
        <w:spacing w:after="0" w:line="300" w:lineRule="auto"/>
        <w:rPr>
          <w:sz w:val="20"/>
          <w:szCs w:val="20"/>
          <w:color w:val="auto"/>
        </w:rPr>
      </w:pPr>
      <w:r>
        <w:rPr>
          <w:rFonts w:ascii="Arial" w:cs="Arial" w:eastAsia="Arial" w:hAnsi="Arial"/>
          <w:sz w:val="16"/>
          <w:szCs w:val="16"/>
          <w:color w:val="auto"/>
        </w:rPr>
        <w:t>Except for the retrospective stock split disclosed in Note 1 as to which the date is November 1,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0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56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Balance Sheets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2"/>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4520"/>
              <w:spacing w:after="0"/>
              <w:rPr>
                <w:sz w:val="20"/>
                <w:szCs w:val="20"/>
                <w:color w:val="auto"/>
              </w:rPr>
            </w:pPr>
            <w:r>
              <w:rPr>
                <w:rFonts w:ascii="Arial" w:cs="Arial" w:eastAsia="Arial" w:hAnsi="Arial"/>
                <w:sz w:val="16"/>
                <w:szCs w:val="16"/>
                <w:b w:val="1"/>
                <w:bCs w:val="1"/>
                <w:color w:val="auto"/>
              </w:rPr>
              <w:t>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9,990</w:t>
            </w:r>
          </w:p>
        </w:tc>
        <w:tc>
          <w:tcPr>
            <w:tcW w:w="100" w:type="dxa"/>
            <w:vAlign w:val="bottom"/>
          </w:tcPr>
          <w:p>
            <w:pPr>
              <w:spacing w:after="0"/>
              <w:rPr>
                <w:sz w:val="17"/>
                <w:szCs w:val="17"/>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45,429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13,402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21,509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Related party loan receivable, current</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891</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8,412</w:t>
            </w:r>
          </w:p>
        </w:tc>
      </w:tr>
      <w:tr>
        <w:trPr>
          <w:trHeight w:val="199"/>
        </w:trPr>
        <w:tc>
          <w:tcPr>
            <w:tcW w:w="634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50,510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63,664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92,112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4,306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14,262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16,173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2,855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418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 non-current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814</w:t>
            </w:r>
          </w:p>
        </w:tc>
      </w:tr>
      <w:tr>
        <w:trPr>
          <w:trHeight w:val="225"/>
        </w:trPr>
        <w:tc>
          <w:tcPr>
            <w:tcW w:w="6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7280" w:type="dxa"/>
            <w:vAlign w:val="bottom"/>
            <w:gridSpan w:val="2"/>
          </w:tcPr>
          <w:p>
            <w:pPr>
              <w:ind w:left="2400"/>
              <w:spacing w:after="0" w:line="152"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993</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11,124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line of credit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15,000</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Current portion of long-term debt, net of issuance costs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2,457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1,555</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21,409</w:t>
            </w:r>
          </w:p>
        </w:tc>
      </w:tr>
      <w:tr>
        <w:trPr>
          <w:trHeight w:val="200"/>
        </w:trPr>
        <w:tc>
          <w:tcPr>
            <w:tcW w:w="63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44,605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1,579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1,348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issuance costs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32,558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29,102</w:t>
            </w:r>
          </w:p>
        </w:tc>
      </w:tr>
      <w:tr>
        <w:trPr>
          <w:trHeight w:val="199"/>
        </w:trPr>
        <w:tc>
          <w:tcPr>
            <w:tcW w:w="634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79,955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85,483</w:t>
            </w:r>
          </w:p>
        </w:tc>
      </w:tr>
      <w:tr>
        <w:trPr>
          <w:trHeight w:val="18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Convertible preferred stock, par value $0.0001; 4,203,139 shares authorized, issued and</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w w:val="99"/>
              </w:rPr>
              <w:t>outstanding at December 31, 2019, December 31, 2020 and June 30, 2021 (unaudited)</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(aggregate liquidation preference of $24,929,457 at December 31, 2019 , December</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31, 2020 and June 30, 2021 (unaudited)</w:t>
            </w:r>
          </w:p>
        </w:tc>
        <w:tc>
          <w:tcPr>
            <w:tcW w:w="94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45,105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Common stock, par value $0.0001; 95,000,000 shares authorized: 26,589,930,</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29,366,940, and 34,780,520 shares issued and outstanding at December 31, 2019,</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December 31, 2020 and June 30, 2021 (unaudited), respectively</w:t>
            </w:r>
          </w:p>
        </w:tc>
        <w:tc>
          <w:tcPr>
            <w:tcW w:w="9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25,641</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Subscriptions receivable (including accrued interest of $0)</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(50,638)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(37,674)</w:t>
            </w:r>
          </w:p>
        </w:tc>
      </w:tr>
      <w:tr>
        <w:trPr>
          <w:trHeight w:val="199"/>
        </w:trPr>
        <w:tc>
          <w:tcPr>
            <w:tcW w:w="63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deficit</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(48,464)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w:t>
            </w:r>
          </w:p>
        </w:tc>
      </w:tr>
      <w:tr>
        <w:trPr>
          <w:trHeight w:val="225"/>
        </w:trPr>
        <w:tc>
          <w:tcPr>
            <w:tcW w:w="6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F-3</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56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Income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6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6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6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29,680,220</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35,495,100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41,216,420</w:t>
            </w:r>
          </w:p>
        </w:tc>
        <w:tc>
          <w:tcPr>
            <w:tcW w:w="0" w:type="dxa"/>
            <w:vAlign w:val="bottom"/>
          </w:tcPr>
          <w:p>
            <w:pPr>
              <w:spacing w:after="0"/>
              <w:rPr>
                <w:sz w:val="1"/>
                <w:szCs w:val="1"/>
                <w:color w:val="auto"/>
              </w:rPr>
            </w:pPr>
          </w:p>
        </w:tc>
      </w:tr>
      <w:tr>
        <w:trPr>
          <w:trHeight w:val="20"/>
        </w:trPr>
        <w:tc>
          <w:tcPr>
            <w:tcW w:w="4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Pr>
          <w:p>
            <w:pPr>
              <w:ind w:left="4560"/>
              <w:spacing w:after="0"/>
              <w:rPr>
                <w:sz w:val="20"/>
                <w:szCs w:val="20"/>
                <w:color w:val="auto"/>
              </w:rPr>
            </w:pPr>
            <w:r>
              <w:rPr>
                <w:rFonts w:ascii="Arial" w:cs="Arial" w:eastAsia="Arial" w:hAnsi="Arial"/>
                <w:sz w:val="16"/>
                <w:szCs w:val="16"/>
                <w:color w:val="auto"/>
                <w:w w:val="99"/>
              </w:rPr>
              <w:t>F-4</w:t>
            </w:r>
          </w:p>
        </w:tc>
      </w:tr>
      <w:tr>
        <w:trPr>
          <w:trHeight w:val="159"/>
        </w:trPr>
        <w:tc>
          <w:tcPr>
            <w:tcW w:w="64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22"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Years Ended December 31,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1097915</wp:posOffset>
            </wp:positionV>
            <wp:extent cx="714565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b w:val="1"/>
                <w:bCs w:val="1"/>
                <w:color w:val="auto"/>
              </w:rPr>
              <w:t>Convertible preferred stock</w:t>
            </w:r>
          </w:p>
        </w:tc>
        <w:tc>
          <w:tcPr>
            <w:tcW w:w="1900" w:type="dxa"/>
            <w:vAlign w:val="bottom"/>
            <w:gridSpan w:val="3"/>
          </w:tcPr>
          <w:p>
            <w:pPr>
              <w:jc w:val="right"/>
              <w:ind w:right="28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9"/>
        </w:trPr>
        <w:tc>
          <w:tcPr>
            <w:tcW w:w="31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restart"/>
          </w:tcPr>
          <w:p>
            <w:pPr>
              <w:ind w:left="60"/>
              <w:spacing w:after="0" w:line="123" w:lineRule="exact"/>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4"/>
                <w:szCs w:val="4"/>
                <w:color w:val="auto"/>
              </w:rPr>
            </w:pPr>
          </w:p>
        </w:tc>
        <w:tc>
          <w:tcPr>
            <w:tcW w:w="1080" w:type="dxa"/>
            <w:vAlign w:val="bottom"/>
            <w:gridSpan w:val="2"/>
            <w:vMerge w:val="restart"/>
          </w:tcPr>
          <w:p>
            <w:pPr>
              <w:ind w:left="40"/>
              <w:spacing w:after="0" w:line="12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4"/>
                <w:szCs w:val="4"/>
                <w:color w:val="auto"/>
              </w:rPr>
            </w:pPr>
          </w:p>
        </w:tc>
        <w:tc>
          <w:tcPr>
            <w:tcW w:w="1020" w:type="dxa"/>
            <w:vAlign w:val="bottom"/>
            <w:vMerge w:val="restart"/>
          </w:tcPr>
          <w:p>
            <w:pPr>
              <w:jc w:val="center"/>
              <w:ind w:right="103"/>
              <w:spacing w:after="0" w:line="123"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Amount</w:t>
            </w:r>
          </w:p>
        </w:tc>
        <w:tc>
          <w:tcPr>
            <w:tcW w:w="16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in 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205"/>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24,522,320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0" w:type="dxa"/>
            <w:vAlign w:val="bottom"/>
          </w:tcPr>
          <w:p>
            <w:pPr>
              <w:spacing w:after="0"/>
              <w:rPr>
                <w:sz w:val="1"/>
                <w:szCs w:val="1"/>
                <w:color w:val="auto"/>
              </w:rPr>
            </w:pPr>
          </w:p>
        </w:tc>
      </w:tr>
      <w:tr>
        <w:trPr>
          <w:trHeight w:val="170"/>
        </w:trPr>
        <w:tc>
          <w:tcPr>
            <w:tcW w:w="3180" w:type="dxa"/>
            <w:vAlign w:val="bottom"/>
          </w:tcPr>
          <w:p>
            <w:pPr>
              <w:ind w:left="40"/>
              <w:spacing w:after="0" w:line="170" w:lineRule="exact"/>
              <w:rPr>
                <w:sz w:val="20"/>
                <w:szCs w:val="20"/>
                <w:color w:val="auto"/>
              </w:rPr>
            </w:pPr>
            <w:r>
              <w:rPr>
                <w:rFonts w:ascii="Arial" w:cs="Arial" w:eastAsia="Arial" w:hAnsi="Arial"/>
                <w:sz w:val="16"/>
                <w:szCs w:val="16"/>
                <w:color w:val="auto"/>
              </w:rPr>
              <w:t>Issuance of common stock upon exercise</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2,122,810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(55,200)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26,589,930</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80" w:type="dxa"/>
            <w:vAlign w:val="bottom"/>
            <w:shd w:val="clear" w:color="auto" w:fill="CCEEFF"/>
          </w:tcPr>
          <w:p>
            <w:pPr>
              <w:ind w:left="40"/>
              <w:spacing w:after="0" w:line="134" w:lineRule="exact"/>
              <w:rPr>
                <w:sz w:val="20"/>
                <w:szCs w:val="20"/>
                <w:color w:val="auto"/>
              </w:rPr>
            </w:pPr>
            <w:r>
              <w:rPr>
                <w:rFonts w:ascii="Arial" w:cs="Arial" w:eastAsia="Arial" w:hAnsi="Arial"/>
                <w:sz w:val="15"/>
                <w:szCs w:val="15"/>
                <w:color w:val="auto"/>
              </w:rPr>
              <w:t>Issuance of common stock upon exercise</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2,777,010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29,366,940</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F-5</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565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9"/>
          <w:szCs w:val="19"/>
          <w:b w:val="1"/>
          <w:bCs w:val="1"/>
          <w:color w:val="auto"/>
        </w:rPr>
        <w:t>Expensify, Inc.</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Six Months Ended June 30, (unaudited)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4"/>
            <w:vMerge w:val="restart"/>
          </w:tcPr>
          <w:p>
            <w:pPr>
              <w:jc w:val="right"/>
              <w:ind w:right="148"/>
              <w:spacing w:after="0"/>
              <w:rPr>
                <w:sz w:val="20"/>
                <w:szCs w:val="20"/>
                <w:color w:val="auto"/>
              </w:rPr>
            </w:pPr>
            <w:r>
              <w:rPr>
                <w:rFonts w:ascii="Arial" w:cs="Arial" w:eastAsia="Arial" w:hAnsi="Arial"/>
                <w:sz w:val="13"/>
                <w:szCs w:val="13"/>
                <w:b w:val="1"/>
                <w:bCs w:val="1"/>
                <w:color w:val="auto"/>
              </w:rPr>
              <w:t>Convertible preferred stock</w:t>
            </w:r>
          </w:p>
        </w:tc>
        <w:tc>
          <w:tcPr>
            <w:tcW w:w="100" w:type="dxa"/>
            <w:vAlign w:val="bottom"/>
            <w:tcBorders>
              <w:top w:val="single" w:sz="8" w:color="auto"/>
              <w:right w:val="single" w:sz="8" w:color="auto"/>
            </w:tcBorders>
            <w:vMerge w:val="restart"/>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3"/>
            <w:vMerge w:val="restart"/>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5"/>
        </w:trPr>
        <w:tc>
          <w:tcPr>
            <w:tcW w:w="2060" w:type="dxa"/>
            <w:vAlign w:val="bottom"/>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10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3"/>
          </w:tcPr>
          <w:p>
            <w:pPr>
              <w:jc w:val="center"/>
              <w:ind w:right="60"/>
              <w:spacing w:after="0" w:line="85" w:lineRule="exact"/>
              <w:rPr>
                <w:sz w:val="20"/>
                <w:szCs w:val="20"/>
                <w:color w:val="auto"/>
              </w:rPr>
            </w:pPr>
            <w:r>
              <w:rPr>
                <w:rFonts w:ascii="Arial" w:cs="Arial" w:eastAsia="Arial" w:hAnsi="Arial"/>
                <w:sz w:val="9"/>
                <w:szCs w:val="9"/>
                <w:b w:val="1"/>
                <w:bCs w:val="1"/>
                <w:color w:val="auto"/>
              </w:rPr>
              <w:t>Additional paid-</w:t>
            </w:r>
          </w:p>
        </w:tc>
        <w:tc>
          <w:tcPr>
            <w:tcW w:w="100" w:type="dxa"/>
            <w:vAlign w:val="bottom"/>
          </w:tcPr>
          <w:p>
            <w:pPr>
              <w:spacing w:after="0"/>
              <w:rPr>
                <w:sz w:val="7"/>
                <w:szCs w:val="7"/>
                <w:color w:val="auto"/>
              </w:rPr>
            </w:pPr>
          </w:p>
        </w:tc>
        <w:tc>
          <w:tcPr>
            <w:tcW w:w="108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Subscriptions</w:t>
            </w:r>
          </w:p>
        </w:tc>
        <w:tc>
          <w:tcPr>
            <w:tcW w:w="120" w:type="dxa"/>
            <w:vAlign w:val="bottom"/>
          </w:tcPr>
          <w:p>
            <w:pPr>
              <w:spacing w:after="0"/>
              <w:rPr>
                <w:sz w:val="7"/>
                <w:szCs w:val="7"/>
                <w:color w:val="auto"/>
              </w:rPr>
            </w:pPr>
          </w:p>
        </w:tc>
        <w:tc>
          <w:tcPr>
            <w:tcW w:w="1080" w:type="dxa"/>
            <w:vAlign w:val="bottom"/>
            <w:gridSpan w:val="2"/>
          </w:tcPr>
          <w:p>
            <w:pPr>
              <w:jc w:val="center"/>
              <w:ind w:right="180"/>
              <w:spacing w:after="0" w:line="85"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1040" w:type="dxa"/>
            <w:vAlign w:val="bottom"/>
          </w:tcPr>
          <w:p>
            <w:pPr>
              <w:jc w:val="center"/>
              <w:ind w:right="90"/>
              <w:spacing w:after="0" w:line="8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 capital</w:t>
            </w:r>
          </w:p>
        </w:tc>
        <w:tc>
          <w:tcPr>
            <w:tcW w:w="1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Receivable</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126"/>
        </w:trPr>
        <w:tc>
          <w:tcPr>
            <w:tcW w:w="20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2020 (unaudited)</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Arial" w:cs="Arial" w:eastAsia="Arial" w:hAnsi="Arial"/>
                <w:sz w:val="15"/>
                <w:szCs w:val="15"/>
                <w:color w:val="auto"/>
                <w:w w:val="97"/>
              </w:rPr>
              <w:t>Balance at December 31, 2019</w:t>
            </w:r>
          </w:p>
        </w:tc>
        <w:tc>
          <w:tcPr>
            <w:tcW w:w="1040" w:type="dxa"/>
            <w:vAlign w:val="bottom"/>
          </w:tcPr>
          <w:p>
            <w:pPr>
              <w:jc w:val="right"/>
              <w:spacing w:after="0"/>
              <w:rPr>
                <w:sz w:val="20"/>
                <w:szCs w:val="20"/>
                <w:color w:val="auto"/>
              </w:rPr>
            </w:pPr>
            <w:r>
              <w:rPr>
                <w:rFonts w:ascii="Arial" w:cs="Arial" w:eastAsia="Arial" w:hAnsi="Arial"/>
                <w:sz w:val="15"/>
                <w:szCs w:val="15"/>
                <w:color w:val="auto"/>
              </w:rPr>
              <w:t>4,203,139</w:t>
            </w:r>
          </w:p>
        </w:tc>
        <w:tc>
          <w:tcPr>
            <w:tcW w:w="8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26,589,930</w:t>
            </w:r>
          </w:p>
        </w:tc>
        <w:tc>
          <w:tcPr>
            <w:tcW w:w="80" w:type="dxa"/>
            <w:vAlign w:val="bottom"/>
          </w:tcPr>
          <w:p>
            <w:pPr>
              <w:spacing w:after="0"/>
              <w:rPr>
                <w:sz w:val="16"/>
                <w:szCs w:val="16"/>
                <w:color w:val="auto"/>
              </w:rPr>
            </w:pPr>
          </w:p>
        </w:tc>
        <w:tc>
          <w:tcPr>
            <w:tcW w:w="780" w:type="dxa"/>
            <w:vAlign w:val="bottom"/>
          </w:tcPr>
          <w:p>
            <w:pPr>
              <w:jc w:val="right"/>
              <w:ind w:right="609"/>
              <w:spacing w:after="0"/>
              <w:rPr>
                <w:sz w:val="20"/>
                <w:szCs w:val="20"/>
                <w:color w:val="auto"/>
              </w:rPr>
            </w:pPr>
            <w:r>
              <w:rPr>
                <w:rFonts w:ascii="Arial" w:cs="Arial" w:eastAsia="Arial" w:hAnsi="Arial"/>
                <w:sz w:val="15"/>
                <w:szCs w:val="15"/>
                <w:color w:val="auto"/>
                <w:w w:val="95"/>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3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2,174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(50,638)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(48,464)</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options (unaudited)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1,282,200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Stock-based compensation</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5"/>
                <w:szCs w:val="15"/>
                <w:color w:val="auto"/>
              </w:rPr>
              <w:t>(unaudited)</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97"/>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3,486</w:t>
            </w:r>
          </w:p>
        </w:tc>
        <w:tc>
          <w:tcPr>
            <w:tcW w:w="0" w:type="dxa"/>
            <w:vAlign w:val="bottom"/>
          </w:tcPr>
          <w:p>
            <w:pPr>
              <w:spacing w:after="0"/>
              <w:rPr>
                <w:sz w:val="1"/>
                <w:szCs w:val="1"/>
                <w:color w:val="auto"/>
              </w:rPr>
            </w:pPr>
          </w:p>
        </w:tc>
      </w:tr>
      <w:tr>
        <w:trPr>
          <w:trHeight w:val="140"/>
        </w:trPr>
        <w:tc>
          <w:tcPr>
            <w:tcW w:w="2060" w:type="dxa"/>
            <w:vAlign w:val="bottom"/>
          </w:tcPr>
          <w:p>
            <w:pPr>
              <w:ind w:left="20"/>
              <w:spacing w:after="0" w:line="140" w:lineRule="exact"/>
              <w:rPr>
                <w:sz w:val="20"/>
                <w:szCs w:val="20"/>
                <w:color w:val="auto"/>
              </w:rPr>
            </w:pPr>
            <w:r>
              <w:rPr>
                <w:rFonts w:ascii="Arial" w:cs="Arial" w:eastAsia="Arial" w:hAnsi="Arial"/>
                <w:sz w:val="15"/>
                <w:szCs w:val="15"/>
                <w:color w:val="auto"/>
              </w:rPr>
              <w:t>Balance at June 30, 2020</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4,203,139</w:t>
            </w:r>
          </w:p>
        </w:tc>
        <w:tc>
          <w:tcPr>
            <w:tcW w:w="80" w:type="dxa"/>
            <w:vAlign w:val="bottom"/>
          </w:tcPr>
          <w:p>
            <w:pPr>
              <w:spacing w:after="0"/>
              <w:rPr>
                <w:sz w:val="12"/>
                <w:szCs w:val="12"/>
                <w:color w:val="auto"/>
              </w:rPr>
            </w:pPr>
          </w:p>
        </w:tc>
        <w:tc>
          <w:tcPr>
            <w:tcW w:w="180" w:type="dxa"/>
            <w:vAlign w:val="bottom"/>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27,872,130</w:t>
            </w:r>
          </w:p>
        </w:tc>
        <w:tc>
          <w:tcPr>
            <w:tcW w:w="80" w:type="dxa"/>
            <w:vAlign w:val="bottom"/>
          </w:tcPr>
          <w:p>
            <w:pPr>
              <w:spacing w:after="0"/>
              <w:rPr>
                <w:sz w:val="12"/>
                <w:szCs w:val="12"/>
                <w:color w:val="auto"/>
              </w:rPr>
            </w:pPr>
          </w:p>
        </w:tc>
        <w:tc>
          <w:tcPr>
            <w:tcW w:w="780" w:type="dxa"/>
            <w:vAlign w:val="bottom"/>
            <w:vMerge w:val="restart"/>
          </w:tcPr>
          <w:p>
            <w:pPr>
              <w:jc w:val="right"/>
              <w:ind w:right="609"/>
              <w:spacing w:after="0"/>
              <w:rPr>
                <w:sz w:val="20"/>
                <w:szCs w:val="20"/>
                <w:color w:val="auto"/>
              </w:rPr>
            </w:pPr>
            <w:r>
              <w:rPr>
                <w:rFonts w:ascii="Arial" w:cs="Arial" w:eastAsia="Arial" w:hAnsi="Arial"/>
                <w:sz w:val="15"/>
                <w:szCs w:val="15"/>
                <w:color w:val="auto"/>
                <w:w w:val="95"/>
              </w:rPr>
              <w:t>$</w:t>
            </w:r>
          </w:p>
        </w:tc>
        <w:tc>
          <w:tcPr>
            <w:tcW w:w="30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jc w:val="right"/>
              <w:ind w:right="3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3,670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ind w:left="80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(47,152)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(43,482)</w:t>
            </w:r>
          </w:p>
        </w:tc>
        <w:tc>
          <w:tcPr>
            <w:tcW w:w="0" w:type="dxa"/>
            <w:vAlign w:val="bottom"/>
          </w:tcPr>
          <w:p>
            <w:pPr>
              <w:spacing w:after="0"/>
              <w:rPr>
                <w:sz w:val="1"/>
                <w:szCs w:val="1"/>
                <w:color w:val="auto"/>
              </w:rPr>
            </w:pPr>
          </w:p>
        </w:tc>
      </w:tr>
      <w:tr>
        <w:trPr>
          <w:trHeight w:val="157"/>
        </w:trPr>
        <w:tc>
          <w:tcPr>
            <w:tcW w:w="2060" w:type="dxa"/>
            <w:vAlign w:val="bottom"/>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20"/>
              <w:spacing w:after="0" w:line="146" w:lineRule="exact"/>
              <w:rPr>
                <w:sz w:val="20"/>
                <w:szCs w:val="20"/>
                <w:color w:val="auto"/>
              </w:rPr>
            </w:pPr>
            <w:r>
              <w:rPr>
                <w:rFonts w:ascii="Arial" w:cs="Arial" w:eastAsia="Arial" w:hAnsi="Arial"/>
                <w:sz w:val="15"/>
                <w:szCs w:val="15"/>
                <w:b w:val="1"/>
                <w:bCs w:val="1"/>
                <w:color w:val="auto"/>
              </w:rPr>
              <w:t>Six months ended June 30,</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60" w:type="dxa"/>
            <w:vAlign w:val="bottom"/>
          </w:tcPr>
          <w:p>
            <w:pPr>
              <w:ind w:left="20"/>
              <w:spacing w:after="0"/>
              <w:rPr>
                <w:sz w:val="20"/>
                <w:szCs w:val="20"/>
                <w:color w:val="auto"/>
              </w:rPr>
            </w:pPr>
            <w:r>
              <w:rPr>
                <w:rFonts w:ascii="Arial" w:cs="Arial" w:eastAsia="Arial" w:hAnsi="Arial"/>
                <w:sz w:val="15"/>
                <w:szCs w:val="15"/>
                <w:b w:val="1"/>
                <w:bCs w:val="1"/>
                <w:color w:val="auto"/>
              </w:rPr>
              <w:t>2021 (unaudited)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Balance at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4,203,139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29,366,940</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(31,036)</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160"/>
              <w:spacing w:after="0"/>
              <w:rPr>
                <w:sz w:val="20"/>
                <w:szCs w:val="20"/>
                <w:color w:val="auto"/>
              </w:rPr>
            </w:pPr>
            <w:r>
              <w:rPr>
                <w:rFonts w:ascii="Arial" w:cs="Arial" w:eastAsia="Arial" w:hAnsi="Arial"/>
                <w:sz w:val="15"/>
                <w:szCs w:val="15"/>
                <w:color w:val="auto"/>
              </w:rPr>
              <w:t>options (unaudited)</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5,413,580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5"/>
                <w:szCs w:val="15"/>
                <w:color w:val="auto"/>
              </w:rPr>
              <w:t>(1,760)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Stock-based compensation</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(unaudited)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1,598</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14,674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14,674</w:t>
            </w: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Balance at June 30, 2021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4,203,139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34,780,520</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25,641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ind w:left="520"/>
              <w:spacing w:after="0"/>
              <w:rPr>
                <w:sz w:val="20"/>
                <w:szCs w:val="20"/>
                <w:color w:val="auto"/>
              </w:rPr>
            </w:pPr>
            <w:r>
              <w:rPr>
                <w:rFonts w:ascii="Arial" w:cs="Arial" w:eastAsia="Arial" w:hAnsi="Arial"/>
                <w:sz w:val="15"/>
                <w:szCs w:val="15"/>
                <w:color w:val="auto"/>
              </w:rPr>
              <w:t>(1,760)</w:t>
            </w: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(37,674)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(13,793)</w:t>
            </w: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F-6</w:t>
            </w:r>
          </w:p>
        </w:tc>
      </w:tr>
    </w:tbl>
    <w:p>
      <w:pPr>
        <w:sectPr>
          <w:pgSz w:w="11900" w:h="16838" w:orient="portrait"/>
          <w:cols w:equalWidth="0" w:num="1">
            <w:col w:w="11260"/>
          </w:cols>
          <w:pgMar w:left="320" w:top="134"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4"/>
          </w:tcPr>
          <w:p>
            <w:pPr>
              <w:jc w:val="right"/>
              <w:ind w:right="107"/>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center"/>
              <w:ind w:right="299"/>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640"/>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920" w:type="dxa"/>
            <w:vAlign w:val="bottom"/>
          </w:tcPr>
          <w:p>
            <w:pPr>
              <w:jc w:val="right"/>
              <w:ind w:right="747"/>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Adjustments to reconcile net income (loss) to net cash provided</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(used) by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 of operating lease right-of-use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Loss on impairment, receivables and sale or disposal of</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equipment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24,213</w:t>
            </w: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Proceeds from sale or disposal of 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r>
      <w:tr>
        <w:trPr>
          <w:trHeight w:val="18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finance leases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of term loan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line of credit</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line of credit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deferred offering costs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Proceeds from issuance of common stock on exercise of stock</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r>
      <w:tr>
        <w:trPr>
          <w:trHeight w:val="199"/>
        </w:trPr>
        <w:tc>
          <w:tcPr>
            <w:tcW w:w="47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16,932</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and cash equivalents and restricted cash, beginning of</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F-7</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4" w:name="page225"/>
    <w:bookmarkEnd w:id="224"/>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Supplemental disclosure of cash flow information:</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Noncash investing and financing items:</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Commercial building and land acquired with long-term debt (net</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issuance costs of $8,226)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Right-of-use assets acquired with lease liabilities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deferred offering costs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Reconciliation of cash, cash equivalents and restricted cash to</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the consolidated balance sheets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Restricted cash included in other current assets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settlement assets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14,680</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F-8</w:t>
            </w:r>
          </w:p>
        </w:tc>
      </w:tr>
    </w:tbl>
    <w:p>
      <w:pPr>
        <w:sectPr>
          <w:pgSz w:w="11900" w:h="16838" w:orient="portrait"/>
          <w:cols w:equalWidth="0" w:num="1">
            <w:col w:w="11260"/>
          </w:cols>
          <w:pgMar w:left="320" w:top="1440"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 – DESCRIPTION OF BUSINESS AND BASIS OF PRESENTATION</w:t>
      </w:r>
    </w:p>
    <w:p>
      <w:pPr>
        <w:spacing w:after="0" w:line="132" w:lineRule="exact"/>
        <w:rPr>
          <w:sz w:val="20"/>
          <w:szCs w:val="20"/>
          <w:color w:val="auto"/>
        </w:rPr>
      </w:pPr>
    </w:p>
    <w:p>
      <w:pPr>
        <w:ind w:left="3" w:right="40"/>
        <w:spacing w:after="0" w:line="262" w:lineRule="auto"/>
        <w:rPr>
          <w:sz w:val="20"/>
          <w:szCs w:val="20"/>
          <w:color w:val="auto"/>
        </w:rPr>
      </w:pPr>
      <w:r>
        <w:rPr>
          <w:rFonts w:ascii="Arial" w:cs="Arial" w:eastAsia="Arial" w:hAnsi="Arial"/>
          <w:sz w:val="16"/>
          <w:szCs w:val="16"/>
          <w:b w:val="1"/>
          <w:bCs w:val="1"/>
          <w:color w:val="auto"/>
        </w:rPr>
        <w:t xml:space="preserve">Description of business </w:t>
      </w:r>
      <w:r>
        <w:rPr>
          <w:rFonts w:ascii="Arial" w:cs="Arial" w:eastAsia="Arial" w:hAnsi="Arial"/>
          <w:sz w:val="16"/>
          <w:szCs w:val="16"/>
          <w:color w:val="auto"/>
        </w:rPr>
        <w:t>– Expensify, Inc. (Expensify or the Company), was incorporated in Delaware on April 29, 2009. Expensify offers a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18" w:lineRule="exact"/>
        <w:rPr>
          <w:sz w:val="20"/>
          <w:szCs w:val="20"/>
          <w:color w:val="auto"/>
        </w:rPr>
      </w:pPr>
    </w:p>
    <w:p>
      <w:pPr>
        <w:ind w:left="3" w:right="400"/>
        <w:spacing w:after="0" w:line="261" w:lineRule="auto"/>
        <w:rPr>
          <w:sz w:val="20"/>
          <w:szCs w:val="20"/>
          <w:color w:val="auto"/>
        </w:rPr>
      </w:pPr>
      <w:r>
        <w:rPr>
          <w:rFonts w:ascii="Arial" w:cs="Arial" w:eastAsia="Arial" w:hAnsi="Arial"/>
          <w:sz w:val="16"/>
          <w:szCs w:val="16"/>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6"/>
          <w:szCs w:val="16"/>
          <w:color w:val="auto"/>
        </w:rPr>
        <w:t>Information regarding the subsidiaries of Expensify are as follows:</w:t>
      </w:r>
    </w:p>
    <w:p>
      <w:pPr>
        <w:spacing w:after="0" w:line="133" w:lineRule="exact"/>
        <w:rPr>
          <w:sz w:val="20"/>
          <w:szCs w:val="20"/>
          <w:color w:val="auto"/>
        </w:rPr>
      </w:pPr>
    </w:p>
    <w:p>
      <w:pPr>
        <w:ind w:left="283" w:right="460" w:hanging="283"/>
        <w:spacing w:after="0" w:line="268" w:lineRule="auto"/>
        <w:tabs>
          <w:tab w:leader="none" w:pos="2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12"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Australia, Expensify PTY LTD., in 2017 that primarily serves to promote and market Expensify's services to customers and potential customers of Expensify in Australia.</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Expensify established a wholly-owned subsidiary, 401 SW 5th Ave LLC, in 2019 with the subsidiary’s primary purpose to hold title to the commercial building purchased in Portland, Oregon.</w:t>
      </w:r>
    </w:p>
    <w:p>
      <w:pPr>
        <w:spacing w:after="0" w:line="100" w:lineRule="exact"/>
        <w:rPr>
          <w:rFonts w:ascii="Arial" w:cs="Arial" w:eastAsia="Arial" w:hAnsi="Arial"/>
          <w:sz w:val="16"/>
          <w:szCs w:val="16"/>
          <w:color w:val="auto"/>
        </w:rPr>
      </w:pPr>
    </w:p>
    <w:p>
      <w:pPr>
        <w:ind w:left="283" w:right="80" w:hanging="283"/>
        <w:spacing w:after="0" w:line="255" w:lineRule="auto"/>
        <w:tabs>
          <w:tab w:leader="none" w:pos="2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For the year ended December 31, 2020, Expensify, Inc. contributed $136,627 to Expensify.org. No commitments from Expensify, Inc. remain open for contribution as of December 31, 2020. Beginning in January 2021, an additional commitment was made to donate 25 cents for every dollar Expensify paid to white, male Expensify employees to Expensify.org to fund social justice and equity efforts. For the six months ended June 30, 2021 (unaudited), Expensify, Inc. contributed $87,501 to Expensify.org and incurred additional commitments of $1,521,397 to Expensify.org for which the intercompany contribution payment has not yet been made as of June 30, 2021 (unaudited). Payments are expected to be made to Expensify.org during the three months ended September 30, 2021.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26"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3" w:right="20" w:hanging="283"/>
        <w:spacing w:after="0" w:line="268" w:lineRule="auto"/>
        <w:tabs>
          <w:tab w:leader="none" w:pos="27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Payments LLC, in 2020 that primarily serves as the licensed provider of money transmission services for Expensify with its expense management program.</w:t>
      </w:r>
    </w:p>
    <w:p>
      <w:pPr>
        <w:spacing w:after="0" w:line="100"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Lounge LLC, in 2021 that primarily serves to manage, promote and market Expensify's lounge operations in the United States.</w:t>
      </w:r>
    </w:p>
    <w:p>
      <w:pPr>
        <w:spacing w:after="0" w:line="93" w:lineRule="exact"/>
        <w:rPr>
          <w:sz w:val="20"/>
          <w:szCs w:val="20"/>
          <w:color w:val="auto"/>
        </w:rPr>
      </w:pPr>
    </w:p>
    <w:p>
      <w:pPr>
        <w:jc w:val="both"/>
        <w:ind w:left="3" w:right="160"/>
        <w:spacing w:after="0" w:line="274" w:lineRule="auto"/>
        <w:rPr>
          <w:sz w:val="20"/>
          <w:szCs w:val="20"/>
          <w:color w:val="auto"/>
        </w:rPr>
      </w:pPr>
      <w:r>
        <w:rPr>
          <w:rFonts w:ascii="Arial" w:cs="Arial" w:eastAsia="Arial" w:hAnsi="Arial"/>
          <w:sz w:val="16"/>
          <w:szCs w:val="16"/>
          <w:b w:val="1"/>
          <w:bCs w:val="1"/>
          <w:color w:val="auto"/>
        </w:rPr>
        <w:t xml:space="preserve">Basis of presentation and principles of consolidation </w:t>
      </w:r>
      <w:r>
        <w:rPr>
          <w:rFonts w:ascii="Arial" w:cs="Arial" w:eastAsia="Arial" w:hAnsi="Arial"/>
          <w:sz w:val="16"/>
          <w:szCs w:val="16"/>
          <w:color w:val="auto"/>
        </w:rPr>
        <w:t>– The accompanying consolidated financial statements, include the accounts of Expensify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wholly-owned subsidiaries (the Company), and have been prepared in accordance with generally accepted accounting principles in the United States (U.S. GAAP). All intercompany transactions and balances have been eliminated in consolidation.</w:t>
      </w:r>
    </w:p>
    <w:p>
      <w:pPr>
        <w:spacing w:after="0" w:line="88" w:lineRule="exact"/>
        <w:rPr>
          <w:sz w:val="20"/>
          <w:szCs w:val="20"/>
          <w:color w:val="auto"/>
        </w:rPr>
      </w:pPr>
    </w:p>
    <w:p>
      <w:pPr>
        <w:ind w:left="3" w:right="520"/>
        <w:spacing w:after="0" w:line="294" w:lineRule="auto"/>
        <w:rPr>
          <w:sz w:val="20"/>
          <w:szCs w:val="20"/>
          <w:color w:val="auto"/>
        </w:rPr>
      </w:pPr>
      <w:r>
        <w:rPr>
          <w:rFonts w:ascii="Arial" w:cs="Arial" w:eastAsia="Arial" w:hAnsi="Arial"/>
          <w:sz w:val="16"/>
          <w:szCs w:val="16"/>
          <w:b w:val="1"/>
          <w:bCs w:val="1"/>
          <w:color w:val="auto"/>
        </w:rPr>
        <w:t xml:space="preserve">Stock Split </w:t>
      </w:r>
      <w:r>
        <w:rPr>
          <w:rFonts w:ascii="Arial" w:cs="Arial" w:eastAsia="Arial" w:hAnsi="Arial"/>
          <w:sz w:val="16"/>
          <w:szCs w:val="16"/>
          <w:color w:val="auto"/>
        </w:rPr>
        <w:t>– On October 27, 2021, the Company effected a ten-for-one stock split of its common stock. All share and per share information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retroactively adjusted to reflect the stock split for all periods presented.</w:t>
      </w:r>
    </w:p>
    <w:p>
      <w:pPr>
        <w:spacing w:after="0" w:line="61" w:lineRule="exact"/>
        <w:rPr>
          <w:sz w:val="20"/>
          <w:szCs w:val="20"/>
          <w:color w:val="auto"/>
        </w:rPr>
      </w:pPr>
    </w:p>
    <w:p>
      <w:pPr>
        <w:ind w:left="3" w:right="60"/>
        <w:spacing w:after="0" w:line="263" w:lineRule="auto"/>
        <w:rPr>
          <w:sz w:val="20"/>
          <w:szCs w:val="20"/>
          <w:color w:val="auto"/>
        </w:rPr>
      </w:pPr>
      <w:r>
        <w:rPr>
          <w:rFonts w:ascii="Arial" w:cs="Arial" w:eastAsia="Arial" w:hAnsi="Arial"/>
          <w:sz w:val="16"/>
          <w:szCs w:val="16"/>
          <w:b w:val="1"/>
          <w:bCs w:val="1"/>
          <w:color w:val="auto"/>
        </w:rPr>
        <w:t xml:space="preserve">Reclassification of prior year presentation </w:t>
      </w:r>
      <w:r>
        <w:rPr>
          <w:rFonts w:ascii="Arial" w:cs="Arial" w:eastAsia="Arial" w:hAnsi="Arial"/>
          <w:sz w:val="16"/>
          <w:szCs w:val="16"/>
          <w:color w:val="auto"/>
        </w:rPr>
        <w:t>– Certain prior year amounts have been reclassified to conform to the current six month ended June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period presentation. Adjustments have been made to present all Employee and employee related amounts previously reported as a separate financial statement line item within operating expenses to Cost of revenue, net, Research and development, Sales and marketing and General and administrative on the consolidated statements of income for the years ended December 31, 2019 and 2020 and any interim periods presented within fiscal 2019 and 2020. Employee and employee related amounts were reclassified to the financial statement line item aligned with each employee's function during the periods.</w:t>
      </w:r>
    </w:p>
    <w:p>
      <w:pPr>
        <w:spacing w:after="0" w:line="315"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The changes in classification had no impact to revenue, income before operations, net income (loss) or net income (loss) per share on the consolidated statements of income. The changes in classification also had no impact to the consolidated balance sheets, consolidated statements of stockholders’ (deficit) equity and consolidated statements of cash flows previously presented.</w:t>
      </w:r>
    </w:p>
    <w:p>
      <w:pPr>
        <w:spacing w:after="0" w:line="118" w:lineRule="exact"/>
        <w:rPr>
          <w:sz w:val="20"/>
          <w:szCs w:val="20"/>
          <w:color w:val="auto"/>
        </w:rPr>
      </w:pPr>
    </w:p>
    <w:p>
      <w:pPr>
        <w:ind w:left="3" w:right="440"/>
        <w:spacing w:after="0" w:line="268" w:lineRule="auto"/>
        <w:rPr>
          <w:sz w:val="20"/>
          <w:szCs w:val="20"/>
          <w:color w:val="auto"/>
        </w:rPr>
      </w:pPr>
      <w:r>
        <w:rPr>
          <w:rFonts w:ascii="Arial" w:cs="Arial" w:eastAsia="Arial" w:hAnsi="Arial"/>
          <w:sz w:val="16"/>
          <w:szCs w:val="16"/>
          <w:color w:val="auto"/>
        </w:rPr>
        <w:t>The Company also changed the presentation of Cost of revenue, net from Operating expenses to its own financial statement line item above Operating expenses in order to present Gross margin on the consolidated statements of income.</w:t>
      </w:r>
    </w:p>
    <w:p>
      <w:pPr>
        <w:spacing w:after="0" w:line="101"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The following table presents the impact of the reclassification on the previously reported consolidated statements of income for the year ended December 31, 2019 and 2020:</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For the year ended December 31, 2019</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Adjustments</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31,985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31,985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(30,194)</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18,682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(18,682)</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4,110</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7,345</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15,930</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21,752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5,436</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79,213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47,228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903"/>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6"/>
          </w:tcPr>
          <w:p>
            <w:pPr>
              <w:jc w:val="center"/>
              <w:ind w:left="581"/>
              <w:spacing w:after="0"/>
              <w:rPr>
                <w:sz w:val="20"/>
                <w:szCs w:val="20"/>
                <w:color w:val="auto"/>
              </w:rPr>
            </w:pPr>
            <w:r>
              <w:rPr>
                <w:rFonts w:ascii="Arial" w:cs="Arial" w:eastAsia="Arial" w:hAnsi="Arial"/>
                <w:sz w:val="13"/>
                <w:szCs w:val="13"/>
                <w:b w:val="1"/>
                <w:bCs w:val="1"/>
                <w:color w:val="auto"/>
                <w:w w:val="99"/>
              </w:rPr>
              <w:t>For the year ended December 31, 2020</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9"/>
              </w:rPr>
              <w:t>Adjustments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32,414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6,728</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13,030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33,372</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5,871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82,402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49,988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Unaudited interim financial information </w:t>
      </w:r>
      <w:r>
        <w:rPr>
          <w:rFonts w:ascii="Arial" w:cs="Arial" w:eastAsia="Arial" w:hAnsi="Arial"/>
          <w:sz w:val="16"/>
          <w:szCs w:val="16"/>
          <w:color w:val="auto"/>
        </w:rPr>
        <w:t>– The accompanying interim consolidated balance sheet as of June 30, 2021, the consolidated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and cash flows for the six months ended June 30, 2020 and 2021, the consolidated statements of convertible preferred stock and stockholders’ deficit for the six months ended June 30,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consolidated statement of income for the six months ended June 30, 2021 are not necessarily indicative of the results to be expected for the year ending December 31, 2021 or for any other future annual or interim period.</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 SUMMARY OF SIGNIFICANT ACCOUNTING POLICIES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color w:val="auto"/>
        </w:rPr>
        <w:t>– The Company evaluates its operations periodically to determine if any risks and uncertainties exist that could impact its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 ended December 31, 2020 and for the six months ended June 30, 2020 and 2021 (unaudited). Business travel, traditionally a significant driver of expenses on our platform, has been severely curtailed during the pandemic with complex regional effects as lockdowns were put in place and altered rapidly. As a result of the pull -back in travel related expenses and other expenses that were not generated in a work from home environment, many of our customers that remained on our platform had fewer employees incurring expenses on a monthly basis in 2020 and the six months ended June 30,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that there are any significant risks that have not already been disclosed in the consolidated financial statements.</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consolidated financial statements in conformity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18" w:lineRule="exact"/>
        <w:rPr>
          <w:sz w:val="20"/>
          <w:szCs w:val="20"/>
          <w:color w:val="auto"/>
        </w:rPr>
      </w:pPr>
    </w:p>
    <w:p>
      <w:pPr>
        <w:ind w:right="740"/>
        <w:spacing w:after="0" w:line="268" w:lineRule="auto"/>
        <w:rPr>
          <w:sz w:val="20"/>
          <w:szCs w:val="20"/>
          <w:color w:val="auto"/>
        </w:rPr>
      </w:pPr>
      <w:r>
        <w:rPr>
          <w:rFonts w:ascii="Arial" w:cs="Arial" w:eastAsia="Arial" w:hAnsi="Arial"/>
          <w:sz w:val="16"/>
          <w:szCs w:val="16"/>
          <w:color w:val="auto"/>
        </w:rPr>
        <w:t>Significant estimates and assumptions by management affect the Company’s revenues, fair value of common stock, classification of employee and employee-related expenses, the useful lives and recoverability of long-lived assets and stock-based compensation.</w:t>
      </w:r>
    </w:p>
    <w:p>
      <w:pPr>
        <w:spacing w:after="0" w:line="9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Company uses the U.S. dollar as its functional currency. Foreign currency assets and liabilities are remeasured into the U.S. dollar</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8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 Cash consists of funds deposited with banks. The Company considers all highly liquid investments with an original maturity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or less at the date of purchase to be cash equivalents. The recorded carrying amount of cash equivalents, which is cost plus accrued interest, if any, approximates fair value. As of December 31, 2019 and 2020 and June 30, 2021 (unaudited), the Company had no cash equivalents.</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 Restricted cash of approximately $246,000 and $48,000 as of December 31, 2019 and 2020, respectively, and $49,000 as of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2021 (unaudited) relates to cash 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 The Company also has an immaterial amount of cash required to be held within a trust account for monthly management and maintenance operating fees for the 401 SW 5th Ave commercial building owned by the Company. These restricted cash amounts are included within Other current asset on the consolidated balance sheets.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2019 and 2020 and June 30, 2021 (unaudited).</w:t>
      </w:r>
    </w:p>
    <w:p>
      <w:pPr>
        <w:spacing w:after="0" w:line="10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December 31, 2019 and 2020 and June 30, 2021 (unaudited).</w:t>
      </w:r>
    </w:p>
    <w:p>
      <w:pPr>
        <w:spacing w:after="0" w:line="12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Restricted cash also includes amounts included within Settlement assets for funds held for customers that are deposited into a commercial bank account held by the Company for the benefit of the customers until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remitted to the customer's members. Refer to the Settlement assets and liabilities policy note below for further detail.</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Accounts receivable and allowance for doubtful accounts </w:t>
      </w:r>
      <w:r>
        <w:rPr>
          <w:rFonts w:ascii="Arial" w:cs="Arial" w:eastAsia="Arial" w:hAnsi="Arial"/>
          <w:sz w:val="16"/>
          <w:szCs w:val="16"/>
          <w:color w:val="auto"/>
        </w:rPr>
        <w:t>– Accounts receivable are recorded at the invoiced amount, net of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$ 15,000 and $29,000 as of December 31, 2019 and 2020, respectively. As of June 30, 2021 (unaudited), the Company recorded allowance for doubtful accounts of approximately $152,000. To date, the Company has not had significant write offs of accounts receivables.</w:t>
      </w:r>
    </w:p>
    <w:p>
      <w:pPr>
        <w:spacing w:after="0" w:line="1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b w:val="1"/>
          <w:bCs w:val="1"/>
          <w:color w:val="auto"/>
        </w:rPr>
        <w:t xml:space="preserve">Concentrations of credit risk </w:t>
      </w:r>
      <w:r>
        <w:rPr>
          <w:rFonts w:ascii="Arial" w:cs="Arial" w:eastAsia="Arial" w:hAnsi="Arial"/>
          <w:sz w:val="16"/>
          <w:szCs w:val="16"/>
          <w:color w:val="auto"/>
        </w:rPr>
        <w:t>– Financial instruments that potentially subject the Company to credit risk consist primarily of cash and cash equivalents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and the six months ended June 30, 2020 and 2021 (unaudited). In addition, there were no customers representing 10% or more of accounts receivable as of December 31, 2019, December 31, 2020 and June 30, 2021 (unaudited).</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Settlement assets and liabilities </w:t>
      </w:r>
      <w:r>
        <w:rPr>
          <w:rFonts w:ascii="Arial" w:cs="Arial" w:eastAsia="Arial" w:hAnsi="Arial"/>
          <w:sz w:val="16"/>
          <w:szCs w:val="16"/>
          <w:color w:val="auto"/>
        </w:rPr>
        <w:t>– Settlement assets and liabilities arise due to the time required between the approval of an expense reimbursement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and the six months ended June 30, 2020 and 2021 (unaudited)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92"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The Company determines if an arrangement is a lease at inception. Operating and finance leases are included in lease right-of-use (ROU)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06"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10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 Property and equipment are stated at cost, less accumulated depreciation and amortization. Depreciation and amortization are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1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December 31, 2020 and June 30, 2021 (unaudited) represents leasehold improvements under installation.</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 The Company capitalizes internal and external costs directly related to obtaining or developing internal-use</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 The Company evaluates whether a project should be capitalized if it adds significant functionality to its software. Maintenance activities or minor upgrades are expensed in the period performed. During the years ended December 31, 2019 and 2020, the Company capitalized $1,673,408 and $1,809,071, respectively, in software development costs. During the six months ended June 30, 2020 and 2021 (unaudited), the Company capitalized $703,021 and $1,352,926, respectively, in software development costs.</w:t>
      </w:r>
    </w:p>
    <w:p>
      <w:pPr>
        <w:spacing w:after="0" w:line="103"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 Long-lived assets, primarily capitalized software development costs, property and equipment and lease right-of-use assets are</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and the six months ended June 30, 2020 and 2021 (unaudited). Impairment losses on long-lived assets were immaterial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 w:right="40"/>
        <w:spacing w:after="0" w:line="267" w:lineRule="auto"/>
        <w:rPr>
          <w:sz w:val="20"/>
          <w:szCs w:val="20"/>
          <w:color w:val="auto"/>
        </w:rPr>
      </w:pPr>
      <w:r>
        <w:rPr>
          <w:rFonts w:ascii="Arial" w:cs="Arial" w:eastAsia="Arial" w:hAnsi="Arial"/>
          <w:sz w:val="16"/>
          <w:szCs w:val="16"/>
          <w:b w:val="1"/>
          <w:bCs w:val="1"/>
          <w:color w:val="auto"/>
        </w:rPr>
        <w:t xml:space="preserve">Deferred offering costs </w:t>
      </w:r>
      <w:r>
        <w:rPr>
          <w:rFonts w:ascii="Arial" w:cs="Arial" w:eastAsia="Arial" w:hAnsi="Arial"/>
          <w:sz w:val="16"/>
          <w:szCs w:val="16"/>
          <w:color w:val="auto"/>
        </w:rPr>
        <w:t>– Deferred offering costs consist primarily of legal and other fees related to the proposed IPO. The deferred offering costs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offset against IPO proceeds upon the consummation of the IPO. If the IPO is aborted, deferred offering costs will be expensed. As of December 31, 2020, the Company had no deferred offering costs that were capitalized. As of June 30, 2021 (unaudited), the Company capitalized $4,165,224 of deferred offering costs, which are included within Other current assets on the consolidated balance sheets.</w:t>
      </w:r>
    </w:p>
    <w:p>
      <w:pPr>
        <w:spacing w:after="0" w:line="82" w:lineRule="exact"/>
        <w:rPr>
          <w:sz w:val="20"/>
          <w:szCs w:val="20"/>
          <w:color w:val="auto"/>
        </w:rPr>
      </w:pPr>
    </w:p>
    <w:p>
      <w:pPr>
        <w:ind w:left="3" w:right="120"/>
        <w:spacing w:after="0" w:line="262" w:lineRule="auto"/>
        <w:rPr>
          <w:sz w:val="20"/>
          <w:szCs w:val="20"/>
          <w:color w:val="auto"/>
        </w:rPr>
      </w:pPr>
      <w:r>
        <w:rPr>
          <w:rFonts w:ascii="Arial" w:cs="Arial" w:eastAsia="Arial" w:hAnsi="Arial"/>
          <w:sz w:val="16"/>
          <w:szCs w:val="16"/>
          <w:b w:val="1"/>
          <w:bCs w:val="1"/>
          <w:color w:val="auto"/>
        </w:rPr>
        <w:t xml:space="preserve">Subscriptions receivable </w:t>
      </w:r>
      <w:r>
        <w:rPr>
          <w:rFonts w:ascii="Arial" w:cs="Arial" w:eastAsia="Arial" w:hAnsi="Arial"/>
          <w:sz w:val="16"/>
          <w:szCs w:val="16"/>
          <w:color w:val="auto"/>
        </w:rPr>
        <w:t>– The Company records stock issuances at the effective date of the transfer, sale or exercise. If the Company enters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sell its stock and issue the stock before proceeds are received in one or more scheduled payments, the Company records the uncollected amounts as Subscriptions receivable. The Company had no Subscriptions receivable as of December 31, 2019 and 2020. As of June 30, 2021 (unaudited), the Company recognized $1,759,643 of Subscriptions receivable. All amounts recorded relate to promissory notes the Company entered into with certain employees to exercise stock options. Each promissory note provided the Company with substantive recourse rights. See Note 8 for further detail over the promissory notes issued to exercise stock options.</w:t>
      </w:r>
    </w:p>
    <w:p>
      <w:pPr>
        <w:spacing w:after="0" w:line="118"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In accordance with the requirements of Rule 5-02.29 of SEC Regulation S-X and Financial Accounting Standards Board (FASB) Accounting Standards Codification (ASC) 505-10-45-2, the Company records Subscriptions receivable as contra equity within Stockholders' deficit on the consolidated balance sheets and statements of convertible preferred stock and stockholders’ deficit.</w:t>
      </w:r>
    </w:p>
    <w:p>
      <w:pPr>
        <w:spacing w:after="0" w:line="98" w:lineRule="exact"/>
        <w:rPr>
          <w:sz w:val="20"/>
          <w:szCs w:val="20"/>
          <w:color w:val="auto"/>
        </w:rPr>
      </w:pPr>
    </w:p>
    <w:p>
      <w:pPr>
        <w:ind w:left="3" w:right="180"/>
        <w:spacing w:after="0" w:line="27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The Company generates revenue from subscription fees paid by its customers to access and use the Company’s hosted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services, as well as standard customer support. The Company adopted Accounting Standard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 of January 1, 2019, utilizing the full retrospective method of transition.</w:t>
      </w:r>
    </w:p>
    <w:p>
      <w:pPr>
        <w:spacing w:after="0" w:line="96" w:lineRule="exact"/>
        <w:rPr>
          <w:sz w:val="20"/>
          <w:szCs w:val="20"/>
          <w:color w:val="auto"/>
        </w:rPr>
      </w:pPr>
    </w:p>
    <w:p>
      <w:pPr>
        <w:ind w:left="3" w:right="740"/>
        <w:spacing w:after="0" w:line="268" w:lineRule="auto"/>
        <w:rPr>
          <w:sz w:val="20"/>
          <w:szCs w:val="20"/>
          <w:color w:val="auto"/>
        </w:rPr>
      </w:pPr>
      <w:r>
        <w:rPr>
          <w:rFonts w:ascii="Arial" w:cs="Arial" w:eastAsia="Arial" w:hAnsi="Arial"/>
          <w:sz w:val="16"/>
          <w:szCs w:val="16"/>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the Company determines the amount of revenue to be recognized through the following five-step framework:</w:t>
      </w:r>
    </w:p>
    <w:p>
      <w:pPr>
        <w:spacing w:after="0" w:line="145" w:lineRule="exact"/>
        <w:rPr>
          <w:sz w:val="20"/>
          <w:szCs w:val="20"/>
          <w:color w:val="auto"/>
        </w:rPr>
      </w:pPr>
    </w:p>
    <w:p>
      <w:pPr>
        <w:ind w:left="283" w:hanging="283"/>
        <w:spacing w:after="0"/>
        <w:tabs>
          <w:tab w:leader="none" w:pos="2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45" w:lineRule="exact"/>
        <w:rPr>
          <w:sz w:val="20"/>
          <w:szCs w:val="20"/>
          <w:color w:val="auto"/>
        </w:rPr>
      </w:pPr>
    </w:p>
    <w:p>
      <w:pPr>
        <w:ind w:left="3" w:right="280"/>
        <w:spacing w:after="0" w:line="257" w:lineRule="auto"/>
        <w:rPr>
          <w:sz w:val="20"/>
          <w:szCs w:val="20"/>
          <w:color w:val="auto"/>
        </w:rPr>
      </w:pPr>
      <w:r>
        <w:rPr>
          <w:rFonts w:ascii="Arial" w:cs="Arial" w:eastAsia="Arial" w:hAnsi="Arial"/>
          <w:sz w:val="16"/>
          <w:szCs w:val="16"/>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2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40"/>
        <w:spacing w:after="0" w:line="268" w:lineRule="auto"/>
        <w:rPr>
          <w:sz w:val="20"/>
          <w:szCs w:val="20"/>
          <w:color w:val="auto"/>
        </w:rPr>
      </w:pPr>
      <w:r>
        <w:rPr>
          <w:rFonts w:ascii="Arial" w:cs="Arial" w:eastAsia="Arial" w:hAnsi="Arial"/>
          <w:sz w:val="16"/>
          <w:szCs w:val="16"/>
          <w:color w:val="auto"/>
        </w:rPr>
        <w:t>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0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31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$1,164,825 within Other current assets on the Company’s consolidated balance sheet as of December 31, 2020. The Company recorded contract assets of $389,071 within Other current assets on the Company's consolidated balance sheet as of June 30, 2021 (unaudited). The contract asset will decrease as the price increase is applied to the amounts billed to customers, over the twelve month period. The Company had no contract assets as of December 31, 2019. Since the Company's performance obligation is satisfied monthly, at any reporting period, the Company has no unsatisfied, or partially unsatisfied, performance obligations.</w:t>
      </w:r>
    </w:p>
    <w:p>
      <w:pPr>
        <w:spacing w:after="0" w:line="10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stock-based compensation under the fair value recognition and measurement provisions of U.S.</w:t>
      </w:r>
      <w:r>
        <w:rPr>
          <w:rFonts w:ascii="Arial" w:cs="Arial" w:eastAsia="Arial" w:hAnsi="Arial"/>
          <w:sz w:val="16"/>
          <w:szCs w:val="16"/>
          <w:b w:val="1"/>
          <w:bCs w:val="1"/>
          <w:color w:val="auto"/>
        </w:rPr>
        <w:t xml:space="preserve"> </w:t>
      </w:r>
      <w:r>
        <w:rPr>
          <w:rFonts w:ascii="Arial" w:cs="Arial" w:eastAsia="Arial" w:hAnsi="Arial"/>
          <w:sz w:val="16"/>
          <w:szCs w:val="16"/>
          <w:color w:val="auto"/>
        </w:rPr>
        <w:t>GAAP.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0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grant. The expected dividend yield is assumed to be zero as the Company has not paid and does not expect to pay dividends.</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 xml:space="preserve">Cost of revenue, net </w:t>
      </w:r>
      <w:r>
        <w:rPr>
          <w:rFonts w:ascii="Arial" w:cs="Arial" w:eastAsia="Arial" w:hAnsi="Arial"/>
          <w:sz w:val="16"/>
          <w:szCs w:val="16"/>
          <w:color w:val="auto"/>
        </w:rPr>
        <w:t>– Cost of revenue, net primarily consists of expenses related to hosting the Company’s service, including the costs of data center</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$30,550 and $1,006,387 for the years ended December 31, 2019 and 2020, respectively. The consideration, net of credit card processing fees paid to the vendor, is included as a reduction to cost of revenue of $369,755 and $1,118,119 for the six months ended June 30, 2020 and 2021 (unaudited), respectively.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 Research and development expenses consist primarily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9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auto"/>
        </w:rPr>
        <w:t xml:space="preserve">General and administrative - </w:t>
      </w:r>
      <w:r>
        <w:rPr>
          <w:rFonts w:ascii="Arial" w:cs="Arial" w:eastAsia="Arial" w:hAnsi="Arial"/>
          <w:sz w:val="16"/>
          <w:szCs w:val="16"/>
          <w:color w:val="auto"/>
        </w:rPr>
        <w:t>General and administrative expenses primarily consist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General and administrative expenses are expensed as incurred.</w:t>
      </w:r>
    </w:p>
    <w:p>
      <w:pPr>
        <w:spacing w:after="0" w:line="8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b w:val="1"/>
          <w:bCs w:val="1"/>
          <w:color w:val="auto"/>
        </w:rPr>
        <w:t xml:space="preserve">Sales and marketing </w:t>
      </w:r>
      <w:r>
        <w:rPr>
          <w:rFonts w:ascii="Arial" w:cs="Arial" w:eastAsia="Arial" w:hAnsi="Arial"/>
          <w:sz w:val="16"/>
          <w:szCs w:val="16"/>
          <w:color w:val="auto"/>
        </w:rPr>
        <w:t>– Sales and marketing primarily consist of personnel-related expenses, including stock-based compensation, advertising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branding and public relations expenses, referral fees for strategic partnerships and other benefits that the Company provides to its referral and affiliate partners. The Company expenses the costs of sales and marketing, including promotional expenses, as incurred.</w:t>
      </w:r>
    </w:p>
    <w:p>
      <w:pPr>
        <w:spacing w:after="0" w:line="88"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Deferred tax liabilities and assets are recognized for the expected future tax consequences of temporary differences between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09"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inclusions as period cost are both acceptable methods subject to an accounting policy election. The Company has elected to treat any potential GILTI inclusions as a period cost.</w:t>
      </w:r>
    </w:p>
    <w:p>
      <w:pPr>
        <w:spacing w:after="0" w:line="10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 For 2021, the provisions of the CARES Act are not expected to have a material impact on the Company's consolidated financial statements.</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10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$1 million. As such, the Company will not be eligible to use any California net operating loss deductions in 2020 but will be able to offset the California tax liability with California tax credits.</w:t>
      </w:r>
    </w:p>
    <w:p>
      <w:pPr>
        <w:spacing w:after="0" w:line="10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color w:val="auto"/>
        </w:rPr>
        <w:t xml:space="preserve">Net income (loss) per share - </w:t>
      </w:r>
      <w:r>
        <w:rPr>
          <w:rFonts w:ascii="Arial" w:cs="Arial" w:eastAsia="Arial" w:hAnsi="Arial"/>
          <w:sz w:val="16"/>
          <w:szCs w:val="16"/>
          <w:color w:val="auto"/>
        </w:rPr>
        <w:t>The Company computes net income (loss) per share using the two-class method required by ASC 260,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participating securities. All series of the Company's convertible preferred stock are participating securities as the 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Since the Company has not declared dividends, the undistributed earnings are first allocated to the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year ended December 31, 2020, the Company generated a net loss and, therefore, no loss is allocated to the holders of the convertible preferred stock. For the six months ended June 30, 2020 and 2021 (unaudited), undistributed earnings exceed the amount of undeclared stated dividends and were available for allocation to the common stockholders.</w:t>
      </w:r>
    </w:p>
    <w:p>
      <w:pPr>
        <w:spacing w:after="0" w:line="111" w:lineRule="exact"/>
        <w:rPr>
          <w:sz w:val="20"/>
          <w:szCs w:val="20"/>
          <w:color w:val="auto"/>
        </w:rPr>
      </w:pPr>
    </w:p>
    <w:p>
      <w:pPr>
        <w:ind w:right="640"/>
        <w:spacing w:after="0" w:line="268" w:lineRule="auto"/>
        <w:rPr>
          <w:sz w:val="20"/>
          <w:szCs w:val="20"/>
          <w:color w:val="auto"/>
        </w:rPr>
      </w:pPr>
      <w:r>
        <w:rPr>
          <w:rFonts w:ascii="Arial" w:cs="Arial" w:eastAsia="Arial" w:hAnsi="Arial"/>
          <w:sz w:val="16"/>
          <w:szCs w:val="16"/>
          <w:color w:val="auto"/>
        </w:rPr>
        <w:t>Basic net income (loss) per share is computed by dividing net income (loss) for the period by the weighted-average number of outstanding shares of common stock during the period, less weighted-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average shares subject to repurchase.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color w:val="auto"/>
        </w:rPr>
        <w:t xml:space="preserve">Segment reporting - </w:t>
      </w:r>
      <w:r>
        <w:rPr>
          <w:rFonts w:ascii="Arial" w:cs="Arial" w:eastAsia="Arial" w:hAnsi="Arial"/>
          <w:sz w:val="16"/>
          <w:szCs w:val="16"/>
          <w:color w:val="auto"/>
        </w:rPr>
        <w:t>The Company operates as one reportable segment because its chief operating decision maker, who is the executive committee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08"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The table below provides the Company’s total revenue by geographic area (in thousands). No other individual country outside of the United States accounted for more than 10% of total revenue.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 by customers' geographic locations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57,912</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locations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7,112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No individual customer represents more than 10% of the Company’s total revenue for the years ended December 31, 2019 or 2020 and the six months ended June 30, 2020 and 2021 (unaudited).</w:t>
      </w:r>
    </w:p>
    <w:p>
      <w:pPr>
        <w:spacing w:after="0" w:line="9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color w:val="auto"/>
        </w:rPr>
        <w:t xml:space="preserve">Emerging growth company status - </w:t>
      </w:r>
      <w:r>
        <w:rPr>
          <w:rFonts w:ascii="Arial" w:cs="Arial" w:eastAsia="Arial" w:hAnsi="Arial"/>
          <w:sz w:val="16"/>
          <w:szCs w:val="16"/>
          <w:color w:val="auto"/>
        </w:rPr>
        <w:t>The Company is an emerging growth company, as defined in the Jumpstart Our Business Startups Act of 2012 (the</w:t>
      </w:r>
      <w:r>
        <w:rPr>
          <w:rFonts w:ascii="Arial" w:cs="Arial" w:eastAsia="Arial" w:hAnsi="Arial"/>
          <w:sz w:val="16"/>
          <w:szCs w:val="16"/>
          <w:b w:val="1"/>
          <w:bCs w:val="1"/>
          <w:color w:val="auto"/>
        </w:rPr>
        <w:t xml:space="preserve"> </w:t>
      </w:r>
      <w:r>
        <w:rPr>
          <w:rFonts w:ascii="Arial" w:cs="Arial" w:eastAsia="Arial" w:hAnsi="Arial"/>
          <w:sz w:val="16"/>
          <w:szCs w:val="16"/>
          <w:color w:val="auto"/>
        </w:rPr>
        <w:t>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30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The JOBS Act does not preclude an emerging growth company from early adopting new or revised accounting standards. The Company early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of January 1, 2019 using the modified retrospective transition approach. See Recently adopted accounting pronouncements for further detail.</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May 2014, the FASB issued ASU No.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underlying principle of the new revenue standard is to recognize revenue to depict the transfer of goods or services to customers at an amount to which the entity expects to be entitled in exchange for those 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supersedes the lease requirements 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92"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update clarifies how certain cash receipts and cash payments are presented and classified in the consolidated statement of 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 information about the nature of the restrictions on cash. The standard is effective for nonpublic business entities beginning after 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this standard as of January 1, 2019. The adoption of ASU No.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2018-07 had no material impact to the Company’s consolidated financial statements and related disclosures.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 xml:space="preserve">As part of its initiative to reduce complexity in the accounting standards, 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eliminates certain exceptions related to the approach for intra-period tax allocation, the methodology for</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2020. The adoption of ASU No. 2019-12 had no material impact to the Company's consolidated financial statements and related disclosures.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Recent accounting pronouncements not yet adopted </w:t>
      </w:r>
      <w:r>
        <w:rPr>
          <w:rFonts w:ascii="Arial" w:cs="Arial" w:eastAsia="Arial" w:hAnsi="Arial"/>
          <w:sz w:val="16"/>
          <w:szCs w:val="16"/>
          <w:color w:val="auto"/>
        </w:rPr>
        <w:t>– In June 2016, the FASB issued ASU No.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Instruments (Topic 326)</w:t>
      </w:r>
      <w:r>
        <w:rPr>
          <w:rFonts w:ascii="Arial" w:cs="Arial" w:eastAsia="Arial" w:hAnsi="Arial"/>
          <w:sz w:val="16"/>
          <w:szCs w:val="16"/>
          <w:color w:val="auto"/>
        </w:rPr>
        <w:t>, which requires an impairment model (known as the current expected credit loss (CECL) model) that is based on expected rather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04"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color w:val="auto"/>
        </w:rPr>
        <w:t>– The Company has evaluated subsequent events through April 28, 2021, September 24, 2021 and November 1, 2021, the dates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financial statements for the years ended December 31, 2019 and 2020 were originally issued, revised for the reclassification of prior year presentation and for the retroactive stock split presentation (as discussed in Note 1), respectively. Additionally, the Company has evaluated subsequent events through September 24, 2021 and November 1, 2021, the date the interim consolidated financial statements as of and for the six months ended June 30, 2021 (unaudited) were originally issued and revised for the retroactive stock split presentation (as discussed in Note 1).</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July 2021, the Company determined that it would pay a cash bonus to each of its employees in a value that approximates the cost of each employee exercising 45% of their total stock options issued through June 15, 2021, including the tax withholding applicable to each employee, limited by the available number of options to exercise. The Company included both vested and unvested stock options to each employee through June 15, 2021 in determining the cash bonus paid. From July 1, 2021 through the previous financial statement issuance date on September 24, 2021, the Company has paid $9,491,691 of these cash bonuses to employees. Additionally, from September 25, 2021 through November 1, 2021, the Company has paid approximately $ 3,300,000. No employee was obligated to use the cash bonus to exercise their outstanding stock options. As of September 24, 2021, the total cash bonuses yet to be paid to employees are estimated to range from approximately $ 30,800,000 to $35,500,000 as a result of the complexities of each individual employee’s tax situation, including varying tax locations of our employees. As of November 1, 2021, the total cash bonuses yet to be paid to employees are estimated to range from approximately $27,500,000 to $32,200,000 as a result of the complexities of each individual employee’s tax situation, including varying tax locations of our employees. We expect payment of the bonuses to take place during the fiscal quarter ended December 31, 2021. From July 1, 2021 through September 24, 2021, the Company has issued an additional 1,459,420 shares, of which 419,740 remain unvested. From September 25, 2021 through November 1, 2021, the Company has issued an additional 24,480 shares. As of November 1, 2021, 407,110 of these shares issued beginning on July 1, 2021 remain unvested.</w:t>
      </w:r>
    </w:p>
    <w:p>
      <w:pPr>
        <w:spacing w:after="0" w:line="309"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September 2021, the Company's Board of Directors approved and authorized 4,339,690 and 4,339,690 shares of Class A and LT50 common stock, respectively, issuable upon the vesting of RSUs granted by the Company's Board of Directors subsequent to June 30, 2021 under our 2019 Option Plan, which will be effective immediately prior to the effectiveness of the registration statement on Form S-1, of which this prospectus is a part.</w:t>
      </w:r>
    </w:p>
    <w:p>
      <w:pPr>
        <w:spacing w:after="0" w:line="1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September 2021, the Company amended and restated its loan and security agreement with CIBC to refinance the existing term loans, establish a single term loan of up to $75,000,000, consisting of a $45,000,000 initial term loan with an option at a later date to enter into an additional $30,000,000 delayed term loan, and increase the revolving line of credit to $ 25,000,000. A portion of the loan proceeds will be used to immediately repay the remaining balances under the amortizing and non-amortizing term loans at the time of the amendment and restatement as well as the commitment fees and any other debt issuance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40"/>
        <w:spacing w:after="0" w:line="268" w:lineRule="auto"/>
        <w:rPr>
          <w:sz w:val="20"/>
          <w:szCs w:val="20"/>
          <w:color w:val="auto"/>
        </w:rPr>
      </w:pPr>
      <w:r>
        <w:rPr>
          <w:rFonts w:ascii="Arial" w:cs="Arial" w:eastAsia="Arial" w:hAnsi="Arial"/>
          <w:sz w:val="16"/>
          <w:szCs w:val="16"/>
          <w:color w:val="auto"/>
        </w:rPr>
        <w:t>costs associated with the amended agreement. The remaining proceeds from the initial term loan will go towards the Company's normal business operations.</w:t>
      </w:r>
    </w:p>
    <w:p>
      <w:pPr>
        <w:spacing w:after="0" w:line="101"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The Company has concluded that no other subsequent event has occurred that requires disclosure except as noted elsewhere in these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 CAPITALIZED SOFTWARE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costs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7"/>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rPr>
              <w:t>6,170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27"/>
              <w:spacing w:after="0"/>
              <w:rPr>
                <w:sz w:val="20"/>
                <w:szCs w:val="20"/>
                <w:color w:val="auto"/>
              </w:rPr>
            </w:pPr>
            <w:r>
              <w:rPr>
                <w:rFonts w:ascii="Arial" w:cs="Arial" w:eastAsia="Arial" w:hAnsi="Arial"/>
                <w:sz w:val="16"/>
                <w:szCs w:val="16"/>
                <w:color w:val="auto"/>
                <w:w w:val="99"/>
              </w:rPr>
              <w:t>7,412</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(1,411)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343"/>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707"/>
              <w:spacing w:after="0"/>
              <w:rPr>
                <w:sz w:val="20"/>
                <w:szCs w:val="20"/>
                <w:color w:val="auto"/>
              </w:rPr>
            </w:pPr>
            <w:r>
              <w:rPr>
                <w:rFonts w:ascii="Arial" w:cs="Arial" w:eastAsia="Arial" w:hAnsi="Arial"/>
                <w:sz w:val="16"/>
                <w:szCs w:val="16"/>
                <w:color w:val="auto"/>
                <w:w w:val="98"/>
              </w:rPr>
              <w:t>(3,106)</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2,950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center"/>
              <w:ind w:left="363"/>
              <w:spacing w:after="0"/>
              <w:rPr>
                <w:sz w:val="20"/>
                <w:szCs w:val="20"/>
                <w:color w:val="auto"/>
              </w:rPr>
            </w:pPr>
            <w:r>
              <w:rPr>
                <w:rFonts w:ascii="Arial" w:cs="Arial" w:eastAsia="Arial" w:hAnsi="Arial"/>
                <w:sz w:val="16"/>
                <w:szCs w:val="16"/>
                <w:color w:val="auto"/>
              </w:rPr>
              <w:t>3,722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center"/>
              <w:ind w:left="727"/>
              <w:spacing w:after="0"/>
              <w:rPr>
                <w:sz w:val="20"/>
                <w:szCs w:val="20"/>
                <w:color w:val="auto"/>
              </w:rPr>
            </w:pPr>
            <w:r>
              <w:rPr>
                <w:rFonts w:ascii="Arial" w:cs="Arial" w:eastAsia="Arial" w:hAnsi="Arial"/>
                <w:sz w:val="16"/>
                <w:szCs w:val="16"/>
                <w:color w:val="auto"/>
                <w:w w:val="99"/>
              </w:rPr>
              <w:t>4,306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Amortization expense related to capitalized software development costs for the years ended December 31, 2019 and 2020, was $ 648,340 and $1,037,204, respectively. Amortization expense related to capitalized software development costs for the six months ended June 30, 2020 and 2021 (unaudited), was $484,910 and $768,917, respectively. Amortization expense related to capitalized software development costs is recorded in Cost of revenue, net on the consolidated statements of income.</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1,046</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7,075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6,493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4,151</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2,077</w:t>
            </w:r>
          </w:p>
        </w:tc>
      </w:tr>
      <w:tr>
        <w:trPr>
          <w:trHeight w:val="200"/>
        </w:trPr>
        <w:tc>
          <w:tcPr>
            <w:tcW w:w="6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17,543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21,258</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14,262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16,173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2019 and 2020, depreciation and amortization expense related to Property and equipment was $1,376,860 and</w:t>
      </w:r>
    </w:p>
    <w:p>
      <w:pPr>
        <w:spacing w:after="0" w:line="11" w:lineRule="exact"/>
        <w:rPr>
          <w:sz w:val="20"/>
          <w:szCs w:val="20"/>
          <w:color w:val="auto"/>
        </w:rPr>
      </w:pPr>
    </w:p>
    <w:p>
      <w:pPr>
        <w:jc w:val="both"/>
        <w:ind w:right="300"/>
        <w:spacing w:after="0" w:line="261" w:lineRule="auto"/>
        <w:rPr>
          <w:sz w:val="20"/>
          <w:szCs w:val="20"/>
          <w:color w:val="auto"/>
        </w:rPr>
      </w:pPr>
      <w:r>
        <w:rPr>
          <w:rFonts w:ascii="Arial" w:cs="Arial" w:eastAsia="Arial" w:hAnsi="Arial"/>
          <w:sz w:val="16"/>
          <w:szCs w:val="16"/>
          <w:color w:val="auto"/>
        </w:rPr>
        <w:t>$1,384,385, respectively. For the six months ended June 30, 2020 and 2021 (unaudited), depreciation and amortization expense related to Property and equipment was $697,234 and $1,129,857, respectively. Depreciation and amortization expense related to Property and equipment is recorded in General and administrative on the consolidated statements of income.</w:t>
      </w:r>
    </w:p>
    <w:p>
      <w:pPr>
        <w:spacing w:after="0" w:line="118"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and June 30, 2021 (unaudited), there is no tenant funded leasehold improvement or corresponding liability amount included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LEASES</w:t>
      </w:r>
    </w:p>
    <w:p>
      <w:pPr>
        <w:spacing w:after="0" w:line="152" w:lineRule="exact"/>
        <w:rPr>
          <w:sz w:val="20"/>
          <w:szCs w:val="20"/>
          <w:color w:val="auto"/>
        </w:rPr>
      </w:pPr>
    </w:p>
    <w:p>
      <w:pPr>
        <w:jc w:val="both"/>
        <w:ind w:right="260"/>
        <w:spacing w:after="0" w:line="258" w:lineRule="auto"/>
        <w:rPr>
          <w:sz w:val="20"/>
          <w:szCs w:val="20"/>
          <w:color w:val="auto"/>
        </w:rPr>
      </w:pPr>
      <w:r>
        <w:rPr>
          <w:rFonts w:ascii="Arial" w:cs="Arial" w:eastAsia="Arial" w:hAnsi="Arial"/>
          <w:sz w:val="16"/>
          <w:szCs w:val="16"/>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 those options. The Company included options to extend the lease terms of the finance leases as the Company is reasonably certain to exercise those options.</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and the six months ended June 30, 2021 (unaudited), the Company did not enter into any additional finance lease agreements to finance the acquisition of new property and equipment. 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 or the six months ended June 30, 2021 (unaudited).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right"/>
              <w:ind w:right="365"/>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center"/>
              <w:ind w:right="34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20" w:type="dxa"/>
            <w:vAlign w:val="bottom"/>
            <w:gridSpan w:val="6"/>
          </w:tcPr>
          <w:p>
            <w:pPr>
              <w:jc w:val="center"/>
              <w:ind w:right="343"/>
              <w:spacing w:after="0"/>
              <w:rPr>
                <w:sz w:val="20"/>
                <w:szCs w:val="20"/>
                <w:color w:val="auto"/>
              </w:rPr>
            </w:pPr>
            <w:r>
              <w:rPr>
                <w:rFonts w:ascii="Arial" w:cs="Arial" w:eastAsia="Arial" w:hAnsi="Arial"/>
                <w:sz w:val="13"/>
                <w:szCs w:val="13"/>
                <w:b w:val="1"/>
                <w:bCs w:val="1"/>
                <w:color w:val="auto"/>
              </w:rPr>
              <w:t>(unaudited)</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120"/>
              <w:spacing w:after="0"/>
              <w:rPr>
                <w:sz w:val="20"/>
                <w:szCs w:val="20"/>
                <w:color w:val="auto"/>
              </w:rPr>
            </w:pPr>
            <w:r>
              <w:rPr>
                <w:rFonts w:ascii="Arial" w:cs="Arial" w:eastAsia="Arial" w:hAnsi="Arial"/>
                <w:sz w:val="16"/>
                <w:szCs w:val="16"/>
                <w:color w:val="auto"/>
              </w:rPr>
              <w:t>Amortization of ROU assets</w:t>
            </w:r>
          </w:p>
        </w:tc>
        <w:tc>
          <w:tcPr>
            <w:tcW w:w="1000" w:type="dxa"/>
            <w:vAlign w:val="bottom"/>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426</w:t>
            </w:r>
          </w:p>
        </w:tc>
        <w:tc>
          <w:tcPr>
            <w:tcW w:w="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395</w:t>
            </w:r>
          </w:p>
        </w:tc>
      </w:tr>
      <w:tr>
        <w:trPr>
          <w:trHeight w:val="207"/>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r>
      <w:tr>
        <w:trPr>
          <w:trHeight w:val="199"/>
        </w:trPr>
        <w:tc>
          <w:tcPr>
            <w:tcW w:w="4720" w:type="dxa"/>
            <w:vAlign w:val="bottom"/>
          </w:tcPr>
          <w:p>
            <w:pPr>
              <w:ind w:left="20"/>
              <w:spacing w:after="0"/>
              <w:rPr>
                <w:sz w:val="20"/>
                <w:szCs w:val="20"/>
                <w:color w:val="auto"/>
              </w:rPr>
            </w:pPr>
            <w:r>
              <w:rPr>
                <w:rFonts w:ascii="Arial" w:cs="Arial" w:eastAsia="Arial" w:hAnsi="Arial"/>
                <w:sz w:val="16"/>
                <w:szCs w:val="16"/>
                <w:color w:val="auto"/>
              </w:rPr>
              <w:t>Total finance lease cost</w:t>
            </w:r>
          </w:p>
        </w:tc>
        <w:tc>
          <w:tcPr>
            <w:tcW w:w="10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418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410</w:t>
            </w:r>
          </w:p>
        </w:tc>
      </w:tr>
      <w:tr>
        <w:trPr>
          <w:trHeight w:val="20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lease cost</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118</w:t>
            </w: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1,284</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66"/>
        </w:trPr>
        <w:tc>
          <w:tcPr>
            <w:tcW w:w="4720" w:type="dxa"/>
            <w:vAlign w:val="bottom"/>
          </w:tcPr>
          <w:p>
            <w:pPr>
              <w:spacing w:after="0"/>
              <w:rPr>
                <w:sz w:val="20"/>
                <w:szCs w:val="20"/>
                <w:color w:val="auto"/>
              </w:rPr>
            </w:pPr>
            <w:r>
              <w:rPr>
                <w:rFonts w:ascii="Arial" w:cs="Arial" w:eastAsia="Arial" w:hAnsi="Arial"/>
                <w:sz w:val="16"/>
                <w:szCs w:val="16"/>
                <w:color w:val="auto"/>
              </w:rPr>
              <w:t>Other information related to leases is as follows (in thousands):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3"/>
        </w:trPr>
        <w:tc>
          <w:tcPr>
            <w:tcW w:w="4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71"/>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2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ROU asset (included within Lease right-of-use assets)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1,646</w:t>
            </w:r>
          </w:p>
        </w:tc>
      </w:tr>
      <w:tr>
        <w:trPr>
          <w:trHeight w:val="207"/>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Operating lease ROU asset (included within Lease right-of-use assets)</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1,326</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200"/>
              <w:spacing w:after="0"/>
              <w:rPr>
                <w:sz w:val="20"/>
                <w:szCs w:val="20"/>
                <w:color w:val="auto"/>
              </w:rPr>
            </w:pPr>
            <w:r>
              <w:rPr>
                <w:rFonts w:ascii="Arial" w:cs="Arial" w:eastAsia="Arial" w:hAnsi="Arial"/>
                <w:sz w:val="16"/>
                <w:szCs w:val="16"/>
                <w:color w:val="auto"/>
              </w:rPr>
              <w:t>Finance leases</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2.08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1.84</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3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3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2.6 %</w:t>
            </w:r>
          </w:p>
        </w:tc>
        <w:tc>
          <w:tcPr>
            <w:tcW w:w="17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2.5 %</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6"/>
        </w:trPr>
        <w:tc>
          <w:tcPr>
            <w:tcW w:w="48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560" w:type="dxa"/>
            <w:vAlign w:val="bottom"/>
          </w:tcPr>
          <w:p>
            <w:pPr>
              <w:jc w:val="right"/>
              <w:ind w:right="599"/>
              <w:spacing w:after="0"/>
              <w:rPr>
                <w:sz w:val="20"/>
                <w:szCs w:val="20"/>
                <w:color w:val="auto"/>
              </w:rPr>
            </w:pPr>
            <w:r>
              <w:rPr>
                <w:rFonts w:ascii="Arial" w:cs="Arial" w:eastAsia="Arial" w:hAnsi="Arial"/>
                <w:sz w:val="16"/>
                <w:szCs w:val="16"/>
                <w:color w:val="auto"/>
              </w:rPr>
              <w:t>5.1 %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5.3 %</w:t>
            </w:r>
          </w:p>
        </w:tc>
        <w:tc>
          <w:tcPr>
            <w:tcW w:w="112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49"/>
        </w:trPr>
        <w:tc>
          <w:tcPr>
            <w:tcW w:w="48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3"/>
          </w:tcPr>
          <w:p>
            <w:pPr>
              <w:jc w:val="right"/>
              <w:ind w:right="207"/>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3"/>
          </w:tcPr>
          <w:p>
            <w:pPr>
              <w:jc w:val="center"/>
              <w:ind w:right="3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2"/>
          </w:tcPr>
          <w:p>
            <w:pPr>
              <w:jc w:val="center"/>
              <w:ind w:left="645"/>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170"/>
        </w:trPr>
        <w:tc>
          <w:tcPr>
            <w:tcW w:w="472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paid for amounts included in the measurement of lease</w:t>
            </w: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(1,509)</w:t>
            </w:r>
          </w:p>
        </w:tc>
        <w:tc>
          <w:tcPr>
            <w:tcW w:w="1060" w:type="dxa"/>
            <w:vAlign w:val="bottom"/>
          </w:tcPr>
          <w:p>
            <w:pPr>
              <w:jc w:val="right"/>
              <w:ind w:right="827"/>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(517)</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07"/>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(793)</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obtained in exchange for operating lease liabilities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6"/>
        </w:trPr>
        <w:tc>
          <w:tcPr>
            <w:tcW w:w="4720" w:type="dxa"/>
            <w:vAlign w:val="bottom"/>
          </w:tcPr>
          <w:p>
            <w:pPr>
              <w:ind w:left="20"/>
              <w:spacing w:after="0"/>
              <w:rPr>
                <w:sz w:val="20"/>
                <w:szCs w:val="20"/>
                <w:color w:val="auto"/>
              </w:rPr>
            </w:pPr>
            <w:r>
              <w:rPr>
                <w:rFonts w:ascii="Arial" w:cs="Arial" w:eastAsia="Arial" w:hAnsi="Arial"/>
                <w:sz w:val="16"/>
                <w:szCs w:val="16"/>
                <w:color w:val="auto"/>
              </w:rPr>
              <w:t>ROU assets obtained in exchange for finance lease liabilities</w:t>
            </w:r>
          </w:p>
        </w:tc>
        <w:tc>
          <w:tcPr>
            <w:tcW w:w="9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49"/>
        </w:trPr>
        <w:tc>
          <w:tcPr>
            <w:tcW w:w="47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lease liabilities as of December 31, 2020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For the year ending:</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Finance leases</w:t>
            </w: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187"/>
        </w:trPr>
        <w:tc>
          <w:tcPr>
            <w:tcW w:w="8020" w:type="dxa"/>
            <w:vAlign w:val="bottom"/>
            <w:tcBorders>
              <w:top w:val="single" w:sz="8" w:color="auto"/>
            </w:tcBorders>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liabilities, current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00"/>
        </w:trPr>
        <w:tc>
          <w:tcPr>
            <w:tcW w:w="802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 SIGNIFICANT BALANCE SHEET COMPONENTS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current assets </w:t>
      </w:r>
      <w:r>
        <w:rPr>
          <w:rFonts w:ascii="Arial" w:cs="Arial" w:eastAsia="Arial" w:hAnsi="Arial"/>
          <w:sz w:val="16"/>
          <w:szCs w:val="16"/>
          <w:color w:val="auto"/>
        </w:rPr>
        <w:t>– Other current assets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Card collateral for funds held for customers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in transit for funds held for customers</w:t>
            </w:r>
          </w:p>
        </w:tc>
        <w:tc>
          <w:tcPr>
            <w:tcW w:w="98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704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Expensify.org restricted cash</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 restricted cash</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initial public offering costs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4,165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206</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8,412</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Accrued expenses and other liabilities </w:t>
      </w:r>
      <w:r>
        <w:rPr>
          <w:rFonts w:ascii="Arial" w:cs="Arial" w:eastAsia="Arial" w:hAnsi="Arial"/>
          <w:sz w:val="16"/>
          <w:szCs w:val="16"/>
          <w:color w:val="auto"/>
        </w:rPr>
        <w:t>– Accrued expenses and other liabilities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 reports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Partner payouts and advertising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537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Hosting and license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Credit card processing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369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and other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1,979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Sales, payroll and other taxes payable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5,915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Restricted common stock liability for early stock option exercises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1,192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385</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11,124</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FINANCING ARRANGEMENTS</w:t>
      </w:r>
    </w:p>
    <w:p>
      <w:pPr>
        <w:spacing w:after="0" w:line="164"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93"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b w:val="1"/>
          <w:bCs w:val="1"/>
          <w:color w:val="auto"/>
        </w:rPr>
        <w:t xml:space="preserve">Amortizing term mortgage </w:t>
      </w:r>
      <w:r>
        <w:rPr>
          <w:rFonts w:ascii="Arial" w:cs="Arial" w:eastAsia="Arial" w:hAnsi="Arial"/>
          <w:sz w:val="16"/>
          <w:szCs w:val="16"/>
          <w:color w:val="auto"/>
        </w:rPr>
        <w:t>– Under the amortizing term mortgage agreement with CIBC, the Company borrowed $ 8,250,000 in August 2019,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 As of June 30, 2021 (unaudited), the outstanding balance of the amortizing term mortgage was $8,020,042.</w:t>
      </w:r>
    </w:p>
    <w:p>
      <w:pPr>
        <w:spacing w:after="0" w:line="8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color w:val="auto"/>
        </w:rPr>
        <w:t xml:space="preserve">Monthly revolving line of credit </w:t>
      </w:r>
      <w:r>
        <w:rPr>
          <w:rFonts w:ascii="Arial" w:cs="Arial" w:eastAsia="Arial" w:hAnsi="Arial"/>
          <w:sz w:val="16"/>
          <w:szCs w:val="16"/>
          <w:color w:val="auto"/>
        </w:rPr>
        <w:t>– The line of credit agreement with CIBC provides borrowings of the lesser of $ 15,000,000 or 300% of monthly recurring</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the Company. Borrowings under the line bear interest at the bank’s reference rate plus 1.00% (5.75% and 4.25% as of December 31, 2019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2020, respectively) and are secured by substantially all of the Company’s assets. As of December 31, 2019, and 2020, the Company had drawn $6,387,000 and $15,000,000, respectively, under the line of credit. As of June 30, 2021 (unaudited), the Company had drawn $15,000,000 under the line of credit. As of December 31, 2020 and June 30, 2021 (unaudited), the Company had no capacity available for borrowings under the line of credit agreement.</w:t>
      </w:r>
    </w:p>
    <w:p>
      <w:pPr>
        <w:spacing w:after="0" w:line="8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color w:val="auto"/>
        </w:rPr>
        <w:t xml:space="preserve">Non-amortizing term loan </w:t>
      </w:r>
      <w:r>
        <w:rPr>
          <w:rFonts w:ascii="Arial" w:cs="Arial" w:eastAsia="Arial" w:hAnsi="Arial"/>
          <w:sz w:val="16"/>
          <w:szCs w:val="16"/>
          <w:color w:val="auto"/>
        </w:rPr>
        <w:t>– Under the non-amortizing term loan agreement with CIBC, the Company borrowed $ 11,000,000 in May 2018,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was amended in November 2018. The term loan is an interest-only loan (fixed at 9.5% per year) for 60 months that becomes due and payable at the end of the note term in November 2023. The borrowings are secured by substantially all the Company’s assets. As of December 31, 2019, December 31 2020 and June 30, 2021 (unaudited), the outstanding balance of the non-amortizing term loan was $11,000,000.</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Amortizing term loan </w:t>
      </w:r>
      <w:r>
        <w:rPr>
          <w:rFonts w:ascii="Arial" w:cs="Arial" w:eastAsia="Arial" w:hAnsi="Arial"/>
          <w:sz w:val="16"/>
          <w:szCs w:val="16"/>
          <w:color w:val="auto"/>
        </w:rPr>
        <w:t>– Under the amortizing term loan agreement with CIBC, the Company borrowed $14,000,000 in November 2018, which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 As of June 30, 2021 (unaudited), the outstanding balance of the amortizing term loan was $12,638,889.</w:t>
      </w:r>
    </w:p>
    <w:p>
      <w:pPr>
        <w:spacing w:after="0" w:line="31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For the years ended December 31, 2019 and 2020, the Company incurred $ 23,826 and $170,995 in costs related to the amortizing term mortgage and term loan agreements, respectively. For the six months ended June 30, 2020 and 2021 (unaudited), the Company incurred $16,241 and $16,270, respectively. These debt issuance costs are reflected as a reduction of the carrying amount of the long-term debt and are being amortized to interest expense over the term of the agreements. As of December 31, 2019, and 2020, the unamortized debt issuance costs remaining are $148,033 and $115,535, respectively. As of June 30, 2020 and 2021 (unaudited), the unamortized debt issuance costs remaining were $131,792 and $99,265,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(in thousands)</w:t>
            </w:r>
          </w:p>
        </w:tc>
      </w:tr>
      <w:tr>
        <w:trPr>
          <w:trHeight w:val="19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17,465</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2022</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20,284</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2024</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and thereafter</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7,519</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47,891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discount for issuance costs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47,775</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line of credit</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0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net of issuance costs</w:t>
            </w:r>
          </w:p>
        </w:tc>
        <w:tc>
          <w:tcPr>
            <w:tcW w:w="6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r>
      <w:tr>
        <w:trPr>
          <w:trHeight w:val="22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 net of issuance costs</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Company is subject to customary covenants under its revolving line of credit agreement, non-amortizing term loan agreement and amortizing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The Company must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maintain EBITDA for the twelve-month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06"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color w:val="auto"/>
        </w:rPr>
        <w:t>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the Company was in compliance with all debt covenants.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 CONVERTIBLE PREFERRED STOCK AND STOCKHOLDERS’ DEFICIT</w:t>
      </w:r>
    </w:p>
    <w:p>
      <w:pPr>
        <w:spacing w:after="0" w:line="152"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Company’s Amended and Restated Certificate of Incorporation authorizes the Company to issue 95,000,000 shares of common stock and 4,203,139 shares of convertible preferred stock with a par value of $0.0001 per share. As of December 31, 2019 and 2020, there was 26,589,930 and 29,366,940 shares of common stock issued and outstanding, respectively. As of June 30, 2021 (unaudited), there was 34,780,520 shares of common stock issued and outstanding. The holders of each share of common stock are entitled to the number of votes that is equal to the number of shares of common stock issued and outstanding for the holders.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the Company repurchased 55,200 shares of exercised unvested common stock, for $1,794,703, of which</w:t>
      </w:r>
    </w:p>
    <w:p>
      <w:pPr>
        <w:spacing w:after="0" w:line="1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$13,919 for the exercise cost of the repurchase was recorded within Additional paid-in capital and the remaining $1,780,784 of the repurchase was recorded as stock-based compensation expense.</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2,529,830 shares of common stock for $1,759,643 by entering into promissory notes with the Company. Although each promissory note varied in loan amount, all notes had the same standard terms with annual interest of 0.13% and unpaid principal balances due and payable in twelve equal monthly payments beginning October 1, 2021. No promissory notes were entered into with listed directors or executive officers of the Company. As each promissory note is considered a recourse loan in form and substance, the Company records all outstanding loan balances for employees to exercise stock options to Subscriptions receivable as contra equity within Stockholders' deficit. As of June 30, 2021 (unaudited), the Company recognized $1,759,643 of Subscriptions receivable and no payments of interest or principal have been received to date. As of June 30, 2021 (unaudited), no interest income has been accrued to date on the promissory notes.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convertible preferred stock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share and</w:t>
            </w:r>
          </w:p>
        </w:tc>
        <w:tc>
          <w:tcPr>
            <w:tcW w:w="132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tcBorders>
              <w:top w:val="single" w:sz="8" w:color="auto"/>
            </w:tcBorders>
            <w:vMerge w:val="restart"/>
          </w:tcPr>
          <w:p>
            <w:pPr>
              <w:spacing w:after="0"/>
              <w:rPr>
                <w:sz w:val="13"/>
                <w:szCs w:val="13"/>
                <w:color w:val="auto"/>
              </w:rPr>
            </w:pPr>
          </w:p>
        </w:tc>
        <w:tc>
          <w:tcPr>
            <w:tcW w:w="1320" w:type="dxa"/>
            <w:vAlign w:val="bottom"/>
            <w:tcBorders>
              <w:top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Shares issued and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Original issuance</w:t>
            </w:r>
          </w:p>
        </w:tc>
        <w:tc>
          <w:tcPr>
            <w:tcW w:w="13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Liquidation amount</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142"/>
              <w:spacing w:after="0"/>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per share data)</w:t>
            </w: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outstanding</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price per share</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1,090,868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1,090,868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0.9167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B</w:t>
            </w:r>
          </w:p>
        </w:tc>
        <w:tc>
          <w:tcPr>
            <w:tcW w:w="1320" w:type="dxa"/>
            <w:vAlign w:val="bottom"/>
          </w:tcPr>
          <w:p>
            <w:pPr>
              <w:jc w:val="right"/>
              <w:spacing w:after="0"/>
              <w:rPr>
                <w:sz w:val="20"/>
                <w:szCs w:val="20"/>
                <w:color w:val="auto"/>
              </w:rPr>
            </w:pPr>
            <w:r>
              <w:rPr>
                <w:rFonts w:ascii="Arial" w:cs="Arial" w:eastAsia="Arial" w:hAnsi="Arial"/>
                <w:sz w:val="16"/>
                <w:szCs w:val="16"/>
                <w:color w:val="auto"/>
              </w:rPr>
              <w:t>1,401,399</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1,401,399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2.67903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22,827</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644,541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644,541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5.54619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C</w:t>
            </w:r>
          </w:p>
        </w:tc>
        <w:tc>
          <w:tcPr>
            <w:tcW w:w="1320" w:type="dxa"/>
            <w:vAlign w:val="bottom"/>
          </w:tcPr>
          <w:p>
            <w:pPr>
              <w:jc w:val="right"/>
              <w:spacing w:after="0"/>
              <w:rPr>
                <w:sz w:val="20"/>
                <w:szCs w:val="20"/>
                <w:color w:val="auto"/>
              </w:rPr>
            </w:pPr>
            <w:r>
              <w:rPr>
                <w:rFonts w:ascii="Arial" w:cs="Arial" w:eastAsia="Arial" w:hAnsi="Arial"/>
                <w:sz w:val="16"/>
                <w:szCs w:val="16"/>
                <w:color w:val="auto"/>
              </w:rPr>
              <w:t>1,066,331</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1,066,331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15.5677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17,170</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4,203,139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features of the Company’s convertible preferred stock are as follows:</w:t>
      </w:r>
    </w:p>
    <w:p>
      <w:pPr>
        <w:spacing w:after="0" w:line="12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color w:val="auto"/>
        </w:rPr>
        <w:t xml:space="preserve">Dividend provisions </w:t>
      </w:r>
      <w:r>
        <w:rPr>
          <w:rFonts w:ascii="Arial" w:cs="Arial" w:eastAsia="Arial" w:hAnsi="Arial"/>
          <w:sz w:val="16"/>
          <w:szCs w:val="16"/>
          <w:color w:val="auto"/>
        </w:rPr>
        <w:t>– The holders of Series A convertible preferred stock (Series A), Series B convertible preferred stock (Series B), Series B-1 convertible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(Series B-1) and Series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9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b w:val="1"/>
          <w:bCs w:val="1"/>
          <w:color w:val="auto"/>
        </w:rPr>
        <w:t xml:space="preserve">Liquidation preference </w:t>
      </w:r>
      <w:r>
        <w:rPr>
          <w:rFonts w:ascii="Arial" w:cs="Arial" w:eastAsia="Arial" w:hAnsi="Arial"/>
          <w:sz w:val="16"/>
          <w:szCs w:val="16"/>
          <w:color w:val="auto"/>
        </w:rPr>
        <w:t>– In the event of any liquidation, dissolution or winding up of the Company, the holders of convertible preferred stock for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Series B-1, or Series C then outstanding shall be entitled to be paid, prior and in preference to any distribution of any of the assets, funds, or proceeds available for distribution, the original issuance price per share equal to $ 0.9167, $ 2.67903, $5.54619, or $15.56770, respectively, plus declared but unpaid dividends. If assets are not sufficient to permit such payment, payment will be made on a pro rata, equal priority, pari passu basis.</w:t>
      </w:r>
    </w:p>
    <w:p>
      <w:pPr>
        <w:spacing w:after="0" w:line="115"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9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Conversion rights </w:t>
      </w:r>
      <w:r>
        <w:rPr>
          <w:rFonts w:ascii="Arial" w:cs="Arial" w:eastAsia="Arial" w:hAnsi="Arial"/>
          <w:sz w:val="16"/>
          <w:szCs w:val="16"/>
          <w:color w:val="auto"/>
        </w:rPr>
        <w:t>– Each outstanding share of Series A, Series B, Series B-1 and Series C is convertible into ten fully paid and nonassessable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Redemption rights </w:t>
      </w:r>
      <w:r>
        <w:rPr>
          <w:rFonts w:ascii="Arial" w:cs="Arial" w:eastAsia="Arial" w:hAnsi="Arial"/>
          <w:sz w:val="16"/>
          <w:szCs w:val="16"/>
          <w:color w:val="auto"/>
        </w:rPr>
        <w:t>– Except in the case of liquidation, the convertible preferred stock is not redeemable at the option of the holder.</w:t>
      </w:r>
    </w:p>
    <w:p>
      <w:pPr>
        <w:spacing w:after="0" w:line="14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Voting rights </w:t>
      </w:r>
      <w:r>
        <w:rPr>
          <w:rFonts w:ascii="Arial" w:cs="Arial" w:eastAsia="Arial" w:hAnsi="Arial"/>
          <w:sz w:val="16"/>
          <w:szCs w:val="16"/>
          <w:color w:val="auto"/>
        </w:rPr>
        <w:t>– The holders of each share of convertible preferred stock are entitled to the number of votes equal to the number of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which such shares are convertible.</w:t>
      </w:r>
    </w:p>
    <w:p>
      <w:pPr>
        <w:spacing w:after="0" w:line="7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The Company issued warrants during various dates in 2013 and in December 2016 to purchase 430,080 shares of common stock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previous credit agreement entered into with Silicon Valley Bank.</w:t>
      </w:r>
    </w:p>
    <w:p>
      <w:pPr>
        <w:spacing w:after="0" w:line="8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Although the credit agreement was terminated in 2018, the common stock warrants remain outstanding until exercised or expired. The warrants issued in 2013 and 2016 are exercisable immediately at $0.07 and $0.53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following table discloses important information regarding common stock warrants issued and outstanding at December 31, 2019 and 2020 and June 30, 2021 (unaudited):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3"/>
                <w:szCs w:val="13"/>
                <w:b w:val="1"/>
                <w:bCs w:val="1"/>
                <w:color w:val="auto"/>
              </w:rPr>
              <w:t>Number of warrant</w:t>
            </w: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Fair value on issuance</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Date issued</w:t>
            </w:r>
          </w:p>
        </w:tc>
        <w:tc>
          <w:tcPr>
            <w:tcW w:w="100" w:type="dxa"/>
            <w:vAlign w:val="bottom"/>
            <w:vMerge w:val="restart"/>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44"/>
              <w:spacing w:after="0" w:line="122" w:lineRule="exact"/>
              <w:rPr>
                <w:sz w:val="20"/>
                <w:szCs w:val="20"/>
                <w:color w:val="auto"/>
              </w:rPr>
            </w:pPr>
            <w:r>
              <w:rPr>
                <w:rFonts w:ascii="Arial" w:cs="Arial" w:eastAsia="Arial" w:hAnsi="Arial"/>
                <w:sz w:val="13"/>
                <w:szCs w:val="13"/>
                <w:b w:val="1"/>
                <w:bCs w:val="1"/>
                <w:color w:val="auto"/>
                <w:w w:val="97"/>
              </w:rPr>
              <w:t>date</w:t>
            </w:r>
          </w:p>
        </w:tc>
        <w:tc>
          <w:tcPr>
            <w:tcW w:w="100" w:type="dxa"/>
            <w:vAlign w:val="bottom"/>
          </w:tcPr>
          <w:p>
            <w:pPr>
              <w:spacing w:after="0"/>
              <w:rPr>
                <w:sz w:val="10"/>
                <w:szCs w:val="10"/>
                <w:color w:val="auto"/>
              </w:rPr>
            </w:pPr>
          </w:p>
        </w:tc>
        <w:tc>
          <w:tcPr>
            <w:tcW w:w="2160" w:type="dxa"/>
            <w:vAlign w:val="bottom"/>
            <w:vMerge w:val="restart"/>
          </w:tcPr>
          <w:p>
            <w:pPr>
              <w:jc w:val="right"/>
              <w:ind w:right="383"/>
              <w:spacing w:after="0"/>
              <w:rPr>
                <w:sz w:val="20"/>
                <w:szCs w:val="20"/>
                <w:color w:val="auto"/>
              </w:rPr>
            </w:pPr>
            <w:r>
              <w:rPr>
                <w:rFonts w:ascii="Arial" w:cs="Arial" w:eastAsia="Arial" w:hAnsi="Arial"/>
                <w:sz w:val="13"/>
                <w:szCs w:val="13"/>
                <w:b w:val="1"/>
                <w:bCs w:val="1"/>
                <w:color w:val="auto"/>
              </w:rPr>
              <w:t>Exercisable through</w:t>
            </w:r>
          </w:p>
        </w:tc>
        <w:tc>
          <w:tcPr>
            <w:tcW w:w="0" w:type="dxa"/>
            <w:vAlign w:val="bottom"/>
          </w:tcPr>
          <w:p>
            <w:pPr>
              <w:spacing w:after="0"/>
              <w:rPr>
                <w:sz w:val="1"/>
                <w:szCs w:val="1"/>
                <w:color w:val="auto"/>
              </w:rPr>
            </w:pPr>
          </w:p>
        </w:tc>
      </w:tr>
      <w:tr>
        <w:trPr>
          <w:trHeight w:val="158"/>
        </w:trPr>
        <w:tc>
          <w:tcPr>
            <w:tcW w:w="5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56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2013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2023</w:t>
            </w:r>
          </w:p>
        </w:tc>
        <w:tc>
          <w:tcPr>
            <w:tcW w:w="0" w:type="dxa"/>
            <w:vAlign w:val="bottom"/>
          </w:tcPr>
          <w:p>
            <w:pPr>
              <w:spacing w:after="0"/>
              <w:rPr>
                <w:sz w:val="1"/>
                <w:szCs w:val="1"/>
                <w:color w:val="auto"/>
              </w:rPr>
            </w:pPr>
          </w:p>
        </w:tc>
      </w:tr>
      <w:tr>
        <w:trPr>
          <w:trHeight w:val="207"/>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October 2013</w:t>
            </w:r>
          </w:p>
        </w:tc>
        <w:tc>
          <w:tcPr>
            <w:tcW w:w="156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2023</w:t>
            </w:r>
          </w:p>
        </w:tc>
        <w:tc>
          <w:tcPr>
            <w:tcW w:w="0" w:type="dxa"/>
            <w:vAlign w:val="bottom"/>
          </w:tcPr>
          <w:p>
            <w:pPr>
              <w:spacing w:after="0"/>
              <w:rPr>
                <w:sz w:val="1"/>
                <w:szCs w:val="1"/>
                <w:color w:val="auto"/>
              </w:rPr>
            </w:pPr>
          </w:p>
        </w:tc>
      </w:tr>
      <w:tr>
        <w:trPr>
          <w:trHeight w:val="20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2016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2026</w:t>
            </w:r>
          </w:p>
        </w:tc>
        <w:tc>
          <w:tcPr>
            <w:tcW w:w="0" w:type="dxa"/>
            <w:vAlign w:val="bottom"/>
          </w:tcPr>
          <w:p>
            <w:pPr>
              <w:spacing w:after="0"/>
              <w:rPr>
                <w:sz w:val="1"/>
                <w:szCs w:val="1"/>
                <w:color w:val="auto"/>
              </w:rPr>
            </w:pPr>
          </w:p>
        </w:tc>
      </w:tr>
      <w:tr>
        <w:trPr>
          <w:trHeight w:val="199"/>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430,080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STOCK-BASED COMPENSATION</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2009, the Company’s Board of Directors approved the adoption of a stock option plan (the Option Plan). As amended in 2015, the Option Plan permits the Company to grant up to 16,495,150 shares of the Company’s common stock. In January 2018, the Company increased the common stock reserved under the Company’s Option Plan by 535,130 shares, from 16,495,150 shares to 17,030,280. In April 2019, the Company approved the adoption of a new 2019 stock option plan (the 2019 Option Plan). This plan permits the Company to grant up to 8,173,970 additional shares, increasing the overall common stock reserved for grant to 25,204,250 shares.</w:t>
      </w:r>
    </w:p>
    <w:p>
      <w:pPr>
        <w:spacing w:after="0" w:line="123" w:lineRule="exact"/>
        <w:rPr>
          <w:sz w:val="20"/>
          <w:szCs w:val="20"/>
          <w:color w:val="auto"/>
        </w:rPr>
      </w:pPr>
    </w:p>
    <w:p>
      <w:pPr>
        <w:ind w:right="760"/>
        <w:spacing w:after="0" w:line="268" w:lineRule="auto"/>
        <w:rPr>
          <w:sz w:val="20"/>
          <w:szCs w:val="20"/>
          <w:color w:val="auto"/>
        </w:rPr>
      </w:pPr>
      <w:r>
        <w:rPr>
          <w:rFonts w:ascii="Arial" w:cs="Arial" w:eastAsia="Arial" w:hAnsi="Arial"/>
          <w:sz w:val="16"/>
          <w:szCs w:val="16"/>
          <w:color w:val="auto"/>
        </w:rPr>
        <w:t>The 2019 Option Plan gives the Company the ability to grant restricted stock units. No restricted stock units were issued as of December 31, 2019, December 31, 2020 and June 30, 2021 (unaudited).</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10"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Under both option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 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During the year ended December 31, 2019, the Company repurchased 55,200 shares of exercised unvested common stock, for $1,794,703, of which $13,919 of the exercise cost of the repurchase was recorded within Additional paid-in capital and the remaining $1,780,784 of the repurchase was recorded as stock-based compensation expense. There were no repurchases of common stock during the year ended December 31, 2020 and the six months ended June 30, 2021 (unaudited).There were no early exercised shares subject to repurchase as of December 31, 2019, June 30, 2020 (unaudited) and December 31, 2020.</w:t>
      </w:r>
    </w:p>
    <w:p>
      <w:pPr>
        <w:spacing w:after="0" w:line="128"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As of June 30, 2021 (unaudited), there were 727,350 shares subject to repurchase related to stock options early exercised and not yet vested, but that are expected to vest. As of June 30, 2021 (unaudited), the Company recorded a liability related to these shares subject to repurchase in the amount of $1,191,810, which is included within Accrued expenses and other liabilities in the accompanying consolidated balance sheets. These amounts are reclassified to common stock and additional paid in capital as the underlying shares vest.</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2020, the modification had an immaterial impact to stock-based compensation expense and the consolidated financial statements.</w:t>
      </w:r>
    </w:p>
    <w:p>
      <w:pPr>
        <w:spacing w:after="0" w:line="10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the years ended December 31, 2019 and 2020, the Company recorded stock-based compensation expense of $3,487,089 and $17,837,359, respectively. For the six months ended June 30, 2020 and 2021 (unaudited), the Company recorded stock-based compensation expense of $ 1,185,520 and $1,597,721, respectively. All stock-based compensation expense for the Company is recorded on the consolidated statements of income and within Additional paid-in capital on the consolidated balance sheets and statements of convertible preferred stock and stockholders' deficit with the exception of the $1,780,784 of stock-based compensation expense for the repurchase of unvested early exercised shares during the year ended December 31, 2019. This amount was included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is included in the following components of expenses on the accompanying consolidated statements of income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3"/>
          </w:tcPr>
          <w:p>
            <w:pPr>
              <w:jc w:val="right"/>
              <w:ind w:right="7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328</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708</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and marketing</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137</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Stock option activity for the year ended December 31, 2020 and the six months ended June 30, 2021 (unaudited), was as follows: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67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center"/>
              <w:ind w:right="103"/>
              <w:spacing w:after="0"/>
              <w:rPr>
                <w:sz w:val="20"/>
                <w:szCs w:val="20"/>
                <w:color w:val="auto"/>
              </w:rPr>
            </w:pPr>
            <w:r>
              <w:rPr>
                <w:rFonts w:ascii="Arial" w:cs="Arial" w:eastAsia="Arial" w:hAnsi="Arial"/>
                <w:sz w:val="13"/>
                <w:szCs w:val="13"/>
                <w:b w:val="1"/>
                <w:bCs w:val="1"/>
                <w:color w:val="auto"/>
              </w:rPr>
              <w:t>Weighted average</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Weighted average</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remaining contractual</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0"/>
                <w:szCs w:val="10"/>
                <w:color w:val="auto"/>
              </w:rPr>
            </w:pPr>
          </w:p>
        </w:tc>
        <w:tc>
          <w:tcPr>
            <w:tcW w:w="1340" w:type="dxa"/>
            <w:vAlign w:val="bottom"/>
          </w:tcPr>
          <w:p>
            <w:pPr>
              <w:jc w:val="center"/>
              <w:ind w:right="103"/>
              <w:spacing w:after="0" w:line="122" w:lineRule="exact"/>
              <w:rPr>
                <w:sz w:val="20"/>
                <w:szCs w:val="20"/>
                <w:color w:val="auto"/>
              </w:rPr>
            </w:pPr>
            <w:r>
              <w:rPr>
                <w:rFonts w:ascii="Arial" w:cs="Arial" w:eastAsia="Arial" w:hAnsi="Arial"/>
                <w:sz w:val="13"/>
                <w:szCs w:val="13"/>
                <w:b w:val="1"/>
                <w:bCs w:val="1"/>
                <w:color w:val="auto"/>
              </w:rPr>
              <w:t>exercise price per</w:t>
            </w:r>
          </w:p>
        </w:tc>
        <w:tc>
          <w:tcPr>
            <w:tcW w:w="1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life</w:t>
            </w:r>
          </w:p>
        </w:tc>
        <w:tc>
          <w:tcPr>
            <w:tcW w:w="0" w:type="dxa"/>
            <w:vAlign w:val="bottom"/>
          </w:tcPr>
          <w:p>
            <w:pPr>
              <w:spacing w:after="0"/>
              <w:rPr>
                <w:sz w:val="1"/>
                <w:szCs w:val="1"/>
                <w:color w:val="auto"/>
              </w:rPr>
            </w:pPr>
          </w:p>
        </w:tc>
      </w:tr>
      <w:tr>
        <w:trPr>
          <w:trHeight w:val="158"/>
        </w:trPr>
        <w:tc>
          <w:tcPr>
            <w:tcW w:w="67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jc w:val="center"/>
              <w:ind w:right="103"/>
              <w:spacing w:after="0"/>
              <w:rPr>
                <w:sz w:val="20"/>
                <w:szCs w:val="20"/>
                <w:color w:val="auto"/>
              </w:rPr>
            </w:pPr>
            <w:r>
              <w:rPr>
                <w:rFonts w:ascii="Arial" w:cs="Arial" w:eastAsia="Arial" w:hAnsi="Arial"/>
                <w:sz w:val="13"/>
                <w:szCs w:val="13"/>
                <w:b w:val="1"/>
                <w:bCs w:val="1"/>
                <w:color w:val="auto"/>
              </w:rPr>
              <w:t>share</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15,545,850</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1,638,020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2.11</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0.47</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Options cancelled/forfeited/expired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(894,040)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2.57</w:t>
            </w:r>
          </w:p>
        </w:tc>
        <w:tc>
          <w:tcPr>
            <w:tcW w:w="1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13,512,820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0.78</w:t>
            </w:r>
          </w:p>
        </w:tc>
        <w:tc>
          <w:tcPr>
            <w:tcW w:w="1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00" w:type="dxa"/>
            <w:vAlign w:val="bottom"/>
          </w:tcPr>
          <w:p>
            <w:pPr>
              <w:ind w:left="40"/>
              <w:spacing w:after="0" w:line="175" w:lineRule="exact"/>
              <w:rPr>
                <w:sz w:val="20"/>
                <w:szCs w:val="20"/>
                <w:color w:val="auto"/>
              </w:rPr>
            </w:pPr>
            <w:r>
              <w:rPr>
                <w:rFonts w:ascii="Arial" w:cs="Arial" w:eastAsia="Arial" w:hAnsi="Arial"/>
                <w:sz w:val="16"/>
                <w:szCs w:val="16"/>
                <w:color w:val="auto"/>
              </w:rPr>
              <w:t>Exercisable at December 31, 2020</w:t>
            </w: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13,222,800</w:t>
            </w: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line="175" w:lineRule="exact"/>
              <w:rPr>
                <w:sz w:val="20"/>
                <w:szCs w:val="20"/>
                <w:color w:val="auto"/>
              </w:rPr>
            </w:pPr>
            <w:r>
              <w:rPr>
                <w:rFonts w:ascii="Arial" w:cs="Arial" w:eastAsia="Arial" w:hAnsi="Arial"/>
                <w:sz w:val="16"/>
                <w:szCs w:val="16"/>
                <w:color w:val="auto"/>
              </w:rPr>
              <w:t>0.78</w:t>
            </w:r>
          </w:p>
        </w:tc>
        <w:tc>
          <w:tcPr>
            <w:tcW w:w="1520" w:type="dxa"/>
            <w:vAlign w:val="bottom"/>
          </w:tcPr>
          <w:p>
            <w:pPr>
              <w:jc w:val="right"/>
              <w:ind w:right="7"/>
              <w:spacing w:after="0" w:line="175" w:lineRule="exact"/>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granted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738,590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7.76</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exercised (unaudited)</w:t>
            </w:r>
          </w:p>
        </w:tc>
        <w:tc>
          <w:tcPr>
            <w:tcW w:w="1460" w:type="dxa"/>
            <w:vAlign w:val="bottom"/>
          </w:tcPr>
          <w:p>
            <w:pPr>
              <w:jc w:val="right"/>
              <w:spacing w:after="0"/>
              <w:rPr>
                <w:sz w:val="20"/>
                <w:szCs w:val="20"/>
                <w:color w:val="auto"/>
              </w:rPr>
            </w:pPr>
            <w:r>
              <w:rPr>
                <w:rFonts w:ascii="Arial" w:cs="Arial" w:eastAsia="Arial" w:hAnsi="Arial"/>
                <w:sz w:val="16"/>
                <w:szCs w:val="16"/>
                <w:color w:val="auto"/>
              </w:rPr>
              <w:t>(5,413,580)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0.95</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cancelled/forfeited/expired (unaudited)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0.99</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700" w:type="dxa"/>
            <w:vAlign w:val="bottom"/>
          </w:tcPr>
          <w:p>
            <w:pPr>
              <w:ind w:left="40"/>
              <w:spacing w:after="0" w:line="200" w:lineRule="exact"/>
              <w:rPr>
                <w:sz w:val="20"/>
                <w:szCs w:val="20"/>
                <w:color w:val="auto"/>
              </w:rPr>
            </w:pPr>
            <w:r>
              <w:rPr>
                <w:rFonts w:ascii="Arial" w:cs="Arial" w:eastAsia="Arial" w:hAnsi="Arial"/>
                <w:sz w:val="16"/>
                <w:szCs w:val="16"/>
                <w:color w:val="auto"/>
              </w:rPr>
              <w:t>Outstanding at June 30, 2021 (unaudited)</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8,565,230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1.27</w:t>
            </w:r>
          </w:p>
        </w:tc>
        <w:tc>
          <w:tcPr>
            <w:tcW w:w="1520" w:type="dxa"/>
            <w:vAlign w:val="bottom"/>
          </w:tcPr>
          <w:p>
            <w:pPr>
              <w:jc w:val="right"/>
              <w:ind w:right="7"/>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at June 30, 2021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8,277,250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1.25</w:t>
            </w:r>
          </w:p>
        </w:tc>
        <w:tc>
          <w:tcPr>
            <w:tcW w:w="15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49"/>
        </w:trPr>
        <w:tc>
          <w:tcPr>
            <w:tcW w:w="67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3" w:right="160" w:hanging="283"/>
        <w:spacing w:after="0" w:line="268" w:lineRule="auto"/>
        <w:tabs>
          <w:tab w:leader="none" w:pos="273" w:val="left"/>
        </w:tabs>
        <w:numPr>
          <w:ilvl w:val="0"/>
          <w:numId w:val="141"/>
        </w:numPr>
        <w:rPr>
          <w:rFonts w:ascii="Arial" w:cs="Arial" w:eastAsia="Arial" w:hAnsi="Arial"/>
          <w:sz w:val="12"/>
          <w:szCs w:val="12"/>
          <w:color w:val="auto"/>
        </w:rPr>
      </w:pPr>
      <w:r>
        <w:rPr>
          <w:rFonts w:ascii="Arial" w:cs="Arial" w:eastAsia="Arial" w:hAnsi="Arial"/>
          <w:sz w:val="12"/>
          <w:szCs w:val="12"/>
          <w:color w:val="auto"/>
        </w:rPr>
        <w:t>Included within the options outstanding are 3,123,800 shares for which the Company provided promissory notes to employees with a repayment term of 12 months. As of June 30, 2021, 593,970 shares with a corresponding loan amount of $1,195,114 were unvested and therefore were not recorded as they were determined to be non-substantive for accounting purposes.</w:t>
      </w:r>
    </w:p>
    <w:p>
      <w:pPr>
        <w:spacing w:after="0" w:line="118" w:lineRule="exact"/>
        <w:rPr>
          <w:sz w:val="20"/>
          <w:szCs w:val="20"/>
          <w:color w:val="auto"/>
        </w:rPr>
      </w:pPr>
    </w:p>
    <w:p>
      <w:pPr>
        <w:ind w:left="3" w:right="40"/>
        <w:spacing w:after="0" w:line="256" w:lineRule="auto"/>
        <w:rPr>
          <w:sz w:val="20"/>
          <w:szCs w:val="20"/>
          <w:color w:val="auto"/>
        </w:rPr>
      </w:pPr>
      <w:r>
        <w:rPr>
          <w:rFonts w:ascii="Arial" w:cs="Arial" w:eastAsia="Arial" w:hAnsi="Arial"/>
          <w:sz w:val="16"/>
          <w:szCs w:val="16"/>
          <w:color w:val="auto"/>
        </w:rPr>
        <w:t>The total pretax intrinsic value of options exercised during the years ended December 31, 2019 and 2020, was $4,655,919 and $11,262,711, respectively. The total pretax intrinsic value of options exercised during the six months ended June 30, 2020 and 2021 (unaudited), was $2,861,988 and $59,930,620, respectively. The total pretax intrinsic value of options outstanding at December 31, 2019 and 2020, was $40,412,194 and $86,828,282, respectively. The total pretax intrinsic value of options outstanding at June 30, 2021 (unaudited) was $101,826,596. The intrinsic value is the difference between the estimated fair value of the Company’s common stock at the date of exercise and the exercise price for in-the-money options. The weighted average grant date fair value of options granted during the years ended December 31, 2019 and 2020, was $1.65 and $1.69, respectively. The weighted average grant date fair value of options granted during the six months ended June 30, 2020 and 2021 (unaudited), was $1.69 and $4.85, respectively.</w:t>
      </w:r>
    </w:p>
    <w:p>
      <w:pPr>
        <w:spacing w:after="0" w:line="112"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As of December 31, 2020, there was $10,768,423 of unamortized stock-based compensation cost related to unvested stock options, which is expected to be recognized over a weighted average period of 3.7 years. As of June 30, 2021 (unaudited), there was $12,595,728 of unamortized stock-based compensation cost related to unvested stock options, which is expected to be recognized over a weighted average period of 1.9 years.</w:t>
      </w:r>
    </w:p>
    <w:p>
      <w:pPr>
        <w:spacing w:after="0" w:line="118"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Cash received from option exercises and purchases of shares under the option plans for the years ended December 31, 2019 and 2020, was $482,254 and $1,300,766, respectively. Cash received from option exercises and purchases of shares under the option plans for the six months ended June 30, 2020 and 2021 (unaudited), was $310,454 and $2,730,854,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fair value of option grants was estimated using the Black-Scholes option pricing model with the following weighted average assumptions: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40" w:type="dxa"/>
            <w:vAlign w:val="bottom"/>
            <w:tcBorders>
              <w:top w:val="single" w:sz="8" w:color="auto"/>
            </w:tcBorders>
          </w:tcPr>
          <w:p>
            <w:pPr>
              <w:spacing w:after="0"/>
              <w:rPr>
                <w:sz w:val="16"/>
                <w:szCs w:val="16"/>
                <w:color w:val="auto"/>
              </w:rPr>
            </w:pPr>
          </w:p>
        </w:tc>
        <w:tc>
          <w:tcPr>
            <w:tcW w:w="2760" w:type="dxa"/>
            <w:vAlign w:val="bottom"/>
            <w:tcBorders>
              <w:top w:val="single" w:sz="8" w:color="auto"/>
              <w:bottom w:val="single" w:sz="8" w:color="auto"/>
            </w:tcBorders>
            <w:gridSpan w:val="4"/>
          </w:tcPr>
          <w:p>
            <w:pPr>
              <w:jc w:val="right"/>
              <w:ind w:right="22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2980" w:type="dxa"/>
            <w:vAlign w:val="bottom"/>
            <w:tcBorders>
              <w:top w:val="single" w:sz="8" w:color="auto"/>
              <w:bottom w:val="single" w:sz="8" w:color="auto"/>
            </w:tcBorders>
            <w:gridSpan w:val="3"/>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4"/>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2"/>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60" w:type="dxa"/>
            <w:vAlign w:val="bottom"/>
          </w:tcPr>
          <w:p>
            <w:pPr>
              <w:spacing w:after="0"/>
              <w:rPr>
                <w:sz w:val="14"/>
                <w:szCs w:val="14"/>
                <w:color w:val="auto"/>
              </w:rPr>
            </w:pPr>
          </w:p>
        </w:tc>
      </w:tr>
      <w:tr>
        <w:trPr>
          <w:trHeight w:val="20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common stock per share</w:t>
            </w:r>
          </w:p>
        </w:tc>
        <w:tc>
          <w:tcPr>
            <w:tcW w:w="1020" w:type="dxa"/>
            <w:vAlign w:val="bottom"/>
            <w:shd w:val="clear" w:color="auto" w:fill="CCEEFF"/>
          </w:tcPr>
          <w:p>
            <w:pPr>
              <w:jc w:val="right"/>
              <w:ind w:right="84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2.66</w:t>
            </w:r>
          </w:p>
        </w:tc>
        <w:tc>
          <w:tcPr>
            <w:tcW w:w="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9.45</w:t>
            </w:r>
          </w:p>
        </w:tc>
      </w:tr>
      <w:tr>
        <w:trPr>
          <w:trHeight w:val="207"/>
        </w:trPr>
        <w:tc>
          <w:tcPr>
            <w:tcW w:w="4440" w:type="dxa"/>
            <w:vAlign w:val="bottom"/>
          </w:tcPr>
          <w:p>
            <w:pPr>
              <w:ind w:left="20"/>
              <w:spacing w:after="0"/>
              <w:rPr>
                <w:sz w:val="20"/>
                <w:szCs w:val="20"/>
                <w:color w:val="auto"/>
              </w:rPr>
            </w:pPr>
            <w:r>
              <w:rPr>
                <w:rFonts w:ascii="Arial" w:cs="Arial" w:eastAsia="Arial" w:hAnsi="Arial"/>
                <w:sz w:val="16"/>
                <w:szCs w:val="16"/>
                <w:color w:val="auto"/>
              </w:rPr>
              <w:t>Exercise price per share</w:t>
            </w:r>
          </w:p>
        </w:tc>
        <w:tc>
          <w:tcPr>
            <w:tcW w:w="1020" w:type="dxa"/>
            <w:vAlign w:val="bottom"/>
          </w:tcPr>
          <w:p>
            <w:pPr>
              <w:jc w:val="right"/>
              <w:ind w:right="847"/>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4"/>
              <w:spacing w:after="0"/>
              <w:rPr>
                <w:sz w:val="20"/>
                <w:szCs w:val="20"/>
                <w:color w:val="auto"/>
              </w:rPr>
            </w:pPr>
            <w:r>
              <w:rPr>
                <w:rFonts w:ascii="Arial" w:cs="Arial" w:eastAsia="Arial" w:hAnsi="Arial"/>
                <w:sz w:val="16"/>
                <w:szCs w:val="16"/>
                <w:color w:val="auto"/>
              </w:rPr>
              <w:t>2.11</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7.76</w:t>
            </w:r>
          </w:p>
        </w:tc>
      </w:tr>
      <w:tr>
        <w:trPr>
          <w:trHeight w:val="207"/>
        </w:trPr>
        <w:tc>
          <w:tcPr>
            <w:tcW w:w="444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444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0.7 %</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444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(3)</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50.4 %</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51.5 %</w:t>
            </w:r>
          </w:p>
        </w:tc>
      </w:tr>
      <w:tr>
        <w:trPr>
          <w:trHeight w:val="28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(4)</w:t>
            </w:r>
          </w:p>
        </w:tc>
        <w:tc>
          <w:tcPr>
            <w:tcW w:w="10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5.8</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56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50" w:lineRule="exact"/>
        <w:rPr>
          <w:sz w:val="20"/>
          <w:szCs w:val="20"/>
          <w:color w:val="auto"/>
        </w:rPr>
      </w:pPr>
    </w:p>
    <w:p>
      <w:pPr>
        <w:ind w:left="283" w:hanging="283"/>
        <w:spacing w:after="0"/>
        <w:tabs>
          <w:tab w:leader="none" w:pos="28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Company has no history or expectation of paying cash dividends on its common stock.</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risk-free interest rate is based on the U.S. Treasury yield for a term consistent with the expected life of the awards in effect at the time of grant.</w:t>
      </w:r>
    </w:p>
    <w:p>
      <w:pPr>
        <w:spacing w:after="0" w:line="8" w:lineRule="exact"/>
        <w:rPr>
          <w:rFonts w:ascii="Arial" w:cs="Arial" w:eastAsia="Arial" w:hAnsi="Arial"/>
          <w:sz w:val="12"/>
          <w:szCs w:val="12"/>
          <w:color w:val="auto"/>
        </w:rPr>
      </w:pPr>
    </w:p>
    <w:p>
      <w:pPr>
        <w:ind w:left="283" w:right="40" w:hanging="283"/>
        <w:spacing w:after="0" w:line="254" w:lineRule="auto"/>
        <w:tabs>
          <w:tab w:leader="none" w:pos="27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left="283" w:right="100" w:hanging="283"/>
        <w:spacing w:after="0" w:line="268" w:lineRule="auto"/>
        <w:tabs>
          <w:tab w:leader="none" w:pos="27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10 – INCOME TAXES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Company’s benefit (provision) for income taxes are as follows (in thousands):</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benefit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00"/>
        </w:trPr>
        <w:tc>
          <w:tcPr>
            <w:tcW w:w="47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7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2,856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effective income tax rate differs from the statutory rate in 2019 primarily due to the release of the valuation allowance. The effective income tax rate differs from the statutory rate in 2020 primarily due to the impact of stock-based compensation related secondary market transactions, which resulted in a $15,255,092 permanent item. For six months ended June 30, 2020 (unaudited), the effective income tax rate differs from the statutory rate in 2020 primarily due to research and development credits and stock-based compensation due to incentive stock options granted. For the six months ended June 30, 2021 (unaudited), the effective income tax rate differs from the statutory rate in 2021 primarily due to state taxes as a result of higher taxable income and stock-based compensation due to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903"/>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granted. For the six months ended June 30, 2020 and 2021 (unaudited) below, the effective income tax rate reflects an annual effective income tax rate included within the consolidated statements of income.</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40" w:type="dxa"/>
            <w:vAlign w:val="bottom"/>
            <w:tcBorders>
              <w:top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3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5420" w:type="dxa"/>
            <w:vAlign w:val="bottom"/>
            <w:gridSpan w:val="2"/>
          </w:tcPr>
          <w:p>
            <w:pPr>
              <w:ind w:left="5100"/>
              <w:spacing w:after="0"/>
              <w:rPr>
                <w:sz w:val="20"/>
                <w:szCs w:val="20"/>
                <w:color w:val="auto"/>
              </w:rPr>
            </w:pPr>
            <w:r>
              <w:rPr>
                <w:rFonts w:ascii="Arial" w:cs="Arial" w:eastAsia="Arial" w:hAnsi="Arial"/>
                <w:sz w:val="13"/>
                <w:szCs w:val="13"/>
                <w:b w:val="1"/>
                <w:bCs w:val="1"/>
                <w:color w:val="auto"/>
              </w:rPr>
              <w:t>2019</w:t>
            </w:r>
          </w:p>
        </w:tc>
        <w:tc>
          <w:tcPr>
            <w:tcW w:w="17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auto"/>
            </w:tcBorders>
            <w:gridSpan w:val="3"/>
          </w:tcPr>
          <w:p>
            <w:pPr>
              <w:jc w:val="center"/>
              <w:ind w:left="1083"/>
              <w:spacing w:after="0"/>
              <w:rPr>
                <w:sz w:val="20"/>
                <w:szCs w:val="20"/>
                <w:color w:val="auto"/>
              </w:rPr>
            </w:pPr>
            <w:r>
              <w:rPr>
                <w:rFonts w:ascii="Arial" w:cs="Arial" w:eastAsia="Arial" w:hAnsi="Arial"/>
                <w:sz w:val="13"/>
                <w:szCs w:val="13"/>
                <w:b w:val="1"/>
                <w:bCs w:val="1"/>
                <w:color w:val="auto"/>
                <w:w w:val="98"/>
              </w:rPr>
              <w:t>(unaudited)</w:t>
            </w:r>
          </w:p>
        </w:tc>
        <w:tc>
          <w:tcPr>
            <w:tcW w:w="1160" w:type="dxa"/>
            <w:vAlign w:val="bottom"/>
            <w:tcBorders>
              <w:top w:val="single" w:sz="8" w:color="auto"/>
            </w:tcBorders>
          </w:tcPr>
          <w:p>
            <w:pPr>
              <w:spacing w:after="0"/>
              <w:rPr>
                <w:sz w:val="14"/>
                <w:szCs w:val="14"/>
                <w:color w:val="auto"/>
              </w:rPr>
            </w:pP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State tax*</w:t>
            </w:r>
          </w:p>
        </w:tc>
        <w:tc>
          <w:tcPr>
            <w:tcW w:w="640" w:type="dxa"/>
            <w:vAlign w:val="bottom"/>
          </w:tcPr>
          <w:p>
            <w:pPr>
              <w:jc w:val="right"/>
              <w:spacing w:after="0"/>
              <w:rPr>
                <w:sz w:val="20"/>
                <w:szCs w:val="20"/>
                <w:color w:val="auto"/>
              </w:rPr>
            </w:pPr>
            <w:r>
              <w:rPr>
                <w:rFonts w:ascii="Arial" w:cs="Arial" w:eastAsia="Arial" w:hAnsi="Arial"/>
                <w:sz w:val="16"/>
                <w:szCs w:val="16"/>
                <w:color w:val="auto"/>
              </w:rPr>
              <w:t>42.5 %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 (R&amp;D) credit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Decrease in valuation allowance - federal</w:t>
            </w:r>
          </w:p>
        </w:tc>
        <w:tc>
          <w:tcPr>
            <w:tcW w:w="640" w:type="dxa"/>
            <w:vAlign w:val="bottom"/>
          </w:tcPr>
          <w:p>
            <w:pPr>
              <w:jc w:val="right"/>
              <w:spacing w:after="0"/>
              <w:rPr>
                <w:sz w:val="20"/>
                <w:szCs w:val="20"/>
                <w:color w:val="auto"/>
              </w:rPr>
            </w:pPr>
            <w:r>
              <w:rPr>
                <w:rFonts w:ascii="Arial" w:cs="Arial" w:eastAsia="Arial" w:hAnsi="Arial"/>
                <w:sz w:val="16"/>
                <w:szCs w:val="16"/>
                <w:color w:val="auto"/>
              </w:rPr>
              <w:t>133.2 %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220" w:type="dxa"/>
            <w:vAlign w:val="bottom"/>
            <w:gridSpan w:val="3"/>
          </w:tcPr>
          <w:p>
            <w:pPr>
              <w:jc w:val="right"/>
              <w:ind w:right="600"/>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170"/>
        </w:trPr>
        <w:tc>
          <w:tcPr>
            <w:tcW w:w="542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6"/>
                <w:szCs w:val="16"/>
                <w:color w:val="auto"/>
              </w:rPr>
              <w:t>Rate differentials for controlled foreign corporations (CFCs)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6"/>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charitable organizations that affect valuation allowance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Permanent items and others</w:t>
            </w:r>
          </w:p>
        </w:tc>
        <w:tc>
          <w:tcPr>
            <w:tcW w:w="6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0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 federal</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110.1 %</w:t>
            </w:r>
          </w:p>
        </w:tc>
        <w:tc>
          <w:tcPr>
            <w:tcW w:w="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640" w:type="dxa"/>
            <w:vAlign w:val="bottom"/>
          </w:tcPr>
          <w:p>
            <w:pPr>
              <w:jc w:val="right"/>
              <w:spacing w:after="0"/>
              <w:rPr>
                <w:sz w:val="20"/>
                <w:szCs w:val="20"/>
                <w:color w:val="auto"/>
              </w:rPr>
            </w:pPr>
            <w:r>
              <w:rPr>
                <w:rFonts w:ascii="Arial" w:cs="Arial" w:eastAsia="Arial" w:hAnsi="Arial"/>
                <w:sz w:val="16"/>
                <w:szCs w:val="16"/>
                <w:color w:val="auto"/>
              </w:rPr>
              <w:t>181.9 %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157.9 %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28.1 %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16.4 %</w:t>
            </w:r>
          </w:p>
        </w:tc>
      </w:tr>
      <w:tr>
        <w:trPr>
          <w:trHeight w:val="20"/>
        </w:trPr>
        <w:tc>
          <w:tcPr>
            <w:tcW w:w="4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3" w:hanging="283"/>
        <w:spacing w:after="0"/>
        <w:tabs>
          <w:tab w:leader="none" w:pos="283" w:val="left"/>
        </w:tabs>
        <w:numPr>
          <w:ilvl w:val="0"/>
          <w:numId w:val="143"/>
        </w:numPr>
        <w:rPr>
          <w:rFonts w:ascii="Arial" w:cs="Arial" w:eastAsia="Arial" w:hAnsi="Arial"/>
          <w:sz w:val="12"/>
          <w:szCs w:val="12"/>
          <w:color w:val="auto"/>
        </w:rPr>
      </w:pPr>
      <w:r>
        <w:rPr>
          <w:rFonts w:ascii="Arial" w:cs="Arial" w:eastAsia="Arial" w:hAnsi="Arial"/>
          <w:sz w:val="12"/>
          <w:szCs w:val="12"/>
          <w:color w:val="auto"/>
        </w:rPr>
        <w:t>State taxes includes the state tax impact of the release of the valuation allowance in 2019 and stock-based compensation expense related to secondary market transactions in 2020.</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net deferred tax assets are as follows (in thousands):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224"/>
        </w:trPr>
        <w:tc>
          <w:tcPr>
            <w:tcW w:w="8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NOL carryforwards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Accruals and reserves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 limitation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 net</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left="3" w:right="20"/>
        <w:spacing w:after="0" w:line="258" w:lineRule="auto"/>
        <w:rPr>
          <w:sz w:val="20"/>
          <w:szCs w:val="20"/>
          <w:color w:val="auto"/>
        </w:rPr>
      </w:pPr>
      <w:r>
        <w:rPr>
          <w:rFonts w:ascii="Arial" w:cs="Arial" w:eastAsia="Arial" w:hAnsi="Arial"/>
          <w:sz w:val="16"/>
          <w:szCs w:val="16"/>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10"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 and June 30, 2021 (unaudited).</w:t>
      </w:r>
    </w:p>
    <w:p>
      <w:pPr>
        <w:spacing w:after="0" w:line="118" w:lineRule="exact"/>
        <w:rPr>
          <w:sz w:val="20"/>
          <w:szCs w:val="20"/>
          <w:color w:val="auto"/>
        </w:rPr>
      </w:pPr>
    </w:p>
    <w:p>
      <w:pPr>
        <w:ind w:left="3" w:right="580"/>
        <w:spacing w:after="0" w:line="268" w:lineRule="auto"/>
        <w:rPr>
          <w:sz w:val="20"/>
          <w:szCs w:val="20"/>
          <w:color w:val="auto"/>
        </w:rPr>
      </w:pPr>
      <w:r>
        <w:rPr>
          <w:rFonts w:ascii="Arial" w:cs="Arial" w:eastAsia="Arial" w:hAnsi="Arial"/>
          <w:sz w:val="16"/>
          <w:szCs w:val="16"/>
          <w:color w:val="auto"/>
        </w:rPr>
        <w:t>As of December 31, 2019, the Company had NOL carryforwards for federal and state tax purposes of $8,348,489 and $3,795,685, respectively. As of December 31, 2020, the Company had NOL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carryforwards for federal and state tax purposes of $73,218, and $3,724,011, respectively. The NOL carryforwards will expire at various dates beginning in the years 2037 (federal) and 2031 (state), unless previously utilized. As of December 31, 2020, the Company also has federal and state research and development tax credit carryforwards of $173,542 and $569,019, respectively. The federal tax credits will expire at various dates beginning in the year 2029, unless previously utilized. The state tax credits do not expire and will carry forward indefinitely until utilized.</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21" w:lineRule="exact"/>
        <w:rPr>
          <w:sz w:val="20"/>
          <w:szCs w:val="20"/>
          <w:color w:val="auto"/>
        </w:rPr>
      </w:pPr>
    </w:p>
    <w:p>
      <w:pPr>
        <w:ind w:right="500"/>
        <w:spacing w:after="0" w:line="261" w:lineRule="auto"/>
        <w:rPr>
          <w:sz w:val="20"/>
          <w:szCs w:val="20"/>
          <w:color w:val="auto"/>
        </w:rPr>
      </w:pPr>
      <w:r>
        <w:rPr>
          <w:rFonts w:ascii="Arial" w:cs="Arial" w:eastAsia="Arial" w:hAnsi="Arial"/>
          <w:sz w:val="16"/>
          <w:szCs w:val="16"/>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1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The Company follows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$0 and $688,477 respectively, within Other liabilities on the consolidated balance sheets. As of June 30, 2021 (unaudited), the Company recorded an uncertain tax position liability, exclusive of interest and penalties, of $1,160,324 within Other liabilities on the consolidated balance sheets. As of December 31, 2020 and June 30, 2021 (unaudited), the Company has not accrued penalties and interest for uncertain tax positions.</w:t>
      </w:r>
    </w:p>
    <w:p>
      <w:pPr>
        <w:spacing w:after="0" w:line="106" w:lineRule="exact"/>
        <w:rPr>
          <w:sz w:val="20"/>
          <w:szCs w:val="20"/>
          <w:color w:val="auto"/>
        </w:rPr>
      </w:pPr>
    </w:p>
    <w:p>
      <w:pPr>
        <w:jc w:val="both"/>
        <w:ind w:right="400"/>
        <w:spacing w:after="0" w:line="261" w:lineRule="auto"/>
        <w:rPr>
          <w:sz w:val="20"/>
          <w:szCs w:val="20"/>
          <w:color w:val="auto"/>
        </w:rPr>
      </w:pPr>
      <w:r>
        <w:rPr>
          <w:rFonts w:ascii="Arial" w:cs="Arial" w:eastAsia="Arial" w:hAnsi="Arial"/>
          <w:sz w:val="16"/>
          <w:szCs w:val="16"/>
          <w:color w:val="auto"/>
        </w:rPr>
        <w:t>As of December 31, 2020, the Company has $1,328,883 of unrecognized tax benefits. Approximately all of the unrecognized tax benefits, if recognized, would affect the effective tax rate. A reconciliation of the amount of unrecognized tax benefits is as follows for the years ended December 31, 2019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52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394"/>
        </w:trPr>
        <w:tc>
          <w:tcPr>
            <w:tcW w:w="8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3"/>
          </w:tcPr>
          <w:p>
            <w:pPr>
              <w:jc w:val="right"/>
              <w:ind w:right="584"/>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24"/>
                <w:szCs w:val="24"/>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25"/>
        </w:trPr>
        <w:tc>
          <w:tcPr>
            <w:tcW w:w="802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current year</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of prior year</w:t>
            </w:r>
          </w:p>
        </w:tc>
        <w:tc>
          <w:tcPr>
            <w:tcW w:w="10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8020" w:type="dxa"/>
            <w:vAlign w:val="bottom"/>
          </w:tcPr>
          <w:p>
            <w:pPr>
              <w:ind w:left="20"/>
              <w:spacing w:after="0"/>
              <w:rPr>
                <w:sz w:val="20"/>
                <w:szCs w:val="20"/>
                <w:color w:val="auto"/>
              </w:rPr>
            </w:pPr>
            <w:r>
              <w:rPr>
                <w:rFonts w:ascii="Arial" w:cs="Arial" w:eastAsia="Arial" w:hAnsi="Arial"/>
                <w:sz w:val="16"/>
                <w:szCs w:val="16"/>
                <w:color w:val="auto"/>
              </w:rPr>
              <w:t>Balance as of December 31</w:t>
            </w:r>
          </w:p>
        </w:tc>
        <w:tc>
          <w:tcPr>
            <w:tcW w:w="100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1,329</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13"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interest and penalties recorded in the consolidated statement of income for the six months ended June 30, 2020 and 2021 (unaudited) or the consolidated balance sheet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2021 (unaudited). There are no positions for which it is reasonably possible that the total amounts of unrecognized tax benefits will significantly increase or decrease within 12 months of the reporting date.</w:t>
      </w:r>
    </w:p>
    <w:p>
      <w:pPr>
        <w:spacing w:after="0" w:line="10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 NET INCOME (LOSS) PER SHARE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net income (loss) per share is as follows (in thousands, except share and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share: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jc w:val="center"/>
              <w:ind w:right="2919"/>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680" w:type="dxa"/>
            <w:vAlign w:val="bottom"/>
            <w:shd w:val="clear" w:color="auto" w:fill="CCEEFF"/>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91"/>
        </w:trPr>
        <w:tc>
          <w:tcPr>
            <w:tcW w:w="4680" w:type="dxa"/>
            <w:vAlign w:val="bottom"/>
            <w:shd w:val="clear" w:color="auto" w:fill="CCEEFF"/>
          </w:tcPr>
          <w:p>
            <w:pPr>
              <w:ind w:left="600"/>
              <w:spacing w:after="0" w:line="171" w:lineRule="exact"/>
              <w:rPr>
                <w:sz w:val="20"/>
                <w:szCs w:val="20"/>
                <w:color w:val="auto"/>
              </w:rPr>
            </w:pPr>
            <w:r>
              <w:rPr>
                <w:rFonts w:ascii="Arial" w:cs="Arial" w:eastAsia="Arial" w:hAnsi="Arial"/>
                <w:sz w:val="16"/>
                <w:szCs w:val="16"/>
                <w:color w:val="auto"/>
              </w:rPr>
              <w:t>basic</w:t>
            </w:r>
          </w:p>
        </w:tc>
        <w:tc>
          <w:tcPr>
            <w:tcW w:w="38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8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Weighted-average shares of common stock used to compute net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8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26,663,418</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29,680,220</w:t>
            </w:r>
          </w:p>
        </w:tc>
        <w:tc>
          <w:tcPr>
            <w:tcW w:w="0" w:type="dxa"/>
            <w:vAlign w:val="bottom"/>
          </w:tcPr>
          <w:p>
            <w:pPr>
              <w:spacing w:after="0"/>
              <w:rPr>
                <w:sz w:val="1"/>
                <w:szCs w:val="1"/>
                <w:color w:val="auto"/>
              </w:rPr>
            </w:pPr>
          </w:p>
        </w:tc>
      </w:tr>
      <w:tr>
        <w:trPr>
          <w:trHeight w:val="150"/>
        </w:trPr>
        <w:tc>
          <w:tcPr>
            <w:tcW w:w="4680" w:type="dxa"/>
            <w:vAlign w:val="bottom"/>
          </w:tcPr>
          <w:p>
            <w:pPr>
              <w:ind w:left="2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71"/>
        </w:trPr>
        <w:tc>
          <w:tcPr>
            <w:tcW w:w="4680" w:type="dxa"/>
            <w:vAlign w:val="bottom"/>
          </w:tcPr>
          <w:p>
            <w:pPr>
              <w:ind w:left="160"/>
              <w:spacing w:after="0" w:line="171" w:lineRule="exact"/>
              <w:rPr>
                <w:sz w:val="20"/>
                <w:szCs w:val="20"/>
                <w:color w:val="auto"/>
              </w:rPr>
            </w:pPr>
            <w:r>
              <w:rPr>
                <w:rFonts w:ascii="Arial" w:cs="Arial" w:eastAsia="Arial" w:hAnsi="Arial"/>
                <w:sz w:val="16"/>
                <w:szCs w:val="16"/>
                <w:color w:val="auto"/>
              </w:rPr>
              <w:t>stockholders, basic</w:t>
            </w:r>
          </w:p>
        </w:tc>
        <w:tc>
          <w:tcPr>
            <w:tcW w:w="3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jc w:val="center"/>
              <w:ind w:right="2919"/>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680" w:type="dxa"/>
            <w:vAlign w:val="bottom"/>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 -</w:t>
            </w: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71"/>
        </w:trPr>
        <w:tc>
          <w:tcPr>
            <w:tcW w:w="4680" w:type="dxa"/>
            <w:vAlign w:val="bottom"/>
          </w:tcPr>
          <w:p>
            <w:pPr>
              <w:jc w:val="center"/>
              <w:ind w:right="2919"/>
              <w:spacing w:after="0" w:line="171" w:lineRule="exact"/>
              <w:rPr>
                <w:sz w:val="20"/>
                <w:szCs w:val="20"/>
                <w:color w:val="auto"/>
              </w:rPr>
            </w:pPr>
            <w:r>
              <w:rPr>
                <w:rFonts w:ascii="Arial" w:cs="Arial" w:eastAsia="Arial" w:hAnsi="Arial"/>
                <w:sz w:val="16"/>
                <w:szCs w:val="16"/>
                <w:color w:val="auto"/>
              </w:rPr>
              <w:t>diluted</w:t>
            </w:r>
          </w:p>
        </w:tc>
        <w:tc>
          <w:tcPr>
            <w:tcW w:w="3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8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Denominator</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421,300</w:t>
            </w: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8,429,256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11,114,900</w:t>
            </w:r>
          </w:p>
        </w:tc>
        <w:tc>
          <w:tcPr>
            <w:tcW w:w="0" w:type="dxa"/>
            <w:vAlign w:val="bottom"/>
          </w:tcPr>
          <w:p>
            <w:pPr>
              <w:spacing w:after="0"/>
              <w:rPr>
                <w:sz w:val="1"/>
                <w:szCs w:val="1"/>
                <w:color w:val="auto"/>
              </w:rPr>
            </w:pPr>
          </w:p>
        </w:tc>
      </w:tr>
      <w:tr>
        <w:trPr>
          <w:trHeight w:val="150"/>
        </w:trPr>
        <w:tc>
          <w:tcPr>
            <w:tcW w:w="468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6"/>
                <w:szCs w:val="16"/>
                <w:color w:val="auto"/>
              </w:rPr>
              <w:t>Weighted-average shares of common stock used to compute net</w:t>
            </w:r>
          </w:p>
        </w:tc>
        <w:tc>
          <w:tcPr>
            <w:tcW w:w="3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8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25,921,890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35,495,100</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41,216,420</w:t>
            </w:r>
          </w:p>
        </w:tc>
        <w:tc>
          <w:tcPr>
            <w:tcW w:w="0" w:type="dxa"/>
            <w:vAlign w:val="bottom"/>
          </w:tcPr>
          <w:p>
            <w:pPr>
              <w:spacing w:after="0"/>
              <w:rPr>
                <w:sz w:val="1"/>
                <w:szCs w:val="1"/>
                <w:color w:val="auto"/>
              </w:rPr>
            </w:pPr>
          </w:p>
        </w:tc>
      </w:tr>
      <w:tr>
        <w:trPr>
          <w:trHeight w:val="150"/>
        </w:trPr>
        <w:tc>
          <w:tcPr>
            <w:tcW w:w="4680" w:type="dxa"/>
            <w:vAlign w:val="bottom"/>
          </w:tcPr>
          <w:p>
            <w:pPr>
              <w:ind w:left="38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71"/>
        </w:trPr>
        <w:tc>
          <w:tcPr>
            <w:tcW w:w="4680" w:type="dxa"/>
            <w:vAlign w:val="bottom"/>
          </w:tcPr>
          <w:p>
            <w:pPr>
              <w:ind w:left="520"/>
              <w:spacing w:after="0" w:line="171" w:lineRule="exact"/>
              <w:rPr>
                <w:sz w:val="20"/>
                <w:szCs w:val="20"/>
                <w:color w:val="auto"/>
              </w:rPr>
            </w:pPr>
            <w:r>
              <w:rPr>
                <w:rFonts w:ascii="Arial" w:cs="Arial" w:eastAsia="Arial" w:hAnsi="Arial"/>
                <w:sz w:val="16"/>
                <w:szCs w:val="16"/>
                <w:color w:val="auto"/>
              </w:rPr>
              <w:t>stockholders, diluted</w:t>
            </w:r>
          </w:p>
        </w:tc>
        <w:tc>
          <w:tcPr>
            <w:tcW w:w="3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4"/>
          </w:tcPr>
          <w:p>
            <w:pPr>
              <w:ind w:left="820"/>
              <w:spacing w:after="0"/>
              <w:rPr>
                <w:sz w:val="20"/>
                <w:szCs w:val="20"/>
                <w:color w:val="auto"/>
              </w:rPr>
            </w:pPr>
            <w:r>
              <w:rPr>
                <w:rFonts w:ascii="Arial" w:cs="Arial" w:eastAsia="Arial" w:hAnsi="Arial"/>
                <w:sz w:val="13"/>
                <w:szCs w:val="13"/>
                <w:b w:val="1"/>
                <w:bCs w:val="1"/>
                <w:color w:val="auto"/>
              </w:rPr>
              <w:t>Year ended December 31,</w:t>
            </w:r>
          </w:p>
        </w:tc>
        <w:tc>
          <w:tcPr>
            <w:tcW w:w="324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6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006"/>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396,270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413,040</w:t>
            </w: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1560" w:type="dxa"/>
            <w:vAlign w:val="bottom"/>
          </w:tcPr>
          <w:p>
            <w:pPr>
              <w:jc w:val="right"/>
              <w:spacing w:after="0"/>
              <w:rPr>
                <w:sz w:val="20"/>
                <w:szCs w:val="20"/>
                <w:color w:val="auto"/>
              </w:rPr>
            </w:pPr>
            <w:r>
              <w:rPr>
                <w:rFonts w:ascii="Arial" w:cs="Arial" w:eastAsia="Arial" w:hAnsi="Arial"/>
                <w:sz w:val="16"/>
                <w:szCs w:val="16"/>
                <w:color w:val="auto"/>
              </w:rPr>
              <w:t>8,737,650</w:t>
            </w:r>
          </w:p>
        </w:tc>
        <w:tc>
          <w:tcPr>
            <w:tcW w:w="10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10,981,370</w:t>
            </w:r>
          </w:p>
        </w:tc>
        <w:tc>
          <w:tcPr>
            <w:tcW w:w="100" w:type="dxa"/>
            <w:vAlign w:val="bottom"/>
          </w:tcPr>
          <w:p>
            <w:pPr>
              <w:spacing w:after="0"/>
              <w:rPr>
                <w:sz w:val="17"/>
                <w:szCs w:val="17"/>
                <w:color w:val="auto"/>
              </w:rPr>
            </w:pPr>
          </w:p>
        </w:tc>
        <w:tc>
          <w:tcPr>
            <w:tcW w:w="214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42,031,390</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42,031,390</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42,031,390</w:t>
            </w: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51,165,310</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53,425,800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42,031,390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42,031,390</w:t>
            </w: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 COMMITMENTS AND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Litigation </w:t>
      </w:r>
      <w:r>
        <w:rPr>
          <w:rFonts w:ascii="Arial" w:cs="Arial" w:eastAsia="Arial" w:hAnsi="Arial"/>
          <w:sz w:val="16"/>
          <w:szCs w:val="16"/>
          <w:color w:val="auto"/>
        </w:rPr>
        <w:t>– The Company is involved from time to time in claims, proceedings and litigation, including the following:</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there were no liabilities outstanding pursuant to this matter, and this matter is now closed.</w:t>
      </w:r>
    </w:p>
    <w:p>
      <w:pPr>
        <w:spacing w:after="0" w:line="12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the extent of a potential liability was unknown and could not be reasonably estimated. On June 8, 2021, the case was settled and no payment was required of the Company upon settlement. As of June 30, 2021 (unaudited), there were no liabilities outstanding pursuant to this matter, and this matter is now closed.</w:t>
      </w:r>
    </w:p>
    <w:p>
      <w:pPr>
        <w:spacing w:after="0" w:line="11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 EMPLOYEE BENEFIT PLANS</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color w:val="auto"/>
        </w:rPr>
        <w:t xml:space="preserve">401(k) plan </w:t>
      </w:r>
      <w:r>
        <w:rPr>
          <w:rFonts w:ascii="Arial" w:cs="Arial" w:eastAsia="Arial" w:hAnsi="Arial"/>
          <w:sz w:val="16"/>
          <w:szCs w:val="16"/>
          <w:color w:val="auto"/>
        </w:rPr>
        <w:t>– In fiscal 2009, the Company sponsored a U.S. 401(k) defined contribution plan covering eligible employees who elect to participate.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Company’s 401(k) matching contributions for the years ended December 31, 2019 and 2020 were $669,658 and $682,623, respectively. The Company’s 401(k) matching contributions for the six months ended June 30, 2020 and 2021 (unaudited) were approximately $339,836 and $392,734, respectively. The Company has no intention to terminate the plan.</w:t>
      </w:r>
    </w:p>
    <w:p>
      <w:pPr>
        <w:spacing w:after="0" w:line="91"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UK pension plan </w:t>
      </w:r>
      <w:r>
        <w:rPr>
          <w:rFonts w:ascii="Arial" w:cs="Arial" w:eastAsia="Arial" w:hAnsi="Arial"/>
          <w:sz w:val="16"/>
          <w:szCs w:val="16"/>
          <w:color w:val="auto"/>
        </w:rPr>
        <w:t>– Since inception, in accordance with local laws and customs of the UK, the Company sponsored a UK pension plan covering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December 31, 2019 and 2020 and the six months ended June 30, 2020 and 2021 (unaudited). The discretionary matching contributions for the years ended December 31, 2019 and 2020 were $53,018 and $121,415 respectively. The discretionary matching contributions for the six months ended June 30, 2020 and 2021 (unaudited) were $39,712 and $66,175, respectively. The Company has no intention to terminate the plan.</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b w:val="1"/>
          <w:bCs w:val="1"/>
          <w:color w:val="auto"/>
        </w:rPr>
        <w:t xml:space="preserve">Canada pension plan </w:t>
      </w:r>
      <w:r>
        <w:rPr>
          <w:rFonts w:ascii="Arial" w:cs="Arial" w:eastAsia="Arial" w:hAnsi="Arial"/>
          <w:sz w:val="16"/>
          <w:szCs w:val="16"/>
          <w:color w:val="auto"/>
        </w:rPr>
        <w:t>– Since inception, in accordance with local laws and customs of Canada, the Company sponsored a Canada pension plan covering</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discretionary matching contributions for the years ended December 31, 2019 and 2020 were $0 and $10,540, respectively. The discretionary matching contributions for the six months ended June 30, 2020 and 2021 (unaudited) were $0 and $16,771, respectively. The Company has no intention to terminate the plan.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 RELATED PARTY TRANSACTIONS</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$22,500 and $36,000 in interest income, respectively. During the six months ended June 30, 2020 and June 30, 2021 (unaudited), the Company recognized $18,000 and $36,000 in interest income, respectively.</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spacing w:after="0" w:line="124"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During the year ended December 31, 2019, the Company repurchased 55,200 shares of exercised unvested common stock, for $1,794,703 of which approximately $ 890,000 was related to the repurchase of shares from executive officers of the Company. As of June 30, 2021 (unaudited), there were 727,350 shares subject to repurchase related to employee stock options early exercised and not yet vested, but that are expected to vest. As of June 30, 2021 (unaudited), the Company recorded a liability related to these shares subject to repurchase in the amount of $1,191,810, of which $280,756 was related to shares subject to repurchase for executive officers of the Company. See Note 9 for further detail.</w:t>
      </w:r>
    </w:p>
    <w:p>
      <w:pPr>
        <w:spacing w:after="0" w:line="12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2,529,830 shares of common stock for $1,759,643 by entering into promissory notes with the Company. No promissory notes were entered into with listed directors or executive officers of the Company. The Company records all outstanding employee promissory note balances used in exercising stock options to Subscriptions receivable as contra equity within Stockholders' deficit. As of June 30, 2021 (unaudited), the Company recognized $1,759,643 of Subscriptions receivable and no payments of interest or principal have been received to date. Refer to Note 8 and Note 9 for further detail over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There are no other significant related party transactions for the Company as of December 31, 2019, December 31, 2020 or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970280</wp:posOffset>
            </wp:positionV>
            <wp:extent cx="714565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932180</wp:posOffset>
            </wp:positionV>
            <wp:extent cx="714565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i w:val="1"/>
          <w:iCs w:val="1"/>
          <w:color w:val="auto"/>
        </w:rPr>
        <w:t>9,730,776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107315</wp:posOffset>
            </wp:positionV>
            <wp:extent cx="1546860" cy="1546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46860" cy="154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i w:val="1"/>
          <w:iCs w:val="1"/>
          <w:color w:val="auto"/>
        </w:rPr>
        <w:t>Expensify, Inc.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i w:val="1"/>
          <w:iCs w:val="1"/>
          <w:color w:val="auto"/>
        </w:rPr>
        <w:t>Class A common stock</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39"/>
          <w:szCs w:val="39"/>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3260" w:type="dxa"/>
            <w:vAlign w:val="bottom"/>
          </w:tcPr>
          <w:p>
            <w:pPr>
              <w:ind w:left="20"/>
              <w:spacing w:after="0"/>
              <w:rPr>
                <w:sz w:val="20"/>
                <w:szCs w:val="20"/>
                <w:color w:val="auto"/>
              </w:rPr>
            </w:pPr>
            <w:r>
              <w:rPr>
                <w:rFonts w:ascii="Arial" w:cs="Arial" w:eastAsia="Arial" w:hAnsi="Arial"/>
                <w:sz w:val="29"/>
                <w:szCs w:val="29"/>
                <w:color w:val="auto"/>
              </w:rPr>
              <w:t>J.P. Morgan</w:t>
            </w:r>
          </w:p>
        </w:tc>
        <w:tc>
          <w:tcPr>
            <w:tcW w:w="4480" w:type="dxa"/>
            <w:vAlign w:val="bottom"/>
          </w:tcPr>
          <w:p>
            <w:pPr>
              <w:jc w:val="center"/>
              <w:ind w:left="78"/>
              <w:spacing w:after="0"/>
              <w:rPr>
                <w:sz w:val="20"/>
                <w:szCs w:val="20"/>
                <w:color w:val="auto"/>
              </w:rPr>
            </w:pPr>
            <w:r>
              <w:rPr>
                <w:rFonts w:ascii="Arial" w:cs="Arial" w:eastAsia="Arial" w:hAnsi="Arial"/>
                <w:sz w:val="29"/>
                <w:szCs w:val="29"/>
                <w:color w:val="auto"/>
                <w:w w:val="99"/>
              </w:rPr>
              <w:t>Citigroup</w:t>
            </w:r>
          </w:p>
        </w:tc>
        <w:tc>
          <w:tcPr>
            <w:tcW w:w="3520" w:type="dxa"/>
            <w:vAlign w:val="bottom"/>
          </w:tcPr>
          <w:p>
            <w:pPr>
              <w:jc w:val="right"/>
              <w:spacing w:after="0"/>
              <w:rPr>
                <w:sz w:val="20"/>
                <w:szCs w:val="20"/>
                <w:color w:val="auto"/>
              </w:rPr>
            </w:pPr>
            <w:r>
              <w:rPr>
                <w:rFonts w:ascii="Arial" w:cs="Arial" w:eastAsia="Arial" w:hAnsi="Arial"/>
                <w:sz w:val="29"/>
                <w:szCs w:val="29"/>
                <w:color w:val="auto"/>
              </w:rPr>
              <w:t>BofA Securities</w:t>
            </w:r>
          </w:p>
        </w:tc>
      </w:tr>
      <w:tr>
        <w:trPr>
          <w:trHeight w:val="323"/>
        </w:trPr>
        <w:tc>
          <w:tcPr>
            <w:tcW w:w="3260" w:type="dxa"/>
            <w:vAlign w:val="bottom"/>
          </w:tcPr>
          <w:p>
            <w:pPr>
              <w:ind w:left="20"/>
              <w:spacing w:after="0"/>
              <w:rPr>
                <w:sz w:val="20"/>
                <w:szCs w:val="20"/>
                <w:color w:val="auto"/>
              </w:rPr>
            </w:pPr>
            <w:r>
              <w:rPr>
                <w:rFonts w:ascii="Arial" w:cs="Arial" w:eastAsia="Arial" w:hAnsi="Arial"/>
                <w:sz w:val="19"/>
                <w:szCs w:val="19"/>
                <w:color w:val="auto"/>
              </w:rPr>
              <w:t>Piper Sandler</w:t>
            </w:r>
          </w:p>
        </w:tc>
        <w:tc>
          <w:tcPr>
            <w:tcW w:w="4480" w:type="dxa"/>
            <w:vAlign w:val="bottom"/>
          </w:tcPr>
          <w:p>
            <w:pPr>
              <w:jc w:val="center"/>
              <w:ind w:left="78"/>
              <w:spacing w:after="0"/>
              <w:rPr>
                <w:sz w:val="20"/>
                <w:szCs w:val="20"/>
                <w:color w:val="auto"/>
              </w:rPr>
            </w:pPr>
            <w:r>
              <w:rPr>
                <w:rFonts w:ascii="Arial" w:cs="Arial" w:eastAsia="Arial" w:hAnsi="Arial"/>
                <w:sz w:val="19"/>
                <w:szCs w:val="19"/>
                <w:color w:val="auto"/>
              </w:rPr>
              <w:t>JMP Securities</w:t>
            </w:r>
          </w:p>
        </w:tc>
        <w:tc>
          <w:tcPr>
            <w:tcW w:w="3520" w:type="dxa"/>
            <w:vAlign w:val="bottom"/>
          </w:tcPr>
          <w:p>
            <w:pPr>
              <w:jc w:val="right"/>
              <w:spacing w:after="0"/>
              <w:rPr>
                <w:sz w:val="20"/>
                <w:szCs w:val="20"/>
                <w:color w:val="auto"/>
              </w:rPr>
            </w:pPr>
            <w:r>
              <w:rPr>
                <w:rFonts w:ascii="Arial" w:cs="Arial" w:eastAsia="Arial" w:hAnsi="Arial"/>
                <w:sz w:val="19"/>
                <w:szCs w:val="19"/>
                <w:color w:val="auto"/>
              </w:rPr>
              <w:t>Loop Capital Markets</w:t>
            </w:r>
          </w:p>
        </w:tc>
      </w:tr>
      <w:tr>
        <w:trPr>
          <w:trHeight w:val="685"/>
        </w:trPr>
        <w:tc>
          <w:tcPr>
            <w:tcW w:w="32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256" w:name="page257"/>
    <w:bookmarkEnd w:id="256"/>
    <w:p>
      <w:pPr>
        <w:ind w:left="3"/>
        <w:spacing w:after="0"/>
        <w:rPr>
          <w:sz w:val="20"/>
          <w:szCs w:val="20"/>
          <w:color w:val="auto"/>
        </w:rPr>
      </w:pPr>
      <w:r>
        <w:rPr>
          <w:rFonts w:ascii="Arial" w:cs="Arial" w:eastAsia="Arial" w:hAnsi="Arial"/>
          <w:sz w:val="26"/>
          <w:szCs w:val="26"/>
          <w:b w:val="1"/>
          <w:bCs w:val="1"/>
          <w:color w:val="auto"/>
        </w:rPr>
        <w:t>Part II</w:t>
      </w:r>
    </w:p>
    <w:p>
      <w:pPr>
        <w:spacing w:after="0" w:line="261" w:lineRule="exact"/>
        <w:rPr>
          <w:sz w:val="20"/>
          <w:szCs w:val="20"/>
          <w:color w:val="auto"/>
        </w:rPr>
      </w:pPr>
    </w:p>
    <w:p>
      <w:pPr>
        <w:ind w:left="3"/>
        <w:spacing w:after="0"/>
        <w:rPr>
          <w:sz w:val="20"/>
          <w:szCs w:val="20"/>
          <w:color w:val="auto"/>
        </w:rPr>
      </w:pPr>
      <w:r>
        <w:rPr>
          <w:rFonts w:ascii="Arial" w:cs="Arial" w:eastAsia="Arial" w:hAnsi="Arial"/>
          <w:sz w:val="26"/>
          <w:szCs w:val="26"/>
          <w:b w:val="1"/>
          <w:bCs w:val="1"/>
          <w:color w:val="auto"/>
        </w:rPr>
        <w:t>Information not required in the prospectus</w:t>
      </w:r>
    </w:p>
    <w:p>
      <w:pPr>
        <w:spacing w:after="0" w:line="27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13. Other expenses of issuance and distribution.</w:t>
      </w:r>
    </w:p>
    <w:p>
      <w:pPr>
        <w:spacing w:after="0" w:line="165"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The following table sets forth all fees and expenses, other than the underwriting discounts and commissions payable solely by us in connection with the offer and sale of the securities being registered. All amounts are estimates except for the SEC registration fee, the Financial Industry Regulatory Authority, Inc.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07644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76440" cy="15240"/>
                    </a:xfrm>
                    <a:prstGeom prst="rect">
                      <a:avLst/>
                    </a:prstGeom>
                    <a:noFill/>
                  </pic:spPr>
                </pic:pic>
              </a:graphicData>
            </a:graphic>
          </wp:anchor>
        </w:drawing>
      </w: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Amount to be paid</w:t>
            </w:r>
          </w:p>
        </w:tc>
      </w:tr>
      <w:tr>
        <w:trPr>
          <w:trHeight w:val="199"/>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 registration fee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28,009</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FINRA filing fee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45,822</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listing fee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Accounting fees and expenses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1,900,000</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 and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2,750,000</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Printing expenses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195,000</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agent and registrar fees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r>
      <w:tr>
        <w:trPr>
          <w:trHeight w:val="207"/>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r>
      <w:tr>
        <w:trPr>
          <w:trHeight w:val="200"/>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6,213,331</w:t>
            </w:r>
          </w:p>
        </w:tc>
      </w:tr>
      <w:tr>
        <w:trPr>
          <w:trHeight w:val="49"/>
        </w:trPr>
        <w:tc>
          <w:tcPr>
            <w:tcW w:w="9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bl>
    <w:p>
      <w:pPr>
        <w:spacing w:after="0" w:line="72" w:lineRule="exact"/>
        <w:rPr>
          <w:sz w:val="20"/>
          <w:szCs w:val="20"/>
          <w:color w:val="auto"/>
        </w:rPr>
      </w:pPr>
    </w:p>
    <w:p>
      <w:pPr>
        <w:ind w:left="283" w:hanging="283"/>
        <w:spacing w:after="0"/>
        <w:tabs>
          <w:tab w:leader="none" w:pos="283"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To be completed by amendment.</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14. Indemnification of directors and officers.</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expect to adopt amended and restated bylaws,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10" w:lineRule="exact"/>
        <w:rPr>
          <w:sz w:val="20"/>
          <w:szCs w:val="20"/>
          <w:color w:val="auto"/>
        </w:rPr>
      </w:pPr>
    </w:p>
    <w:p>
      <w:pPr>
        <w:ind w:left="283" w:hanging="283"/>
        <w:spacing w:after="0"/>
        <w:tabs>
          <w:tab w:leader="none" w:pos="28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breach of the director’s duty of loyalty to our company or our stockholders;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in violation of Delaware law;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45"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2" w:lineRule="exact"/>
        <w:rPr>
          <w:sz w:val="20"/>
          <w:szCs w:val="20"/>
          <w:color w:val="auto"/>
        </w:rPr>
      </w:pPr>
    </w:p>
    <w:p>
      <w:pPr>
        <w:jc w:val="both"/>
        <w:ind w:left="3" w:right="220"/>
        <w:spacing w:after="0" w:line="261" w:lineRule="auto"/>
        <w:rPr>
          <w:sz w:val="20"/>
          <w:szCs w:val="20"/>
          <w:color w:val="auto"/>
        </w:rPr>
      </w:pPr>
      <w:r>
        <w:rPr>
          <w:rFonts w:ascii="Arial" w:cs="Arial" w:eastAsia="Arial" w:hAnsi="Arial"/>
          <w:sz w:val="16"/>
          <w:szCs w:val="16"/>
          <w:color w:val="auto"/>
        </w:rPr>
        <w:t>Section 145 of the Delaware General Corporation Law, among other things, grants a Delaware corporation the power to, and authorizes a court to award, indemnification and advancement of expenses to officers, directors and other corporate agents. We expect to adopt amended and restated bylaws, which will become effective immediately prior to the completion of this offering and will provide that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23"/>
          </w:cols>
          <w:pgMar w:left="317" w:top="1407" w:right="359" w:bottom="1440" w:gutter="0" w:footer="0" w:header="0"/>
        </w:sectPr>
      </w:pPr>
    </w:p>
    <w:bookmarkStart w:id="257" w:name="page258"/>
    <w:bookmarkEnd w:id="257"/>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12"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2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Further, we have entered into or intend to enter into indemnification agreements with each of our directors, executive officers and certain other employees.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these persons in advance of the final disposition of the action, suit, or proceeding. We believe that these indemnification agreements are necessary to attract and retain qualified individuals to serve as directors and executive officers.</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limitation of liability and indemnification provisions that are expected to be included, or are included, in our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30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15. Recent sales of unregistered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Since March 31, 2018, we made sales of the following unregistered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plan-related issuances</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Since April 1, 2018, we granted our employees, consultants and other service providers options to purchase an aggregate of 534,670 shares of our common stock under our 2009 Equity Incentive Plan (“2009 Plan”), all at an exercise price of $0.97 per share.</w:t>
      </w:r>
    </w:p>
    <w:p>
      <w:pPr>
        <w:spacing w:after="0" w:line="113"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8,400,240 shares of our common stock upon the exercise of stock options under our 2009 Plan, at exercise prices ranging from $0.07 to $0.97 per share, for a weighted-average exercise price of $0.32 and aggregate consideration of approximately $2.7 million.</w:t>
      </w:r>
    </w:p>
    <w:p>
      <w:pPr>
        <w:spacing w:after="0" w:line="118"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Since April 1, 2018, we granted to our employees, consultants and other service providers options to purchase an aggregate of 10,633,070 shares of our common stock under our 2019 Stock Plan (“2019 Plan”), at exercise prices ranging from $0.97 to $ 12.97 per share. Of these shares, 671,990 were cancelled and reissued in June 2020 (the “Reissued Shares”) as part of a repricing from $2.52 and $3.29 per share to $1.60 per share. The Reissued Shares are included in the aggregate total mentioned above.</w:t>
      </w:r>
    </w:p>
    <w:p>
      <w:pPr>
        <w:spacing w:after="0" w:line="11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3,908,290 shares of our common stock upon the exercise of stock options under our 2019 Plan, at exercise prices ranging from $0.97 to $10.78 per share, for a weighted-average exercise price of $1.41 and aggregate consideration of approximately $5.5 million.</w:t>
      </w:r>
    </w:p>
    <w:p>
      <w:pPr>
        <w:spacing w:after="0" w:line="118"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preferred stock and convertible promissory notes</w:t>
      </w:r>
    </w:p>
    <w:p>
      <w:pPr>
        <w:spacing w:after="0" w:line="153"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In April 2018, we sold 875,321 shares of our Series B preferred stock, 25,418 shares of our Series B-1 preferred stock and 64,014 shares of our Series C preferred stock to seven accredited investors at a purchase price of $24.50 per share, for an aggregate purchase price of approximately $23.61 million.</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In April 2018, we issued convertible promissory notes with an annual interest rate of 13% in the aggregate principal amount of approximately $20 million to ten accredited investors.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20"/>
          </w:cols>
          <w:pgMar w:left="320" w:top="1440" w:right="359" w:bottom="1440" w:gutter="0" w:footer="0" w:header="0"/>
        </w:sectPr>
      </w:pPr>
    </w:p>
    <w:bookmarkStart w:id="259" w:name="page260"/>
    <w:bookmarkEnd w:id="259"/>
    <w:p>
      <w:pPr>
        <w:spacing w:after="0"/>
        <w:rPr>
          <w:sz w:val="20"/>
          <w:szCs w:val="20"/>
          <w:color w:val="auto"/>
        </w:rPr>
      </w:pPr>
      <w:r>
        <w:rPr>
          <w:rFonts w:ascii="Arial" w:cs="Arial" w:eastAsia="Arial" w:hAnsi="Arial"/>
          <w:sz w:val="16"/>
          <w:szCs w:val="16"/>
          <w:b w:val="1"/>
          <w:bCs w:val="1"/>
          <w:i w:val="1"/>
          <w:iCs w:val="1"/>
          <w:color w:val="auto"/>
        </w:rPr>
        <w:t>Item 16. Exhibits and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 Exhibits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3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380" w:type="dxa"/>
            <w:vAlign w:val="bottom"/>
            <w:tcBorders>
              <w:top w:val="single" w:sz="8" w:color="auto"/>
            </w:tcBorders>
          </w:tcPr>
          <w:p>
            <w:pPr>
              <w:ind w:left="120"/>
              <w:spacing w:after="0" w:line="150" w:lineRule="exact"/>
              <w:rPr>
                <w:sz w:val="20"/>
                <w:szCs w:val="20"/>
                <w:color w:val="auto"/>
              </w:rPr>
            </w:pPr>
            <w:r>
              <w:rPr>
                <w:rFonts w:ascii="Arial" w:cs="Arial" w:eastAsia="Arial" w:hAnsi="Arial"/>
                <w:sz w:val="14"/>
                <w:szCs w:val="14"/>
                <w:color w:val="auto"/>
              </w:rPr>
              <w:t>1.1</w:t>
            </w:r>
            <w:r>
              <w:rPr>
                <w:rFonts w:ascii="Arial" w:cs="Arial" w:eastAsia="Arial" w:hAnsi="Arial"/>
                <w:sz w:val="17"/>
                <w:szCs w:val="17"/>
                <w:color w:val="auto"/>
                <w:vertAlign w:val="superscript"/>
              </w:rPr>
              <w:t>#</w:t>
            </w:r>
          </w:p>
        </w:tc>
        <w:tc>
          <w:tcPr>
            <w:tcW w:w="100" w:type="dxa"/>
            <w:vAlign w:val="bottom"/>
          </w:tcPr>
          <w:p>
            <w:pPr>
              <w:spacing w:after="0"/>
              <w:rPr>
                <w:sz w:val="13"/>
                <w:szCs w:val="13"/>
                <w:color w:val="auto"/>
              </w:rPr>
            </w:pPr>
          </w:p>
        </w:tc>
        <w:tc>
          <w:tcPr>
            <w:tcW w:w="9780" w:type="dxa"/>
            <w:vAlign w:val="bottom"/>
            <w:tcBorders>
              <w:top w:val="single" w:sz="8" w:color="auto"/>
            </w:tcBorders>
            <w:gridSpan w:val="34"/>
          </w:tcPr>
          <w:p>
            <w:pPr>
              <w:spacing w:after="0" w:line="151" w:lineRule="exact"/>
              <w:rPr>
                <w:rFonts w:ascii="Arial" w:cs="Arial" w:eastAsia="Arial" w:hAnsi="Arial"/>
                <w:sz w:val="15"/>
                <w:szCs w:val="15"/>
                <w:color w:val="0000FF"/>
              </w:rPr>
            </w:pPr>
            <w:hyperlink r:id="rId167">
              <w:r>
                <w:rPr>
                  <w:rFonts w:ascii="Arial" w:cs="Arial" w:eastAsia="Arial" w:hAnsi="Arial"/>
                  <w:sz w:val="15"/>
                  <w:szCs w:val="15"/>
                  <w:color w:val="0000FF"/>
                </w:rPr>
                <w:t>Form of Underwriting Agreement.</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ind w:left="120"/>
              <w:spacing w:after="0"/>
              <w:rPr>
                <w:sz w:val="20"/>
                <w:szCs w:val="20"/>
                <w:color w:val="auto"/>
              </w:rPr>
            </w:pPr>
            <w:r>
              <w:rPr>
                <w:rFonts w:ascii="Arial" w:cs="Arial" w:eastAsia="Arial" w:hAnsi="Arial"/>
                <w:sz w:val="15"/>
                <w:szCs w:val="15"/>
                <w:color w:val="auto"/>
              </w:rPr>
              <w:t>3.1</w:t>
            </w:r>
            <w:r>
              <w:rPr>
                <w:rFonts w:ascii="Arial" w:cs="Arial" w:eastAsia="Arial" w:hAnsi="Arial"/>
                <w:sz w:val="18"/>
                <w:szCs w:val="18"/>
                <w:color w:val="auto"/>
                <w:vertAlign w:val="superscript"/>
              </w:rPr>
              <w:t>#</w:t>
            </w:r>
          </w:p>
        </w:tc>
        <w:tc>
          <w:tcPr>
            <w:tcW w:w="1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780" w:type="dxa"/>
            <w:vAlign w:val="bottom"/>
            <w:gridSpan w:val="34"/>
          </w:tcPr>
          <w:p>
            <w:pPr>
              <w:spacing w:after="0"/>
              <w:rPr>
                <w:rFonts w:ascii="Arial" w:cs="Arial" w:eastAsia="Arial" w:hAnsi="Arial"/>
                <w:sz w:val="15"/>
                <w:szCs w:val="15"/>
                <w:color w:val="0000FF"/>
              </w:rPr>
            </w:pPr>
            <w:hyperlink r:id="rId168">
              <w:r>
                <w:rPr>
                  <w:rFonts w:ascii="Arial" w:cs="Arial" w:eastAsia="Arial" w:hAnsi="Arial"/>
                  <w:sz w:val="15"/>
                  <w:szCs w:val="15"/>
                  <w:color w:val="0000FF"/>
                </w:rPr>
                <w:t>Amended and Restated Certificate of Incorporation of the Registrant, as amended, currently in effect.</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ind w:left="120"/>
              <w:spacing w:after="0"/>
              <w:rPr>
                <w:sz w:val="20"/>
                <w:szCs w:val="20"/>
                <w:color w:val="auto"/>
              </w:rPr>
            </w:pPr>
            <w:r>
              <w:rPr>
                <w:rFonts w:ascii="Arial" w:cs="Arial" w:eastAsia="Arial" w:hAnsi="Arial"/>
                <w:sz w:val="15"/>
                <w:szCs w:val="15"/>
                <w:color w:val="auto"/>
              </w:rPr>
              <w:t>3.2</w:t>
            </w:r>
            <w:r>
              <w:rPr>
                <w:rFonts w:ascii="Arial" w:cs="Arial" w:eastAsia="Arial" w:hAnsi="Arial"/>
                <w:sz w:val="18"/>
                <w:szCs w:val="18"/>
                <w:color w:val="auto"/>
                <w:vertAlign w:val="superscript"/>
              </w:rPr>
              <w:t>#</w:t>
            </w:r>
          </w:p>
        </w:tc>
        <w:tc>
          <w:tcPr>
            <w:tcW w:w="1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780" w:type="dxa"/>
            <w:vAlign w:val="bottom"/>
            <w:gridSpan w:val="34"/>
          </w:tcPr>
          <w:p>
            <w:pPr>
              <w:spacing w:after="0"/>
              <w:rPr>
                <w:rFonts w:ascii="Arial" w:cs="Arial" w:eastAsia="Arial" w:hAnsi="Arial"/>
                <w:sz w:val="15"/>
                <w:szCs w:val="15"/>
                <w:color w:val="0000FF"/>
                <w:w w:val="99"/>
              </w:rPr>
            </w:pPr>
            <w:hyperlink r:id="rId169">
              <w:r>
                <w:rPr>
                  <w:rFonts w:ascii="Arial" w:cs="Arial" w:eastAsia="Arial" w:hAnsi="Arial"/>
                  <w:sz w:val="15"/>
                  <w:szCs w:val="15"/>
                  <w:color w:val="0000FF"/>
                  <w:w w:val="99"/>
                </w:rPr>
                <w:t>Form of Amendment to Amended and Restated Certificate of Incorporation of the Registrant, to be in effect immediately prior to the effectiveness of</w:t>
              </w:r>
            </w:hyperlink>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80" w:type="dxa"/>
            <w:vAlign w:val="bottom"/>
            <w:tcBorders>
              <w:top w:val="single" w:sz="8" w:color="0000FF"/>
              <w:bottom w:val="single" w:sz="8" w:color="0000FF"/>
            </w:tcBorders>
            <w:gridSpan w:val="8"/>
          </w:tcPr>
          <w:p>
            <w:pPr>
              <w:spacing w:after="0" w:line="127" w:lineRule="exact"/>
              <w:rPr>
                <w:rFonts w:ascii="Arial" w:cs="Arial" w:eastAsia="Arial" w:hAnsi="Arial"/>
                <w:sz w:val="14"/>
                <w:szCs w:val="14"/>
                <w:color w:val="0000FF"/>
              </w:rPr>
            </w:pPr>
            <w:hyperlink r:id="rId169">
              <w:r>
                <w:rPr>
                  <w:rFonts w:ascii="Arial" w:cs="Arial" w:eastAsia="Arial" w:hAnsi="Arial"/>
                  <w:sz w:val="14"/>
                  <w:szCs w:val="14"/>
                  <w:color w:val="0000FF"/>
                </w:rPr>
                <w:t>this registration statement on Form S-1.</w:t>
              </w:r>
            </w:hyperlink>
          </w:p>
        </w:tc>
        <w:tc>
          <w:tcPr>
            <w:tcW w:w="6940" w:type="dxa"/>
            <w:vAlign w:val="bottom"/>
            <w:tcBorders>
              <w:top w:val="single" w:sz="8" w:color="0000FF"/>
            </w:tcBorders>
            <w:gridSpan w:val="23"/>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3.3</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8020" w:type="dxa"/>
            <w:vAlign w:val="bottom"/>
            <w:tcBorders>
              <w:bottom w:val="single" w:sz="8" w:color="0000FF"/>
            </w:tcBorders>
            <w:gridSpan w:val="28"/>
          </w:tcPr>
          <w:p>
            <w:pPr>
              <w:spacing w:after="0"/>
              <w:rPr>
                <w:rFonts w:ascii="Arial" w:cs="Arial" w:eastAsia="Arial" w:hAnsi="Arial"/>
                <w:sz w:val="15"/>
                <w:szCs w:val="15"/>
                <w:color w:val="0000FF"/>
                <w:w w:val="97"/>
              </w:rPr>
            </w:pPr>
            <w:hyperlink r:id="rId170">
              <w:r>
                <w:rPr>
                  <w:rFonts w:ascii="Arial" w:cs="Arial" w:eastAsia="Arial" w:hAnsi="Arial"/>
                  <w:sz w:val="15"/>
                  <w:szCs w:val="15"/>
                  <w:color w:val="0000FF"/>
                  <w:w w:val="97"/>
                </w:rPr>
                <w:t>Form of Amended and Restated Certificate of Incorporation of the Registrant, to be in effect upon completion of this offering.</w:t>
              </w:r>
            </w:hyperlink>
          </w:p>
        </w:tc>
        <w:tc>
          <w:tcPr>
            <w:tcW w:w="17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3.4</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9780" w:type="dxa"/>
            <w:vAlign w:val="bottom"/>
            <w:gridSpan w:val="34"/>
          </w:tcPr>
          <w:p>
            <w:pPr>
              <w:spacing w:after="0"/>
              <w:rPr>
                <w:rFonts w:ascii="Arial" w:cs="Arial" w:eastAsia="Arial" w:hAnsi="Arial"/>
                <w:sz w:val="15"/>
                <w:szCs w:val="15"/>
                <w:color w:val="0000FF"/>
              </w:rPr>
            </w:pPr>
            <w:hyperlink r:id="rId171">
              <w:r>
                <w:rPr>
                  <w:rFonts w:ascii="Arial" w:cs="Arial" w:eastAsia="Arial" w:hAnsi="Arial"/>
                  <w:sz w:val="15"/>
                  <w:szCs w:val="15"/>
                  <w:color w:val="0000FF"/>
                </w:rPr>
                <w:t>Bylaws of the Registrant, as amended, currently in effect.</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ind w:left="120"/>
              <w:spacing w:after="0"/>
              <w:rPr>
                <w:sz w:val="20"/>
                <w:szCs w:val="20"/>
                <w:color w:val="auto"/>
              </w:rPr>
            </w:pPr>
            <w:r>
              <w:rPr>
                <w:rFonts w:ascii="Arial" w:cs="Arial" w:eastAsia="Arial" w:hAnsi="Arial"/>
                <w:sz w:val="15"/>
                <w:szCs w:val="15"/>
                <w:color w:val="auto"/>
              </w:rPr>
              <w:t>3.5</w:t>
            </w:r>
            <w:r>
              <w:rPr>
                <w:rFonts w:ascii="Arial" w:cs="Arial" w:eastAsia="Arial" w:hAnsi="Arial"/>
                <w:sz w:val="18"/>
                <w:szCs w:val="18"/>
                <w:color w:val="auto"/>
                <w:vertAlign w:val="superscript"/>
              </w:rPr>
              <w:t>#</w:t>
            </w:r>
          </w:p>
        </w:tc>
        <w:tc>
          <w:tcPr>
            <w:tcW w:w="1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tcBorders>
              <w:bottom w:val="single" w:sz="8" w:color="0000FF"/>
            </w:tcBorders>
            <w:gridSpan w:val="25"/>
          </w:tcPr>
          <w:p>
            <w:pPr>
              <w:spacing w:after="0"/>
              <w:rPr>
                <w:rFonts w:ascii="Arial" w:cs="Arial" w:eastAsia="Arial" w:hAnsi="Arial"/>
                <w:sz w:val="15"/>
                <w:szCs w:val="15"/>
                <w:color w:val="0000FF"/>
                <w:w w:val="97"/>
              </w:rPr>
            </w:pPr>
            <w:hyperlink r:id="rId172">
              <w:r>
                <w:rPr>
                  <w:rFonts w:ascii="Arial" w:cs="Arial" w:eastAsia="Arial" w:hAnsi="Arial"/>
                  <w:sz w:val="15"/>
                  <w:szCs w:val="15"/>
                  <w:color w:val="0000FF"/>
                  <w:w w:val="97"/>
                </w:rPr>
                <w:t>Form of Amended and Restated Bylaws of the Registrant, to be in effect upon the completion of this offering.</w:t>
              </w:r>
            </w:hyperlink>
          </w:p>
        </w:tc>
        <w:tc>
          <w:tcPr>
            <w:tcW w:w="27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4.1</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2840" w:type="dxa"/>
            <w:vAlign w:val="bottom"/>
            <w:tcBorders>
              <w:bottom w:val="single" w:sz="8" w:color="0000FF"/>
            </w:tcBorders>
            <w:gridSpan w:val="10"/>
          </w:tcPr>
          <w:p>
            <w:pPr>
              <w:spacing w:after="0"/>
              <w:rPr>
                <w:rFonts w:ascii="Arial" w:cs="Arial" w:eastAsia="Arial" w:hAnsi="Arial"/>
                <w:sz w:val="15"/>
                <w:szCs w:val="15"/>
                <w:color w:val="0000FF"/>
                <w:w w:val="97"/>
              </w:rPr>
            </w:pPr>
            <w:hyperlink r:id="rId173">
              <w:r>
                <w:rPr>
                  <w:rFonts w:ascii="Arial" w:cs="Arial" w:eastAsia="Arial" w:hAnsi="Arial"/>
                  <w:sz w:val="15"/>
                  <w:szCs w:val="15"/>
                  <w:color w:val="0000FF"/>
                  <w:w w:val="97"/>
                </w:rPr>
                <w:t>Form of Class A Common Stock Certificate.</w:t>
              </w:r>
            </w:hyperlink>
          </w:p>
        </w:tc>
        <w:tc>
          <w:tcPr>
            <w:tcW w:w="694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4.2</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9780" w:type="dxa"/>
            <w:vAlign w:val="bottom"/>
            <w:gridSpan w:val="34"/>
          </w:tcPr>
          <w:p>
            <w:pPr>
              <w:spacing w:after="0"/>
              <w:rPr>
                <w:rFonts w:ascii="Arial" w:cs="Arial" w:eastAsia="Arial" w:hAnsi="Arial"/>
                <w:sz w:val="15"/>
                <w:szCs w:val="15"/>
                <w:color w:val="0000FF"/>
              </w:rPr>
            </w:pPr>
            <w:hyperlink r:id="rId174">
              <w:r>
                <w:rPr>
                  <w:rFonts w:ascii="Arial" w:cs="Arial" w:eastAsia="Arial" w:hAnsi="Arial"/>
                  <w:sz w:val="15"/>
                  <w:szCs w:val="15"/>
                  <w:color w:val="0000FF"/>
                </w:rPr>
                <w:t>Amended and Restated Investors’ Rights Agreement, dated as of January 22, 2015, by and among the Registrant and certain of its stockholders.</w:t>
              </w:r>
            </w:hyperlink>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4.3</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7860" w:type="dxa"/>
            <w:vAlign w:val="bottom"/>
            <w:tcBorders>
              <w:top w:val="single" w:sz="8" w:color="0000FF"/>
              <w:bottom w:val="single" w:sz="8" w:color="0000FF"/>
            </w:tcBorders>
            <w:gridSpan w:val="27"/>
          </w:tcPr>
          <w:p>
            <w:pPr>
              <w:spacing w:after="0"/>
              <w:rPr>
                <w:rFonts w:ascii="Arial" w:cs="Arial" w:eastAsia="Arial" w:hAnsi="Arial"/>
                <w:sz w:val="15"/>
                <w:szCs w:val="15"/>
                <w:color w:val="0000FF"/>
                <w:w w:val="97"/>
              </w:rPr>
            </w:pPr>
            <w:hyperlink r:id="rId175">
              <w:r>
                <w:rPr>
                  <w:rFonts w:ascii="Arial" w:cs="Arial" w:eastAsia="Arial" w:hAnsi="Arial"/>
                  <w:sz w:val="15"/>
                  <w:szCs w:val="15"/>
                  <w:color w:val="0000FF"/>
                  <w:w w:val="97"/>
                </w:rPr>
                <w:t>Warrant to Purchase Common Stock, dated September 19, 2013, by and between the Registrant and Silicon Valley Bank.</w:t>
              </w:r>
            </w:hyperlink>
          </w:p>
        </w:tc>
        <w:tc>
          <w:tcPr>
            <w:tcW w:w="1500" w:type="dxa"/>
            <w:vAlign w:val="bottom"/>
            <w:tcBorders>
              <w:top w:val="single" w:sz="8" w:color="0000FF"/>
            </w:tcBorders>
            <w:gridSpan w:val="3"/>
          </w:tcPr>
          <w:p>
            <w:pPr>
              <w:spacing w:after="0"/>
              <w:rPr>
                <w:sz w:val="19"/>
                <w:szCs w:val="19"/>
                <w:color w:val="auto"/>
              </w:rPr>
            </w:pPr>
          </w:p>
        </w:tc>
        <w:tc>
          <w:tcPr>
            <w:tcW w:w="4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4.4</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7820" w:type="dxa"/>
            <w:vAlign w:val="bottom"/>
            <w:tcBorders>
              <w:bottom w:val="single" w:sz="8" w:color="0000FF"/>
            </w:tcBorders>
            <w:gridSpan w:val="26"/>
          </w:tcPr>
          <w:p>
            <w:pPr>
              <w:spacing w:after="0"/>
              <w:rPr>
                <w:rFonts w:ascii="Arial" w:cs="Arial" w:eastAsia="Arial" w:hAnsi="Arial"/>
                <w:sz w:val="15"/>
                <w:szCs w:val="15"/>
                <w:color w:val="0000FF"/>
                <w:w w:val="97"/>
              </w:rPr>
            </w:pPr>
            <w:hyperlink r:id="rId176">
              <w:r>
                <w:rPr>
                  <w:rFonts w:ascii="Arial" w:cs="Arial" w:eastAsia="Arial" w:hAnsi="Arial"/>
                  <w:sz w:val="15"/>
                  <w:szCs w:val="15"/>
                  <w:color w:val="0000FF"/>
                  <w:w w:val="97"/>
                </w:rPr>
                <w:t>Warrant to Purchase Common Stock, dated December 20, 2016, by and between the Registrant and Silicon Valley Bank.</w:t>
              </w:r>
            </w:hyperlink>
          </w:p>
        </w:tc>
        <w:tc>
          <w:tcPr>
            <w:tcW w:w="19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5.1</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2220" w:type="dxa"/>
            <w:vAlign w:val="bottom"/>
            <w:tcBorders>
              <w:bottom w:val="single" w:sz="8" w:color="0000FF"/>
            </w:tcBorders>
            <w:gridSpan w:val="6"/>
          </w:tcPr>
          <w:p>
            <w:pPr>
              <w:spacing w:after="0"/>
              <w:rPr>
                <w:rFonts w:ascii="Arial" w:cs="Arial" w:eastAsia="Arial" w:hAnsi="Arial"/>
                <w:sz w:val="15"/>
                <w:szCs w:val="15"/>
                <w:color w:val="0000FF"/>
                <w:w w:val="95"/>
              </w:rPr>
            </w:pPr>
            <w:hyperlink r:id="rId177">
              <w:r>
                <w:rPr>
                  <w:rFonts w:ascii="Arial" w:cs="Arial" w:eastAsia="Arial" w:hAnsi="Arial"/>
                  <w:sz w:val="15"/>
                  <w:szCs w:val="15"/>
                  <w:color w:val="0000FF"/>
                  <w:w w:val="95"/>
                </w:rPr>
                <w:t>Opinion of Latham &amp; Watkins LLP.</w:t>
              </w:r>
            </w:hyperlink>
          </w:p>
        </w:tc>
        <w:tc>
          <w:tcPr>
            <w:tcW w:w="7560" w:type="dxa"/>
            <w:vAlign w:val="bottom"/>
            <w:gridSpan w:val="28"/>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Pr>
          <w:p>
            <w:pPr>
              <w:ind w:left="120"/>
              <w:spacing w:after="0"/>
              <w:rPr>
                <w:sz w:val="20"/>
                <w:szCs w:val="20"/>
                <w:color w:val="auto"/>
              </w:rPr>
            </w:pPr>
            <w:r>
              <w:rPr>
                <w:rFonts w:ascii="Arial" w:cs="Arial" w:eastAsia="Arial" w:hAnsi="Arial"/>
                <w:sz w:val="15"/>
                <w:szCs w:val="15"/>
                <w:color w:val="auto"/>
              </w:rPr>
              <w:t>9.1</w:t>
            </w:r>
            <w:r>
              <w:rPr>
                <w:rFonts w:ascii="Arial" w:cs="Arial" w:eastAsia="Arial" w:hAnsi="Arial"/>
                <w:sz w:val="18"/>
                <w:szCs w:val="18"/>
                <w:color w:val="auto"/>
                <w:vertAlign w:val="superscript"/>
              </w:rPr>
              <w:t>#</w:t>
            </w:r>
          </w:p>
        </w:tc>
        <w:tc>
          <w:tcPr>
            <w:tcW w:w="100" w:type="dxa"/>
            <w:vAlign w:val="bottom"/>
          </w:tcPr>
          <w:p>
            <w:pPr>
              <w:spacing w:after="0"/>
              <w:rPr>
                <w:sz w:val="19"/>
                <w:szCs w:val="19"/>
                <w:color w:val="auto"/>
              </w:rPr>
            </w:pPr>
          </w:p>
        </w:tc>
        <w:tc>
          <w:tcPr>
            <w:tcW w:w="9780" w:type="dxa"/>
            <w:vAlign w:val="bottom"/>
            <w:gridSpan w:val="34"/>
          </w:tcPr>
          <w:p>
            <w:pPr>
              <w:spacing w:after="0"/>
              <w:rPr>
                <w:rFonts w:ascii="Arial" w:cs="Arial" w:eastAsia="Arial" w:hAnsi="Arial"/>
                <w:sz w:val="15"/>
                <w:szCs w:val="15"/>
                <w:color w:val="0000FF"/>
              </w:rPr>
            </w:pPr>
            <w:hyperlink r:id="rId178">
              <w:r>
                <w:rPr>
                  <w:rFonts w:ascii="Arial" w:cs="Arial" w:eastAsia="Arial" w:hAnsi="Arial"/>
                  <w:sz w:val="15"/>
                  <w:szCs w:val="15"/>
                  <w:color w:val="0000FF"/>
                </w:rPr>
                <w:t>Form of Expensify Voting Trust Agreement, to be effective immediately prior to the effectiveness of this registration statement on Form S-1.</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ind w:left="120"/>
              <w:spacing w:after="0"/>
              <w:rPr>
                <w:sz w:val="20"/>
                <w:szCs w:val="20"/>
                <w:color w:val="auto"/>
              </w:rPr>
            </w:pPr>
            <w:r>
              <w:rPr>
                <w:rFonts w:ascii="Arial" w:cs="Arial" w:eastAsia="Arial" w:hAnsi="Arial"/>
                <w:sz w:val="15"/>
                <w:szCs w:val="15"/>
                <w:color w:val="auto"/>
              </w:rPr>
              <w:t>10.1</w:t>
            </w:r>
            <w:r>
              <w:rPr>
                <w:rFonts w:ascii="Arial" w:cs="Arial" w:eastAsia="Arial" w:hAnsi="Arial"/>
                <w:sz w:val="18"/>
                <w:szCs w:val="18"/>
                <w:color w:val="auto"/>
                <w:vertAlign w:val="superscript"/>
              </w:rPr>
              <w:t>#</w:t>
            </w:r>
          </w:p>
        </w:tc>
        <w:tc>
          <w:tcPr>
            <w:tcW w:w="1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0" w:type="dxa"/>
            <w:vAlign w:val="bottom"/>
            <w:gridSpan w:val="6"/>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780" w:type="dxa"/>
            <w:vAlign w:val="bottom"/>
            <w:gridSpan w:val="34"/>
          </w:tcPr>
          <w:p>
            <w:pPr>
              <w:spacing w:after="0"/>
              <w:rPr>
                <w:rFonts w:ascii="Arial" w:cs="Arial" w:eastAsia="Arial" w:hAnsi="Arial"/>
                <w:sz w:val="15"/>
                <w:szCs w:val="15"/>
                <w:color w:val="0000FF"/>
                <w:w w:val="98"/>
              </w:rPr>
            </w:pPr>
            <w:hyperlink r:id="rId179">
              <w:r>
                <w:rPr>
                  <w:rFonts w:ascii="Arial" w:cs="Arial" w:eastAsia="Arial" w:hAnsi="Arial"/>
                  <w:sz w:val="15"/>
                  <w:szCs w:val="15"/>
                  <w:color w:val="0000FF"/>
                  <w:w w:val="98"/>
                </w:rPr>
                <w:t>Amended and Restated Loan and Security Agreement, dated as of September 21, 2021, by and between the Registrant, the Borrowers party thereto,</w:t>
              </w:r>
            </w:hyperlink>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40" w:type="dxa"/>
            <w:vAlign w:val="bottom"/>
            <w:tcBorders>
              <w:top w:val="single" w:sz="8" w:color="0000FF"/>
            </w:tcBorders>
            <w:gridSpan w:val="32"/>
          </w:tcPr>
          <w:p>
            <w:pPr>
              <w:spacing w:after="0" w:line="127" w:lineRule="exact"/>
              <w:rPr>
                <w:rFonts w:ascii="Arial" w:cs="Arial" w:eastAsia="Arial" w:hAnsi="Arial"/>
                <w:sz w:val="14"/>
                <w:szCs w:val="14"/>
                <w:color w:val="0000FF"/>
              </w:rPr>
            </w:pPr>
            <w:hyperlink r:id="rId179">
              <w:r>
                <w:rPr>
                  <w:rFonts w:ascii="Arial" w:cs="Arial" w:eastAsia="Arial" w:hAnsi="Arial"/>
                  <w:sz w:val="14"/>
                  <w:szCs w:val="14"/>
                  <w:color w:val="0000FF"/>
                </w:rPr>
                <w:t>and Canadian Imperial Bank of Commerce.</w:t>
              </w:r>
            </w:hyperlink>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20"/>
              <w:spacing w:after="0"/>
              <w:rPr>
                <w:sz w:val="20"/>
                <w:szCs w:val="20"/>
                <w:color w:val="auto"/>
              </w:rPr>
            </w:pPr>
            <w:r>
              <w:rPr>
                <w:rFonts w:ascii="Arial" w:cs="Arial" w:eastAsia="Arial" w:hAnsi="Arial"/>
                <w:sz w:val="15"/>
                <w:szCs w:val="15"/>
                <w:color w:val="auto"/>
              </w:rPr>
              <w:t>10.2</w:t>
            </w:r>
            <w:r>
              <w:rPr>
                <w:rFonts w:ascii="Arial" w:cs="Arial" w:eastAsia="Arial" w:hAnsi="Arial"/>
                <w:sz w:val="18"/>
                <w:szCs w:val="18"/>
                <w:color w:val="auto"/>
                <w:vertAlign w:val="superscript"/>
              </w:rPr>
              <w:t>#</w:t>
            </w:r>
          </w:p>
        </w:tc>
        <w:tc>
          <w:tcPr>
            <w:tcW w:w="1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780" w:type="dxa"/>
            <w:vAlign w:val="bottom"/>
            <w:gridSpan w:val="34"/>
          </w:tcPr>
          <w:p>
            <w:pPr>
              <w:spacing w:after="0"/>
              <w:rPr>
                <w:rFonts w:ascii="Arial" w:cs="Arial" w:eastAsia="Arial" w:hAnsi="Arial"/>
                <w:sz w:val="15"/>
                <w:szCs w:val="15"/>
                <w:color w:val="0000FF"/>
                <w:w w:val="98"/>
              </w:rPr>
            </w:pPr>
            <w:hyperlink r:id="rId180">
              <w:r>
                <w:rPr>
                  <w:rFonts w:ascii="Arial" w:cs="Arial" w:eastAsia="Arial" w:hAnsi="Arial"/>
                  <w:sz w:val="15"/>
                  <w:szCs w:val="15"/>
                  <w:color w:val="0000FF"/>
                  <w:w w:val="98"/>
                </w:rPr>
                <w:t>Loan Agreement, dated as of August 22, 2019, by and between the Borrower party thereto, the Registrant, as Guarantor, and Canadian Imperial Bank</w:t>
              </w:r>
            </w:hyperlink>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700" w:type="dxa"/>
            <w:vAlign w:val="bottom"/>
            <w:tcBorders>
              <w:top w:val="single" w:sz="8" w:color="0000FF"/>
            </w:tcBorders>
            <w:gridSpan w:val="33"/>
          </w:tcPr>
          <w:p>
            <w:pPr>
              <w:spacing w:after="0" w:line="127" w:lineRule="exact"/>
              <w:rPr>
                <w:rFonts w:ascii="Arial" w:cs="Arial" w:eastAsia="Arial" w:hAnsi="Arial"/>
                <w:sz w:val="14"/>
                <w:szCs w:val="14"/>
                <w:color w:val="0000FF"/>
              </w:rPr>
            </w:pPr>
            <w:hyperlink r:id="rId180">
              <w:r>
                <w:rPr>
                  <w:rFonts w:ascii="Arial" w:cs="Arial" w:eastAsia="Arial" w:hAnsi="Arial"/>
                  <w:sz w:val="14"/>
                  <w:szCs w:val="14"/>
                  <w:color w:val="0000FF"/>
                </w:rPr>
                <w:t>of Commerce.</w:t>
              </w:r>
            </w:hyperlink>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ind w:left="120"/>
              <w:spacing w:after="0"/>
              <w:rPr>
                <w:sz w:val="20"/>
                <w:szCs w:val="20"/>
                <w:color w:val="auto"/>
              </w:rPr>
            </w:pPr>
            <w:r>
              <w:rPr>
                <w:rFonts w:ascii="Arial" w:cs="Arial" w:eastAsia="Arial" w:hAnsi="Arial"/>
                <w:sz w:val="15"/>
                <w:szCs w:val="15"/>
                <w:color w:val="auto"/>
              </w:rPr>
              <w:t>10.3</w:t>
            </w:r>
            <w:r>
              <w:rPr>
                <w:rFonts w:ascii="Arial" w:cs="Arial" w:eastAsia="Arial" w:hAnsi="Arial"/>
                <w:sz w:val="18"/>
                <w:szCs w:val="18"/>
                <w:color w:val="auto"/>
                <w:vertAlign w:val="superscript"/>
              </w:rPr>
              <w:t>†#</w:t>
            </w:r>
          </w:p>
        </w:tc>
        <w:tc>
          <w:tcPr>
            <w:tcW w:w="9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gridSpan w:val="2"/>
            <w:vMerge w:val="continue"/>
          </w:tcPr>
          <w:p>
            <w:pPr>
              <w:spacing w:after="0"/>
              <w:rPr>
                <w:sz w:val="19"/>
                <w:szCs w:val="19"/>
                <w:color w:val="auto"/>
              </w:rPr>
            </w:pPr>
          </w:p>
        </w:tc>
        <w:tc>
          <w:tcPr>
            <w:tcW w:w="4820" w:type="dxa"/>
            <w:vAlign w:val="bottom"/>
            <w:tcBorders>
              <w:bottom w:val="single" w:sz="8" w:color="0000FF"/>
            </w:tcBorders>
            <w:gridSpan w:val="20"/>
          </w:tcPr>
          <w:p>
            <w:pPr>
              <w:spacing w:after="0"/>
              <w:rPr>
                <w:rFonts w:ascii="Arial" w:cs="Arial" w:eastAsia="Arial" w:hAnsi="Arial"/>
                <w:sz w:val="15"/>
                <w:szCs w:val="15"/>
                <w:color w:val="0000FF"/>
                <w:w w:val="97"/>
              </w:rPr>
            </w:pPr>
            <w:hyperlink r:id="rId181">
              <w:r>
                <w:rPr>
                  <w:rFonts w:ascii="Arial" w:cs="Arial" w:eastAsia="Arial" w:hAnsi="Arial"/>
                  <w:sz w:val="15"/>
                  <w:szCs w:val="15"/>
                  <w:color w:val="0000FF"/>
                  <w:w w:val="97"/>
                </w:rPr>
                <w:t>Employment Agreement by and between the Registrant and David Barrett.</w:t>
              </w:r>
            </w:hyperlink>
          </w:p>
        </w:tc>
        <w:tc>
          <w:tcPr>
            <w:tcW w:w="496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10.4</w:t>
            </w:r>
            <w:r>
              <w:rPr>
                <w:rFonts w:ascii="Arial" w:cs="Arial" w:eastAsia="Arial" w:hAnsi="Arial"/>
                <w:sz w:val="18"/>
                <w:szCs w:val="18"/>
                <w:color w:val="auto"/>
                <w:vertAlign w:val="superscript"/>
              </w:rPr>
              <w:t>†#</w:t>
            </w:r>
          </w:p>
        </w:tc>
        <w:tc>
          <w:tcPr>
            <w:tcW w:w="4880" w:type="dxa"/>
            <w:vAlign w:val="bottom"/>
            <w:tcBorders>
              <w:bottom w:val="single" w:sz="8" w:color="0000FF"/>
            </w:tcBorders>
            <w:gridSpan w:val="21"/>
          </w:tcPr>
          <w:p>
            <w:pPr>
              <w:spacing w:after="0"/>
              <w:rPr>
                <w:rFonts w:ascii="Arial" w:cs="Arial" w:eastAsia="Arial" w:hAnsi="Arial"/>
                <w:sz w:val="15"/>
                <w:szCs w:val="15"/>
                <w:color w:val="0000FF"/>
                <w:w w:val="96"/>
              </w:rPr>
            </w:pPr>
            <w:hyperlink r:id="rId182">
              <w:r>
                <w:rPr>
                  <w:rFonts w:ascii="Arial" w:cs="Arial" w:eastAsia="Arial" w:hAnsi="Arial"/>
                  <w:sz w:val="15"/>
                  <w:szCs w:val="15"/>
                  <w:color w:val="0000FF"/>
                  <w:w w:val="96"/>
                </w:rPr>
                <w:t>Employment Agreement by and between the Registrant and Ryan Schaffer.</w:t>
              </w:r>
            </w:hyperlink>
          </w:p>
        </w:tc>
        <w:tc>
          <w:tcPr>
            <w:tcW w:w="49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10.5</w:t>
            </w:r>
            <w:r>
              <w:rPr>
                <w:rFonts w:ascii="Arial" w:cs="Arial" w:eastAsia="Arial" w:hAnsi="Arial"/>
                <w:sz w:val="18"/>
                <w:szCs w:val="18"/>
                <w:color w:val="auto"/>
                <w:vertAlign w:val="superscript"/>
              </w:rPr>
              <w:t>†#</w:t>
            </w:r>
          </w:p>
        </w:tc>
        <w:tc>
          <w:tcPr>
            <w:tcW w:w="5500" w:type="dxa"/>
            <w:vAlign w:val="bottom"/>
            <w:tcBorders>
              <w:bottom w:val="single" w:sz="8" w:color="0000FF"/>
            </w:tcBorders>
            <w:gridSpan w:val="22"/>
          </w:tcPr>
          <w:p>
            <w:pPr>
              <w:spacing w:after="0"/>
              <w:rPr>
                <w:rFonts w:ascii="Arial" w:cs="Arial" w:eastAsia="Arial" w:hAnsi="Arial"/>
                <w:sz w:val="15"/>
                <w:szCs w:val="15"/>
                <w:color w:val="0000FF"/>
                <w:w w:val="97"/>
              </w:rPr>
            </w:pPr>
            <w:hyperlink r:id="rId183">
              <w:r>
                <w:rPr>
                  <w:rFonts w:ascii="Arial" w:cs="Arial" w:eastAsia="Arial" w:hAnsi="Arial"/>
                  <w:sz w:val="15"/>
                  <w:szCs w:val="15"/>
                  <w:color w:val="0000FF"/>
                  <w:w w:val="97"/>
                </w:rPr>
                <w:t>Employment Agreement by and between the Registrant and Anuradha Muralidharan.</w:t>
              </w:r>
            </w:hyperlink>
          </w:p>
        </w:tc>
        <w:tc>
          <w:tcPr>
            <w:tcW w:w="42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10.6</w:t>
            </w:r>
            <w:r>
              <w:rPr>
                <w:rFonts w:ascii="Arial" w:cs="Arial" w:eastAsia="Arial" w:hAnsi="Arial"/>
                <w:sz w:val="18"/>
                <w:szCs w:val="18"/>
                <w:color w:val="auto"/>
                <w:vertAlign w:val="superscript"/>
              </w:rPr>
              <w:t>†#</w:t>
            </w:r>
          </w:p>
        </w:tc>
        <w:tc>
          <w:tcPr>
            <w:tcW w:w="360" w:type="dxa"/>
            <w:vAlign w:val="bottom"/>
            <w:tcBorders>
              <w:bottom w:val="single" w:sz="8" w:color="0000FF"/>
            </w:tcBorders>
          </w:tcPr>
          <w:p>
            <w:pPr>
              <w:spacing w:after="0"/>
              <w:rPr>
                <w:rFonts w:ascii="Arial" w:cs="Arial" w:eastAsia="Arial" w:hAnsi="Arial"/>
                <w:sz w:val="15"/>
                <w:szCs w:val="15"/>
                <w:color w:val="0000FF"/>
              </w:rPr>
            </w:pPr>
            <w:hyperlink r:id="rId184">
              <w:r>
                <w:rPr>
                  <w:rFonts w:ascii="Arial" w:cs="Arial" w:eastAsia="Arial" w:hAnsi="Arial"/>
                  <w:sz w:val="15"/>
                  <w:szCs w:val="15"/>
                  <w:color w:val="0000FF"/>
                </w:rPr>
                <w:t>2009</w:t>
              </w:r>
            </w:hyperlink>
          </w:p>
        </w:tc>
        <w:tc>
          <w:tcPr>
            <w:tcW w:w="720" w:type="dxa"/>
            <w:vAlign w:val="bottom"/>
            <w:tcBorders>
              <w:bottom w:val="single" w:sz="8" w:color="0000FF"/>
            </w:tcBorders>
            <w:gridSpan w:val="2"/>
          </w:tcPr>
          <w:p>
            <w:pPr>
              <w:ind w:left="20"/>
              <w:spacing w:after="0"/>
              <w:rPr>
                <w:rFonts w:ascii="Arial" w:cs="Arial" w:eastAsia="Arial" w:hAnsi="Arial"/>
                <w:sz w:val="15"/>
                <w:szCs w:val="15"/>
                <w:color w:val="0000FF"/>
                <w:w w:val="94"/>
              </w:rPr>
            </w:pPr>
            <w:hyperlink r:id="rId184">
              <w:r>
                <w:rPr>
                  <w:rFonts w:ascii="Arial" w:cs="Arial" w:eastAsia="Arial" w:hAnsi="Arial"/>
                  <w:sz w:val="15"/>
                  <w:szCs w:val="15"/>
                  <w:color w:val="0000FF"/>
                  <w:w w:val="94"/>
                </w:rPr>
                <w:t>Stock Plan</w:t>
              </w:r>
            </w:hyperlink>
          </w:p>
        </w:tc>
        <w:tc>
          <w:tcPr>
            <w:tcW w:w="8700" w:type="dxa"/>
            <w:vAlign w:val="bottom"/>
            <w:gridSpan w:val="31"/>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10.7</w:t>
            </w:r>
            <w:r>
              <w:rPr>
                <w:rFonts w:ascii="Arial" w:cs="Arial" w:eastAsia="Arial" w:hAnsi="Arial"/>
                <w:sz w:val="18"/>
                <w:szCs w:val="18"/>
                <w:color w:val="auto"/>
                <w:vertAlign w:val="superscript"/>
              </w:rPr>
              <w:t>†#</w:t>
            </w:r>
          </w:p>
        </w:tc>
        <w:tc>
          <w:tcPr>
            <w:tcW w:w="360" w:type="dxa"/>
            <w:vAlign w:val="bottom"/>
            <w:tcBorders>
              <w:bottom w:val="single" w:sz="8" w:color="0000FF"/>
            </w:tcBorders>
          </w:tcPr>
          <w:p>
            <w:pPr>
              <w:spacing w:after="0"/>
              <w:rPr>
                <w:rFonts w:ascii="Arial" w:cs="Arial" w:eastAsia="Arial" w:hAnsi="Arial"/>
                <w:sz w:val="15"/>
                <w:szCs w:val="15"/>
                <w:color w:val="0000FF"/>
              </w:rPr>
            </w:pPr>
            <w:hyperlink r:id="rId185">
              <w:r>
                <w:rPr>
                  <w:rFonts w:ascii="Arial" w:cs="Arial" w:eastAsia="Arial" w:hAnsi="Arial"/>
                  <w:sz w:val="15"/>
                  <w:szCs w:val="15"/>
                  <w:color w:val="0000FF"/>
                </w:rPr>
                <w:t>2009</w:t>
              </w:r>
            </w:hyperlink>
          </w:p>
        </w:tc>
        <w:tc>
          <w:tcPr>
            <w:tcW w:w="3680" w:type="dxa"/>
            <w:vAlign w:val="bottom"/>
            <w:tcBorders>
              <w:bottom w:val="single" w:sz="8" w:color="0000FF"/>
            </w:tcBorders>
            <w:gridSpan w:val="17"/>
          </w:tcPr>
          <w:p>
            <w:pPr>
              <w:ind w:left="20"/>
              <w:spacing w:after="0"/>
              <w:rPr>
                <w:rFonts w:ascii="Arial" w:cs="Arial" w:eastAsia="Arial" w:hAnsi="Arial"/>
                <w:sz w:val="15"/>
                <w:szCs w:val="15"/>
                <w:color w:val="0000FF"/>
                <w:w w:val="96"/>
              </w:rPr>
            </w:pPr>
            <w:hyperlink r:id="rId185">
              <w:r>
                <w:rPr>
                  <w:rFonts w:ascii="Arial" w:cs="Arial" w:eastAsia="Arial" w:hAnsi="Arial"/>
                  <w:sz w:val="15"/>
                  <w:szCs w:val="15"/>
                  <w:color w:val="0000FF"/>
                  <w:w w:val="96"/>
                </w:rPr>
                <w:t>Stock Plan – Form of Notice of Stock Option Grant (EMI)</w:t>
              </w:r>
            </w:hyperlink>
          </w:p>
        </w:tc>
        <w:tc>
          <w:tcPr>
            <w:tcW w:w="57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10.8</w:t>
            </w:r>
            <w:r>
              <w:rPr>
                <w:rFonts w:ascii="Arial" w:cs="Arial" w:eastAsia="Arial" w:hAnsi="Arial"/>
                <w:sz w:val="18"/>
                <w:szCs w:val="18"/>
                <w:color w:val="auto"/>
                <w:vertAlign w:val="superscript"/>
              </w:rPr>
              <w:t>†#</w:t>
            </w:r>
          </w:p>
        </w:tc>
        <w:tc>
          <w:tcPr>
            <w:tcW w:w="360" w:type="dxa"/>
            <w:vAlign w:val="bottom"/>
          </w:tcPr>
          <w:p>
            <w:pPr>
              <w:spacing w:after="0"/>
              <w:rPr>
                <w:rFonts w:ascii="Arial" w:cs="Arial" w:eastAsia="Arial" w:hAnsi="Arial"/>
                <w:sz w:val="15"/>
                <w:szCs w:val="15"/>
                <w:color w:val="0000FF"/>
              </w:rPr>
            </w:pPr>
            <w:hyperlink r:id="rId186">
              <w:r>
                <w:rPr>
                  <w:rFonts w:ascii="Arial" w:cs="Arial" w:eastAsia="Arial" w:hAnsi="Arial"/>
                  <w:sz w:val="15"/>
                  <w:szCs w:val="15"/>
                  <w:color w:val="0000FF"/>
                </w:rPr>
                <w:t>2009</w:t>
              </w:r>
            </w:hyperlink>
          </w:p>
        </w:tc>
        <w:tc>
          <w:tcPr>
            <w:tcW w:w="9420" w:type="dxa"/>
            <w:vAlign w:val="bottom"/>
            <w:gridSpan w:val="33"/>
          </w:tcPr>
          <w:p>
            <w:pPr>
              <w:ind w:left="20"/>
              <w:spacing w:after="0"/>
              <w:rPr>
                <w:rFonts w:ascii="Arial" w:cs="Arial" w:eastAsia="Arial" w:hAnsi="Arial"/>
                <w:sz w:val="15"/>
                <w:szCs w:val="15"/>
                <w:color w:val="0000FF"/>
              </w:rPr>
            </w:pPr>
            <w:hyperlink r:id="rId186">
              <w:r>
                <w:rPr>
                  <w:rFonts w:ascii="Arial" w:cs="Arial" w:eastAsia="Arial" w:hAnsi="Arial"/>
                  <w:sz w:val="15"/>
                  <w:szCs w:val="15"/>
                  <w:color w:val="0000FF"/>
                </w:rPr>
                <w:t>Stock Plan – Form of Option Agreement</w:t>
              </w:r>
            </w:hyperlink>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10.9</w:t>
            </w:r>
            <w:r>
              <w:rPr>
                <w:rFonts w:ascii="Arial" w:cs="Arial" w:eastAsia="Arial" w:hAnsi="Arial"/>
                <w:sz w:val="18"/>
                <w:szCs w:val="18"/>
                <w:color w:val="auto"/>
                <w:vertAlign w:val="superscript"/>
              </w:rPr>
              <w:t>†#</w:t>
            </w:r>
          </w:p>
        </w:tc>
        <w:tc>
          <w:tcPr>
            <w:tcW w:w="360" w:type="dxa"/>
            <w:vAlign w:val="bottom"/>
            <w:tcBorders>
              <w:top w:val="single" w:sz="8" w:color="0000FF"/>
              <w:bottom w:val="single" w:sz="8" w:color="0000FF"/>
            </w:tcBorders>
          </w:tcPr>
          <w:p>
            <w:pPr>
              <w:spacing w:after="0"/>
              <w:rPr>
                <w:rFonts w:ascii="Arial" w:cs="Arial" w:eastAsia="Arial" w:hAnsi="Arial"/>
                <w:sz w:val="15"/>
                <w:szCs w:val="15"/>
                <w:color w:val="0000FF"/>
              </w:rPr>
            </w:pPr>
            <w:hyperlink r:id="rId187">
              <w:r>
                <w:rPr>
                  <w:rFonts w:ascii="Arial" w:cs="Arial" w:eastAsia="Arial" w:hAnsi="Arial"/>
                  <w:sz w:val="15"/>
                  <w:szCs w:val="15"/>
                  <w:color w:val="0000FF"/>
                </w:rPr>
                <w:t>2019</w:t>
              </w:r>
            </w:hyperlink>
          </w:p>
        </w:tc>
        <w:tc>
          <w:tcPr>
            <w:tcW w:w="720" w:type="dxa"/>
            <w:vAlign w:val="bottom"/>
            <w:tcBorders>
              <w:top w:val="single" w:sz="8" w:color="0000FF"/>
              <w:bottom w:val="single" w:sz="8" w:color="0000FF"/>
            </w:tcBorders>
            <w:gridSpan w:val="2"/>
          </w:tcPr>
          <w:p>
            <w:pPr>
              <w:ind w:left="20"/>
              <w:spacing w:after="0"/>
              <w:rPr>
                <w:rFonts w:ascii="Arial" w:cs="Arial" w:eastAsia="Arial" w:hAnsi="Arial"/>
                <w:sz w:val="15"/>
                <w:szCs w:val="15"/>
                <w:color w:val="0000FF"/>
                <w:w w:val="94"/>
              </w:rPr>
            </w:pPr>
            <w:hyperlink r:id="rId187">
              <w:r>
                <w:rPr>
                  <w:rFonts w:ascii="Arial" w:cs="Arial" w:eastAsia="Arial" w:hAnsi="Arial"/>
                  <w:sz w:val="15"/>
                  <w:szCs w:val="15"/>
                  <w:color w:val="0000FF"/>
                  <w:w w:val="94"/>
                </w:rPr>
                <w:t>Stock Plan</w:t>
              </w:r>
            </w:hyperlink>
          </w:p>
        </w:tc>
        <w:tc>
          <w:tcPr>
            <w:tcW w:w="1880" w:type="dxa"/>
            <w:vAlign w:val="bottom"/>
            <w:tcBorders>
              <w:top w:val="single" w:sz="8" w:color="0000FF"/>
            </w:tcBorders>
            <w:gridSpan w:val="8"/>
          </w:tcPr>
          <w:p>
            <w:pPr>
              <w:spacing w:after="0"/>
              <w:rPr>
                <w:sz w:val="19"/>
                <w:szCs w:val="19"/>
                <w:color w:val="auto"/>
              </w:rPr>
            </w:pPr>
          </w:p>
        </w:tc>
        <w:tc>
          <w:tcPr>
            <w:tcW w:w="682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10.10</w:t>
            </w:r>
            <w:r>
              <w:rPr>
                <w:rFonts w:ascii="Arial" w:cs="Arial" w:eastAsia="Arial" w:hAnsi="Arial"/>
                <w:sz w:val="18"/>
                <w:szCs w:val="18"/>
                <w:color w:val="auto"/>
                <w:vertAlign w:val="superscript"/>
              </w:rPr>
              <w:t>†#</w:t>
            </w:r>
          </w:p>
        </w:tc>
        <w:tc>
          <w:tcPr>
            <w:tcW w:w="360" w:type="dxa"/>
            <w:vAlign w:val="bottom"/>
          </w:tcPr>
          <w:p>
            <w:pPr>
              <w:spacing w:after="0"/>
              <w:rPr>
                <w:rFonts w:ascii="Arial" w:cs="Arial" w:eastAsia="Arial" w:hAnsi="Arial"/>
                <w:sz w:val="15"/>
                <w:szCs w:val="15"/>
                <w:color w:val="0000FF"/>
              </w:rPr>
            </w:pPr>
            <w:hyperlink r:id="rId188">
              <w:r>
                <w:rPr>
                  <w:rFonts w:ascii="Arial" w:cs="Arial" w:eastAsia="Arial" w:hAnsi="Arial"/>
                  <w:sz w:val="15"/>
                  <w:szCs w:val="15"/>
                  <w:color w:val="0000FF"/>
                </w:rPr>
                <w:t>2019</w:t>
              </w:r>
            </w:hyperlink>
          </w:p>
        </w:tc>
        <w:tc>
          <w:tcPr>
            <w:tcW w:w="9420" w:type="dxa"/>
            <w:vAlign w:val="bottom"/>
            <w:gridSpan w:val="33"/>
          </w:tcPr>
          <w:p>
            <w:pPr>
              <w:ind w:left="20"/>
              <w:spacing w:after="0"/>
              <w:rPr>
                <w:rFonts w:ascii="Arial" w:cs="Arial" w:eastAsia="Arial" w:hAnsi="Arial"/>
                <w:sz w:val="15"/>
                <w:szCs w:val="15"/>
                <w:color w:val="0000FF"/>
              </w:rPr>
            </w:pPr>
            <w:hyperlink r:id="rId188">
              <w:r>
                <w:rPr>
                  <w:rFonts w:ascii="Arial" w:cs="Arial" w:eastAsia="Arial" w:hAnsi="Arial"/>
                  <w:sz w:val="15"/>
                  <w:szCs w:val="15"/>
                  <w:color w:val="0000FF"/>
                </w:rPr>
                <w:t>Stock Plan – Form of Early Exercise Notice and Restricted Stock Purchase Agreement</w:t>
              </w:r>
            </w:hyperlink>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10.11</w:t>
            </w:r>
            <w:r>
              <w:rPr>
                <w:rFonts w:ascii="Arial" w:cs="Arial" w:eastAsia="Arial" w:hAnsi="Arial"/>
                <w:sz w:val="18"/>
                <w:szCs w:val="18"/>
                <w:color w:val="auto"/>
                <w:vertAlign w:val="superscript"/>
              </w:rPr>
              <w:t>†#</w:t>
            </w:r>
          </w:p>
        </w:tc>
        <w:tc>
          <w:tcPr>
            <w:tcW w:w="360" w:type="dxa"/>
            <w:vAlign w:val="bottom"/>
            <w:tcBorders>
              <w:top w:val="single" w:sz="8" w:color="0000FF"/>
              <w:bottom w:val="single" w:sz="8" w:color="0000FF"/>
            </w:tcBorders>
          </w:tcPr>
          <w:p>
            <w:pPr>
              <w:spacing w:after="0"/>
              <w:rPr>
                <w:rFonts w:ascii="Arial" w:cs="Arial" w:eastAsia="Arial" w:hAnsi="Arial"/>
                <w:sz w:val="15"/>
                <w:szCs w:val="15"/>
                <w:color w:val="0000FF"/>
              </w:rPr>
            </w:pPr>
            <w:hyperlink r:id="rId189">
              <w:r>
                <w:rPr>
                  <w:rFonts w:ascii="Arial" w:cs="Arial" w:eastAsia="Arial" w:hAnsi="Arial"/>
                  <w:sz w:val="15"/>
                  <w:szCs w:val="15"/>
                  <w:color w:val="0000FF"/>
                </w:rPr>
                <w:t>2019</w:t>
              </w:r>
            </w:hyperlink>
          </w:p>
        </w:tc>
        <w:tc>
          <w:tcPr>
            <w:tcW w:w="3140" w:type="dxa"/>
            <w:vAlign w:val="bottom"/>
            <w:tcBorders>
              <w:top w:val="single" w:sz="8" w:color="0000FF"/>
              <w:bottom w:val="single" w:sz="8" w:color="0000FF"/>
            </w:tcBorders>
            <w:gridSpan w:val="13"/>
          </w:tcPr>
          <w:p>
            <w:pPr>
              <w:ind w:left="20"/>
              <w:spacing w:after="0"/>
              <w:rPr>
                <w:rFonts w:ascii="Arial" w:cs="Arial" w:eastAsia="Arial" w:hAnsi="Arial"/>
                <w:sz w:val="15"/>
                <w:szCs w:val="15"/>
                <w:color w:val="0000FF"/>
                <w:w w:val="96"/>
              </w:rPr>
            </w:pPr>
            <w:hyperlink r:id="rId189">
              <w:r>
                <w:rPr>
                  <w:rFonts w:ascii="Arial" w:cs="Arial" w:eastAsia="Arial" w:hAnsi="Arial"/>
                  <w:sz w:val="15"/>
                  <w:szCs w:val="15"/>
                  <w:color w:val="0000FF"/>
                  <w:w w:val="96"/>
                </w:rPr>
                <w:t>Stock Plan – Form of Exercise Agreement (EMI)</w:t>
              </w:r>
            </w:hyperlink>
          </w:p>
        </w:tc>
        <w:tc>
          <w:tcPr>
            <w:tcW w:w="2460" w:type="dxa"/>
            <w:vAlign w:val="bottom"/>
            <w:tcBorders>
              <w:top w:val="single" w:sz="8" w:color="0000FF"/>
            </w:tcBorders>
            <w:gridSpan w:val="9"/>
          </w:tcPr>
          <w:p>
            <w:pPr>
              <w:spacing w:after="0"/>
              <w:rPr>
                <w:sz w:val="19"/>
                <w:szCs w:val="19"/>
                <w:color w:val="auto"/>
              </w:rPr>
            </w:pPr>
          </w:p>
        </w:tc>
        <w:tc>
          <w:tcPr>
            <w:tcW w:w="38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10.12</w:t>
            </w:r>
            <w:r>
              <w:rPr>
                <w:rFonts w:ascii="Arial" w:cs="Arial" w:eastAsia="Arial" w:hAnsi="Arial"/>
                <w:sz w:val="18"/>
                <w:szCs w:val="18"/>
                <w:color w:val="auto"/>
                <w:vertAlign w:val="superscript"/>
              </w:rPr>
              <w:t>†#</w:t>
            </w:r>
          </w:p>
        </w:tc>
        <w:tc>
          <w:tcPr>
            <w:tcW w:w="360" w:type="dxa"/>
            <w:vAlign w:val="bottom"/>
            <w:tcBorders>
              <w:bottom w:val="single" w:sz="8" w:color="0000FF"/>
            </w:tcBorders>
          </w:tcPr>
          <w:p>
            <w:pPr>
              <w:spacing w:after="0"/>
              <w:rPr>
                <w:rFonts w:ascii="Arial" w:cs="Arial" w:eastAsia="Arial" w:hAnsi="Arial"/>
                <w:sz w:val="15"/>
                <w:szCs w:val="15"/>
                <w:color w:val="0000FF"/>
              </w:rPr>
            </w:pPr>
            <w:hyperlink r:id="rId190">
              <w:r>
                <w:rPr>
                  <w:rFonts w:ascii="Arial" w:cs="Arial" w:eastAsia="Arial" w:hAnsi="Arial"/>
                  <w:sz w:val="15"/>
                  <w:szCs w:val="15"/>
                  <w:color w:val="0000FF"/>
                </w:rPr>
                <w:t>2019</w:t>
              </w:r>
            </w:hyperlink>
          </w:p>
        </w:tc>
        <w:tc>
          <w:tcPr>
            <w:tcW w:w="2740" w:type="dxa"/>
            <w:vAlign w:val="bottom"/>
            <w:tcBorders>
              <w:bottom w:val="single" w:sz="8" w:color="0000FF"/>
            </w:tcBorders>
            <w:gridSpan w:val="11"/>
          </w:tcPr>
          <w:p>
            <w:pPr>
              <w:ind w:left="20"/>
              <w:spacing w:after="0"/>
              <w:rPr>
                <w:rFonts w:ascii="Arial" w:cs="Arial" w:eastAsia="Arial" w:hAnsi="Arial"/>
                <w:sz w:val="15"/>
                <w:szCs w:val="15"/>
                <w:color w:val="0000FF"/>
                <w:w w:val="96"/>
              </w:rPr>
            </w:pPr>
            <w:hyperlink r:id="rId190">
              <w:r>
                <w:rPr>
                  <w:rFonts w:ascii="Arial" w:cs="Arial" w:eastAsia="Arial" w:hAnsi="Arial"/>
                  <w:sz w:val="15"/>
                  <w:szCs w:val="15"/>
                  <w:color w:val="0000FF"/>
                  <w:w w:val="96"/>
                </w:rPr>
                <w:t>Stock Plan – Form of Exercise Agreement</w:t>
              </w:r>
            </w:hyperlink>
          </w:p>
        </w:tc>
        <w:tc>
          <w:tcPr>
            <w:tcW w:w="668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10.13</w:t>
            </w:r>
            <w:r>
              <w:rPr>
                <w:rFonts w:ascii="Arial" w:cs="Arial" w:eastAsia="Arial" w:hAnsi="Arial"/>
                <w:sz w:val="18"/>
                <w:szCs w:val="18"/>
                <w:color w:val="auto"/>
                <w:vertAlign w:val="superscript"/>
              </w:rPr>
              <w:t>†#</w:t>
            </w:r>
          </w:p>
        </w:tc>
        <w:tc>
          <w:tcPr>
            <w:tcW w:w="360" w:type="dxa"/>
            <w:vAlign w:val="bottom"/>
          </w:tcPr>
          <w:p>
            <w:pPr>
              <w:spacing w:after="0"/>
              <w:rPr>
                <w:rFonts w:ascii="Arial" w:cs="Arial" w:eastAsia="Arial" w:hAnsi="Arial"/>
                <w:sz w:val="15"/>
                <w:szCs w:val="15"/>
                <w:color w:val="0000FF"/>
              </w:rPr>
            </w:pPr>
            <w:hyperlink r:id="rId191">
              <w:r>
                <w:rPr>
                  <w:rFonts w:ascii="Arial" w:cs="Arial" w:eastAsia="Arial" w:hAnsi="Arial"/>
                  <w:sz w:val="15"/>
                  <w:szCs w:val="15"/>
                  <w:color w:val="0000FF"/>
                </w:rPr>
                <w:t>2019</w:t>
              </w:r>
            </w:hyperlink>
          </w:p>
        </w:tc>
        <w:tc>
          <w:tcPr>
            <w:tcW w:w="9420" w:type="dxa"/>
            <w:vAlign w:val="bottom"/>
            <w:gridSpan w:val="33"/>
          </w:tcPr>
          <w:p>
            <w:pPr>
              <w:ind w:left="20"/>
              <w:spacing w:after="0"/>
              <w:rPr>
                <w:rFonts w:ascii="Arial" w:cs="Arial" w:eastAsia="Arial" w:hAnsi="Arial"/>
                <w:sz w:val="15"/>
                <w:szCs w:val="15"/>
                <w:color w:val="0000FF"/>
              </w:rPr>
            </w:pPr>
            <w:hyperlink r:id="rId191">
              <w:r>
                <w:rPr>
                  <w:rFonts w:ascii="Arial" w:cs="Arial" w:eastAsia="Arial" w:hAnsi="Arial"/>
                  <w:sz w:val="15"/>
                  <w:szCs w:val="15"/>
                  <w:color w:val="0000FF"/>
                </w:rPr>
                <w:t>Stock Plan – Form of Option Agreement (early exercise) (Reg S)</w:t>
              </w:r>
            </w:hyperlink>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10.14</w:t>
            </w:r>
            <w:r>
              <w:rPr>
                <w:rFonts w:ascii="Arial" w:cs="Arial" w:eastAsia="Arial" w:hAnsi="Arial"/>
                <w:sz w:val="18"/>
                <w:szCs w:val="18"/>
                <w:color w:val="auto"/>
                <w:vertAlign w:val="superscript"/>
              </w:rPr>
              <w:t>†#</w:t>
            </w:r>
          </w:p>
        </w:tc>
        <w:tc>
          <w:tcPr>
            <w:tcW w:w="360" w:type="dxa"/>
            <w:vAlign w:val="bottom"/>
            <w:tcBorders>
              <w:top w:val="single" w:sz="8" w:color="0000FF"/>
            </w:tcBorders>
          </w:tcPr>
          <w:p>
            <w:pPr>
              <w:spacing w:after="0"/>
              <w:rPr>
                <w:rFonts w:ascii="Arial" w:cs="Arial" w:eastAsia="Arial" w:hAnsi="Arial"/>
                <w:sz w:val="15"/>
                <w:szCs w:val="15"/>
                <w:color w:val="0000FF"/>
              </w:rPr>
            </w:pPr>
            <w:hyperlink r:id="rId192">
              <w:r>
                <w:rPr>
                  <w:rFonts w:ascii="Arial" w:cs="Arial" w:eastAsia="Arial" w:hAnsi="Arial"/>
                  <w:sz w:val="15"/>
                  <w:szCs w:val="15"/>
                  <w:color w:val="0000FF"/>
                </w:rPr>
                <w:t>2019</w:t>
              </w:r>
            </w:hyperlink>
          </w:p>
        </w:tc>
        <w:tc>
          <w:tcPr>
            <w:tcW w:w="4180" w:type="dxa"/>
            <w:vAlign w:val="bottom"/>
            <w:tcBorders>
              <w:top w:val="single" w:sz="8" w:color="0000FF"/>
            </w:tcBorders>
            <w:gridSpan w:val="18"/>
          </w:tcPr>
          <w:p>
            <w:pPr>
              <w:ind w:left="20"/>
              <w:spacing w:after="0"/>
              <w:rPr>
                <w:rFonts w:ascii="Arial" w:cs="Arial" w:eastAsia="Arial" w:hAnsi="Arial"/>
                <w:sz w:val="15"/>
                <w:szCs w:val="15"/>
                <w:color w:val="0000FF"/>
              </w:rPr>
            </w:pPr>
            <w:hyperlink r:id="rId192">
              <w:r>
                <w:rPr>
                  <w:rFonts w:ascii="Arial" w:cs="Arial" w:eastAsia="Arial" w:hAnsi="Arial"/>
                  <w:sz w:val="15"/>
                  <w:szCs w:val="15"/>
                  <w:color w:val="0000FF"/>
                </w:rPr>
                <w:t>Stock Plan – Form of Option Agreement (early exercise)</w:t>
              </w:r>
            </w:hyperlink>
          </w:p>
        </w:tc>
        <w:tc>
          <w:tcPr>
            <w:tcW w:w="524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ind w:left="120"/>
              <w:spacing w:after="0"/>
              <w:rPr>
                <w:sz w:val="20"/>
                <w:szCs w:val="20"/>
                <w:color w:val="auto"/>
              </w:rPr>
            </w:pPr>
            <w:r>
              <w:rPr>
                <w:rFonts w:ascii="Arial" w:cs="Arial" w:eastAsia="Arial" w:hAnsi="Arial"/>
                <w:sz w:val="15"/>
                <w:szCs w:val="15"/>
                <w:color w:val="auto"/>
              </w:rPr>
              <w:t>10.15</w:t>
            </w:r>
            <w:r>
              <w:rPr>
                <w:rFonts w:ascii="Arial" w:cs="Arial" w:eastAsia="Arial" w:hAnsi="Arial"/>
                <w:sz w:val="18"/>
                <w:szCs w:val="18"/>
                <w:color w:val="auto"/>
                <w:vertAlign w:val="superscript"/>
              </w:rPr>
              <w:t>†#</w:t>
            </w:r>
          </w:p>
        </w:tc>
        <w:tc>
          <w:tcPr>
            <w:tcW w:w="3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gridSpan w:val="2"/>
            <w:vMerge w:val="continue"/>
          </w:tcPr>
          <w:p>
            <w:pPr>
              <w:spacing w:after="0"/>
              <w:rPr>
                <w:sz w:val="19"/>
                <w:szCs w:val="19"/>
                <w:color w:val="auto"/>
              </w:rPr>
            </w:pPr>
          </w:p>
        </w:tc>
        <w:tc>
          <w:tcPr>
            <w:tcW w:w="360" w:type="dxa"/>
            <w:vAlign w:val="bottom"/>
            <w:tcBorders>
              <w:bottom w:val="single" w:sz="8" w:color="0000FF"/>
            </w:tcBorders>
          </w:tcPr>
          <w:p>
            <w:pPr>
              <w:spacing w:after="0"/>
              <w:rPr>
                <w:rFonts w:ascii="Arial" w:cs="Arial" w:eastAsia="Arial" w:hAnsi="Arial"/>
                <w:sz w:val="15"/>
                <w:szCs w:val="15"/>
                <w:color w:val="0000FF"/>
              </w:rPr>
            </w:pPr>
            <w:hyperlink r:id="rId193">
              <w:r>
                <w:rPr>
                  <w:rFonts w:ascii="Arial" w:cs="Arial" w:eastAsia="Arial" w:hAnsi="Arial"/>
                  <w:sz w:val="15"/>
                  <w:szCs w:val="15"/>
                  <w:color w:val="0000FF"/>
                </w:rPr>
                <w:t>2019</w:t>
              </w:r>
            </w:hyperlink>
          </w:p>
        </w:tc>
        <w:tc>
          <w:tcPr>
            <w:tcW w:w="3680" w:type="dxa"/>
            <w:vAlign w:val="bottom"/>
            <w:tcBorders>
              <w:bottom w:val="single" w:sz="8" w:color="0000FF"/>
            </w:tcBorders>
            <w:gridSpan w:val="17"/>
          </w:tcPr>
          <w:p>
            <w:pPr>
              <w:ind w:left="20"/>
              <w:spacing w:after="0"/>
              <w:rPr>
                <w:rFonts w:ascii="Arial" w:cs="Arial" w:eastAsia="Arial" w:hAnsi="Arial"/>
                <w:sz w:val="15"/>
                <w:szCs w:val="15"/>
                <w:color w:val="0000FF"/>
                <w:w w:val="96"/>
              </w:rPr>
            </w:pPr>
            <w:hyperlink r:id="rId193">
              <w:r>
                <w:rPr>
                  <w:rFonts w:ascii="Arial" w:cs="Arial" w:eastAsia="Arial" w:hAnsi="Arial"/>
                  <w:sz w:val="15"/>
                  <w:szCs w:val="15"/>
                  <w:color w:val="0000FF"/>
                  <w:w w:val="96"/>
                </w:rPr>
                <w:t>Stock Plan – Form of Notice of Stock Option Grant (EMI)</w:t>
              </w:r>
            </w:hyperlink>
          </w:p>
        </w:tc>
        <w:tc>
          <w:tcPr>
            <w:tcW w:w="57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10.16</w:t>
            </w:r>
            <w:r>
              <w:rPr>
                <w:rFonts w:ascii="Arial" w:cs="Arial" w:eastAsia="Arial" w:hAnsi="Arial"/>
                <w:sz w:val="18"/>
                <w:szCs w:val="18"/>
                <w:color w:val="auto"/>
                <w:vertAlign w:val="superscript"/>
              </w:rPr>
              <w:t>†#</w:t>
            </w:r>
          </w:p>
        </w:tc>
        <w:tc>
          <w:tcPr>
            <w:tcW w:w="360" w:type="dxa"/>
            <w:vAlign w:val="bottom"/>
          </w:tcPr>
          <w:p>
            <w:pPr>
              <w:spacing w:after="0"/>
              <w:rPr>
                <w:rFonts w:ascii="Arial" w:cs="Arial" w:eastAsia="Arial" w:hAnsi="Arial"/>
                <w:sz w:val="15"/>
                <w:szCs w:val="15"/>
                <w:color w:val="0000FF"/>
              </w:rPr>
            </w:pPr>
            <w:hyperlink r:id="rId194">
              <w:r>
                <w:rPr>
                  <w:rFonts w:ascii="Arial" w:cs="Arial" w:eastAsia="Arial" w:hAnsi="Arial"/>
                  <w:sz w:val="15"/>
                  <w:szCs w:val="15"/>
                  <w:color w:val="0000FF"/>
                </w:rPr>
                <w:t>2019</w:t>
              </w:r>
            </w:hyperlink>
          </w:p>
        </w:tc>
        <w:tc>
          <w:tcPr>
            <w:tcW w:w="9420" w:type="dxa"/>
            <w:vAlign w:val="bottom"/>
            <w:gridSpan w:val="33"/>
          </w:tcPr>
          <w:p>
            <w:pPr>
              <w:ind w:left="20"/>
              <w:spacing w:after="0"/>
              <w:rPr>
                <w:rFonts w:ascii="Arial" w:cs="Arial" w:eastAsia="Arial" w:hAnsi="Arial"/>
                <w:sz w:val="15"/>
                <w:szCs w:val="15"/>
                <w:color w:val="0000FF"/>
              </w:rPr>
            </w:pPr>
            <w:hyperlink r:id="rId194">
              <w:r>
                <w:rPr>
                  <w:rFonts w:ascii="Arial" w:cs="Arial" w:eastAsia="Arial" w:hAnsi="Arial"/>
                  <w:sz w:val="15"/>
                  <w:szCs w:val="15"/>
                  <w:color w:val="0000FF"/>
                </w:rPr>
                <w:t>Stock Plan - Form of Contingent Exercise Agreement</w:t>
              </w:r>
            </w:hyperlink>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10.17</w:t>
            </w:r>
            <w:r>
              <w:rPr>
                <w:rFonts w:ascii="Arial" w:cs="Arial" w:eastAsia="Arial" w:hAnsi="Arial"/>
                <w:sz w:val="18"/>
                <w:szCs w:val="18"/>
                <w:color w:val="auto"/>
                <w:vertAlign w:val="superscript"/>
              </w:rPr>
              <w:t>†#</w:t>
            </w:r>
          </w:p>
        </w:tc>
        <w:tc>
          <w:tcPr>
            <w:tcW w:w="360" w:type="dxa"/>
            <w:vAlign w:val="bottom"/>
            <w:tcBorders>
              <w:top w:val="single" w:sz="8" w:color="0000FF"/>
            </w:tcBorders>
          </w:tcPr>
          <w:p>
            <w:pPr>
              <w:spacing w:after="0"/>
              <w:rPr>
                <w:rFonts w:ascii="Arial" w:cs="Arial" w:eastAsia="Arial" w:hAnsi="Arial"/>
                <w:sz w:val="15"/>
                <w:szCs w:val="15"/>
                <w:color w:val="0000FF"/>
              </w:rPr>
            </w:pPr>
            <w:hyperlink r:id="rId195">
              <w:r>
                <w:rPr>
                  <w:rFonts w:ascii="Arial" w:cs="Arial" w:eastAsia="Arial" w:hAnsi="Arial"/>
                  <w:sz w:val="15"/>
                  <w:szCs w:val="15"/>
                  <w:color w:val="0000FF"/>
                </w:rPr>
                <w:t>2019</w:t>
              </w:r>
            </w:hyperlink>
          </w:p>
        </w:tc>
        <w:tc>
          <w:tcPr>
            <w:tcW w:w="3440" w:type="dxa"/>
            <w:vAlign w:val="bottom"/>
            <w:tcBorders>
              <w:top w:val="single" w:sz="8" w:color="0000FF"/>
            </w:tcBorders>
            <w:gridSpan w:val="15"/>
          </w:tcPr>
          <w:p>
            <w:pPr>
              <w:ind w:left="20"/>
              <w:spacing w:after="0"/>
              <w:rPr>
                <w:rFonts w:ascii="Arial" w:cs="Arial" w:eastAsia="Arial" w:hAnsi="Arial"/>
                <w:sz w:val="15"/>
                <w:szCs w:val="15"/>
                <w:color w:val="0000FF"/>
              </w:rPr>
            </w:pPr>
            <w:hyperlink r:id="rId195">
              <w:r>
                <w:rPr>
                  <w:rFonts w:ascii="Arial" w:cs="Arial" w:eastAsia="Arial" w:hAnsi="Arial"/>
                  <w:sz w:val="15"/>
                  <w:szCs w:val="15"/>
                  <w:color w:val="0000FF"/>
                </w:rPr>
                <w:t>Plan - Form of RSU Agreement</w:t>
              </w:r>
            </w:hyperlink>
          </w:p>
        </w:tc>
        <w:tc>
          <w:tcPr>
            <w:tcW w:w="598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10.18</w:t>
            </w:r>
            <w:r>
              <w:rPr>
                <w:rFonts w:ascii="Arial" w:cs="Arial" w:eastAsia="Arial" w:hAnsi="Arial"/>
                <w:sz w:val="18"/>
                <w:szCs w:val="18"/>
                <w:color w:val="auto"/>
                <w:vertAlign w:val="superscript"/>
              </w:rPr>
              <w:t>†#</w:t>
            </w:r>
          </w:p>
        </w:tc>
        <w:tc>
          <w:tcPr>
            <w:tcW w:w="360" w:type="dxa"/>
            <w:vAlign w:val="bottom"/>
            <w:tcBorders>
              <w:top w:val="single" w:sz="8" w:color="0000FF"/>
            </w:tcBorders>
          </w:tcPr>
          <w:p>
            <w:pPr>
              <w:spacing w:after="0"/>
              <w:rPr>
                <w:rFonts w:ascii="Arial" w:cs="Arial" w:eastAsia="Arial" w:hAnsi="Arial"/>
                <w:sz w:val="15"/>
                <w:szCs w:val="15"/>
                <w:color w:val="0000FF"/>
              </w:rPr>
            </w:pPr>
            <w:hyperlink r:id="rId196">
              <w:r>
                <w:rPr>
                  <w:rFonts w:ascii="Arial" w:cs="Arial" w:eastAsia="Arial" w:hAnsi="Arial"/>
                  <w:sz w:val="15"/>
                  <w:szCs w:val="15"/>
                  <w:color w:val="0000FF"/>
                </w:rPr>
                <w:t>2021</w:t>
              </w:r>
            </w:hyperlink>
          </w:p>
        </w:tc>
        <w:tc>
          <w:tcPr>
            <w:tcW w:w="2040" w:type="dxa"/>
            <w:vAlign w:val="bottom"/>
            <w:tcBorders>
              <w:top w:val="single" w:sz="8" w:color="0000FF"/>
            </w:tcBorders>
            <w:gridSpan w:val="6"/>
          </w:tcPr>
          <w:p>
            <w:pPr>
              <w:ind w:left="20"/>
              <w:spacing w:after="0"/>
              <w:rPr>
                <w:rFonts w:ascii="Arial" w:cs="Arial" w:eastAsia="Arial" w:hAnsi="Arial"/>
                <w:sz w:val="15"/>
                <w:szCs w:val="15"/>
                <w:color w:val="0000FF"/>
              </w:rPr>
            </w:pPr>
            <w:hyperlink r:id="rId196">
              <w:r>
                <w:rPr>
                  <w:rFonts w:ascii="Arial" w:cs="Arial" w:eastAsia="Arial" w:hAnsi="Arial"/>
                  <w:sz w:val="15"/>
                  <w:szCs w:val="15"/>
                  <w:color w:val="0000FF"/>
                </w:rPr>
                <w:t>Incentive Award Plan</w:t>
              </w:r>
            </w:hyperlink>
          </w:p>
        </w:tc>
        <w:tc>
          <w:tcPr>
            <w:tcW w:w="7380" w:type="dxa"/>
            <w:vAlign w:val="bottom"/>
            <w:gridSpan w:val="2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ind w:left="120"/>
              <w:spacing w:after="0"/>
              <w:rPr>
                <w:sz w:val="20"/>
                <w:szCs w:val="20"/>
                <w:color w:val="auto"/>
              </w:rPr>
            </w:pPr>
            <w:r>
              <w:rPr>
                <w:rFonts w:ascii="Arial" w:cs="Arial" w:eastAsia="Arial" w:hAnsi="Arial"/>
                <w:sz w:val="15"/>
                <w:szCs w:val="15"/>
                <w:color w:val="auto"/>
              </w:rPr>
              <w:t>10.19</w:t>
            </w:r>
            <w:r>
              <w:rPr>
                <w:rFonts w:ascii="Arial" w:cs="Arial" w:eastAsia="Arial" w:hAnsi="Arial"/>
                <w:sz w:val="18"/>
                <w:szCs w:val="18"/>
                <w:color w:val="auto"/>
                <w:vertAlign w:val="superscript"/>
              </w:rPr>
              <w:t>†#</w:t>
            </w:r>
          </w:p>
        </w:tc>
        <w:tc>
          <w:tcPr>
            <w:tcW w:w="3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64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gridSpan w:val="2"/>
            <w:vMerge w:val="continue"/>
          </w:tcPr>
          <w:p>
            <w:pPr>
              <w:spacing w:after="0"/>
              <w:rPr>
                <w:sz w:val="19"/>
                <w:szCs w:val="19"/>
                <w:color w:val="auto"/>
              </w:rPr>
            </w:pPr>
          </w:p>
        </w:tc>
        <w:tc>
          <w:tcPr>
            <w:tcW w:w="360" w:type="dxa"/>
            <w:vAlign w:val="bottom"/>
            <w:tcBorders>
              <w:bottom w:val="single" w:sz="8" w:color="0000FF"/>
            </w:tcBorders>
          </w:tcPr>
          <w:p>
            <w:pPr>
              <w:spacing w:after="0"/>
              <w:rPr>
                <w:rFonts w:ascii="Arial" w:cs="Arial" w:eastAsia="Arial" w:hAnsi="Arial"/>
                <w:sz w:val="15"/>
                <w:szCs w:val="15"/>
                <w:color w:val="0000FF"/>
              </w:rPr>
            </w:pPr>
            <w:hyperlink r:id="rId197">
              <w:r>
                <w:rPr>
                  <w:rFonts w:ascii="Arial" w:cs="Arial" w:eastAsia="Arial" w:hAnsi="Arial"/>
                  <w:sz w:val="15"/>
                  <w:szCs w:val="15"/>
                  <w:color w:val="0000FF"/>
                </w:rPr>
                <w:t>2021</w:t>
              </w:r>
            </w:hyperlink>
          </w:p>
        </w:tc>
        <w:tc>
          <w:tcPr>
            <w:tcW w:w="2980" w:type="dxa"/>
            <w:vAlign w:val="bottom"/>
            <w:tcBorders>
              <w:bottom w:val="single" w:sz="8" w:color="0000FF"/>
            </w:tcBorders>
            <w:gridSpan w:val="12"/>
          </w:tcPr>
          <w:p>
            <w:pPr>
              <w:ind w:left="20"/>
              <w:spacing w:after="0"/>
              <w:rPr>
                <w:rFonts w:ascii="Arial" w:cs="Arial" w:eastAsia="Arial" w:hAnsi="Arial"/>
                <w:sz w:val="15"/>
                <w:szCs w:val="15"/>
                <w:color w:val="0000FF"/>
                <w:w w:val="96"/>
              </w:rPr>
            </w:pPr>
            <w:hyperlink r:id="rId197">
              <w:r>
                <w:rPr>
                  <w:rFonts w:ascii="Arial" w:cs="Arial" w:eastAsia="Arial" w:hAnsi="Arial"/>
                  <w:sz w:val="15"/>
                  <w:szCs w:val="15"/>
                  <w:color w:val="0000FF"/>
                  <w:w w:val="96"/>
                </w:rPr>
                <w:t>Employee Stock Purchase and Matching Plan</w:t>
              </w:r>
            </w:hyperlink>
          </w:p>
        </w:tc>
        <w:tc>
          <w:tcPr>
            <w:tcW w:w="644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ind w:left="120"/>
              <w:spacing w:after="0"/>
              <w:rPr>
                <w:sz w:val="20"/>
                <w:szCs w:val="20"/>
                <w:color w:val="auto"/>
              </w:rPr>
            </w:pPr>
            <w:r>
              <w:rPr>
                <w:rFonts w:ascii="Arial" w:cs="Arial" w:eastAsia="Arial" w:hAnsi="Arial"/>
                <w:sz w:val="15"/>
                <w:szCs w:val="15"/>
                <w:color w:val="auto"/>
              </w:rPr>
              <w:t>10.20</w:t>
            </w:r>
            <w:r>
              <w:rPr>
                <w:rFonts w:ascii="Arial" w:cs="Arial" w:eastAsia="Arial" w:hAnsi="Arial"/>
                <w:sz w:val="18"/>
                <w:szCs w:val="18"/>
                <w:color w:val="auto"/>
                <w:vertAlign w:val="superscript"/>
              </w:rPr>
              <w:t>†#</w:t>
            </w:r>
          </w:p>
        </w:tc>
        <w:tc>
          <w:tcPr>
            <w:tcW w:w="360" w:type="dxa"/>
            <w:vAlign w:val="bottom"/>
          </w:tcPr>
          <w:p>
            <w:pPr>
              <w:spacing w:after="0"/>
              <w:rPr>
                <w:rFonts w:ascii="Arial" w:cs="Arial" w:eastAsia="Arial" w:hAnsi="Arial"/>
                <w:sz w:val="15"/>
                <w:szCs w:val="15"/>
                <w:color w:val="0000FF"/>
              </w:rPr>
            </w:pPr>
            <w:hyperlink r:id="rId198">
              <w:r>
                <w:rPr>
                  <w:rFonts w:ascii="Arial" w:cs="Arial" w:eastAsia="Arial" w:hAnsi="Arial"/>
                  <w:sz w:val="15"/>
                  <w:szCs w:val="15"/>
                  <w:color w:val="0000FF"/>
                </w:rPr>
                <w:t>2021</w:t>
              </w:r>
            </w:hyperlink>
          </w:p>
        </w:tc>
        <w:tc>
          <w:tcPr>
            <w:tcW w:w="9420" w:type="dxa"/>
            <w:vAlign w:val="bottom"/>
            <w:gridSpan w:val="33"/>
          </w:tcPr>
          <w:p>
            <w:pPr>
              <w:ind w:left="20"/>
              <w:spacing w:after="0"/>
              <w:rPr>
                <w:rFonts w:ascii="Arial" w:cs="Arial" w:eastAsia="Arial" w:hAnsi="Arial"/>
                <w:sz w:val="15"/>
                <w:szCs w:val="15"/>
                <w:color w:val="0000FF"/>
              </w:rPr>
            </w:pPr>
            <w:hyperlink r:id="rId198">
              <w:r>
                <w:rPr>
                  <w:rFonts w:ascii="Arial" w:cs="Arial" w:eastAsia="Arial" w:hAnsi="Arial"/>
                  <w:sz w:val="15"/>
                  <w:szCs w:val="15"/>
                  <w:color w:val="0000FF"/>
                </w:rPr>
                <w:t>Plan - Form of RSU Agreement</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60"/>
          </w:cols>
          <w:pgMar w:left="320" w:top="1422" w:right="319" w:bottom="1440" w:gutter="0" w:footer="0" w:header="0"/>
        </w:sectPr>
      </w:pPr>
    </w:p>
    <w:bookmarkStart w:id="260" w:name="page261"/>
    <w:bookmarkEnd w:id="260"/>
    <w:tbl>
      <w:tblPr>
        <w:tblLayout w:type="fixed"/>
        <w:tblInd w:w="3" w:type="dxa"/>
        <w:tblCellMar>
          <w:top w:w="0" w:type="dxa"/>
          <w:left w:w="0" w:type="dxa"/>
          <w:bottom w:w="0" w:type="dxa"/>
          <w:right w:w="0" w:type="dxa"/>
        </w:tblCellMar>
      </w:tblPr>
      <w:tr>
        <w:trPr>
          <w:trHeight w:val="207"/>
        </w:trPr>
        <w:tc>
          <w:tcPr>
            <w:tcW w:w="1480" w:type="dxa"/>
            <w:vAlign w:val="bottom"/>
          </w:tcPr>
          <w:p>
            <w:pPr>
              <w:ind w:left="120"/>
              <w:spacing w:after="0"/>
              <w:rPr>
                <w:sz w:val="20"/>
                <w:szCs w:val="20"/>
                <w:color w:val="auto"/>
              </w:rPr>
            </w:pPr>
            <w:r>
              <w:rPr>
                <w:rFonts w:ascii="Arial" w:cs="Arial" w:eastAsia="Arial" w:hAnsi="Arial"/>
                <w:sz w:val="15"/>
                <w:szCs w:val="15"/>
                <w:color w:val="auto"/>
              </w:rPr>
              <w:t>10.21</w:t>
            </w:r>
            <w:r>
              <w:rPr>
                <w:rFonts w:ascii="Arial" w:cs="Arial" w:eastAsia="Arial" w:hAnsi="Arial"/>
                <w:sz w:val="18"/>
                <w:szCs w:val="18"/>
                <w:color w:val="auto"/>
                <w:vertAlign w:val="superscript"/>
              </w:rPr>
              <w:t>†#</w:t>
            </w:r>
          </w:p>
        </w:tc>
        <w:tc>
          <w:tcPr>
            <w:tcW w:w="9780" w:type="dxa"/>
            <w:vAlign w:val="bottom"/>
            <w:gridSpan w:val="14"/>
          </w:tcPr>
          <w:p>
            <w:pPr>
              <w:spacing w:after="0"/>
              <w:rPr>
                <w:rFonts w:ascii="Arial" w:cs="Arial" w:eastAsia="Arial" w:hAnsi="Arial"/>
                <w:sz w:val="15"/>
                <w:szCs w:val="15"/>
                <w:color w:val="0000FF"/>
              </w:rPr>
            </w:pPr>
            <w:hyperlink r:id="rId199">
              <w:r>
                <w:rPr>
                  <w:rFonts w:ascii="Arial" w:cs="Arial" w:eastAsia="Arial" w:hAnsi="Arial"/>
                  <w:sz w:val="15"/>
                  <w:szCs w:val="15"/>
                  <w:color w:val="0000FF"/>
                </w:rPr>
                <w:t>2021 Plan - Form of Option Agreement</w:t>
              </w:r>
            </w:hyperlink>
          </w:p>
        </w:tc>
        <w:tc>
          <w:tcPr>
            <w:tcW w:w="0" w:type="dxa"/>
            <w:vAlign w:val="bottom"/>
          </w:tcPr>
          <w:p>
            <w:pPr>
              <w:spacing w:after="0"/>
              <w:rPr>
                <w:sz w:val="1"/>
                <w:szCs w:val="1"/>
                <w:color w:val="auto"/>
              </w:rPr>
            </w:pPr>
          </w:p>
        </w:tc>
      </w:tr>
      <w:tr>
        <w:trPr>
          <w:trHeight w:val="20"/>
        </w:trPr>
        <w:tc>
          <w:tcPr>
            <w:tcW w:w="1480" w:type="dxa"/>
            <w:vAlign w:val="bottom"/>
            <w:vMerge w:val="restart"/>
          </w:tcPr>
          <w:p>
            <w:pPr>
              <w:ind w:left="120"/>
              <w:spacing w:after="0"/>
              <w:rPr>
                <w:sz w:val="20"/>
                <w:szCs w:val="20"/>
                <w:color w:val="auto"/>
              </w:rPr>
            </w:pPr>
            <w:r>
              <w:rPr>
                <w:rFonts w:ascii="Arial" w:cs="Arial" w:eastAsia="Arial" w:hAnsi="Arial"/>
                <w:sz w:val="15"/>
                <w:szCs w:val="15"/>
                <w:color w:val="auto"/>
              </w:rPr>
              <w:t>10.22</w:t>
            </w:r>
            <w:r>
              <w:rPr>
                <w:rFonts w:ascii="Arial" w:cs="Arial" w:eastAsia="Arial" w:hAnsi="Arial"/>
                <w:sz w:val="18"/>
                <w:szCs w:val="18"/>
                <w:color w:val="auto"/>
                <w:vertAlign w:val="superscript"/>
              </w:rPr>
              <w:t>†#</w:t>
            </w:r>
          </w:p>
        </w:tc>
        <w:tc>
          <w:tcPr>
            <w:tcW w:w="2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vMerge w:val="continue"/>
          </w:tcPr>
          <w:p>
            <w:pPr>
              <w:spacing w:after="0"/>
              <w:rPr>
                <w:sz w:val="19"/>
                <w:szCs w:val="19"/>
                <w:color w:val="auto"/>
              </w:rPr>
            </w:pPr>
          </w:p>
        </w:tc>
        <w:tc>
          <w:tcPr>
            <w:tcW w:w="3120" w:type="dxa"/>
            <w:vAlign w:val="bottom"/>
            <w:tcBorders>
              <w:bottom w:val="single" w:sz="8" w:color="0000FF"/>
            </w:tcBorders>
            <w:gridSpan w:val="4"/>
          </w:tcPr>
          <w:p>
            <w:pPr>
              <w:spacing w:after="0"/>
              <w:rPr>
                <w:rFonts w:ascii="Arial" w:cs="Arial" w:eastAsia="Arial" w:hAnsi="Arial"/>
                <w:sz w:val="15"/>
                <w:szCs w:val="15"/>
                <w:color w:val="0000FF"/>
                <w:w w:val="97"/>
              </w:rPr>
            </w:pPr>
            <w:hyperlink r:id="rId200">
              <w:r>
                <w:rPr>
                  <w:rFonts w:ascii="Arial" w:cs="Arial" w:eastAsia="Arial" w:hAnsi="Arial"/>
                  <w:sz w:val="15"/>
                  <w:szCs w:val="15"/>
                  <w:color w:val="0000FF"/>
                  <w:w w:val="97"/>
                </w:rPr>
                <w:t>Non-Employee Director Compensation Program</w:t>
              </w:r>
            </w:hyperlink>
          </w:p>
        </w:tc>
        <w:tc>
          <w:tcPr>
            <w:tcW w:w="66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tcPr>
          <w:p>
            <w:pPr>
              <w:ind w:left="120"/>
              <w:spacing w:after="0"/>
              <w:rPr>
                <w:sz w:val="20"/>
                <w:szCs w:val="20"/>
                <w:color w:val="auto"/>
              </w:rPr>
            </w:pPr>
            <w:r>
              <w:rPr>
                <w:rFonts w:ascii="Arial" w:cs="Arial" w:eastAsia="Arial" w:hAnsi="Arial"/>
                <w:sz w:val="15"/>
                <w:szCs w:val="15"/>
                <w:color w:val="auto"/>
              </w:rPr>
              <w:t>10.23</w:t>
            </w:r>
            <w:r>
              <w:rPr>
                <w:rFonts w:ascii="Arial" w:cs="Arial" w:eastAsia="Arial" w:hAnsi="Arial"/>
                <w:sz w:val="18"/>
                <w:szCs w:val="18"/>
                <w:color w:val="auto"/>
                <w:vertAlign w:val="superscript"/>
              </w:rPr>
              <w:t>†#</w:t>
            </w:r>
          </w:p>
        </w:tc>
        <w:tc>
          <w:tcPr>
            <w:tcW w:w="3960" w:type="dxa"/>
            <w:vAlign w:val="bottom"/>
            <w:tcBorders>
              <w:bottom w:val="single" w:sz="8" w:color="0000FF"/>
            </w:tcBorders>
            <w:gridSpan w:val="11"/>
          </w:tcPr>
          <w:p>
            <w:pPr>
              <w:spacing w:after="0"/>
              <w:rPr>
                <w:rFonts w:ascii="Arial" w:cs="Arial" w:eastAsia="Arial" w:hAnsi="Arial"/>
                <w:sz w:val="15"/>
                <w:szCs w:val="15"/>
                <w:color w:val="0000FF"/>
                <w:w w:val="97"/>
              </w:rPr>
            </w:pPr>
            <w:hyperlink r:id="rId201">
              <w:r>
                <w:rPr>
                  <w:rFonts w:ascii="Arial" w:cs="Arial" w:eastAsia="Arial" w:hAnsi="Arial"/>
                  <w:sz w:val="15"/>
                  <w:szCs w:val="15"/>
                  <w:color w:val="0000FF"/>
                  <w:w w:val="97"/>
                </w:rPr>
                <w:t>Form of Indemnification Agreement for Directors and Officers</w:t>
              </w:r>
            </w:hyperlink>
          </w:p>
        </w:tc>
        <w:tc>
          <w:tcPr>
            <w:tcW w:w="58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tcPr>
          <w:p>
            <w:pPr>
              <w:ind w:left="120"/>
              <w:spacing w:after="0"/>
              <w:rPr>
                <w:sz w:val="20"/>
                <w:szCs w:val="20"/>
                <w:color w:val="auto"/>
              </w:rPr>
            </w:pPr>
            <w:r>
              <w:rPr>
                <w:rFonts w:ascii="Arial" w:cs="Arial" w:eastAsia="Arial" w:hAnsi="Arial"/>
                <w:sz w:val="15"/>
                <w:szCs w:val="15"/>
                <w:color w:val="auto"/>
              </w:rPr>
              <w:t>21.1</w:t>
            </w:r>
          </w:p>
        </w:tc>
        <w:tc>
          <w:tcPr>
            <w:tcW w:w="9780" w:type="dxa"/>
            <w:vAlign w:val="bottom"/>
            <w:gridSpan w:val="14"/>
          </w:tcPr>
          <w:p>
            <w:pPr>
              <w:spacing w:after="0"/>
              <w:rPr>
                <w:rFonts w:ascii="Arial" w:cs="Arial" w:eastAsia="Arial" w:hAnsi="Arial"/>
                <w:sz w:val="15"/>
                <w:szCs w:val="15"/>
                <w:color w:val="0000FF"/>
              </w:rPr>
            </w:pPr>
            <w:hyperlink w:anchor="page263">
              <w:r>
                <w:rPr>
                  <w:rFonts w:ascii="Arial" w:cs="Arial" w:eastAsia="Arial" w:hAnsi="Arial"/>
                  <w:sz w:val="15"/>
                  <w:szCs w:val="15"/>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tcPr>
          <w:p>
            <w:pPr>
              <w:ind w:left="120"/>
              <w:spacing w:after="0"/>
              <w:rPr>
                <w:sz w:val="20"/>
                <w:szCs w:val="20"/>
                <w:color w:val="auto"/>
              </w:rPr>
            </w:pPr>
            <w:r>
              <w:rPr>
                <w:rFonts w:ascii="Arial" w:cs="Arial" w:eastAsia="Arial" w:hAnsi="Arial"/>
                <w:sz w:val="15"/>
                <w:szCs w:val="15"/>
                <w:color w:val="auto"/>
              </w:rPr>
              <w:t>23.1</w:t>
            </w:r>
          </w:p>
        </w:tc>
        <w:tc>
          <w:tcPr>
            <w:tcW w:w="9780" w:type="dxa"/>
            <w:vAlign w:val="bottom"/>
            <w:gridSpan w:val="14"/>
          </w:tcPr>
          <w:p>
            <w:pPr>
              <w:spacing w:after="0"/>
              <w:rPr>
                <w:rFonts w:ascii="Arial" w:cs="Arial" w:eastAsia="Arial" w:hAnsi="Arial"/>
                <w:sz w:val="15"/>
                <w:szCs w:val="15"/>
                <w:color w:val="0000FF"/>
              </w:rPr>
            </w:pPr>
            <w:hyperlink w:anchor="page264">
              <w:r>
                <w:rPr>
                  <w:rFonts w:ascii="Arial" w:cs="Arial" w:eastAsia="Arial" w:hAnsi="Arial"/>
                  <w:sz w:val="15"/>
                  <w:szCs w:val="15"/>
                  <w:color w:val="0000FF"/>
                </w:rPr>
                <w:t>Consent of Ernst &amp; Young LLP as to the Registrant</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0"/>
        </w:trPr>
        <w:tc>
          <w:tcPr>
            <w:tcW w:w="1480" w:type="dxa"/>
            <w:vAlign w:val="bottom"/>
            <w:vMerge w:val="restart"/>
          </w:tcPr>
          <w:p>
            <w:pPr>
              <w:ind w:left="120"/>
              <w:spacing w:after="0"/>
              <w:rPr>
                <w:sz w:val="20"/>
                <w:szCs w:val="20"/>
                <w:color w:val="auto"/>
              </w:rPr>
            </w:pPr>
            <w:r>
              <w:rPr>
                <w:rFonts w:ascii="Arial" w:cs="Arial" w:eastAsia="Arial" w:hAnsi="Arial"/>
                <w:sz w:val="15"/>
                <w:szCs w:val="15"/>
                <w:color w:val="auto"/>
              </w:rPr>
              <w:t>23.2</w:t>
            </w:r>
            <w:r>
              <w:rPr>
                <w:rFonts w:ascii="Arial" w:cs="Arial" w:eastAsia="Arial" w:hAnsi="Arial"/>
                <w:sz w:val="18"/>
                <w:szCs w:val="18"/>
                <w:color w:val="auto"/>
                <w:vertAlign w:val="superscript"/>
              </w:rPr>
              <w:t>#</w:t>
            </w:r>
          </w:p>
        </w:tc>
        <w:tc>
          <w:tcPr>
            <w:tcW w:w="31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vMerge w:val="continue"/>
          </w:tcPr>
          <w:p>
            <w:pPr>
              <w:spacing w:after="0"/>
              <w:rPr>
                <w:sz w:val="19"/>
                <w:szCs w:val="19"/>
                <w:color w:val="auto"/>
              </w:rPr>
            </w:pPr>
          </w:p>
        </w:tc>
        <w:tc>
          <w:tcPr>
            <w:tcW w:w="3840" w:type="dxa"/>
            <w:vAlign w:val="bottom"/>
            <w:tcBorders>
              <w:bottom w:val="single" w:sz="8" w:color="0000FF"/>
            </w:tcBorders>
            <w:gridSpan w:val="10"/>
          </w:tcPr>
          <w:p>
            <w:pPr>
              <w:spacing w:after="0"/>
              <w:rPr>
                <w:rFonts w:ascii="Arial" w:cs="Arial" w:eastAsia="Arial" w:hAnsi="Arial"/>
                <w:sz w:val="15"/>
                <w:szCs w:val="15"/>
                <w:color w:val="0000FF"/>
                <w:w w:val="97"/>
              </w:rPr>
            </w:pPr>
            <w:hyperlink r:id="rId177">
              <w:r>
                <w:rPr>
                  <w:rFonts w:ascii="Arial" w:cs="Arial" w:eastAsia="Arial" w:hAnsi="Arial"/>
                  <w:sz w:val="15"/>
                  <w:szCs w:val="15"/>
                  <w:color w:val="0000FF"/>
                  <w:w w:val="97"/>
                </w:rPr>
                <w:t>Consent of Latham &amp; Watkins LLP (included in Exhibit 5.1).</w:t>
              </w:r>
            </w:hyperlink>
          </w:p>
        </w:tc>
        <w:tc>
          <w:tcPr>
            <w:tcW w:w="59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tcPr>
          <w:p>
            <w:pPr>
              <w:ind w:left="120"/>
              <w:spacing w:after="0"/>
              <w:rPr>
                <w:sz w:val="20"/>
                <w:szCs w:val="20"/>
                <w:color w:val="auto"/>
              </w:rPr>
            </w:pPr>
            <w:r>
              <w:rPr>
                <w:rFonts w:ascii="Arial" w:cs="Arial" w:eastAsia="Arial" w:hAnsi="Arial"/>
                <w:sz w:val="15"/>
                <w:szCs w:val="15"/>
                <w:color w:val="auto"/>
              </w:rPr>
              <w:t>24.1</w:t>
            </w:r>
          </w:p>
        </w:tc>
        <w:tc>
          <w:tcPr>
            <w:tcW w:w="9780" w:type="dxa"/>
            <w:vAlign w:val="bottom"/>
            <w:gridSpan w:val="14"/>
          </w:tcPr>
          <w:p>
            <w:pPr>
              <w:spacing w:after="0"/>
              <w:rPr>
                <w:rFonts w:ascii="Arial" w:cs="Arial" w:eastAsia="Arial" w:hAnsi="Arial"/>
                <w:sz w:val="15"/>
                <w:szCs w:val="15"/>
                <w:color w:val="0000FF"/>
              </w:rPr>
            </w:pPr>
            <w:hyperlink w:anchor="page261">
              <w:r>
                <w:rPr>
                  <w:rFonts w:ascii="Arial" w:cs="Arial" w:eastAsia="Arial" w:hAnsi="Arial"/>
                  <w:sz w:val="15"/>
                  <w:szCs w:val="15"/>
                  <w:color w:val="0000FF"/>
                </w:rPr>
                <w:t>Power of Attorney (included on signature page).</w:t>
              </w:r>
            </w:hyperlink>
          </w:p>
        </w:tc>
        <w:tc>
          <w:tcPr>
            <w:tcW w:w="0" w:type="dxa"/>
            <w:vAlign w:val="bottom"/>
          </w:tcPr>
          <w:p>
            <w:pPr>
              <w:spacing w:after="0"/>
              <w:rPr>
                <w:sz w:val="1"/>
                <w:szCs w:val="1"/>
                <w:color w:val="auto"/>
              </w:rPr>
            </w:pPr>
          </w:p>
        </w:tc>
      </w:tr>
      <w:tr>
        <w:trPr>
          <w:trHeight w:val="20"/>
        </w:trPr>
        <w:tc>
          <w:tcPr>
            <w:tcW w:w="1480" w:type="dxa"/>
            <w:vAlign w:val="bottom"/>
            <w:vMerge w:val="restart"/>
          </w:tcPr>
          <w:p>
            <w:pPr>
              <w:ind w:left="120"/>
              <w:spacing w:after="0"/>
              <w:rPr>
                <w:sz w:val="20"/>
                <w:szCs w:val="20"/>
                <w:color w:val="auto"/>
              </w:rPr>
            </w:pPr>
            <w:r>
              <w:rPr>
                <w:rFonts w:ascii="Arial" w:cs="Arial" w:eastAsia="Arial" w:hAnsi="Arial"/>
                <w:sz w:val="15"/>
                <w:szCs w:val="15"/>
                <w:color w:val="auto"/>
              </w:rPr>
              <w:t>99.1</w:t>
            </w:r>
            <w:r>
              <w:rPr>
                <w:rFonts w:ascii="Arial" w:cs="Arial" w:eastAsia="Arial" w:hAnsi="Arial"/>
                <w:sz w:val="18"/>
                <w:szCs w:val="18"/>
                <w:color w:val="auto"/>
                <w:vertAlign w:val="superscript"/>
              </w:rPr>
              <w:t>#</w:t>
            </w:r>
          </w:p>
        </w:tc>
        <w:tc>
          <w:tcPr>
            <w:tcW w:w="31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vMerge w:val="continue"/>
          </w:tcPr>
          <w:p>
            <w:pPr>
              <w:spacing w:after="0"/>
              <w:rPr>
                <w:sz w:val="19"/>
                <w:szCs w:val="19"/>
                <w:color w:val="auto"/>
              </w:rPr>
            </w:pPr>
          </w:p>
        </w:tc>
        <w:tc>
          <w:tcPr>
            <w:tcW w:w="9780" w:type="dxa"/>
            <w:vAlign w:val="bottom"/>
            <w:gridSpan w:val="14"/>
          </w:tcPr>
          <w:p>
            <w:pPr>
              <w:spacing w:after="0"/>
              <w:rPr>
                <w:rFonts w:ascii="Arial" w:cs="Arial" w:eastAsia="Arial" w:hAnsi="Arial"/>
                <w:sz w:val="15"/>
                <w:szCs w:val="15"/>
                <w:color w:val="0000FF"/>
              </w:rPr>
            </w:pPr>
            <w:hyperlink r:id="rId202">
              <w:r>
                <w:rPr>
                  <w:rFonts w:ascii="Arial" w:cs="Arial" w:eastAsia="Arial" w:hAnsi="Arial"/>
                  <w:sz w:val="15"/>
                  <w:szCs w:val="15"/>
                  <w:color w:val="0000FF"/>
                </w:rPr>
                <w:t xml:space="preserve">Consent to be Named as Director Nominee </w:t>
              </w:r>
            </w:hyperlink>
            <w:r>
              <w:rPr>
                <w:rFonts w:ascii="Arial" w:cs="Arial" w:eastAsia="Arial" w:hAnsi="Arial"/>
                <w:sz w:val="15"/>
                <w:szCs w:val="15"/>
                <w:color w:val="0000FF"/>
              </w:rPr>
              <w:t xml:space="preserve">(Timothy </w:t>
            </w:r>
            <w:hyperlink r:id="rId202">
              <w:r>
                <w:rPr>
                  <w:rFonts w:ascii="Arial" w:cs="Arial" w:eastAsia="Arial" w:hAnsi="Arial"/>
                  <w:sz w:val="15"/>
                  <w:szCs w:val="15"/>
                  <w:color w:val="0000FF"/>
                </w:rPr>
                <w:t>Christen)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24"/>
        </w:trPr>
        <w:tc>
          <w:tcPr>
            <w:tcW w:w="1480" w:type="dxa"/>
            <w:vAlign w:val="bottom"/>
          </w:tcPr>
          <w:p>
            <w:pPr>
              <w:ind w:left="120"/>
              <w:spacing w:after="0"/>
              <w:rPr>
                <w:sz w:val="20"/>
                <w:szCs w:val="20"/>
                <w:color w:val="auto"/>
              </w:rPr>
            </w:pPr>
            <w:r>
              <w:rPr>
                <w:rFonts w:ascii="Arial" w:cs="Arial" w:eastAsia="Arial" w:hAnsi="Arial"/>
                <w:sz w:val="15"/>
                <w:szCs w:val="15"/>
                <w:color w:val="auto"/>
              </w:rPr>
              <w:t>99.2</w:t>
            </w:r>
            <w:r>
              <w:rPr>
                <w:rFonts w:ascii="Arial" w:cs="Arial" w:eastAsia="Arial" w:hAnsi="Arial"/>
                <w:sz w:val="18"/>
                <w:szCs w:val="18"/>
                <w:color w:val="auto"/>
                <w:vertAlign w:val="superscript"/>
              </w:rPr>
              <w:t>#</w:t>
            </w:r>
          </w:p>
        </w:tc>
        <w:tc>
          <w:tcPr>
            <w:tcW w:w="4040" w:type="dxa"/>
            <w:vAlign w:val="bottom"/>
            <w:tcBorders>
              <w:top w:val="single" w:sz="8" w:color="0000FF"/>
            </w:tcBorders>
            <w:gridSpan w:val="12"/>
          </w:tcPr>
          <w:p>
            <w:pPr>
              <w:spacing w:after="0"/>
              <w:rPr>
                <w:rFonts w:ascii="Arial" w:cs="Arial" w:eastAsia="Arial" w:hAnsi="Arial"/>
                <w:sz w:val="15"/>
                <w:szCs w:val="15"/>
                <w:color w:val="0000FF"/>
              </w:rPr>
            </w:pPr>
            <w:hyperlink r:id="rId203">
              <w:r>
                <w:rPr>
                  <w:rFonts w:ascii="Arial" w:cs="Arial" w:eastAsia="Arial" w:hAnsi="Arial"/>
                  <w:sz w:val="15"/>
                  <w:szCs w:val="15"/>
                  <w:color w:val="0000FF"/>
                </w:rPr>
                <w:t>Consent to be Named as Director Nominee (Ying Liu)</w:t>
              </w:r>
            </w:hyperlink>
            <w:r>
              <w:rPr>
                <w:rFonts w:ascii="Arial" w:cs="Arial" w:eastAsia="Arial" w:hAnsi="Arial"/>
                <w:sz w:val="15"/>
                <w:szCs w:val="15"/>
                <w:color w:val="000000"/>
              </w:rPr>
              <w:t>.</w:t>
            </w:r>
          </w:p>
        </w:tc>
        <w:tc>
          <w:tcPr>
            <w:tcW w:w="57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120"/>
              <w:spacing w:after="0"/>
              <w:rPr>
                <w:sz w:val="20"/>
                <w:szCs w:val="20"/>
                <w:color w:val="auto"/>
              </w:rPr>
            </w:pPr>
            <w:r>
              <w:rPr>
                <w:rFonts w:ascii="Arial" w:cs="Arial" w:eastAsia="Arial" w:hAnsi="Arial"/>
                <w:sz w:val="15"/>
                <w:szCs w:val="15"/>
                <w:color w:val="auto"/>
              </w:rPr>
              <w:t>99.3</w:t>
            </w:r>
            <w:r>
              <w:rPr>
                <w:rFonts w:ascii="Arial" w:cs="Arial" w:eastAsia="Arial" w:hAnsi="Arial"/>
                <w:sz w:val="18"/>
                <w:szCs w:val="18"/>
                <w:color w:val="auto"/>
                <w:vertAlign w:val="superscript"/>
              </w:rPr>
              <w:t>#</w:t>
            </w:r>
          </w:p>
        </w:tc>
        <w:tc>
          <w:tcPr>
            <w:tcW w:w="346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vMerge w:val="continue"/>
          </w:tcPr>
          <w:p>
            <w:pPr>
              <w:spacing w:after="0"/>
              <w:rPr>
                <w:sz w:val="19"/>
                <w:szCs w:val="19"/>
                <w:color w:val="auto"/>
              </w:rPr>
            </w:pPr>
          </w:p>
        </w:tc>
        <w:tc>
          <w:tcPr>
            <w:tcW w:w="9780" w:type="dxa"/>
            <w:vAlign w:val="bottom"/>
            <w:gridSpan w:val="14"/>
          </w:tcPr>
          <w:p>
            <w:pPr>
              <w:spacing w:after="0"/>
              <w:rPr>
                <w:rFonts w:ascii="Arial" w:cs="Arial" w:eastAsia="Arial" w:hAnsi="Arial"/>
                <w:sz w:val="15"/>
                <w:szCs w:val="15"/>
                <w:color w:val="0000FF"/>
              </w:rPr>
            </w:pPr>
            <w:hyperlink r:id="rId204">
              <w:r>
                <w:rPr>
                  <w:rFonts w:ascii="Arial" w:cs="Arial" w:eastAsia="Arial" w:hAnsi="Arial"/>
                  <w:sz w:val="15"/>
                  <w:szCs w:val="15"/>
                  <w:color w:val="0000FF"/>
                </w:rPr>
                <w:t>Consent to be Named as Director Nominee (Jason Mills)</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0"/>
        </w:trPr>
        <w:tc>
          <w:tcPr>
            <w:tcW w:w="1480" w:type="dxa"/>
            <w:vAlign w:val="bottom"/>
            <w:vMerge w:val="restart"/>
          </w:tcPr>
          <w:p>
            <w:pPr>
              <w:ind w:left="120"/>
              <w:spacing w:after="0"/>
              <w:rPr>
                <w:sz w:val="20"/>
                <w:szCs w:val="20"/>
                <w:color w:val="auto"/>
              </w:rPr>
            </w:pPr>
            <w:r>
              <w:rPr>
                <w:rFonts w:ascii="Arial" w:cs="Arial" w:eastAsia="Arial" w:hAnsi="Arial"/>
                <w:sz w:val="15"/>
                <w:szCs w:val="15"/>
                <w:color w:val="auto"/>
              </w:rPr>
              <w:t>99.4</w:t>
            </w:r>
            <w:r>
              <w:rPr>
                <w:rFonts w:ascii="Arial" w:cs="Arial" w:eastAsia="Arial" w:hAnsi="Arial"/>
                <w:sz w:val="18"/>
                <w:szCs w:val="18"/>
                <w:color w:val="auto"/>
                <w:vertAlign w:val="superscript"/>
              </w:rPr>
              <w:t>#</w:t>
            </w:r>
          </w:p>
        </w:tc>
        <w:tc>
          <w:tcPr>
            <w:tcW w:w="356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vMerge w:val="continue"/>
          </w:tcPr>
          <w:p>
            <w:pPr>
              <w:spacing w:after="0"/>
              <w:rPr>
                <w:sz w:val="19"/>
                <w:szCs w:val="19"/>
                <w:color w:val="auto"/>
              </w:rPr>
            </w:pPr>
          </w:p>
        </w:tc>
        <w:tc>
          <w:tcPr>
            <w:tcW w:w="9780" w:type="dxa"/>
            <w:vAlign w:val="bottom"/>
            <w:gridSpan w:val="14"/>
          </w:tcPr>
          <w:p>
            <w:pPr>
              <w:spacing w:after="0"/>
              <w:rPr>
                <w:rFonts w:ascii="Arial" w:cs="Arial" w:eastAsia="Arial" w:hAnsi="Arial"/>
                <w:sz w:val="15"/>
                <w:szCs w:val="15"/>
                <w:color w:val="0000FF"/>
              </w:rPr>
            </w:pPr>
            <w:hyperlink r:id="rId205">
              <w:r>
                <w:rPr>
                  <w:rFonts w:ascii="Arial" w:cs="Arial" w:eastAsia="Arial" w:hAnsi="Arial"/>
                  <w:sz w:val="15"/>
                  <w:szCs w:val="15"/>
                  <w:color w:val="0000FF"/>
                </w:rPr>
                <w:t>Consent to be Named as Director Nominee (Anuradha Muralidharan)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24"/>
        </w:trPr>
        <w:tc>
          <w:tcPr>
            <w:tcW w:w="1480" w:type="dxa"/>
            <w:vAlign w:val="bottom"/>
          </w:tcPr>
          <w:p>
            <w:pPr>
              <w:ind w:left="120"/>
              <w:spacing w:after="0"/>
              <w:rPr>
                <w:sz w:val="20"/>
                <w:szCs w:val="20"/>
                <w:color w:val="auto"/>
              </w:rPr>
            </w:pPr>
            <w:r>
              <w:rPr>
                <w:rFonts w:ascii="Arial" w:cs="Arial" w:eastAsia="Arial" w:hAnsi="Arial"/>
                <w:sz w:val="15"/>
                <w:szCs w:val="15"/>
                <w:color w:val="auto"/>
              </w:rPr>
              <w:t>99.5</w:t>
            </w:r>
            <w:r>
              <w:rPr>
                <w:rFonts w:ascii="Arial" w:cs="Arial" w:eastAsia="Arial" w:hAnsi="Arial"/>
                <w:sz w:val="18"/>
                <w:szCs w:val="18"/>
                <w:color w:val="auto"/>
                <w:vertAlign w:val="superscript"/>
              </w:rPr>
              <w:t>#</w:t>
            </w:r>
          </w:p>
        </w:tc>
        <w:tc>
          <w:tcPr>
            <w:tcW w:w="4460" w:type="dxa"/>
            <w:vAlign w:val="bottom"/>
            <w:tcBorders>
              <w:top w:val="single" w:sz="8" w:color="0000FF"/>
            </w:tcBorders>
            <w:gridSpan w:val="13"/>
          </w:tcPr>
          <w:p>
            <w:pPr>
              <w:spacing w:after="0"/>
              <w:rPr>
                <w:rFonts w:ascii="Arial" w:cs="Arial" w:eastAsia="Arial" w:hAnsi="Arial"/>
                <w:sz w:val="15"/>
                <w:szCs w:val="15"/>
                <w:color w:val="0000FF"/>
              </w:rPr>
            </w:pPr>
            <w:hyperlink r:id="rId206">
              <w:r>
                <w:rPr>
                  <w:rFonts w:ascii="Arial" w:cs="Arial" w:eastAsia="Arial" w:hAnsi="Arial"/>
                  <w:sz w:val="15"/>
                  <w:szCs w:val="15"/>
                  <w:color w:val="0000FF"/>
                </w:rPr>
                <w:t>Consent to be Named as Director Nominee (Ellen Pao)</w:t>
              </w:r>
            </w:hyperlink>
            <w:r>
              <w:rPr>
                <w:rFonts w:ascii="Arial" w:cs="Arial" w:eastAsia="Arial" w:hAnsi="Arial"/>
                <w:sz w:val="15"/>
                <w:szCs w:val="15"/>
                <w:color w:val="000000"/>
              </w:rPr>
              <w:t>.</w:t>
            </w:r>
          </w:p>
        </w:tc>
        <w:tc>
          <w:tcPr>
            <w:tcW w:w="5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120"/>
              <w:spacing w:after="0"/>
              <w:rPr>
                <w:sz w:val="20"/>
                <w:szCs w:val="20"/>
                <w:color w:val="auto"/>
              </w:rPr>
            </w:pPr>
            <w:r>
              <w:rPr>
                <w:rFonts w:ascii="Arial" w:cs="Arial" w:eastAsia="Arial" w:hAnsi="Arial"/>
                <w:sz w:val="15"/>
                <w:szCs w:val="15"/>
                <w:color w:val="auto"/>
              </w:rPr>
              <w:t>99.6</w:t>
            </w:r>
            <w:r>
              <w:rPr>
                <w:rFonts w:ascii="Arial" w:cs="Arial" w:eastAsia="Arial" w:hAnsi="Arial"/>
                <w:sz w:val="18"/>
                <w:szCs w:val="18"/>
                <w:color w:val="auto"/>
                <w:vertAlign w:val="superscript"/>
              </w:rPr>
              <w:t>#</w:t>
            </w:r>
          </w:p>
        </w:tc>
        <w:tc>
          <w:tcPr>
            <w:tcW w:w="3560" w:type="dxa"/>
            <w:vAlign w:val="bottom"/>
            <w:gridSpan w:val="7"/>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80" w:type="dxa"/>
            <w:vAlign w:val="bottom"/>
            <w:vMerge w:val="continue"/>
          </w:tcPr>
          <w:p>
            <w:pPr>
              <w:spacing w:after="0"/>
              <w:rPr>
                <w:sz w:val="19"/>
                <w:szCs w:val="19"/>
                <w:color w:val="auto"/>
              </w:rPr>
            </w:pPr>
          </w:p>
        </w:tc>
        <w:tc>
          <w:tcPr>
            <w:tcW w:w="9780" w:type="dxa"/>
            <w:vAlign w:val="bottom"/>
            <w:gridSpan w:val="14"/>
          </w:tcPr>
          <w:p>
            <w:pPr>
              <w:spacing w:after="0"/>
              <w:rPr>
                <w:rFonts w:ascii="Arial" w:cs="Arial" w:eastAsia="Arial" w:hAnsi="Arial"/>
                <w:sz w:val="15"/>
                <w:szCs w:val="15"/>
                <w:color w:val="0000FF"/>
              </w:rPr>
            </w:pPr>
            <w:hyperlink r:id="rId207">
              <w:r>
                <w:rPr>
                  <w:rFonts w:ascii="Arial" w:cs="Arial" w:eastAsia="Arial" w:hAnsi="Arial"/>
                  <w:sz w:val="15"/>
                  <w:szCs w:val="15"/>
                  <w:color w:val="0000FF"/>
                </w:rPr>
                <w:t>Consent to be Named as Director Nominee (Daniel Vidal)</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65"/>
        </w:trPr>
        <w:tc>
          <w:tcPr>
            <w:tcW w:w="1480" w:type="dxa"/>
            <w:vAlign w:val="bottom"/>
            <w:tcBorders>
              <w:bottom w:val="single" w:sz="8" w:color="auto"/>
            </w:tcBorders>
          </w:tcPr>
          <w:p>
            <w:pPr>
              <w:spacing w:after="0"/>
              <w:rPr>
                <w:sz w:val="5"/>
                <w:szCs w:val="5"/>
                <w:color w:val="auto"/>
              </w:rPr>
            </w:pPr>
          </w:p>
        </w:tc>
        <w:tc>
          <w:tcPr>
            <w:tcW w:w="238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58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3" w:hanging="303"/>
        <w:spacing w:after="0"/>
        <w:tabs>
          <w:tab w:leader="none" w:pos="303" w:val="left"/>
        </w:tabs>
        <w:numPr>
          <w:ilvl w:val="0"/>
          <w:numId w:val="146"/>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8" w:lineRule="exact"/>
        <w:rPr>
          <w:sz w:val="20"/>
          <w:szCs w:val="20"/>
          <w:color w:val="auto"/>
        </w:rPr>
      </w:pPr>
    </w:p>
    <w:p>
      <w:pPr>
        <w:ind w:left="283" w:hanging="283"/>
        <w:spacing w:after="0"/>
        <w:tabs>
          <w:tab w:leader="none" w:pos="283" w:val="left"/>
        </w:tabs>
        <w:numPr>
          <w:ilvl w:val="0"/>
          <w:numId w:val="147"/>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or arrangement.</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color w:val="auto"/>
        </w:rPr>
        <w:t>(b) Financial Statement Schedules</w:t>
      </w:r>
    </w:p>
    <w:p>
      <w:pPr>
        <w:spacing w:after="0" w:line="145" w:lineRule="exact"/>
        <w:rPr>
          <w:sz w:val="20"/>
          <w:szCs w:val="20"/>
          <w:color w:val="auto"/>
        </w:rPr>
      </w:pPr>
    </w:p>
    <w:p>
      <w:pPr>
        <w:ind w:left="3" w:right="640"/>
        <w:spacing w:after="0" w:line="268" w:lineRule="auto"/>
        <w:rPr>
          <w:sz w:val="20"/>
          <w:szCs w:val="20"/>
          <w:color w:val="auto"/>
        </w:rPr>
      </w:pPr>
      <w:r>
        <w:rPr>
          <w:rFonts w:ascii="Arial" w:cs="Arial" w:eastAsia="Arial" w:hAnsi="Arial"/>
          <w:sz w:val="16"/>
          <w:szCs w:val="16"/>
          <w:color w:val="auto"/>
        </w:rPr>
        <w:t>All schedules have been omitted because the information required to be set forth in the schedules is either not applicable or is shown in the financial statements or notes thereto.</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17. Undertakings.</w:t>
      </w:r>
    </w:p>
    <w:p>
      <w:pPr>
        <w:spacing w:after="0" w:line="165" w:lineRule="exact"/>
        <w:rPr>
          <w:sz w:val="20"/>
          <w:szCs w:val="20"/>
          <w:color w:val="auto"/>
        </w:rPr>
      </w:pPr>
    </w:p>
    <w:p>
      <w:pPr>
        <w:ind w:left="283" w:right="20" w:hanging="283"/>
        <w:spacing w:after="0" w:line="256" w:lineRule="auto"/>
        <w:tabs>
          <w:tab w:leader="none" w:pos="27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rFonts w:ascii="Arial" w:cs="Arial" w:eastAsia="Arial" w:hAnsi="Arial"/>
          <w:sz w:val="16"/>
          <w:szCs w:val="16"/>
          <w:color w:val="auto"/>
        </w:rPr>
      </w:pPr>
    </w:p>
    <w:p>
      <w:pPr>
        <w:ind w:left="283" w:hanging="283"/>
        <w:spacing w:after="0"/>
        <w:tabs>
          <w:tab w:leader="none" w:pos="28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133" w:lineRule="exact"/>
        <w:rPr>
          <w:sz w:val="20"/>
          <w:szCs w:val="20"/>
          <w:color w:val="auto"/>
        </w:rPr>
      </w:pPr>
    </w:p>
    <w:p>
      <w:pPr>
        <w:ind w:left="283" w:right="20" w:hanging="283"/>
        <w:spacing w:after="0" w:line="261" w:lineRule="auto"/>
        <w:tabs>
          <w:tab w:leader="none" w:pos="27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18" w:lineRule="exact"/>
        <w:rPr>
          <w:rFonts w:ascii="Arial" w:cs="Arial" w:eastAsia="Arial" w:hAnsi="Arial"/>
          <w:sz w:val="16"/>
          <w:szCs w:val="16"/>
          <w:color w:val="auto"/>
        </w:rPr>
      </w:pPr>
    </w:p>
    <w:p>
      <w:pPr>
        <w:ind w:left="283" w:right="80" w:hanging="283"/>
        <w:spacing w:after="0" w:line="261" w:lineRule="auto"/>
        <w:tabs>
          <w:tab w:leader="none" w:pos="27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63"/>
          </w:cols>
          <w:pgMar w:left="317" w:top="1418" w:right="319" w:bottom="1440" w:gutter="0" w:footer="0" w:header="0"/>
        </w:sectPr>
      </w:pPr>
    </w:p>
    <w:bookmarkStart w:id="261" w:name="page262"/>
    <w:bookmarkEnd w:id="261"/>
    <w:p>
      <w:pPr>
        <w:spacing w:after="0"/>
        <w:rPr>
          <w:sz w:val="20"/>
          <w:szCs w:val="20"/>
          <w:color w:val="auto"/>
        </w:rPr>
      </w:pPr>
      <w:r>
        <w:rPr>
          <w:rFonts w:ascii="Arial" w:cs="Arial" w:eastAsia="Arial" w:hAnsi="Arial"/>
          <w:sz w:val="26"/>
          <w:szCs w:val="26"/>
          <w:b w:val="1"/>
          <w:bCs w:val="1"/>
          <w:color w:val="auto"/>
        </w:rPr>
        <w:t>Signatures</w:t>
      </w:r>
    </w:p>
    <w:p>
      <w:pPr>
        <w:spacing w:after="0" w:line="29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Portland, State of Oregon, on November 8, 2021.</w:t>
      </w:r>
    </w:p>
    <w:p>
      <w:pPr>
        <w:spacing w:after="0" w:line="149"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EXPENSIFY, INC.</w:t>
      </w:r>
    </w:p>
    <w:p>
      <w:pPr>
        <w:spacing w:after="0" w:line="218" w:lineRule="exact"/>
        <w:rPr>
          <w:sz w:val="20"/>
          <w:szCs w:val="20"/>
          <w:color w:val="auto"/>
        </w:rPr>
      </w:pPr>
    </w:p>
    <w:tbl>
      <w:tblPr>
        <w:tblLayout w:type="fixed"/>
        <w:tblInd w:w="622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Barrett</w:t>
            </w:r>
          </w:p>
        </w:tc>
      </w:tr>
      <w:tr>
        <w:trPr>
          <w:trHeight w:val="199"/>
        </w:trPr>
        <w:tc>
          <w:tcPr>
            <w:tcW w:w="860" w:type="dxa"/>
            <w:vAlign w:val="bottom"/>
          </w:tcPr>
          <w:p>
            <w:pPr>
              <w:spacing w:after="0"/>
              <w:rPr>
                <w:sz w:val="20"/>
                <w:szCs w:val="20"/>
                <w:color w:val="auto"/>
              </w:rPr>
            </w:pPr>
            <w:r>
              <w:rPr>
                <w:rFonts w:ascii="Arial" w:cs="Arial" w:eastAsia="Arial" w:hAnsi="Arial"/>
                <w:sz w:val="16"/>
                <w:szCs w:val="16"/>
                <w:color w:val="auto"/>
              </w:rPr>
              <w:t>Name:</w:t>
            </w:r>
          </w:p>
        </w:tc>
        <w:tc>
          <w:tcPr>
            <w:tcW w:w="4180" w:type="dxa"/>
            <w:vAlign w:val="bottom"/>
          </w:tcPr>
          <w:p>
            <w:pPr>
              <w:ind w:left="20"/>
              <w:spacing w:after="0"/>
              <w:rPr>
                <w:sz w:val="20"/>
                <w:szCs w:val="20"/>
                <w:color w:val="auto"/>
              </w:rPr>
            </w:pPr>
            <w:r>
              <w:rPr>
                <w:rFonts w:ascii="Arial" w:cs="Arial" w:eastAsia="Arial" w:hAnsi="Arial"/>
                <w:sz w:val="16"/>
                <w:szCs w:val="16"/>
                <w:color w:val="auto"/>
              </w:rPr>
              <w:t>David Barrett</w:t>
            </w:r>
          </w:p>
        </w:tc>
      </w:tr>
      <w:tr>
        <w:trPr>
          <w:trHeight w:val="207"/>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Power of attorney</w:t>
      </w:r>
    </w:p>
    <w:p>
      <w:pPr>
        <w:spacing w:after="0" w:line="296"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38" w:lineRule="exact"/>
        <w:rPr>
          <w:sz w:val="20"/>
          <w:szCs w:val="20"/>
          <w:color w:val="auto"/>
        </w:rPr>
      </w:pPr>
    </w:p>
    <w:p>
      <w:pPr>
        <w:ind w:left="1420"/>
        <w:spacing w:after="0"/>
        <w:tabs>
          <w:tab w:leader="none" w:pos="5920" w:val="left"/>
          <w:tab w:leader="none" w:pos="982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07" w:right="319" w:bottom="1440" w:gutter="0" w:footer="0" w:header="0"/>
        </w:sect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/s/David Barrett</w:t>
            </w:r>
          </w:p>
        </w:tc>
      </w:tr>
      <w:tr>
        <w:trPr>
          <w:trHeight w:val="199"/>
        </w:trPr>
        <w:tc>
          <w:tcPr>
            <w:tcW w:w="500" w:type="dxa"/>
            <w:vAlign w:val="bottom"/>
          </w:tcPr>
          <w:p>
            <w:pPr>
              <w:spacing w:after="0"/>
              <w:rPr>
                <w:sz w:val="17"/>
                <w:szCs w:val="17"/>
                <w:color w:val="auto"/>
              </w:rPr>
            </w:pPr>
          </w:p>
        </w:tc>
        <w:tc>
          <w:tcPr>
            <w:tcW w:w="2940" w:type="dxa"/>
            <w:vAlign w:val="bottom"/>
          </w:tcPr>
          <w:p>
            <w:pPr>
              <w:jc w:val="center"/>
              <w:ind w:right="419"/>
              <w:spacing w:after="0"/>
              <w:rPr>
                <w:sz w:val="20"/>
                <w:szCs w:val="20"/>
                <w:color w:val="auto"/>
              </w:rPr>
            </w:pPr>
            <w:r>
              <w:rPr>
                <w:rFonts w:ascii="Arial" w:cs="Arial" w:eastAsia="Arial" w:hAnsi="Arial"/>
                <w:sz w:val="16"/>
                <w:szCs w:val="16"/>
                <w:color w:val="auto"/>
              </w:rPr>
              <w:t>David Barrett</w:t>
            </w:r>
          </w:p>
        </w:tc>
      </w:tr>
      <w:tr>
        <w:trPr>
          <w:trHeight w:val="341"/>
        </w:trPr>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/s/Ryan Schaffer</w:t>
            </w:r>
          </w:p>
        </w:tc>
      </w:tr>
      <w:tr>
        <w:trPr>
          <w:trHeight w:val="199"/>
        </w:trPr>
        <w:tc>
          <w:tcPr>
            <w:tcW w:w="500" w:type="dxa"/>
            <w:vAlign w:val="bottom"/>
          </w:tcPr>
          <w:p>
            <w:pPr>
              <w:spacing w:after="0"/>
              <w:rPr>
                <w:sz w:val="17"/>
                <w:szCs w:val="17"/>
                <w:color w:val="auto"/>
              </w:rPr>
            </w:pPr>
          </w:p>
        </w:tc>
        <w:tc>
          <w:tcPr>
            <w:tcW w:w="2940" w:type="dxa"/>
            <w:vAlign w:val="bottom"/>
          </w:tcPr>
          <w:p>
            <w:pPr>
              <w:jc w:val="center"/>
              <w:ind w:right="419"/>
              <w:spacing w:after="0"/>
              <w:rPr>
                <w:sz w:val="20"/>
                <w:szCs w:val="20"/>
                <w:color w:val="auto"/>
              </w:rPr>
            </w:pPr>
            <w:r>
              <w:rPr>
                <w:rFonts w:ascii="Arial" w:cs="Arial" w:eastAsia="Arial" w:hAnsi="Arial"/>
                <w:sz w:val="16"/>
                <w:szCs w:val="16"/>
                <w:color w:val="auto"/>
              </w:rPr>
              <w:t>Ryan Schaffer</w:t>
            </w:r>
          </w:p>
        </w:tc>
      </w:tr>
      <w:tr>
        <w:trPr>
          <w:trHeight w:val="341"/>
        </w:trPr>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w:t>
            </w:r>
          </w:p>
        </w:tc>
      </w:tr>
      <w:tr>
        <w:trPr>
          <w:trHeight w:val="199"/>
        </w:trPr>
        <w:tc>
          <w:tcPr>
            <w:tcW w:w="500" w:type="dxa"/>
            <w:vAlign w:val="bottom"/>
          </w:tcPr>
          <w:p>
            <w:pPr>
              <w:spacing w:after="0"/>
              <w:rPr>
                <w:sz w:val="17"/>
                <w:szCs w:val="17"/>
                <w:color w:val="auto"/>
              </w:rPr>
            </w:pPr>
          </w:p>
        </w:tc>
        <w:tc>
          <w:tcPr>
            <w:tcW w:w="2940" w:type="dxa"/>
            <w:vAlign w:val="bottom"/>
          </w:tcPr>
          <w:p>
            <w:pPr>
              <w:jc w:val="center"/>
              <w:ind w:right="419"/>
              <w:spacing w:after="0"/>
              <w:rPr>
                <w:sz w:val="20"/>
                <w:szCs w:val="20"/>
                <w:color w:val="auto"/>
              </w:rPr>
            </w:pPr>
            <w:r>
              <w:rPr>
                <w:rFonts w:ascii="Arial" w:cs="Arial" w:eastAsia="Arial" w:hAnsi="Arial"/>
                <w:sz w:val="16"/>
                <w:szCs w:val="16"/>
                <w:color w:val="auto"/>
              </w:rPr>
              <w:t>Blake Bartlett</w:t>
            </w:r>
          </w:p>
        </w:tc>
      </w:tr>
      <w:tr>
        <w:trPr>
          <w:trHeight w:val="341"/>
        </w:trPr>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w:t>
            </w:r>
          </w:p>
        </w:tc>
      </w:tr>
      <w:tr>
        <w:trPr>
          <w:trHeight w:val="199"/>
        </w:trPr>
        <w:tc>
          <w:tcPr>
            <w:tcW w:w="500" w:type="dxa"/>
            <w:vAlign w:val="bottom"/>
          </w:tcPr>
          <w:p>
            <w:pPr>
              <w:spacing w:after="0"/>
              <w:rPr>
                <w:sz w:val="17"/>
                <w:szCs w:val="17"/>
                <w:color w:val="auto"/>
              </w:rPr>
            </w:pPr>
          </w:p>
        </w:tc>
        <w:tc>
          <w:tcPr>
            <w:tcW w:w="2940" w:type="dxa"/>
            <w:vAlign w:val="bottom"/>
          </w:tcPr>
          <w:p>
            <w:pPr>
              <w:jc w:val="center"/>
              <w:ind w:right="419"/>
              <w:spacing w:after="0"/>
              <w:rPr>
                <w:sz w:val="20"/>
                <w:szCs w:val="20"/>
                <w:color w:val="auto"/>
              </w:rPr>
            </w:pPr>
            <w:r>
              <w:rPr>
                <w:rFonts w:ascii="Arial" w:cs="Arial" w:eastAsia="Arial" w:hAnsi="Arial"/>
                <w:sz w:val="16"/>
                <w:szCs w:val="16"/>
                <w:color w:val="auto"/>
              </w:rPr>
              <w:t>Robert Lent</w:t>
            </w:r>
          </w:p>
        </w:tc>
      </w:tr>
      <w:tr>
        <w:trPr>
          <w:trHeight w:val="706"/>
        </w:trPr>
        <w:tc>
          <w:tcPr>
            <w:tcW w:w="500" w:type="dxa"/>
            <w:vAlign w:val="bottom"/>
          </w:tcPr>
          <w:p>
            <w:pPr>
              <w:ind w:left="20"/>
              <w:spacing w:after="0"/>
              <w:rPr>
                <w:sz w:val="20"/>
                <w:szCs w:val="20"/>
                <w:color w:val="auto"/>
              </w:rPr>
            </w:pPr>
            <w:r>
              <w:rPr>
                <w:rFonts w:ascii="Arial" w:cs="Arial" w:eastAsia="Arial" w:hAnsi="Arial"/>
                <w:sz w:val="16"/>
                <w:szCs w:val="16"/>
                <w:color w:val="auto"/>
              </w:rPr>
              <w:t>*By:</w:t>
            </w:r>
          </w:p>
        </w:tc>
        <w:tc>
          <w:tcPr>
            <w:tcW w:w="2940" w:type="dxa"/>
            <w:vAlign w:val="bottom"/>
          </w:tcPr>
          <w:p>
            <w:pPr>
              <w:ind w:left="200"/>
              <w:spacing w:after="0"/>
              <w:rPr>
                <w:sz w:val="20"/>
                <w:szCs w:val="20"/>
                <w:color w:val="auto"/>
              </w:rPr>
            </w:pPr>
            <w:r>
              <w:rPr>
                <w:rFonts w:ascii="Arial" w:cs="Arial" w:eastAsia="Arial" w:hAnsi="Arial"/>
                <w:sz w:val="16"/>
                <w:szCs w:val="16"/>
                <w:color w:val="auto"/>
              </w:rPr>
              <w:t>/s/ Ryan Schaffer</w:t>
            </w:r>
          </w:p>
        </w:tc>
      </w:tr>
      <w:tr>
        <w:trPr>
          <w:trHeight w:val="219"/>
        </w:trPr>
        <w:tc>
          <w:tcPr>
            <w:tcW w:w="50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6"/>
                <w:szCs w:val="16"/>
                <w:color w:val="auto"/>
              </w:rPr>
              <w:t>Ryan Schaffer</w:t>
            </w:r>
          </w:p>
        </w:tc>
      </w:tr>
      <w:tr>
        <w:trPr>
          <w:trHeight w:val="207"/>
        </w:trPr>
        <w:tc>
          <w:tcPr>
            <w:tcW w:w="500" w:type="dxa"/>
            <w:vAlign w:val="bottom"/>
          </w:tcPr>
          <w:p>
            <w:pPr>
              <w:spacing w:after="0"/>
              <w:rPr>
                <w:sz w:val="18"/>
                <w:szCs w:val="18"/>
                <w:color w:val="auto"/>
              </w:rPr>
            </w:pPr>
          </w:p>
        </w:tc>
        <w:tc>
          <w:tcPr>
            <w:tcW w:w="2940" w:type="dxa"/>
            <w:vAlign w:val="bottom"/>
          </w:tcPr>
          <w:p>
            <w:pPr>
              <w:ind w:left="200"/>
              <w:spacing w:after="0"/>
              <w:rPr>
                <w:sz w:val="20"/>
                <w:szCs w:val="20"/>
                <w:color w:val="auto"/>
              </w:rPr>
            </w:pPr>
            <w:r>
              <w:rPr>
                <w:rFonts w:ascii="Arial" w:cs="Arial" w:eastAsia="Arial" w:hAnsi="Arial"/>
                <w:sz w:val="16"/>
                <w:szCs w:val="16"/>
                <w:color w:val="auto"/>
              </w:rPr>
              <w:t>Attorney-in-Fact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-269875</wp:posOffset>
            </wp:positionV>
            <wp:extent cx="226568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22656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jc w:val="center"/>
              <w:ind w:right="379"/>
              <w:spacing w:after="0"/>
              <w:rPr>
                <w:sz w:val="20"/>
                <w:szCs w:val="20"/>
                <w:color w:val="auto"/>
              </w:rPr>
            </w:pPr>
            <w:r>
              <w:rPr>
                <w:rFonts w:ascii="Arial" w:cs="Arial" w:eastAsia="Arial" w:hAnsi="Arial"/>
                <w:sz w:val="16"/>
                <w:szCs w:val="16"/>
                <w:color w:val="auto"/>
              </w:rPr>
              <w:t>Chief Executive Officer and Director (Principal Executive Officer)</w:t>
            </w:r>
          </w:p>
        </w:tc>
        <w:tc>
          <w:tcPr>
            <w:tcW w:w="1800" w:type="dxa"/>
            <w:vAlign w:val="bottom"/>
          </w:tcPr>
          <w:p>
            <w:pPr>
              <w:ind w:left="460"/>
              <w:spacing w:after="0"/>
              <w:rPr>
                <w:sz w:val="20"/>
                <w:szCs w:val="20"/>
                <w:color w:val="auto"/>
              </w:rPr>
            </w:pPr>
            <w:r>
              <w:rPr>
                <w:rFonts w:ascii="Arial" w:cs="Arial" w:eastAsia="Arial" w:hAnsi="Arial"/>
                <w:sz w:val="16"/>
                <w:szCs w:val="16"/>
                <w:color w:val="auto"/>
              </w:rPr>
              <w:t>November 8, 2021</w:t>
            </w:r>
          </w:p>
        </w:tc>
        <w:tc>
          <w:tcPr>
            <w:tcW w:w="0" w:type="dxa"/>
            <w:vAlign w:val="bottom"/>
          </w:tcPr>
          <w:p>
            <w:pPr>
              <w:spacing w:after="0"/>
              <w:rPr>
                <w:sz w:val="1"/>
                <w:szCs w:val="1"/>
                <w:color w:val="auto"/>
              </w:rPr>
            </w:pPr>
          </w:p>
        </w:tc>
      </w:tr>
      <w:tr>
        <w:trPr>
          <w:trHeight w:val="438"/>
        </w:trPr>
        <w:tc>
          <w:tcPr>
            <w:tcW w:w="5100" w:type="dxa"/>
            <w:vAlign w:val="bottom"/>
          </w:tcPr>
          <w:p>
            <w:pPr>
              <w:jc w:val="center"/>
              <w:ind w:right="379"/>
              <w:spacing w:after="0"/>
              <w:rPr>
                <w:sz w:val="20"/>
                <w:szCs w:val="20"/>
                <w:color w:val="auto"/>
              </w:rPr>
            </w:pPr>
            <w:r>
              <w:rPr>
                <w:rFonts w:ascii="Arial" w:cs="Arial" w:eastAsia="Arial" w:hAnsi="Arial"/>
                <w:sz w:val="16"/>
                <w:szCs w:val="16"/>
                <w:color w:val="auto"/>
              </w:rPr>
              <w:t>Chief Financial Officer (Principal Financial Officer and Principal</w:t>
            </w:r>
          </w:p>
        </w:tc>
        <w:tc>
          <w:tcPr>
            <w:tcW w:w="1800" w:type="dxa"/>
            <w:vAlign w:val="bottom"/>
            <w:vMerge w:val="restart"/>
          </w:tcPr>
          <w:p>
            <w:pPr>
              <w:ind w:left="460"/>
              <w:spacing w:after="0"/>
              <w:rPr>
                <w:sz w:val="20"/>
                <w:szCs w:val="20"/>
                <w:color w:val="auto"/>
              </w:rPr>
            </w:pPr>
            <w:r>
              <w:rPr>
                <w:rFonts w:ascii="Arial" w:cs="Arial" w:eastAsia="Arial" w:hAnsi="Arial"/>
                <w:sz w:val="16"/>
                <w:szCs w:val="16"/>
                <w:color w:val="auto"/>
              </w:rPr>
              <w:t>November 8, 2021</w:t>
            </w:r>
          </w:p>
        </w:tc>
        <w:tc>
          <w:tcPr>
            <w:tcW w:w="0" w:type="dxa"/>
            <w:vAlign w:val="bottom"/>
          </w:tcPr>
          <w:p>
            <w:pPr>
              <w:spacing w:after="0"/>
              <w:rPr>
                <w:sz w:val="1"/>
                <w:szCs w:val="1"/>
                <w:color w:val="auto"/>
              </w:rPr>
            </w:pPr>
          </w:p>
        </w:tc>
      </w:tr>
      <w:tr>
        <w:trPr>
          <w:trHeight w:val="122"/>
        </w:trPr>
        <w:tc>
          <w:tcPr>
            <w:tcW w:w="5100" w:type="dxa"/>
            <w:vAlign w:val="bottom"/>
            <w:vMerge w:val="restart"/>
          </w:tcPr>
          <w:p>
            <w:pPr>
              <w:jc w:val="center"/>
              <w:ind w:right="379"/>
              <w:spacing w:after="0"/>
              <w:rPr>
                <w:sz w:val="20"/>
                <w:szCs w:val="20"/>
                <w:color w:val="auto"/>
              </w:rPr>
            </w:pPr>
            <w:r>
              <w:rPr>
                <w:rFonts w:ascii="Arial" w:cs="Arial" w:eastAsia="Arial" w:hAnsi="Arial"/>
                <w:sz w:val="16"/>
                <w:szCs w:val="16"/>
                <w:color w:val="auto"/>
                <w:w w:val="99"/>
              </w:rPr>
              <w:t>Accounting Officer)</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10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7"/>
        </w:trPr>
        <w:tc>
          <w:tcPr>
            <w:tcW w:w="5100" w:type="dxa"/>
            <w:vAlign w:val="bottom"/>
          </w:tcPr>
          <w:p>
            <w:pPr>
              <w:jc w:val="center"/>
              <w:ind w:right="379"/>
              <w:spacing w:after="0"/>
              <w:rPr>
                <w:sz w:val="20"/>
                <w:szCs w:val="20"/>
                <w:color w:val="auto"/>
              </w:rPr>
            </w:pPr>
            <w:r>
              <w:rPr>
                <w:rFonts w:ascii="Arial" w:cs="Arial" w:eastAsia="Arial" w:hAnsi="Arial"/>
                <w:sz w:val="16"/>
                <w:szCs w:val="16"/>
                <w:color w:val="auto"/>
                <w:w w:val="99"/>
              </w:rPr>
              <w:t>Director</w:t>
            </w:r>
          </w:p>
        </w:tc>
        <w:tc>
          <w:tcPr>
            <w:tcW w:w="1800" w:type="dxa"/>
            <w:vAlign w:val="bottom"/>
          </w:tcPr>
          <w:p>
            <w:pPr>
              <w:ind w:left="460"/>
              <w:spacing w:after="0"/>
              <w:rPr>
                <w:sz w:val="20"/>
                <w:szCs w:val="20"/>
                <w:color w:val="auto"/>
              </w:rPr>
            </w:pPr>
            <w:r>
              <w:rPr>
                <w:rFonts w:ascii="Arial" w:cs="Arial" w:eastAsia="Arial" w:hAnsi="Arial"/>
                <w:sz w:val="16"/>
                <w:szCs w:val="16"/>
                <w:color w:val="auto"/>
              </w:rPr>
              <w:t>November 8, 2021</w:t>
            </w:r>
          </w:p>
        </w:tc>
        <w:tc>
          <w:tcPr>
            <w:tcW w:w="0" w:type="dxa"/>
            <w:vAlign w:val="bottom"/>
          </w:tcPr>
          <w:p>
            <w:pPr>
              <w:spacing w:after="0"/>
              <w:rPr>
                <w:sz w:val="1"/>
                <w:szCs w:val="1"/>
                <w:color w:val="auto"/>
              </w:rPr>
            </w:pPr>
          </w:p>
        </w:tc>
      </w:tr>
      <w:tr>
        <w:trPr>
          <w:trHeight w:val="560"/>
        </w:trPr>
        <w:tc>
          <w:tcPr>
            <w:tcW w:w="5100" w:type="dxa"/>
            <w:vAlign w:val="bottom"/>
          </w:tcPr>
          <w:p>
            <w:pPr>
              <w:jc w:val="center"/>
              <w:ind w:right="379"/>
              <w:spacing w:after="0"/>
              <w:rPr>
                <w:sz w:val="20"/>
                <w:szCs w:val="20"/>
                <w:color w:val="auto"/>
              </w:rPr>
            </w:pPr>
            <w:r>
              <w:rPr>
                <w:rFonts w:ascii="Arial" w:cs="Arial" w:eastAsia="Arial" w:hAnsi="Arial"/>
                <w:sz w:val="16"/>
                <w:szCs w:val="16"/>
                <w:color w:val="auto"/>
                <w:w w:val="99"/>
              </w:rPr>
              <w:t>Director</w:t>
            </w:r>
          </w:p>
        </w:tc>
        <w:tc>
          <w:tcPr>
            <w:tcW w:w="1800" w:type="dxa"/>
            <w:vAlign w:val="bottom"/>
          </w:tcPr>
          <w:p>
            <w:pPr>
              <w:ind w:left="460"/>
              <w:spacing w:after="0"/>
              <w:rPr>
                <w:sz w:val="20"/>
                <w:szCs w:val="20"/>
                <w:color w:val="auto"/>
              </w:rPr>
            </w:pPr>
            <w:r>
              <w:rPr>
                <w:rFonts w:ascii="Arial" w:cs="Arial" w:eastAsia="Arial" w:hAnsi="Arial"/>
                <w:sz w:val="16"/>
                <w:szCs w:val="16"/>
                <w:color w:val="auto"/>
              </w:rPr>
              <w:t>November 8, 2021</w:t>
            </w:r>
          </w:p>
        </w:tc>
        <w:tc>
          <w:tcPr>
            <w:tcW w:w="0" w:type="dxa"/>
            <w:vAlign w:val="bottom"/>
          </w:tcPr>
          <w:p>
            <w:pPr>
              <w:spacing w:after="0"/>
              <w:rPr>
                <w:sz w:val="1"/>
                <w:szCs w:val="1"/>
                <w:color w:val="auto"/>
              </w:rPr>
            </w:pPr>
          </w:p>
        </w:tc>
      </w:tr>
    </w:tbl>
    <w:p>
      <w:pPr>
        <w:spacing w:after="0" w:line="1442" w:lineRule="exact"/>
        <w:rPr>
          <w:sz w:val="20"/>
          <w:szCs w:val="20"/>
          <w:color w:val="auto"/>
        </w:rPr>
      </w:pPr>
    </w:p>
    <w:p>
      <w:pPr>
        <w:sectPr>
          <w:pgSz w:w="11900" w:h="16838" w:orient="portrait"/>
          <w:cols w:equalWidth="0" w:num="2">
            <w:col w:w="3440" w:space="320"/>
            <w:col w:w="7500"/>
          </w:cols>
          <w:pgMar w:left="320" w:top="140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260"/>
          </w:cols>
          <w:pgMar w:left="320" w:top="1407" w:right="319" w:bottom="1440" w:gutter="0" w:footer="0" w:header="0"/>
          <w:type w:val="continuous"/>
        </w:sectPr>
      </w:pPr>
    </w:p>
    <w:bookmarkStart w:id="262" w:name="page263"/>
    <w:bookmarkEnd w:id="262"/>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6020" w:type="dxa"/>
            <w:vAlign w:val="bottom"/>
            <w:gridSpan w:val="4"/>
          </w:tcPr>
          <w:p>
            <w:pPr>
              <w:ind w:left="1240"/>
              <w:spacing w:after="0"/>
              <w:rPr>
                <w:sz w:val="20"/>
                <w:szCs w:val="20"/>
                <w:color w:val="auto"/>
              </w:rPr>
            </w:pPr>
            <w:r>
              <w:rPr>
                <w:rFonts w:ascii="Arial" w:cs="Arial" w:eastAsia="Arial" w:hAnsi="Arial"/>
                <w:sz w:val="19"/>
                <w:szCs w:val="19"/>
                <w:b w:val="1"/>
                <w:bCs w:val="1"/>
                <w:color w:val="auto"/>
              </w:rPr>
              <w:t>Subsidiaries of the Registrant</w:t>
            </w:r>
          </w:p>
        </w:tc>
      </w:tr>
      <w:tr>
        <w:trPr>
          <w:trHeight w:val="417"/>
        </w:trPr>
        <w:tc>
          <w:tcPr>
            <w:tcW w:w="3420" w:type="dxa"/>
            <w:vAlign w:val="bottom"/>
            <w:gridSpan w:val="2"/>
          </w:tcPr>
          <w:p>
            <w:pPr>
              <w:spacing w:after="0"/>
              <w:rPr>
                <w:sz w:val="20"/>
                <w:szCs w:val="20"/>
                <w:color w:val="auto"/>
              </w:rPr>
            </w:pPr>
            <w:r>
              <w:rPr>
                <w:rFonts w:ascii="Arial" w:cs="Arial" w:eastAsia="Arial" w:hAnsi="Arial"/>
                <w:sz w:val="19"/>
                <w:szCs w:val="19"/>
                <w:b w:val="1"/>
                <w:bCs w:val="1"/>
                <w:color w:val="auto"/>
              </w:rPr>
              <w:t>Name</w:t>
            </w:r>
          </w:p>
        </w:tc>
        <w:tc>
          <w:tcPr>
            <w:tcW w:w="346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Arial" w:cs="Arial" w:eastAsia="Arial" w:hAnsi="Arial"/>
                <w:sz w:val="19"/>
                <w:szCs w:val="19"/>
                <w:b w:val="1"/>
                <w:bCs w:val="1"/>
                <w:color w:val="auto"/>
                <w:w w:val="91"/>
              </w:rPr>
              <w:t>Jurisdiction of</w:t>
            </w:r>
          </w:p>
        </w:tc>
      </w:tr>
      <w:tr>
        <w:trPr>
          <w:trHeight w:val="20"/>
        </w:trPr>
        <w:tc>
          <w:tcPr>
            <w:tcW w:w="4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20" w:type="dxa"/>
            <w:vAlign w:val="bottom"/>
            <w:gridSpan w:val="4"/>
          </w:tcPr>
          <w:p>
            <w:pPr>
              <w:jc w:val="center"/>
              <w:ind w:left="3363"/>
              <w:spacing w:after="0" w:line="199" w:lineRule="exact"/>
              <w:rPr>
                <w:sz w:val="20"/>
                <w:szCs w:val="20"/>
                <w:color w:val="auto"/>
              </w:rPr>
            </w:pPr>
            <w:r>
              <w:rPr>
                <w:rFonts w:ascii="Arial" w:cs="Arial" w:eastAsia="Arial" w:hAnsi="Arial"/>
                <w:sz w:val="19"/>
                <w:szCs w:val="19"/>
                <w:b w:val="1"/>
                <w:bCs w:val="1"/>
                <w:color w:val="auto"/>
                <w:w w:val="95"/>
              </w:rPr>
              <w:t>Incorporation or Organization</w:t>
            </w:r>
          </w:p>
        </w:tc>
      </w:tr>
      <w:tr>
        <w:trPr>
          <w:trHeight w:val="294"/>
        </w:trPr>
        <w:tc>
          <w:tcPr>
            <w:tcW w:w="3420" w:type="dxa"/>
            <w:vAlign w:val="bottom"/>
            <w:gridSpan w:val="2"/>
          </w:tcPr>
          <w:p>
            <w:pPr>
              <w:spacing w:after="0"/>
              <w:rPr>
                <w:sz w:val="20"/>
                <w:szCs w:val="20"/>
                <w:color w:val="auto"/>
              </w:rPr>
            </w:pPr>
            <w:r>
              <w:rPr>
                <w:rFonts w:ascii="Arial" w:cs="Arial" w:eastAsia="Arial" w:hAnsi="Arial"/>
                <w:sz w:val="19"/>
                <w:szCs w:val="19"/>
                <w:color w:val="auto"/>
              </w:rPr>
              <w:t>Expensify Limited</w:t>
            </w:r>
          </w:p>
        </w:tc>
        <w:tc>
          <w:tcPr>
            <w:tcW w:w="3460" w:type="dxa"/>
            <w:vAlign w:val="bottom"/>
          </w:tcPr>
          <w:p>
            <w:pPr>
              <w:spacing w:after="0"/>
              <w:rPr>
                <w:sz w:val="24"/>
                <w:szCs w:val="24"/>
                <w:color w:val="auto"/>
              </w:rPr>
            </w:pPr>
          </w:p>
        </w:tc>
        <w:tc>
          <w:tcPr>
            <w:tcW w:w="25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9"/>
                <w:szCs w:val="19"/>
                <w:color w:val="auto"/>
                <w:w w:val="91"/>
              </w:rPr>
              <w:t>England and Wales</w:t>
            </w:r>
          </w:p>
        </w:tc>
      </w:tr>
      <w:tr>
        <w:trPr>
          <w:trHeight w:val="268"/>
        </w:trPr>
        <w:tc>
          <w:tcPr>
            <w:tcW w:w="3420" w:type="dxa"/>
            <w:vAlign w:val="bottom"/>
            <w:gridSpan w:val="2"/>
          </w:tcPr>
          <w:p>
            <w:pPr>
              <w:spacing w:after="0"/>
              <w:rPr>
                <w:sz w:val="20"/>
                <w:szCs w:val="20"/>
                <w:color w:val="auto"/>
              </w:rPr>
            </w:pPr>
            <w:r>
              <w:rPr>
                <w:rFonts w:ascii="Arial" w:cs="Arial" w:eastAsia="Arial" w:hAnsi="Arial"/>
                <w:sz w:val="19"/>
                <w:szCs w:val="19"/>
                <w:color w:val="auto"/>
              </w:rPr>
              <w:t>Expensify Australia Pty Ltd</w:t>
            </w:r>
          </w:p>
        </w:tc>
        <w:tc>
          <w:tcPr>
            <w:tcW w:w="3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80" w:type="dxa"/>
            <w:vAlign w:val="bottom"/>
            <w:gridSpan w:val="2"/>
          </w:tcPr>
          <w:p>
            <w:pPr>
              <w:jc w:val="center"/>
              <w:ind w:right="680"/>
              <w:spacing w:after="0"/>
              <w:rPr>
                <w:sz w:val="20"/>
                <w:szCs w:val="20"/>
                <w:color w:val="auto"/>
              </w:rPr>
            </w:pPr>
            <w:r>
              <w:rPr>
                <w:rFonts w:ascii="Arial" w:cs="Arial" w:eastAsia="Arial" w:hAnsi="Arial"/>
                <w:sz w:val="19"/>
                <w:szCs w:val="19"/>
                <w:color w:val="auto"/>
                <w:w w:val="97"/>
              </w:rPr>
              <w:t>Australia</w:t>
            </w:r>
          </w:p>
        </w:tc>
      </w:tr>
      <w:tr>
        <w:trPr>
          <w:trHeight w:val="268"/>
        </w:trPr>
        <w:tc>
          <w:tcPr>
            <w:tcW w:w="3420" w:type="dxa"/>
            <w:vAlign w:val="bottom"/>
            <w:gridSpan w:val="2"/>
          </w:tcPr>
          <w:p>
            <w:pPr>
              <w:spacing w:after="0"/>
              <w:rPr>
                <w:sz w:val="20"/>
                <w:szCs w:val="20"/>
                <w:color w:val="auto"/>
              </w:rPr>
            </w:pPr>
            <w:r>
              <w:rPr>
                <w:rFonts w:ascii="Arial" w:cs="Arial" w:eastAsia="Arial" w:hAnsi="Arial"/>
                <w:sz w:val="19"/>
                <w:szCs w:val="19"/>
                <w:color w:val="auto"/>
              </w:rPr>
              <w:t>Expensify Canada Inc.</w:t>
            </w:r>
          </w:p>
        </w:tc>
        <w:tc>
          <w:tcPr>
            <w:tcW w:w="3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9"/>
                <w:szCs w:val="19"/>
                <w:color w:val="auto"/>
                <w:w w:val="87"/>
              </w:rPr>
              <w:t>Canada</w:t>
            </w:r>
          </w:p>
        </w:tc>
      </w:tr>
      <w:tr>
        <w:trPr>
          <w:trHeight w:val="268"/>
        </w:trPr>
        <w:tc>
          <w:tcPr>
            <w:tcW w:w="3420" w:type="dxa"/>
            <w:vAlign w:val="bottom"/>
            <w:gridSpan w:val="2"/>
          </w:tcPr>
          <w:p>
            <w:pPr>
              <w:spacing w:after="0"/>
              <w:rPr>
                <w:sz w:val="20"/>
                <w:szCs w:val="20"/>
                <w:color w:val="auto"/>
              </w:rPr>
            </w:pPr>
            <w:r>
              <w:rPr>
                <w:rFonts w:ascii="Arial" w:cs="Arial" w:eastAsia="Arial" w:hAnsi="Arial"/>
                <w:sz w:val="19"/>
                <w:szCs w:val="19"/>
                <w:color w:val="auto"/>
              </w:rPr>
              <w:t>Expensify Netherlands B.V.</w:t>
            </w:r>
          </w:p>
        </w:tc>
        <w:tc>
          <w:tcPr>
            <w:tcW w:w="3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9"/>
                <w:szCs w:val="19"/>
                <w:color w:val="auto"/>
                <w:w w:val="91"/>
              </w:rPr>
              <w:t>Netherlands</w:t>
            </w:r>
          </w:p>
        </w:tc>
      </w:tr>
      <w:tr>
        <w:trPr>
          <w:trHeight w:val="288"/>
        </w:trPr>
        <w:tc>
          <w:tcPr>
            <w:tcW w:w="3420" w:type="dxa"/>
            <w:vAlign w:val="bottom"/>
            <w:gridSpan w:val="2"/>
          </w:tcPr>
          <w:p>
            <w:pPr>
              <w:spacing w:after="0"/>
              <w:rPr>
                <w:sz w:val="20"/>
                <w:szCs w:val="20"/>
                <w:color w:val="auto"/>
              </w:rPr>
            </w:pPr>
            <w:r>
              <w:rPr>
                <w:rFonts w:ascii="Arial" w:cs="Arial" w:eastAsia="Arial" w:hAnsi="Arial"/>
                <w:sz w:val="19"/>
                <w:szCs w:val="19"/>
                <w:color w:val="auto"/>
              </w:rPr>
              <w:t>401 SW 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Ave LLC</w:t>
            </w:r>
          </w:p>
        </w:tc>
        <w:tc>
          <w:tcPr>
            <w:tcW w:w="3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9"/>
                <w:szCs w:val="19"/>
                <w:color w:val="auto"/>
                <w:w w:val="92"/>
              </w:rPr>
              <w:t>Delaware</w:t>
            </w:r>
          </w:p>
        </w:tc>
      </w:tr>
      <w:tr>
        <w:trPr>
          <w:trHeight w:val="248"/>
        </w:trPr>
        <w:tc>
          <w:tcPr>
            <w:tcW w:w="3420" w:type="dxa"/>
            <w:vAlign w:val="bottom"/>
            <w:gridSpan w:val="2"/>
          </w:tcPr>
          <w:p>
            <w:pPr>
              <w:spacing w:after="0"/>
              <w:rPr>
                <w:sz w:val="20"/>
                <w:szCs w:val="20"/>
                <w:color w:val="auto"/>
              </w:rPr>
            </w:pPr>
            <w:r>
              <w:rPr>
                <w:rFonts w:ascii="Arial" w:cs="Arial" w:eastAsia="Arial" w:hAnsi="Arial"/>
                <w:sz w:val="19"/>
                <w:szCs w:val="19"/>
                <w:color w:val="auto"/>
              </w:rPr>
              <w:t>Expensify Payments LLC</w:t>
            </w:r>
          </w:p>
        </w:tc>
        <w:tc>
          <w:tcPr>
            <w:tcW w:w="3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9"/>
                <w:szCs w:val="19"/>
                <w:color w:val="auto"/>
                <w:w w:val="92"/>
              </w:rPr>
              <w:t>Delaware</w:t>
            </w:r>
          </w:p>
        </w:tc>
      </w:tr>
      <w:tr>
        <w:trPr>
          <w:trHeight w:val="268"/>
        </w:trPr>
        <w:tc>
          <w:tcPr>
            <w:tcW w:w="3420" w:type="dxa"/>
            <w:vAlign w:val="bottom"/>
            <w:gridSpan w:val="2"/>
          </w:tcPr>
          <w:p>
            <w:pPr>
              <w:spacing w:after="0"/>
              <w:rPr>
                <w:sz w:val="20"/>
                <w:szCs w:val="20"/>
                <w:color w:val="auto"/>
              </w:rPr>
            </w:pPr>
            <w:r>
              <w:rPr>
                <w:rFonts w:ascii="Arial" w:cs="Arial" w:eastAsia="Arial" w:hAnsi="Arial"/>
                <w:sz w:val="19"/>
                <w:szCs w:val="19"/>
                <w:color w:val="auto"/>
              </w:rPr>
              <w:t>Expensify Lounge LLC</w:t>
            </w:r>
          </w:p>
        </w:tc>
        <w:tc>
          <w:tcPr>
            <w:tcW w:w="3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9"/>
                <w:szCs w:val="19"/>
                <w:color w:val="auto"/>
                <w:w w:val="92"/>
              </w:rPr>
              <w:t>Delaware</w:t>
            </w:r>
          </w:p>
        </w:tc>
      </w:tr>
    </w:tbl>
    <w:p>
      <w:pPr>
        <w:sectPr>
          <w:pgSz w:w="11900" w:h="16838" w:orient="portrait"/>
          <w:cols w:equalWidth="0" w:num="1">
            <w:col w:w="11240"/>
          </w:cols>
          <w:pgMar w:left="340" w:top="123" w:right="319" w:bottom="1440" w:gutter="0" w:footer="0" w:header="0"/>
        </w:sectPr>
      </w:pPr>
    </w:p>
    <w:bookmarkStart w:id="263" w:name="page264"/>
    <w:bookmarkEnd w:id="263"/>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14" w:lineRule="exact"/>
        <w:rPr>
          <w:sz w:val="20"/>
          <w:szCs w:val="20"/>
          <w:color w:val="auto"/>
        </w:rPr>
      </w:pPr>
    </w:p>
    <w:p>
      <w:pPr>
        <w:ind w:right="520"/>
        <w:spacing w:after="0" w:line="284"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April 28, 2021, except for the reclassification of employee and employee related expenses disclosed in Note 1, as to which the date is September 24, 2021, and the retrospective stock split disclosed in Note 1 as to which the date is November 1, 2021, in Amendment No. 3 to the Registration Statement (Form S-1 No. 333-260297), and related Prospectus of Expensify, Inc. for the registration of shares of its common stock.</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Ernst &amp; Young LLP</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color w:val="auto"/>
        </w:rPr>
        <w:t>San Francisco, California</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November 8, 2021</w:t>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1)"/>
      <w:numFmt w:val="decimal"/>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1)"/>
      <w:numFmt w:val="decimal"/>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1)"/>
      <w:numFmt w:val="decimal"/>
      <w:start w:val="1"/>
    </w:lvl>
  </w:abstractNum>
  <w:abstractNum w:abstractNumId="20">
    <w:nsid w:val="6EB5BD4"/>
    <w:multiLevelType w:val="hybridMultilevel"/>
    <w:lvl w:ilvl="0">
      <w:lvlJc w:val="left"/>
      <w:lvlText w:val="(%1)"/>
      <w:numFmt w:val="decimal"/>
      <w:start w:val="2"/>
    </w:lvl>
  </w:abstractNum>
  <w:abstractNum w:abstractNumId="21">
    <w:nsid w:val="6F6DD9AC"/>
    <w:multiLevelType w:val="hybridMultilevel"/>
    <w:lvl w:ilvl="0">
      <w:lvlJc w:val="left"/>
      <w:lvlText w:val="(%1)"/>
      <w:numFmt w:val="decimal"/>
      <w:start w:val="1"/>
    </w:lvl>
  </w:abstractNum>
  <w:abstractNum w:abstractNumId="22">
    <w:nsid w:val="94211F2"/>
    <w:multiLevelType w:val="hybridMultilevel"/>
    <w:lvl w:ilvl="0">
      <w:lvlJc w:val="left"/>
      <w:lvlText w:val="(%1)"/>
      <w:numFmt w:val="decimal"/>
      <w:start w:val="4"/>
    </w:lvl>
  </w:abstractNum>
  <w:abstractNum w:abstractNumId="23">
    <w:nsid w:val="885E1B"/>
    <w:multiLevelType w:val="hybridMultilevel"/>
    <w:lvl w:ilvl="0">
      <w:lvlJc w:val="left"/>
      <w:lvlText w:val="(%1)"/>
      <w:numFmt w:val="decimal"/>
      <w:start w:val="1"/>
    </w:lvl>
  </w:abstractNum>
  <w:abstractNum w:abstractNumId="24">
    <w:nsid w:val="76272110"/>
    <w:multiLevelType w:val="hybridMultilevel"/>
    <w:lvl w:ilvl="0">
      <w:lvlJc w:val="left"/>
      <w:lvlText w:val="(%1)"/>
      <w:numFmt w:val="decimal"/>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1)"/>
      <w:numFmt w:val="decimal"/>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1)"/>
      <w:numFmt w:val="decimal"/>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1)"/>
      <w:numFmt w:val="decimal"/>
      <w:start w:val="1"/>
    </w:lvl>
  </w:abstractNum>
  <w:abstractNum w:abstractNumId="50">
    <w:nsid w:val="6A5F7029"/>
    <w:multiLevelType w:val="hybridMultilevel"/>
    <w:lvl w:ilvl="0">
      <w:lvlJc w:val="left"/>
      <w:lvlText w:val="(%1)"/>
      <w:numFmt w:val="decimal"/>
      <w:start w:val="2"/>
    </w:lvl>
  </w:abstractNum>
  <w:abstractNum w:abstractNumId="51">
    <w:nsid w:val="7D5E18F8"/>
    <w:multiLevelType w:val="hybridMultilevel"/>
    <w:lvl w:ilvl="0">
      <w:lvlJc w:val="left"/>
      <w:lvlText w:val="(%1)"/>
      <w:numFmt w:val="decimal"/>
      <w:start w:val="1"/>
    </w:lvl>
  </w:abstractNum>
  <w:abstractNum w:abstractNumId="52">
    <w:nsid w:val="5F3534A4"/>
    <w:multiLevelType w:val="hybridMultilevel"/>
    <w:lvl w:ilvl="0">
      <w:lvlJc w:val="left"/>
      <w:lvlText w:val="(%1)"/>
      <w:numFmt w:val="decimal"/>
      <w:start w:val="1"/>
    </w:lvl>
  </w:abstractNum>
  <w:abstractNum w:abstractNumId="53">
    <w:nsid w:val="73A1821B"/>
    <w:multiLevelType w:val="hybridMultilevel"/>
    <w:lvl w:ilvl="0">
      <w:lvlJc w:val="left"/>
      <w:lvlText w:val="•"/>
      <w:numFmt w:val="bullet"/>
      <w:start w:val="1"/>
    </w:lvl>
    <w:lvl w:ilvl="1">
      <w:lvlJc w:val="left"/>
      <w:lvlText w:val="◦"/>
      <w:numFmt w:val="bullet"/>
      <w:start w:val="1"/>
    </w:lvl>
  </w:abstractNum>
  <w:abstractNum w:abstractNumId="54">
    <w:nsid w:val="7DE67713"/>
    <w:multiLevelType w:val="hybridMultilevel"/>
    <w:lvl w:ilvl="0">
      <w:lvlJc w:val="left"/>
      <w:lvlText w:val="•"/>
      <w:numFmt w:val="bullet"/>
      <w:start w:val="1"/>
    </w:lvl>
    <w:lvl w:ilvl="1">
      <w:lvlJc w:val="left"/>
      <w:lvlText w:val="◦"/>
      <w:numFmt w:val="bullet"/>
      <w:start w:val="1"/>
    </w:lvl>
  </w:abstractNum>
  <w:abstractNum w:abstractNumId="55">
    <w:nsid w:val="555C55B5"/>
    <w:multiLevelType w:val="hybridMultilevel"/>
    <w:lvl w:ilvl="0">
      <w:lvlJc w:val="left"/>
      <w:lvlText w:val="(%1)"/>
      <w:numFmt w:val="decimal"/>
      <w:start w:val="1"/>
    </w:lvl>
  </w:abstractNum>
  <w:abstractNum w:abstractNumId="56">
    <w:nsid w:val="3FA62ACA"/>
    <w:multiLevelType w:val="hybridMultilevel"/>
    <w:lvl w:ilvl="0">
      <w:lvlJc w:val="left"/>
      <w:lvlText w:val="(%1)"/>
      <w:numFmt w:val="decimal"/>
      <w:start w:val="1"/>
    </w:lvl>
  </w:abstractNum>
  <w:abstractNum w:abstractNumId="57">
    <w:nsid w:val="14FCE74E"/>
    <w:multiLevelType w:val="hybridMultilevel"/>
    <w:lvl w:ilvl="0">
      <w:lvlJc w:val="left"/>
      <w:lvlText w:val="(%1)"/>
      <w:numFmt w:val="decimal"/>
      <w:start w:val="1"/>
    </w:lvl>
  </w:abstractNum>
  <w:abstractNum w:abstractNumId="58">
    <w:nsid w:val="6A3DD3E8"/>
    <w:multiLevelType w:val="hybridMultilevel"/>
    <w:lvl w:ilvl="0">
      <w:lvlJc w:val="left"/>
      <w:lvlText w:val="%1."/>
      <w:numFmt w:val="decimal"/>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lvl w:ilvl="1">
      <w:lvlJc w:val="left"/>
      <w:lvlText w:val="◦"/>
      <w:numFmt w:val="bullet"/>
      <w:start w:val="1"/>
    </w:lvl>
  </w:abstractNum>
  <w:abstractNum w:abstractNumId="75">
    <w:nsid w:val="23D86AAC"/>
    <w:multiLevelType w:val="hybridMultilevel"/>
    <w:lvl w:ilvl="0">
      <w:lvlJc w:val="left"/>
      <w:lvlText w:val="•"/>
      <w:numFmt w:val="bullet"/>
      <w:start w:val="1"/>
    </w:lvl>
    <w:lvl w:ilvl="1">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
      <w:numFmt w:val="bullet"/>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1."/>
      <w:numFmt w:val="decimal"/>
      <w:start w:val="1"/>
    </w:lvl>
  </w:abstractNum>
  <w:abstractNum w:abstractNumId="94">
    <w:nsid w:val="2708C9AF"/>
    <w:multiLevelType w:val="hybridMultilevel"/>
    <w:lvl w:ilvl="0">
      <w:lvlJc w:val="left"/>
      <w:lvlText w:val="%1."/>
      <w:numFmt w:val="decimal"/>
      <w:start w:val="1"/>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1)"/>
      <w:numFmt w:val="decimal"/>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1)"/>
      <w:numFmt w:val="decimal"/>
      <w:start w:val="1"/>
    </w:lvl>
  </w:abstractNum>
  <w:abstractNum w:abstractNumId="103">
    <w:nsid w:val="2C6E4AFD"/>
    <w:multiLevelType w:val="hybridMultilevel"/>
    <w:lvl w:ilvl="0">
      <w:lvlJc w:val="left"/>
      <w:lvlText w:val="(%1)"/>
      <w:numFmt w:val="decimal"/>
      <w:start w:val="1"/>
    </w:lvl>
  </w:abstractNum>
  <w:abstractNum w:abstractNumId="104">
    <w:nsid w:val="17A1B582"/>
    <w:multiLevelType w:val="hybridMultilevel"/>
    <w:lvl w:ilvl="0">
      <w:lvlJc w:val="left"/>
      <w:lvlText w:val="(%1)"/>
      <w:numFmt w:val="lowerRoman"/>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1)"/>
      <w:numFmt w:val="lowerRoman"/>
      <w:start w:val="2"/>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1)"/>
      <w:numFmt w:val="decimal"/>
      <w:start w:val="1"/>
    </w:lvl>
  </w:abstractNum>
  <w:abstractNum w:abstractNumId="113">
    <w:nsid w:val="5399C654"/>
    <w:multiLevelType w:val="hybridMultilevel"/>
    <w:lvl w:ilvl="0">
      <w:lvlJc w:val="left"/>
      <w:lvlText w:val="(%1)"/>
      <w:numFmt w:val="decimal"/>
      <w:start w:val="6"/>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
      <w:numFmt w:val="bullet"/>
      <w:start w:val="1"/>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
      <w:numFmt w:val="bullet"/>
      <w:start w:val="1"/>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
      <w:numFmt w:val="bullet"/>
      <w:start w:val="1"/>
    </w:lvl>
  </w:abstractNum>
  <w:abstractNum w:abstractNumId="124">
    <w:nsid w:val="4BEE5A5B"/>
    <w:multiLevelType w:val="hybridMultilevel"/>
    <w:lvl w:ilvl="0">
      <w:lvlJc w:val="left"/>
      <w:lvlText w:val="•"/>
      <w:numFmt w:val="bullet"/>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
      <w:numFmt w:val="bullet"/>
      <w:start w:val="1"/>
    </w:lvl>
  </w:abstractNum>
  <w:abstractNum w:abstractNumId="127">
    <w:nsid w:val="634C574C"/>
    <w:multiLevelType w:val="hybridMultilevel"/>
    <w:lvl w:ilvl="0">
      <w:lvlJc w:val="left"/>
      <w:lvlText w:val="%1)"/>
      <w:numFmt w:val="lowerLetter"/>
      <w:start w:val="1"/>
    </w:lvl>
  </w:abstractNum>
  <w:abstractNum w:abstractNumId="128">
    <w:nsid w:val="24E99DD7"/>
    <w:multiLevelType w:val="hybridMultilevel"/>
    <w:lvl w:ilvl="0">
      <w:lvlJc w:val="left"/>
      <w:lvlText w:val="%1)"/>
      <w:numFmt w:val="lowerLetter"/>
      <w:start w:val="2"/>
    </w:lvl>
  </w:abstractNum>
  <w:abstractNum w:abstractNumId="129">
    <w:nsid w:val="2A31B62D"/>
    <w:multiLevelType w:val="hybridMultilevel"/>
    <w:lvl w:ilvl="0">
      <w:lvlJc w:val="left"/>
      <w:lvlText w:val="%1)"/>
      <w:numFmt w:val="lowerLetter"/>
      <w:start w:val="1"/>
    </w:lvl>
  </w:abstractNum>
  <w:abstractNum w:abstractNumId="130">
    <w:nsid w:val="1849C29B"/>
    <w:multiLevelType w:val="hybridMultilevel"/>
    <w:lvl w:ilvl="0">
      <w:lvlJc w:val="left"/>
      <w:lvlText w:val="•"/>
      <w:numFmt w:val="bullet"/>
      <w:start w:val="1"/>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1)"/>
      <w:numFmt w:val="lowerRoman"/>
      <w:start w:val="1"/>
    </w:lvl>
  </w:abstractNum>
  <w:abstractNum w:abstractNumId="133">
    <w:nsid w:val="69E7F3E5"/>
    <w:multiLevelType w:val="hybridMultilevel"/>
    <w:lvl w:ilvl="0">
      <w:lvlJc w:val="left"/>
      <w:lvlText w:val="(%1)"/>
      <w:numFmt w:val="lowerRoman"/>
      <w:start w:val="1"/>
    </w:lvl>
  </w:abstractNum>
  <w:abstractNum w:abstractNumId="134">
    <w:nsid w:val="2A6DE806"/>
    <w:multiLevelType w:val="hybridMultilevel"/>
    <w:lvl w:ilvl="0">
      <w:lvlJc w:val="left"/>
      <w:lvlText w:val="(%1)"/>
      <w:numFmt w:val="lowerLetter"/>
      <w:start w:val="1"/>
    </w:lvl>
  </w:abstractNum>
  <w:abstractNum w:abstractNumId="135">
    <w:nsid w:val="1816F8C4"/>
    <w:multiLevelType w:val="hybridMultilevel"/>
    <w:lvl w:ilvl="0">
      <w:lvlJc w:val="left"/>
      <w:lvlText w:val="(%1)"/>
      <w:numFmt w:val="lowerRoman"/>
      <w:start w:val="8"/>
    </w:lvl>
  </w:abstractNum>
  <w:abstractNum w:abstractNumId="136">
    <w:nsid w:val="37DF2233"/>
    <w:multiLevelType w:val="hybridMultilevel"/>
    <w:lvl w:ilvl="0">
      <w:lvlJc w:val="left"/>
      <w:lvlText w:val="(%1)"/>
      <w:numFmt w:val="lowerRoman"/>
      <w:start w:val="1"/>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
      <w:numFmt w:val="bullet"/>
      <w:start w:val="1"/>
    </w:lvl>
  </w:abstractNum>
  <w:abstractNum w:abstractNumId="139">
    <w:nsid w:val="61E74EA3"/>
    <w:multiLevelType w:val="hybridMultilevel"/>
    <w:lvl w:ilvl="0">
      <w:lvlJc w:val="left"/>
      <w:lvlText w:val="%1."/>
      <w:numFmt w:val="decimal"/>
      <w:start w:val="1"/>
    </w:lvl>
  </w:abstractNum>
  <w:abstractNum w:abstractNumId="140">
    <w:nsid w:val="597B4D84"/>
    <w:multiLevelType w:val="hybridMultilevel"/>
    <w:lvl w:ilvl="0">
      <w:lvlJc w:val="left"/>
      <w:lvlText w:val="(%1)"/>
      <w:numFmt w:val="decimal"/>
      <w:start w:val="1"/>
    </w:lvl>
  </w:abstractNum>
  <w:abstractNum w:abstractNumId="141">
    <w:nsid w:val="F819E7F"/>
    <w:multiLevelType w:val="hybridMultilevel"/>
    <w:lvl w:ilvl="0">
      <w:lvlJc w:val="left"/>
      <w:lvlText w:val="(%1)"/>
      <w:numFmt w:val="decimal"/>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
      <w:numFmt w:val="bullet"/>
      <w:start w:val="1"/>
    </w:lvl>
  </w:abstractNum>
  <w:abstractNum w:abstractNumId="144">
    <w:nsid w:val="631B64D4"/>
    <w:multiLevelType w:val="hybridMultilevel"/>
    <w:lvl w:ilvl="0">
      <w:lvlJc w:val="left"/>
      <w:lvlText w:val="•"/>
      <w:numFmt w:val="bullet"/>
      <w:start w:val="1"/>
    </w:lvl>
  </w:abstractNum>
  <w:abstractNum w:abstractNumId="145">
    <w:nsid w:val="78B5E776"/>
    <w:multiLevelType w:val="hybridMultilevel"/>
    <w:lvl w:ilvl="0">
      <w:lvlJc w:val="left"/>
      <w:lvlText w:val="#"/>
      <w:numFmt w:val="bullet"/>
      <w:start w:val="1"/>
    </w:lvl>
  </w:abstractNum>
  <w:abstractNum w:abstractNumId="146">
    <w:nsid w:val="75486E47"/>
    <w:multiLevelType w:val="hybridMultilevel"/>
    <w:lvl w:ilvl="0">
      <w:lvlJc w:val="left"/>
      <w:lvlText w:val="†"/>
      <w:numFmt w:val="bullet"/>
      <w:start w:val="1"/>
    </w:lvl>
  </w:abstractNum>
  <w:abstractNum w:abstractNumId="147">
    <w:nsid w:val="6E534CDE"/>
    <w:multiLevelType w:val="hybridMultilevel"/>
    <w:lvl w:ilvl="0">
      <w:lvlJc w:val="left"/>
      <w:lvlText w:val="(%1)"/>
      <w:numFmt w:val="lowerLetter"/>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167" Type="http://schemas.openxmlformats.org/officeDocument/2006/relationships/hyperlink" Target="https://www.sec.gov/Archives/edgar/data/0001476840/000162828021020900/exhibit11-sx1a2.htm" TargetMode="External"/><Relationship Id="rId168" Type="http://schemas.openxmlformats.org/officeDocument/2006/relationships/hyperlink" Target="https://www.sec.gov/Archives/edgar/data/0001476840/000162828021020900/exhibit31-sx1a2.htm" TargetMode="External"/><Relationship Id="rId169" Type="http://schemas.openxmlformats.org/officeDocument/2006/relationships/hyperlink" Target="https://www.sec.gov/Archives/edgar/data/0001476840/000162828021020900/exhibit32-sx1a2.htm" TargetMode="External"/><Relationship Id="rId170" Type="http://schemas.openxmlformats.org/officeDocument/2006/relationships/hyperlink" Target="https://www.sec.gov/Archives/edgar/data/0001476840/000162828021020900/exhibit33-sx1a2.htm" TargetMode="External"/><Relationship Id="rId171" Type="http://schemas.openxmlformats.org/officeDocument/2006/relationships/hyperlink" Target="https://www.sec.gov/Archives/edgar/data/0001476840/000162828021020900/exhibit34-sx1a2.htm" TargetMode="External"/><Relationship Id="rId172" Type="http://schemas.openxmlformats.org/officeDocument/2006/relationships/hyperlink" Target="https://www.sec.gov/Archives/edgar/data/0001476840/000162828021020900/exhibit35-sx1a2.htm" TargetMode="External"/><Relationship Id="rId173" Type="http://schemas.openxmlformats.org/officeDocument/2006/relationships/hyperlink" Target="https://www.sec.gov/Archives/edgar/data/0001476840/000162828021020900/exhibit41-sx1a2.htm" TargetMode="External"/><Relationship Id="rId174" Type="http://schemas.openxmlformats.org/officeDocument/2006/relationships/hyperlink" Target="https://www.sec.gov/Archives/edgar/data/1476840/000162828021020137/exhibit42-sx1a1.htm" TargetMode="External"/><Relationship Id="rId175" Type="http://schemas.openxmlformats.org/officeDocument/2006/relationships/hyperlink" Target="https://www.sec.gov/Archives/edgar/data/1476840/000162828021020137/exhibit43-sx1a1.htm" TargetMode="External"/><Relationship Id="rId176" Type="http://schemas.openxmlformats.org/officeDocument/2006/relationships/hyperlink" Target="https://www.sec.gov/Archives/edgar/data/1476840/000162828021020137/exhibit44-sx1a1.htm" TargetMode="External"/><Relationship Id="rId177" Type="http://schemas.openxmlformats.org/officeDocument/2006/relationships/hyperlink" Target="https://www.sec.gov/Archives/edgar/data/0001476840/000162828021020900/exhibit51-sx1a2.htm" TargetMode="External"/><Relationship Id="rId178" Type="http://schemas.openxmlformats.org/officeDocument/2006/relationships/hyperlink" Target="https://www.sec.gov/Archives/edgar/data/1476840/000162828021020137/exhibit91-sx1a1.htm" TargetMode="External"/><Relationship Id="rId179" Type="http://schemas.openxmlformats.org/officeDocument/2006/relationships/hyperlink" Target="https://www.sec.gov/Archives/edgar/data/1476840/000162828021020137/exhibit101-sx1a1.htm" TargetMode="External"/><Relationship Id="rId180" Type="http://schemas.openxmlformats.org/officeDocument/2006/relationships/hyperlink" Target="https://www.sec.gov/Archives/edgar/data/1476840/000162828021020137/exhibit102-sx1a1.htm" TargetMode="External"/><Relationship Id="rId181" Type="http://schemas.openxmlformats.org/officeDocument/2006/relationships/hyperlink" Target="https://www.sec.gov/Archives/edgar/data/1476840/000162828021020137/exhibit103-sx1a1.htm" TargetMode="External"/><Relationship Id="rId182" Type="http://schemas.openxmlformats.org/officeDocument/2006/relationships/hyperlink" Target="https://www.sec.gov/Archives/edgar/data/1476840/000162828021020137/exhibit104-sx1a1.htm" TargetMode="External"/><Relationship Id="rId183" Type="http://schemas.openxmlformats.org/officeDocument/2006/relationships/hyperlink" Target="https://www.sec.gov/Archives/edgar/data/1476840/000162828021020137/exhibit105-sx1a1.htm" TargetMode="External"/><Relationship Id="rId184" Type="http://schemas.openxmlformats.org/officeDocument/2006/relationships/hyperlink" Target="https://www.sec.gov/Archives/edgar/data/0001476840/000162828021020900/exhibit106-sx1a2.htm" TargetMode="External"/><Relationship Id="rId185" Type="http://schemas.openxmlformats.org/officeDocument/2006/relationships/hyperlink" Target="https://www.sec.gov/Archives/edgar/data/0001476840/000162828021020900/exhibit107-sx1a2.htm" TargetMode="External"/><Relationship Id="rId186" Type="http://schemas.openxmlformats.org/officeDocument/2006/relationships/hyperlink" Target="https://www.sec.gov/Archives/edgar/data/0001476840/000162828021020900/exhibit108-sx1a2.htm" TargetMode="External"/><Relationship Id="rId187" Type="http://schemas.openxmlformats.org/officeDocument/2006/relationships/hyperlink" Target="https://www.sec.gov/Archives/edgar/data/0001476840/000162828021020900/exhibit109-sx1a2.htm" TargetMode="External"/><Relationship Id="rId188" Type="http://schemas.openxmlformats.org/officeDocument/2006/relationships/hyperlink" Target="https://www.sec.gov/Archives/edgar/data/0001476840/000162828021020900/exhibit1010-sx1a2.htm" TargetMode="External"/><Relationship Id="rId189" Type="http://schemas.openxmlformats.org/officeDocument/2006/relationships/hyperlink" Target="https://www.sec.gov/Archives/edgar/data/0001476840/000162828021020900/exhibit1011s-1a2.htm" TargetMode="External"/><Relationship Id="rId190" Type="http://schemas.openxmlformats.org/officeDocument/2006/relationships/hyperlink" Target="https://www.sec.gov/Archives/edgar/data/0001476840/000162828021020900/exhibit1012-sx1a2.htm" TargetMode="External"/><Relationship Id="rId191" Type="http://schemas.openxmlformats.org/officeDocument/2006/relationships/hyperlink" Target="https://www.sec.gov/Archives/edgar/data/0001476840/000162828021020900/exhibit1013-sx1a2.htm" TargetMode="External"/><Relationship Id="rId192" Type="http://schemas.openxmlformats.org/officeDocument/2006/relationships/hyperlink" Target="https://www.sec.gov/Archives/edgar/data/0001476840/000162828021020900/exhibit1014-sx1a2.htm" TargetMode="External"/><Relationship Id="rId193" Type="http://schemas.openxmlformats.org/officeDocument/2006/relationships/hyperlink" Target="https://www.sec.gov/Archives/edgar/data/0001476840/000162828021020900/exhibit1015-sx1a2.htm" TargetMode="External"/><Relationship Id="rId194" Type="http://schemas.openxmlformats.org/officeDocument/2006/relationships/hyperlink" Target="https://www.sec.gov/Archives/edgar/data/0001476840/000162828021020900/exhibit1016-sx1a2.htm" TargetMode="External"/><Relationship Id="rId195" Type="http://schemas.openxmlformats.org/officeDocument/2006/relationships/hyperlink" Target="https://www.sec.gov/Archives/edgar/data/0001476840/000162828021020900/exhibit1017-sx1a2.htm" TargetMode="External"/><Relationship Id="rId196" Type="http://schemas.openxmlformats.org/officeDocument/2006/relationships/hyperlink" Target="https://www.sec.gov/Archives/edgar/data/0001476840/000162828021020900/exhibit1018-sx1a2.htm" TargetMode="External"/><Relationship Id="rId197" Type="http://schemas.openxmlformats.org/officeDocument/2006/relationships/hyperlink" Target="https://www.sec.gov/Archives/edgar/data/0001476840/000162828021020900/exhibit1019-sx1a2.htm" TargetMode="External"/><Relationship Id="rId198" Type="http://schemas.openxmlformats.org/officeDocument/2006/relationships/hyperlink" Target="https://www.sec.gov/Archives/edgar/data/0001476840/000162828021020900/exhibit1020-sx1a2.htm" TargetMode="External"/><Relationship Id="rId199" Type="http://schemas.openxmlformats.org/officeDocument/2006/relationships/hyperlink" Target="https://www.sec.gov/Archives/edgar/data/0001476840/000162828021020900/exhibit1021-sx1a2.htm" TargetMode="External"/><Relationship Id="rId200" Type="http://schemas.openxmlformats.org/officeDocument/2006/relationships/hyperlink" Target="https://www.sec.gov/Archives/edgar/data/0001476840/000162828021020900/exhibit1022-sx1a2.htm" TargetMode="External"/><Relationship Id="rId201" Type="http://schemas.openxmlformats.org/officeDocument/2006/relationships/hyperlink" Target="https://www.sec.gov/Archives/edgar/data/0001476840/000162828021020900/exhibit1023-sx1a2.htm" TargetMode="External"/><Relationship Id="rId202" Type="http://schemas.openxmlformats.org/officeDocument/2006/relationships/hyperlink" Target="https://www.sec.gov/Archives/edgar/data/1476840/000162828021020137/exhibit991-sx1a1.htm" TargetMode="External"/><Relationship Id="rId203" Type="http://schemas.openxmlformats.org/officeDocument/2006/relationships/hyperlink" Target="https://www.sec.gov/Archives/edgar/data/1476840/000162828021020137/exhibit992-sx1a1.htm" TargetMode="External"/><Relationship Id="rId204" Type="http://schemas.openxmlformats.org/officeDocument/2006/relationships/hyperlink" Target="https://www.sec.gov/Archives/edgar/data/1476840/000162828021020137/exhibit993-sx1a1.htm" TargetMode="External"/><Relationship Id="rId205" Type="http://schemas.openxmlformats.org/officeDocument/2006/relationships/hyperlink" Target="https://www.sec.gov/Archives/edgar/data/1476840/000162828021020137/exhibit994-sx1a1.htm" TargetMode="External"/><Relationship Id="rId206" Type="http://schemas.openxmlformats.org/officeDocument/2006/relationships/hyperlink" Target="https://www.sec.gov/Archives/edgar/data/1476840/000162828021020137/exhibit995-sx1a1.htm" TargetMode="External"/><Relationship Id="rId207" Type="http://schemas.openxmlformats.org/officeDocument/2006/relationships/hyperlink" Target="https://www.sec.gov/Archives/edgar/data/1476840/000162828021020137/exhibit996-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2021-11-08T09:00:09Z</dcterms:created>
  <dcterms:modified xsi:type="dcterms:W3CDTF">2021-11-08T09:00:09Z</dcterms:modified>
</cp:coreProperties>
</file>