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6963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6963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Barrett David Michael</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12/14/2022</w:t>
      </w:r>
    </w:p>
    <w:p>
      <w:pPr>
        <w:spacing w:after="0" w:line="20" w:lineRule="exact"/>
        <w:rPr>
          <w:sz w:val="24"/>
          <w:szCs w:val="24"/>
          <w:color w:val="auto"/>
        </w:rPr>
      </w:pPr>
      <w:r>
        <w:rPr>
          <w:sz w:val="24"/>
          <w:szCs w:val="24"/>
          <w:color w:val="auto"/>
        </w:rPr>
        <w:br w:type="column"/>
      </w: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6"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86"/>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398" w:lineRule="exact"/>
        <w:rPr>
          <w:sz w:val="24"/>
          <w:szCs w:val="24"/>
          <w:color w:val="auto"/>
        </w:rPr>
      </w:pPr>
    </w:p>
    <w:p>
      <w:pPr>
        <w:sectPr>
          <w:pgSz w:w="11900" w:h="16838" w:orient="portrait"/>
          <w:cols w:equalWidth="0" w:num="3">
            <w:col w:w="3180" w:space="720"/>
            <w:col w:w="3114" w:space="720"/>
            <w:col w:w="3346"/>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97204</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4"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jc w:val="center"/>
              <w:ind w:left="609"/>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629"/>
              <w:spacing w:after="0"/>
              <w:rPr>
                <w:sz w:val="20"/>
                <w:szCs w:val="20"/>
                <w:color w:val="auto"/>
              </w:rPr>
            </w:pPr>
            <w:r>
              <w:rPr>
                <w:rFonts w:ascii="Times New Roman" w:cs="Times New Roman" w:eastAsia="Times New Roman" w:hAnsi="Times New Roman"/>
                <w:sz w:val="16"/>
                <w:szCs w:val="16"/>
                <w:color w:val="0000FF"/>
              </w:rPr>
              <w:t>12/14/2022</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rPr>
              <w:t>30,000</w:t>
            </w:r>
          </w:p>
        </w:tc>
        <w:tc>
          <w:tcPr>
            <w:tcW w:w="64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9.56</w:t>
            </w:r>
            <w:r>
              <w:rPr>
                <w:rFonts w:ascii="Times New Roman" w:cs="Times New Roman" w:eastAsia="Times New Roman" w:hAnsi="Times New Roman"/>
                <w:sz w:val="21"/>
                <w:szCs w:val="21"/>
                <w:color w:val="008000"/>
                <w:w w:val="93"/>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3,501,331</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top w:val="single" w:sz="8" w:color="2C2C2C"/>
              <w:bottom w:val="single" w:sz="8" w:color="2C2C2C"/>
            </w:tcBorders>
            <w:gridSpan w:val="2"/>
          </w:tcPr>
          <w:p>
            <w:pPr>
              <w:jc w:val="center"/>
              <w:ind w:left="629"/>
              <w:spacing w:after="0"/>
              <w:rPr>
                <w:sz w:val="20"/>
                <w:szCs w:val="20"/>
                <w:color w:val="auto"/>
              </w:rPr>
            </w:pPr>
            <w:r>
              <w:rPr>
                <w:rFonts w:ascii="Times New Roman" w:cs="Times New Roman" w:eastAsia="Times New Roman" w:hAnsi="Times New Roman"/>
                <w:sz w:val="16"/>
                <w:szCs w:val="16"/>
                <w:color w:val="0000FF"/>
              </w:rPr>
              <w:t>12/15/2022</w:t>
            </w:r>
          </w:p>
        </w:tc>
        <w:tc>
          <w:tcPr>
            <w:tcW w:w="5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w w:val="84"/>
              </w:rPr>
              <w:t>A</w:t>
            </w:r>
          </w:p>
        </w:tc>
        <w:tc>
          <w:tcPr>
            <w:tcW w:w="740" w:type="dxa"/>
            <w:vAlign w:val="bottom"/>
            <w:tcBorders>
              <w:top w:val="single" w:sz="8" w:color="2C2C2C"/>
              <w:bottom w:val="single" w:sz="8" w:color="2C2C2C"/>
            </w:tcBorders>
          </w:tcPr>
          <w:p>
            <w:pPr>
              <w:jc w:val="center"/>
              <w:ind w:left="53"/>
              <w:spacing w:after="0"/>
              <w:rPr>
                <w:sz w:val="20"/>
                <w:szCs w:val="20"/>
                <w:color w:val="auto"/>
              </w:rPr>
            </w:pPr>
            <w:r>
              <w:rPr>
                <w:rFonts w:ascii="Times New Roman" w:cs="Times New Roman" w:eastAsia="Times New Roman" w:hAnsi="Times New Roman"/>
                <w:sz w:val="16"/>
                <w:szCs w:val="16"/>
                <w:color w:val="0000FF"/>
                <w:w w:val="96"/>
              </w:rPr>
              <w:t>20,425</w:t>
            </w:r>
            <w:r>
              <w:rPr>
                <w:rFonts w:ascii="Times New Roman" w:cs="Times New Roman" w:eastAsia="Times New Roman" w:hAnsi="Times New Roman"/>
                <w:sz w:val="21"/>
                <w:szCs w:val="21"/>
                <w:color w:val="008000"/>
                <w:w w:val="96"/>
                <w:vertAlign w:val="superscript"/>
              </w:rPr>
              <w:t>(4)</w:t>
            </w:r>
          </w:p>
        </w:tc>
        <w:tc>
          <w:tcPr>
            <w:tcW w:w="640" w:type="dxa"/>
            <w:vAlign w:val="bottom"/>
            <w:tcBorders>
              <w:top w:val="single" w:sz="8" w:color="2C2C2C"/>
              <w:bottom w:val="single" w:sz="8" w:color="2C2C2C"/>
            </w:tcBorders>
          </w:tcPr>
          <w:p>
            <w:pPr>
              <w:jc w:val="center"/>
              <w:ind w:left="1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9.51</w:t>
            </w:r>
          </w:p>
        </w:tc>
        <w:tc>
          <w:tcPr>
            <w:tcW w:w="4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41,920</w:t>
            </w:r>
          </w:p>
        </w:tc>
        <w:tc>
          <w:tcPr>
            <w:tcW w:w="3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jc w:val="center"/>
              <w:ind w:left="629"/>
              <w:spacing w:after="0"/>
              <w:rPr>
                <w:sz w:val="20"/>
                <w:szCs w:val="20"/>
                <w:color w:val="auto"/>
              </w:rPr>
            </w:pPr>
            <w:r>
              <w:rPr>
                <w:rFonts w:ascii="Times New Roman" w:cs="Times New Roman" w:eastAsia="Times New Roman" w:hAnsi="Times New Roman"/>
                <w:sz w:val="16"/>
                <w:szCs w:val="16"/>
                <w:color w:val="0000FF"/>
              </w:rPr>
              <w:t>12/15/2022</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w w:val="84"/>
              </w:rPr>
              <w:t>A</w:t>
            </w:r>
          </w:p>
        </w:tc>
        <w:tc>
          <w:tcPr>
            <w:tcW w:w="74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6"/>
                <w:szCs w:val="16"/>
                <w:color w:val="0000FF"/>
                <w:w w:val="95"/>
              </w:rPr>
              <w:t>2,221</w:t>
            </w:r>
            <w:r>
              <w:rPr>
                <w:rFonts w:ascii="Times New Roman" w:cs="Times New Roman" w:eastAsia="Times New Roman" w:hAnsi="Times New Roman"/>
                <w:sz w:val="21"/>
                <w:szCs w:val="21"/>
                <w:color w:val="008000"/>
                <w:w w:val="95"/>
                <w:vertAlign w:val="superscript"/>
              </w:rPr>
              <w:t>(5)</w:t>
            </w:r>
          </w:p>
        </w:tc>
        <w:tc>
          <w:tcPr>
            <w:tcW w:w="64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44,141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tcPr>
          <w:p>
            <w:pPr>
              <w:jc w:val="center"/>
              <w:ind w:left="629"/>
              <w:spacing w:after="0"/>
              <w:rPr>
                <w:sz w:val="20"/>
                <w:szCs w:val="20"/>
                <w:color w:val="auto"/>
              </w:rPr>
            </w:pPr>
            <w:r>
              <w:rPr>
                <w:rFonts w:ascii="Times New Roman" w:cs="Times New Roman" w:eastAsia="Times New Roman" w:hAnsi="Times New Roman"/>
                <w:sz w:val="16"/>
                <w:szCs w:val="16"/>
                <w:color w:val="0000FF"/>
              </w:rPr>
              <w:t>12/15/2022</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3"/>
              <w:spacing w:after="0"/>
              <w:rPr>
                <w:sz w:val="20"/>
                <w:szCs w:val="20"/>
                <w:color w:val="auto"/>
              </w:rPr>
            </w:pPr>
            <w:r>
              <w:rPr>
                <w:rFonts w:ascii="Times New Roman" w:cs="Times New Roman" w:eastAsia="Times New Roman" w:hAnsi="Times New Roman"/>
                <w:sz w:val="16"/>
                <w:szCs w:val="16"/>
                <w:color w:val="0000FF"/>
              </w:rPr>
              <w:t>14,463</w:t>
            </w:r>
          </w:p>
        </w:tc>
        <w:tc>
          <w:tcPr>
            <w:tcW w:w="640" w:type="dxa"/>
            <w:vAlign w:val="bottom"/>
          </w:tcPr>
          <w:p>
            <w:pPr>
              <w:jc w:val="center"/>
              <w:ind w:left="1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4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58,604</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tcPr>
          <w:p>
            <w:pPr>
              <w:jc w:val="center"/>
              <w:ind w:left="629"/>
              <w:spacing w:after="0"/>
              <w:rPr>
                <w:sz w:val="20"/>
                <w:szCs w:val="20"/>
                <w:color w:val="auto"/>
              </w:rPr>
            </w:pPr>
            <w:r>
              <w:rPr>
                <w:rFonts w:ascii="Times New Roman" w:cs="Times New Roman" w:eastAsia="Times New Roman" w:hAnsi="Times New Roman"/>
                <w:sz w:val="16"/>
                <w:szCs w:val="16"/>
                <w:color w:val="0000FF"/>
              </w:rPr>
              <w:t>12/15/2022</w:t>
            </w: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53"/>
              <w:spacing w:after="0"/>
              <w:rPr>
                <w:sz w:val="20"/>
                <w:szCs w:val="20"/>
                <w:color w:val="auto"/>
              </w:rPr>
            </w:pPr>
            <w:r>
              <w:rPr>
                <w:rFonts w:ascii="Times New Roman" w:cs="Times New Roman" w:eastAsia="Times New Roman" w:hAnsi="Times New Roman"/>
                <w:sz w:val="16"/>
                <w:szCs w:val="16"/>
                <w:color w:val="0000FF"/>
              </w:rPr>
              <w:t>13,726</w:t>
            </w:r>
          </w:p>
        </w:tc>
        <w:tc>
          <w:tcPr>
            <w:tcW w:w="640" w:type="dxa"/>
            <w:vAlign w:val="bottom"/>
          </w:tcPr>
          <w:p>
            <w:pPr>
              <w:jc w:val="center"/>
              <w:ind w:left="15"/>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9.3</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44,878</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629"/>
              <w:spacing w:after="0"/>
              <w:rPr>
                <w:sz w:val="20"/>
                <w:szCs w:val="20"/>
                <w:color w:val="auto"/>
              </w:rPr>
            </w:pPr>
            <w:r>
              <w:rPr>
                <w:rFonts w:ascii="Times New Roman" w:cs="Times New Roman" w:eastAsia="Times New Roman" w:hAnsi="Times New Roman"/>
                <w:sz w:val="16"/>
                <w:szCs w:val="16"/>
                <w:color w:val="0000FF"/>
              </w:rPr>
              <w:t>12/15/2022</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Times New Roman" w:cs="Times New Roman" w:eastAsia="Times New Roman" w:hAnsi="Times New Roman"/>
                <w:sz w:val="13"/>
                <w:szCs w:val="13"/>
                <w:color w:val="0000FF"/>
                <w:w w:val="91"/>
              </w:rPr>
              <w:t>C</w:t>
            </w:r>
          </w:p>
        </w:tc>
        <w:tc>
          <w:tcPr>
            <w:tcW w:w="74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rPr>
              <w:t>672</w:t>
            </w:r>
          </w:p>
        </w:tc>
        <w:tc>
          <w:tcPr>
            <w:tcW w:w="64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40" w:type="dxa"/>
            <w:vAlign w:val="bottom"/>
          </w:tcPr>
          <w:p>
            <w:pPr>
              <w:spacing w:after="0"/>
              <w:rPr>
                <w:sz w:val="20"/>
                <w:szCs w:val="20"/>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3,502,003</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40" w:type="dxa"/>
            <w:vAlign w:val="bottom"/>
          </w:tcPr>
          <w:p>
            <w:pPr>
              <w:spacing w:after="0"/>
              <w:rPr>
                <w:sz w:val="15"/>
                <w:szCs w:val="15"/>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12/15/2022</w:t>
            </w:r>
          </w:p>
        </w:tc>
        <w:tc>
          <w:tcPr>
            <w:tcW w:w="1060" w:type="dxa"/>
            <w:vAlign w:val="bottom"/>
          </w:tcPr>
          <w:p>
            <w:pPr>
              <w:spacing w:after="0"/>
              <w:rPr>
                <w:sz w:val="12"/>
                <w:szCs w:val="12"/>
                <w:color w:val="auto"/>
              </w:rPr>
            </w:pPr>
          </w:p>
        </w:tc>
        <w:tc>
          <w:tcPr>
            <w:tcW w:w="74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14,463</w:t>
            </w:r>
          </w:p>
        </w:tc>
        <w:tc>
          <w:tcPr>
            <w:tcW w:w="760" w:type="dxa"/>
            <w:vAlign w:val="bottom"/>
            <w:vMerge w:val="continue"/>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12/15/2029</w:t>
            </w:r>
          </w:p>
        </w:tc>
        <w:tc>
          <w:tcPr>
            <w:tcW w:w="640" w:type="dxa"/>
            <w:vAlign w:val="bottom"/>
          </w:tcPr>
          <w:p>
            <w:pPr>
              <w:jc w:val="center"/>
              <w:ind w:right="15"/>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390,504</w:t>
            </w:r>
          </w:p>
        </w:tc>
        <w:tc>
          <w:tcPr>
            <w:tcW w:w="620" w:type="dxa"/>
            <w:vAlign w:val="bottom"/>
          </w:tcPr>
          <w:p>
            <w:pPr>
              <w:jc w:val="center"/>
              <w:ind w:left="32"/>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40" w:type="dxa"/>
            <w:vAlign w:val="bottom"/>
          </w:tcPr>
          <w:p>
            <w:pPr>
              <w:spacing w:after="0"/>
              <w:rPr>
                <w:sz w:val="15"/>
                <w:szCs w:val="15"/>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12/15/2022</w:t>
            </w:r>
          </w:p>
        </w:tc>
        <w:tc>
          <w:tcPr>
            <w:tcW w:w="1060" w:type="dxa"/>
            <w:vAlign w:val="bottom"/>
          </w:tcPr>
          <w:p>
            <w:pPr>
              <w:spacing w:after="0"/>
              <w:rPr>
                <w:sz w:val="12"/>
                <w:szCs w:val="12"/>
                <w:color w:val="auto"/>
              </w:rPr>
            </w:pPr>
          </w:p>
        </w:tc>
        <w:tc>
          <w:tcPr>
            <w:tcW w:w="74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14,463</w:t>
            </w:r>
          </w:p>
        </w:tc>
        <w:tc>
          <w:tcPr>
            <w:tcW w:w="760" w:type="dxa"/>
            <w:vAlign w:val="bottom"/>
            <w:vMerge w:val="continue"/>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12/15/2029</w:t>
            </w:r>
          </w:p>
        </w:tc>
        <w:tc>
          <w:tcPr>
            <w:tcW w:w="640" w:type="dxa"/>
            <w:vAlign w:val="bottom"/>
          </w:tcPr>
          <w:p>
            <w:pPr>
              <w:jc w:val="center"/>
              <w:ind w:right="15"/>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390,504</w:t>
            </w:r>
          </w:p>
        </w:tc>
        <w:tc>
          <w:tcPr>
            <w:tcW w:w="620" w:type="dxa"/>
            <w:vAlign w:val="bottom"/>
          </w:tcPr>
          <w:p>
            <w:pPr>
              <w:jc w:val="center"/>
              <w:ind w:left="32"/>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(10)</w:t>
            </w: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12/15/2022</w:t>
            </w:r>
          </w:p>
        </w:tc>
        <w:tc>
          <w:tcPr>
            <w:tcW w:w="106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14,463</w:t>
            </w:r>
          </w:p>
        </w:tc>
        <w:tc>
          <w:tcPr>
            <w:tcW w:w="5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72,316</w:t>
            </w:r>
          </w:p>
        </w:tc>
        <w:tc>
          <w:tcPr>
            <w:tcW w:w="62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0000FF"/>
                <w:w w:val="91"/>
              </w:rPr>
              <w:t>I</w:t>
            </w:r>
          </w:p>
        </w:tc>
        <w:tc>
          <w:tcPr>
            <w:tcW w:w="8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tcBorders>
              <w:right w:val="single" w:sz="8" w:color="2C2C2C"/>
            </w:tcBorders>
            <w:gridSpan w:val="3"/>
          </w:tcPr>
          <w:p>
            <w:pPr>
              <w:ind w:left="160"/>
              <w:spacing w:after="0" w:line="107"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87"/>
              </w:rPr>
              <w:t>(10)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12/15/2022</w:t>
            </w:r>
          </w:p>
        </w:tc>
        <w:tc>
          <w:tcPr>
            <w:tcW w:w="1060" w:type="dxa"/>
            <w:vAlign w:val="bottom"/>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540" w:type="dxa"/>
            <w:vAlign w:val="bottom"/>
          </w:tcPr>
          <w:p>
            <w:pPr>
              <w:spacing w:after="0"/>
              <w:rPr>
                <w:sz w:val="24"/>
                <w:szCs w:val="24"/>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672</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87"/>
              </w:rPr>
              <w:t>(10)</w:t>
            </w: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672</w:t>
            </w:r>
          </w:p>
        </w:tc>
        <w:tc>
          <w:tcPr>
            <w:tcW w:w="40" w:type="dxa"/>
            <w:vAlign w:val="bottom"/>
          </w:tcPr>
          <w:p>
            <w:pPr>
              <w:spacing w:after="0"/>
              <w:rPr>
                <w:sz w:val="24"/>
                <w:szCs w:val="24"/>
                <w:color w:val="auto"/>
              </w:rPr>
            </w:pPr>
          </w:p>
        </w:tc>
        <w:tc>
          <w:tcPr>
            <w:tcW w:w="6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3,585,277</w:t>
            </w:r>
          </w:p>
        </w:tc>
        <w:tc>
          <w:tcPr>
            <w:tcW w:w="62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0000FF"/>
                <w:w w:val="91"/>
              </w:rPr>
              <w:t>I</w:t>
            </w:r>
          </w:p>
        </w:tc>
        <w:tc>
          <w:tcPr>
            <w:tcW w:w="84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ind w:left="60"/>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7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jc w:val="center"/>
              <w:ind w:right="15"/>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5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tcPr>
          <w:p>
            <w:pPr>
              <w:ind w:left="160"/>
              <w:spacing w:after="0" w:line="52" w:lineRule="exact"/>
              <w:rPr>
                <w:sz w:val="20"/>
                <w:szCs w:val="20"/>
                <w:color w:val="auto"/>
              </w:rPr>
            </w:pPr>
            <w:r>
              <w:rPr>
                <w:rFonts w:ascii="Times New Roman" w:cs="Times New Roman" w:eastAsia="Times New Roman" w:hAnsi="Times New Roman"/>
                <w:sz w:val="6"/>
                <w:szCs w:val="6"/>
                <w:color w:val="008000"/>
              </w:rPr>
              <w:t>(11)</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-2853690</wp:posOffset>
            </wp:positionV>
            <wp:extent cx="28575" cy="2858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587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June 10, 2022.</w:t>
      </w:r>
    </w:p>
    <w:p>
      <w:pPr>
        <w:spacing w:after="0" w:line="40" w:lineRule="exact"/>
        <w:rPr>
          <w:rFonts w:ascii="Times New Roman" w:cs="Times New Roman" w:eastAsia="Times New Roman" w:hAnsi="Times New Roman"/>
          <w:sz w:val="13"/>
          <w:szCs w:val="13"/>
          <w:color w:val="008000"/>
        </w:rPr>
      </w:pPr>
    </w:p>
    <w:p>
      <w:pPr>
        <w:ind w:left="40" w:right="32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$9.34 to $9.70,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40" w:right="3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David Barrett Trust LLC, a manager-managed limited liability company. The investment and voting decisions of David Barrett Trust LLC are made by its manager, the Reporting Person, and its controlling member is the Barrett Family Trust, for which the Reporting Person serves as trustee.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Class A common stock. This transaction represents the settlement of vested RSUs in shares of Class A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LT50 Common Stock converted into Class A Common Stock on a one-for-one basis.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LT50 common stock. This transaction represents the settlement of vested RSUs in shares of LT50 Common Stock.</w:t>
      </w:r>
    </w:p>
    <w:p>
      <w:pPr>
        <w:spacing w:after="0" w:line="40" w:lineRule="exact"/>
        <w:rPr>
          <w:rFonts w:ascii="Times New Roman" w:cs="Times New Roman" w:eastAsia="Times New Roman" w:hAnsi="Times New Roman"/>
          <w:sz w:val="13"/>
          <w:szCs w:val="13"/>
          <w:color w:val="008000"/>
        </w:rPr>
      </w:pPr>
    </w:p>
    <w:p>
      <w:pPr>
        <w:ind w:left="40" w:right="380" w:hanging="1"/>
        <w:spacing w:after="0" w:line="237" w:lineRule="auto"/>
        <w:tabs>
          <w:tab w:leader="none" w:pos="2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81"/>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Ryan Schaffer, as attorney-</w:t>
            </w: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8"/>
              </w:rPr>
              <w:t>12/15/2022</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2639" w:hanging="1"/>
        <w:spacing w:after="0" w:line="33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2022-12-19T18:43:19Z</dcterms:created>
  <dcterms:modified xsi:type="dcterms:W3CDTF">2022-12-19T18:43:19Z</dcterms:modified>
</cp:coreProperties>
</file>