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McLaughlin Steven J.</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(Last)</w:t>
            </w:r>
          </w:p>
        </w:tc>
        <w:tc>
          <w:tcPr>
            <w:tcW w:w="1180" w:type="dxa"/>
            <w:vAlign w:val="bottom"/>
          </w:tcPr>
          <w:p>
            <w:pPr>
              <w:ind w:left="32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1521 ALTON RD., #345</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MIAMI</w:t>
            </w:r>
          </w:p>
        </w:tc>
        <w:tc>
          <w:tcPr>
            <w:tcW w:w="11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5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33139</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BEACH</w:t>
            </w:r>
          </w:p>
        </w:tc>
        <w:tc>
          <w:tcPr>
            <w:tcW w:w="118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32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4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3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04/25/2024</w:t>
            </w:r>
          </w:p>
        </w:tc>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3"/>
          </w:tcPr>
          <w:p>
            <w:pPr>
              <w:ind w:left="4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500" w:type="dxa"/>
            <w:vAlign w:val="bottom"/>
            <w:gridSpan w:val="3"/>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3"/>
            <w:vMerge w:val="restart"/>
          </w:tcPr>
          <w:p>
            <w:pPr>
              <w:ind w:left="540"/>
              <w:spacing w:after="0"/>
              <w:rPr>
                <w:sz w:val="20"/>
                <w:szCs w:val="20"/>
                <w:color w:val="auto"/>
              </w:rPr>
            </w:pPr>
            <w:r>
              <w:rPr>
                <w:rFonts w:ascii="Times New Roman" w:cs="Times New Roman" w:eastAsia="Times New Roman" w:hAnsi="Times New Roman"/>
                <w:sz w:val="17"/>
                <w:szCs w:val="17"/>
                <w:color w:val="0000FF"/>
              </w:rPr>
              <w:t>04/25/2024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color w:val="0000FF"/>
              </w:rPr>
              <w:t>17,511</w:t>
            </w:r>
          </w:p>
        </w:tc>
        <w:tc>
          <w:tcPr>
            <w:tcW w:w="4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1.59</w:t>
            </w:r>
            <w:r>
              <w:rPr>
                <w:rFonts w:ascii="Times New Roman" w:cs="Times New Roman" w:eastAsia="Times New Roman" w:hAnsi="Times New Roman"/>
                <w:sz w:val="22"/>
                <w:szCs w:val="22"/>
                <w:color w:val="008000"/>
                <w:vertAlign w:val="superscript"/>
              </w:rPr>
              <w:t>(1)</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9,015,636</w:t>
            </w:r>
          </w:p>
        </w:tc>
        <w:tc>
          <w:tcPr>
            <w:tcW w:w="32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gridSpan w:val="5"/>
            <w:vMerge w:val="continue"/>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3"/>
            <w:vMerge w:val="restart"/>
          </w:tcPr>
          <w:p>
            <w:pPr>
              <w:ind w:left="540"/>
              <w:spacing w:after="0"/>
              <w:rPr>
                <w:sz w:val="20"/>
                <w:szCs w:val="20"/>
                <w:color w:val="auto"/>
              </w:rPr>
            </w:pPr>
            <w:r>
              <w:rPr>
                <w:rFonts w:ascii="Times New Roman" w:cs="Times New Roman" w:eastAsia="Times New Roman" w:hAnsi="Times New Roman"/>
                <w:sz w:val="17"/>
                <w:szCs w:val="17"/>
                <w:color w:val="0000FF"/>
              </w:rPr>
              <w:t>04/26/2024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jc w:val="right"/>
              <w:ind w:right="193"/>
              <w:spacing w:after="0"/>
              <w:rPr>
                <w:sz w:val="20"/>
                <w:szCs w:val="20"/>
                <w:color w:val="auto"/>
              </w:rPr>
            </w:pPr>
            <w:r>
              <w:rPr>
                <w:rFonts w:ascii="Times New Roman" w:cs="Times New Roman" w:eastAsia="Times New Roman" w:hAnsi="Times New Roman"/>
                <w:sz w:val="17"/>
                <w:szCs w:val="17"/>
                <w:color w:val="0000FF"/>
              </w:rPr>
              <w:t>200</w:t>
            </w:r>
          </w:p>
        </w:tc>
        <w:tc>
          <w:tcPr>
            <w:tcW w:w="4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9,015,836</w:t>
            </w:r>
          </w:p>
        </w:tc>
        <w:tc>
          <w:tcPr>
            <w:tcW w:w="32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1,783,610</w:t>
            </w:r>
          </w:p>
        </w:tc>
        <w:tc>
          <w:tcPr>
            <w:tcW w:w="32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20" w:type="dxa"/>
            <w:vAlign w:val="bottom"/>
            <w:gridSpan w:val="17"/>
          </w:tcPr>
          <w:p>
            <w:pPr>
              <w:ind w:left="4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60" w:type="dxa"/>
            <w:vAlign w:val="bottom"/>
            <w:gridSpan w:val="13"/>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20" w:type="dxa"/>
            <w:vAlign w:val="bottom"/>
          </w:tcPr>
          <w:p>
            <w:pPr>
              <w:spacing w:after="0"/>
              <w:rPr>
                <w:sz w:val="11"/>
                <w:szCs w:val="11"/>
                <w:color w:val="auto"/>
              </w:rPr>
            </w:pP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3"/>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78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McLaughlin Steven J.</w:t>
              </w:r>
            </w:hyperlink>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1521 ALTON RD., #345</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MIAMI BEACH</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FL</w:t>
            </w:r>
          </w:p>
        </w:tc>
        <w:tc>
          <w:tcPr>
            <w:tcW w:w="7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33139</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3"/>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Steven J. McLaughlin Revocable Trust</w:t>
              </w:r>
            </w:hyperlink>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1521 ALTON RD. #345</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MIAMI BEACH</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FL</w:t>
            </w:r>
          </w:p>
        </w:tc>
        <w:tc>
          <w:tcPr>
            <w:tcW w:w="7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33139</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-5048250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34"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EXP 2020 SPV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-134620</wp:posOffset>
            </wp:positionV>
            <wp:extent cx="2809240" cy="3134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3134995"/>
                    </a:xfrm>
                    <a:prstGeom prst="rect">
                      <a:avLst/>
                    </a:prstGeom>
                    <a:noFill/>
                  </pic:spPr>
                </pic:pic>
              </a:graphicData>
            </a:graphic>
          </wp:anchor>
        </w:drawing>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1521 ALTON RD. #345</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MIAMI BEACH</w:t>
            </w: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FL</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33139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SF Roofdeck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1521 ALTON RD., #345</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MIAMI BEACH</w:t>
            </w: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FL</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33139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Weighted average purchase price for shares of Class A Common Stock purchased. Actual purchase price for shares purchased ranged from $1.55 to $1.60, inclusive. The Reporting Persons undertake to provide the Issuer, any security holder of the Issuer or the staff of the Securities and Exchange Commission full information regarding the number of shares purchased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owned directly by the Steven J. McLaughlin Revocable Trust (the "Trust"), of which Steven J. McLaughlin is the sole trustee.</w:t>
      </w:r>
    </w:p>
    <w:p>
      <w:pPr>
        <w:spacing w:after="0" w:line="50" w:lineRule="exact"/>
        <w:rPr>
          <w:rFonts w:ascii="Times New Roman" w:cs="Times New Roman" w:eastAsia="Times New Roman" w:hAnsi="Times New Roman"/>
          <w:sz w:val="13"/>
          <w:szCs w:val="13"/>
          <w:color w:val="008000"/>
        </w:rPr>
      </w:pPr>
    </w:p>
    <w:p>
      <w:pPr>
        <w:ind w:left="20" w:right="14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owned directly by EXP 2020 SPV LP ("EXP"). SF Roofdeck GP LLC ("Roofdeck") serves as the general partner of EXP. Roofdeck is wholly owned by the Trust, of which Steven J. McLaughlin is the sole trustee. Mr. McLaughlin disclaims beneficial ownership of these securities except to the extent of his pecuniary interest therein.</w:t>
      </w:r>
    </w:p>
    <w:p>
      <w:pPr>
        <w:spacing w:after="0" w:line="2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Steven J. McLaughlin,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04/29/2024</w:t>
            </w:r>
          </w:p>
        </w:tc>
        <w:tc>
          <w:tcPr>
            <w:tcW w:w="0" w:type="dxa"/>
            <w:vAlign w:val="bottom"/>
          </w:tcPr>
          <w:p>
            <w:pPr>
              <w:spacing w:after="0"/>
              <w:rPr>
                <w:sz w:val="1"/>
                <w:szCs w:val="1"/>
                <w:color w:val="auto"/>
              </w:rPr>
            </w:pPr>
          </w:p>
        </w:tc>
      </w:tr>
      <w:tr>
        <w:trPr>
          <w:trHeight w:val="87"/>
        </w:trPr>
        <w:tc>
          <w:tcPr>
            <w:tcW w:w="17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authorized signatory</w:t>
            </w:r>
          </w:p>
        </w:tc>
        <w:tc>
          <w:tcPr>
            <w:tcW w:w="3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80" w:type="dxa"/>
            <w:vAlign w:val="bottom"/>
            <w:tcBorders>
              <w:top w:val="single" w:sz="8" w:color="auto"/>
            </w:tcBorders>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1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2" Type="http://schemas.openxmlformats.org/officeDocument/2006/relationships/hyperlink" Target="http://www.sec.gov/cgi-bin/browse-edgar?action=getcompany&amp;CIK=0001847224" TargetMode="External"/><Relationship Id="rId13" Type="http://schemas.openxmlformats.org/officeDocument/2006/relationships/hyperlink" Target="http://www.sec.gov/cgi-bin/browse-edgar?action=getcompany&amp;CIK=0001476840" TargetMode="External"/><Relationship Id="rId14" Type="http://schemas.openxmlformats.org/officeDocument/2006/relationships/hyperlink" Target="http://www.sec.gov/cgi-bin/browse-edgar?action=getcompany&amp;CIK=0001989196" TargetMode="External"/><Relationship Id="rId16" Type="http://schemas.openxmlformats.org/officeDocument/2006/relationships/hyperlink" Target="http://www.sec.gov/cgi-bin/browse-edgar?action=getcompany&amp;CIK=0001988981" TargetMode="External"/><Relationship Id="rId18" Type="http://schemas.openxmlformats.org/officeDocument/2006/relationships/hyperlink" Target="http://www.sec.gov/cgi-bin/browse-edgar?action=getcompany&amp;CIK=00019893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2024-04-29T16:04:33Z</dcterms:created>
  <dcterms:modified xsi:type="dcterms:W3CDTF">2024-04-29T16:04:33Z</dcterms:modified>
</cp:coreProperties>
</file>