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360" w:type="dxa"/>
            <w:vAlign w:val="bottom"/>
          </w:tcPr>
          <w:p>
            <w:pPr>
              <w:ind w:left="40"/>
              <w:spacing w:after="0"/>
              <w:rPr>
                <w:sz w:val="20"/>
                <w:szCs w:val="20"/>
                <w:color w:val="auto"/>
              </w:rPr>
            </w:pPr>
            <w:r>
              <w:rPr>
                <w:rFonts w:ascii="Arial" w:cs="Arial" w:eastAsia="Arial" w:hAnsi="Arial"/>
                <w:sz w:val="22"/>
                <w:szCs w:val="22"/>
                <w:color w:val="auto"/>
              </w:rPr>
              <w:t>0001891182</w:t>
            </w: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3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3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Arial" w:cs="Arial" w:eastAsia="Arial" w:hAnsi="Arial"/>
                <w:sz w:val="22"/>
                <w:szCs w:val="22"/>
                <w:color w:val="auto"/>
                <w:w w:val="97"/>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020" w:type="dxa"/>
            <w:vAlign w:val="bottom"/>
          </w:tcPr>
          <w:p>
            <w:pPr>
              <w:ind w:left="1600"/>
              <w:spacing w:after="0"/>
              <w:rPr>
                <w:sz w:val="20"/>
                <w:szCs w:val="20"/>
                <w:color w:val="auto"/>
              </w:rPr>
            </w:pPr>
            <w:r>
              <w:rPr>
                <w:rFonts w:ascii="Arial" w:cs="Arial" w:eastAsia="Arial" w:hAnsi="Arial"/>
                <w:sz w:val="22"/>
                <w:szCs w:val="22"/>
                <w:color w:val="auto"/>
                <w:w w:val="88"/>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020" w:type="dxa"/>
            <w:vAlign w:val="bottom"/>
          </w:tcPr>
          <w:p>
            <w:pPr>
              <w:ind w:left="160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Arial" w:cs="Arial" w:eastAsia="Arial" w:hAnsi="Arial"/>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Arial" w:cs="Arial" w:eastAsia="Arial" w:hAnsi="Arial"/>
                <w:sz w:val="22"/>
                <w:szCs w:val="22"/>
                <w:color w:val="auto"/>
              </w:rPr>
              <w:t>Ying Liu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9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Class A 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8400</w:t>
            </w:r>
          </w:p>
        </w:tc>
        <w:tc>
          <w:tcPr>
            <w:tcW w:w="114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1"/>
              </w:rPr>
              <w:t>37887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120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6"/>
              <w:spacing w:after="0"/>
              <w:rPr>
                <w:sz w:val="20"/>
                <w:szCs w:val="20"/>
                <w:color w:val="auto"/>
              </w:rPr>
            </w:pPr>
            <w:r>
              <w:rPr>
                <w:rFonts w:ascii="Arial" w:cs="Arial" w:eastAsia="Arial" w:hAnsi="Arial"/>
                <w:sz w:val="22"/>
                <w:szCs w:val="22"/>
                <w:color w:val="auto"/>
                <w:w w:val="85"/>
              </w:rPr>
              <w:t>68420787</w:t>
            </w:r>
          </w:p>
        </w:tc>
        <w:tc>
          <w:tcPr>
            <w:tcW w:w="1280" w:type="dxa"/>
            <w:vAlign w:val="bottom"/>
          </w:tcPr>
          <w:p>
            <w:pPr>
              <w:ind w:left="20"/>
              <w:spacing w:after="0"/>
              <w:rPr>
                <w:sz w:val="20"/>
                <w:szCs w:val="20"/>
                <w:color w:val="auto"/>
              </w:rPr>
            </w:pPr>
            <w:r>
              <w:rPr>
                <w:rFonts w:ascii="Arial" w:cs="Arial" w:eastAsia="Arial" w:hAnsi="Arial"/>
                <w:sz w:val="22"/>
                <w:szCs w:val="22"/>
                <w:color w:val="auto"/>
              </w:rPr>
              <w:t>08/14/2023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00" w:type="dxa"/>
            <w:vAlign w:val="bottom"/>
          </w:tcPr>
          <w:p>
            <w:pPr>
              <w:ind w:left="1640"/>
              <w:spacing w:after="0"/>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ind w:left="580"/>
              <w:spacing w:after="0"/>
              <w:rPr>
                <w:sz w:val="20"/>
                <w:szCs w:val="20"/>
                <w:color w:val="auto"/>
              </w:rPr>
            </w:pPr>
            <w:r>
              <w:rPr>
                <w:rFonts w:ascii="Arial" w:cs="Arial" w:eastAsia="Arial" w:hAnsi="Arial"/>
                <w:sz w:val="22"/>
                <w:szCs w:val="22"/>
                <w:b w:val="1"/>
                <w:bCs w:val="1"/>
                <w:color w:val="auto"/>
              </w:rPr>
              <w:t>Whom</w:t>
            </w:r>
          </w:p>
        </w:tc>
        <w:tc>
          <w:tcPr>
            <w:tcW w:w="2720" w:type="dxa"/>
            <w:vAlign w:val="bottom"/>
          </w:tcPr>
          <w:p>
            <w:pPr>
              <w:ind w:left="280"/>
              <w:spacing w:after="0"/>
              <w:rPr>
                <w:sz w:val="20"/>
                <w:szCs w:val="20"/>
                <w:color w:val="auto"/>
              </w:rPr>
            </w:pPr>
            <w:r>
              <w:rPr>
                <w:rFonts w:ascii="Arial" w:cs="Arial" w:eastAsia="Arial" w:hAnsi="Arial"/>
                <w:sz w:val="22"/>
                <w:szCs w:val="22"/>
                <w:b w:val="1"/>
                <w:bCs w:val="1"/>
                <w:color w:val="auto"/>
              </w:rPr>
              <w:t>a  Acquired  Acquired</w:t>
            </w: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Arial" w:cs="Arial" w:eastAsia="Arial" w:hAnsi="Arial"/>
                <w:sz w:val="22"/>
                <w:szCs w:val="22"/>
                <w:b w:val="1"/>
                <w:bCs w:val="1"/>
                <w:color w:val="auto"/>
              </w:rPr>
              <w:t>Acquired</w:t>
            </w:r>
          </w:p>
        </w:tc>
        <w:tc>
          <w:tcPr>
            <w:tcW w:w="2720" w:type="dxa"/>
            <w:vAlign w:val="bottom"/>
          </w:tcPr>
          <w:p>
            <w:pPr>
              <w:ind w:left="100"/>
              <w:spacing w:after="0"/>
              <w:rPr>
                <w:sz w:val="20"/>
                <w:szCs w:val="20"/>
                <w:color w:val="auto"/>
              </w:rPr>
            </w:pPr>
            <w:r>
              <w:rPr>
                <w:rFonts w:ascii="Arial" w:cs="Arial" w:eastAsia="Arial" w:hAnsi="Arial"/>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01/05/2022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130</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01/05/2022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02/15/2022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772</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02/15/2022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04/05/2022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519</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04/05/2022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05/15/2022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771</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05/15/2022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07/05/2022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532</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07/05/2022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08/15/2022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772</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08/15/2022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10/05/2022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602</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10/05/2022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11/15/2022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772</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11/15/2022</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01/05/2023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1122</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01/05/2023</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04/05/2023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1233</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04/05/2023</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w w:val="96"/>
              </w:rPr>
              <w:t>02/15/2023 Vesting of RSU</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ind w:left="1560"/>
              <w:spacing w:after="0"/>
              <w:rPr>
                <w:sz w:val="20"/>
                <w:szCs w:val="20"/>
                <w:color w:val="auto"/>
              </w:rPr>
            </w:pPr>
            <w:r>
              <w:rPr>
                <w:rFonts w:ascii="Arial" w:cs="Arial" w:eastAsia="Arial" w:hAnsi="Arial"/>
                <w:sz w:val="22"/>
                <w:szCs w:val="22"/>
                <w:color w:val="auto"/>
              </w:rPr>
              <w:t>771</w:t>
            </w:r>
          </w:p>
        </w:tc>
        <w:tc>
          <w:tcPr>
            <w:tcW w:w="1140" w:type="dxa"/>
            <w:vAlign w:val="bottom"/>
            <w:vMerge w:val="restart"/>
          </w:tcPr>
          <w:p>
            <w:pPr>
              <w:ind w:left="120"/>
              <w:spacing w:after="0"/>
              <w:rPr>
                <w:sz w:val="20"/>
                <w:szCs w:val="20"/>
                <w:color w:val="auto"/>
              </w:rPr>
            </w:pPr>
            <w:r>
              <w:rPr>
                <w:rFonts w:ascii="Arial" w:cs="Arial" w:eastAsia="Arial" w:hAnsi="Arial"/>
                <w:sz w:val="22"/>
                <w:szCs w:val="22"/>
                <w:color w:val="auto"/>
                <w:w w:val="90"/>
              </w:rPr>
              <w:t>02/15/2023</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tcPr>
          <w:p>
            <w:pPr>
              <w:ind w:left="320"/>
              <w:spacing w:after="0"/>
              <w:rPr>
                <w:sz w:val="20"/>
                <w:szCs w:val="20"/>
                <w:color w:val="auto"/>
              </w:rPr>
            </w:pPr>
            <w:r>
              <w:rPr>
                <w:rFonts w:ascii="Arial" w:cs="Arial" w:eastAsia="Arial" w:hAnsi="Arial"/>
                <w:sz w:val="22"/>
                <w:szCs w:val="22"/>
                <w:color w:val="auto"/>
                <w:w w:val="96"/>
              </w:rPr>
              <w:t>05/15/2023 Vesting of RSU</w:t>
            </w:r>
          </w:p>
        </w:tc>
        <w:tc>
          <w:tcPr>
            <w:tcW w:w="1560" w:type="dxa"/>
            <w:vAlign w:val="bottom"/>
          </w:tcPr>
          <w:p>
            <w:pPr>
              <w:ind w:left="160"/>
              <w:spacing w:after="0"/>
              <w:rPr>
                <w:sz w:val="20"/>
                <w:szCs w:val="20"/>
                <w:color w:val="auto"/>
              </w:rPr>
            </w:pPr>
            <w:r>
              <w:rPr>
                <w:rFonts w:ascii="Arial" w:cs="Arial" w:eastAsia="Arial" w:hAnsi="Arial"/>
                <w:sz w:val="22"/>
                <w:szCs w:val="22"/>
                <w:color w:val="auto"/>
                <w:w w:val="96"/>
              </w:rPr>
              <w:t>Expensify, Inc.</w:t>
            </w:r>
          </w:p>
        </w:tc>
        <w:tc>
          <w:tcPr>
            <w:tcW w:w="2720" w:type="dxa"/>
            <w:vAlign w:val="bottom"/>
          </w:tcPr>
          <w:p>
            <w:pPr>
              <w:ind w:left="1560"/>
              <w:spacing w:after="0"/>
              <w:rPr>
                <w:sz w:val="20"/>
                <w:szCs w:val="20"/>
                <w:color w:val="auto"/>
              </w:rPr>
            </w:pPr>
            <w:r>
              <w:rPr>
                <w:rFonts w:ascii="Arial" w:cs="Arial" w:eastAsia="Arial" w:hAnsi="Arial"/>
                <w:sz w:val="22"/>
                <w:szCs w:val="22"/>
                <w:color w:val="auto"/>
              </w:rPr>
              <w:t>404</w:t>
            </w:r>
          </w:p>
        </w:tc>
        <w:tc>
          <w:tcPr>
            <w:tcW w:w="1140" w:type="dxa"/>
            <w:vAlign w:val="bottom"/>
          </w:tcPr>
          <w:p>
            <w:pPr>
              <w:ind w:left="120"/>
              <w:spacing w:after="0"/>
              <w:rPr>
                <w:sz w:val="20"/>
                <w:szCs w:val="20"/>
                <w:color w:val="auto"/>
              </w:rPr>
            </w:pPr>
            <w:r>
              <w:rPr>
                <w:rFonts w:ascii="Arial" w:cs="Arial" w:eastAsia="Arial" w:hAnsi="Arial"/>
                <w:sz w:val="22"/>
                <w:szCs w:val="22"/>
                <w:color w:val="auto"/>
                <w:w w:val="90"/>
              </w:rPr>
              <w:t>05/15/2023</w:t>
            </w:r>
          </w:p>
        </w:tc>
        <w:tc>
          <w:tcPr>
            <w:tcW w:w="1280" w:type="dxa"/>
            <w:vAlign w:val="bottom"/>
          </w:tcPr>
          <w:p>
            <w:pPr>
              <w:ind w:left="20"/>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2"/>
                <w:szCs w:val="22"/>
                <w:color w:val="auto"/>
                <w:w w:val="8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-4057015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-3714115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-3371215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-3028315</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-2685415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-2342515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-1999615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-1656715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-1313815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-970915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-628015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-285115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Remarks</w:t>
            </w:r>
          </w:p>
        </w:tc>
        <w:tc>
          <w:tcPr>
            <w:tcW w:w="2060" w:type="dxa"/>
            <w:vAlign w:val="bottom"/>
          </w:tcPr>
          <w:p>
            <w:pPr>
              <w:spacing w:after="0"/>
              <w:rPr>
                <w:sz w:val="23"/>
                <w:szCs w:val="23"/>
                <w:color w:val="auto"/>
              </w:rPr>
            </w:pP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Date of Notice</w:t>
            </w:r>
          </w:p>
        </w:tc>
        <w:tc>
          <w:tcPr>
            <w:tcW w:w="2060" w:type="dxa"/>
            <w:vAlign w:val="bottom"/>
          </w:tcPr>
          <w:p>
            <w:pPr>
              <w:jc w:val="right"/>
              <w:spacing w:after="0"/>
              <w:rPr>
                <w:sz w:val="20"/>
                <w:szCs w:val="20"/>
                <w:color w:val="auto"/>
              </w:rPr>
            </w:pPr>
            <w:r>
              <w:rPr>
                <w:rFonts w:ascii="Arial" w:cs="Arial" w:eastAsia="Arial" w:hAnsi="Arial"/>
                <w:sz w:val="22"/>
                <w:szCs w:val="22"/>
                <w:color w:val="auto"/>
              </w:rPr>
              <w:t>08/14/2023</w:t>
            </w:r>
          </w:p>
        </w:tc>
      </w:tr>
      <w:tr>
        <w:trPr>
          <w:trHeight w:val="297"/>
        </w:trPr>
        <w:tc>
          <w:tcPr>
            <w:tcW w:w="24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Cole Eason as attorney-in-fact</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144</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With respect to holdings of and transactions in securities issued by Expensify,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199" w:lineRule="exact"/>
        <w:rPr>
          <w:sz w:val="20"/>
          <w:szCs w:val="20"/>
          <w:color w:val="auto"/>
        </w:rPr>
      </w:pPr>
    </w:p>
    <w:p>
      <w:pPr>
        <w:ind w:left="660" w:hanging="328"/>
        <w:spacing w:after="0" w:line="32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electronic Notice of Proposed Sale of Securities Pursuant to Rule 144 (</w:t>
      </w:r>
      <w:r>
        <w:rPr>
          <w:rFonts w:ascii="Arial" w:cs="Arial" w:eastAsia="Arial" w:hAnsi="Arial"/>
          <w:sz w:val="16"/>
          <w:szCs w:val="16"/>
          <w:b w:val="1"/>
          <w:bCs w:val="1"/>
          <w:i w:val="1"/>
          <w:iCs w:val="1"/>
          <w:color w:val="auto"/>
        </w:rPr>
        <w:t>“Form 144”</w:t>
      </w:r>
      <w:r>
        <w:rPr>
          <w:rFonts w:ascii="Arial" w:cs="Arial" w:eastAsia="Arial" w:hAnsi="Arial"/>
          <w:sz w:val="16"/>
          <w:szCs w:val="16"/>
          <w:color w:val="auto"/>
        </w:rPr>
        <w:t>) relating to such sales, in accordance with the requirements of Rule 144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w:t>
      </w:r>
    </w:p>
    <w:p>
      <w:pPr>
        <w:spacing w:after="0" w:line="15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15th day of August,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Ying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14605</wp:posOffset>
            </wp:positionV>
            <wp:extent cx="2828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Ying Liu</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2023-08-15T18:08:51Z</dcterms:created>
  <dcterms:modified xsi:type="dcterms:W3CDTF">2023-08-15T18:08:51Z</dcterms:modified>
</cp:coreProperties>
</file>