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3629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629025"/>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2"/>
            <w:vMerge w:val="restart"/>
          </w:tcPr>
          <w:p>
            <w:pPr>
              <w:spacing w:after="0" w:line="181" w:lineRule="exact"/>
              <w:rPr>
                <w:rFonts w:ascii="Arial" w:cs="Arial" w:eastAsia="Arial" w:hAnsi="Arial"/>
                <w:sz w:val="16"/>
                <w:szCs w:val="16"/>
                <w:color w:val="0000EE"/>
                <w:w w:val="89"/>
              </w:rPr>
            </w:pPr>
            <w:hyperlink r:id="rId11">
              <w:r>
                <w:rPr>
                  <w:rFonts w:ascii="Arial" w:cs="Arial" w:eastAsia="Arial" w:hAnsi="Arial"/>
                  <w:sz w:val="16"/>
                  <w:szCs w:val="16"/>
                  <w:color w:val="0000EE"/>
                  <w:w w:val="89"/>
                </w:rPr>
                <w:t>Mills Jason Fahr</w:t>
              </w:r>
            </w:hyperlink>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Borders>
              <w:bottom w:val="single" w:sz="8" w:color="0000EE"/>
            </w:tcBorders>
            <w:gridSpan w:val="2"/>
            <w:vMerge w:val="continue"/>
          </w:tcPr>
          <w:p>
            <w:pPr>
              <w:spacing w:after="0"/>
              <w:rPr>
                <w:sz w:val="9"/>
                <w:szCs w:val="9"/>
                <w:color w:val="auto"/>
              </w:rPr>
            </w:pPr>
          </w:p>
        </w:tc>
        <w:tc>
          <w:tcPr>
            <w:tcW w:w="94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11/15/2021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94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0"/>
                <w:szCs w:val="10"/>
                <w:color w:val="auto"/>
              </w:rPr>
              <w:t>(Last)</w:t>
            </w:r>
          </w:p>
        </w:tc>
        <w:tc>
          <w:tcPr>
            <w:tcW w:w="1000" w:type="dxa"/>
            <w:vAlign w:val="bottom"/>
            <w:gridSpan w:val="2"/>
          </w:tcPr>
          <w:p>
            <w:pPr>
              <w:ind w:left="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Arial" w:cs="Arial" w:eastAsia="Arial" w:hAnsi="Arial"/>
                <w:sz w:val="13"/>
                <w:szCs w:val="13"/>
                <w:color w:val="0000FF"/>
              </w:rPr>
              <w:t>C/O EXPENSIFY, INC.</w:t>
            </w: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3"/>
                <w:szCs w:val="13"/>
                <w:color w:val="0000FF"/>
                <w:w w:val="94"/>
              </w:rPr>
              <w:t>401 SW 5TH AVE</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040" w:type="dxa"/>
            <w:vAlign w:val="bottom"/>
            <w:gridSpan w:val="3"/>
          </w:tcPr>
          <w:p>
            <w:pPr>
              <w:spacing w:after="0"/>
              <w:rPr>
                <w:sz w:val="20"/>
                <w:szCs w:val="20"/>
                <w:color w:val="auto"/>
              </w:rPr>
            </w:pPr>
            <w:r>
              <w:rPr>
                <w:rFonts w:ascii="Arial" w:cs="Arial" w:eastAsia="Arial" w:hAnsi="Arial"/>
                <w:sz w:val="10"/>
                <w:szCs w:val="10"/>
                <w:color w:val="auto"/>
              </w:rPr>
              <w:t>(Street)</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0000FF"/>
              </w:rPr>
              <w:t>PORTLAND</w:t>
            </w:r>
          </w:p>
        </w:tc>
        <w:tc>
          <w:tcPr>
            <w:tcW w:w="1000" w:type="dxa"/>
            <w:vAlign w:val="bottom"/>
            <w:gridSpan w:val="2"/>
          </w:tcPr>
          <w:p>
            <w:pPr>
              <w:ind w:left="40"/>
              <w:spacing w:after="0"/>
              <w:rPr>
                <w:sz w:val="20"/>
                <w:szCs w:val="20"/>
                <w:color w:val="auto"/>
              </w:rPr>
            </w:pPr>
            <w:r>
              <w:rPr>
                <w:rFonts w:ascii="Arial" w:cs="Arial" w:eastAsia="Arial" w:hAnsi="Arial"/>
                <w:sz w:val="13"/>
                <w:szCs w:val="13"/>
                <w:color w:val="0000FF"/>
              </w:rPr>
              <w:t>OR</w:t>
            </w:r>
          </w:p>
        </w:tc>
        <w:tc>
          <w:tcPr>
            <w:tcW w:w="1140" w:type="dxa"/>
            <w:vAlign w:val="bottom"/>
          </w:tcPr>
          <w:p>
            <w:pPr>
              <w:ind w:left="100"/>
              <w:spacing w:after="0"/>
              <w:rPr>
                <w:sz w:val="20"/>
                <w:szCs w:val="20"/>
                <w:color w:val="auto"/>
              </w:rPr>
            </w:pPr>
            <w:r>
              <w:rPr>
                <w:rFonts w:ascii="Arial" w:cs="Arial" w:eastAsia="Arial" w:hAnsi="Arial"/>
                <w:sz w:val="13"/>
                <w:szCs w:val="13"/>
                <w:color w:val="0000FF"/>
              </w:rPr>
              <w:t>97204</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3"/>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2060" w:type="dxa"/>
            <w:vAlign w:val="bottom"/>
            <w:gridSpan w:val="4"/>
          </w:tcPr>
          <w:p>
            <w:pPr>
              <w:spacing w:after="0" w:line="167" w:lineRule="exact"/>
              <w:rPr>
                <w:rFonts w:ascii="Arial" w:cs="Arial" w:eastAsia="Arial" w:hAnsi="Arial"/>
                <w:sz w:val="16"/>
                <w:szCs w:val="16"/>
                <w:color w:val="0000EE"/>
              </w:rPr>
            </w:pPr>
            <w:hyperlink r:id="rId12">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300" w:type="dxa"/>
            <w:vAlign w:val="bottom"/>
            <w:tcBorders>
              <w:top w:val="single" w:sz="8" w:color="0000EE"/>
              <w:bottom w:val="single" w:sz="8" w:color="2C2C2C"/>
            </w:tcBorders>
          </w:tcPr>
          <w:p>
            <w:pPr>
              <w:spacing w:after="0"/>
              <w:rPr>
                <w:sz w:val="24"/>
                <w:szCs w:val="24"/>
                <w:color w:val="auto"/>
              </w:rPr>
            </w:pPr>
          </w:p>
        </w:tc>
        <w:tc>
          <w:tcPr>
            <w:tcW w:w="560" w:type="dxa"/>
            <w:vAlign w:val="bottom"/>
            <w:tcBorders>
              <w:top w:val="single" w:sz="8" w:color="0000EE"/>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4"/>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2060" w:type="dxa"/>
            <w:vAlign w:val="bottom"/>
            <w:gridSpan w:val="4"/>
          </w:tcPr>
          <w:p>
            <w:pPr>
              <w:spacing w:after="0"/>
              <w:rPr>
                <w:sz w:val="20"/>
                <w:szCs w:val="20"/>
                <w:color w:val="auto"/>
              </w:rPr>
            </w:pPr>
            <w:r>
              <w:rPr>
                <w:rFonts w:ascii="Arial" w:cs="Arial" w:eastAsia="Arial" w:hAnsi="Arial"/>
                <w:sz w:val="10"/>
                <w:szCs w:val="10"/>
                <w:color w:val="auto"/>
              </w:rPr>
              <w:t>(Check all applicable)</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restart"/>
          </w:tcPr>
          <w:p>
            <w:pPr>
              <w:ind w:left="100"/>
              <w:spacing w:after="0"/>
              <w:rPr>
                <w:sz w:val="20"/>
                <w:szCs w:val="20"/>
                <w:color w:val="auto"/>
              </w:rPr>
            </w:pPr>
            <w:r>
              <w:rPr>
                <w:rFonts w:ascii="Arial" w:cs="Arial" w:eastAsia="Arial" w:hAnsi="Arial"/>
                <w:sz w:val="13"/>
                <w:szCs w:val="13"/>
                <w:color w:val="0000FF"/>
              </w:rPr>
              <w:t>X</w:t>
            </w:r>
          </w:p>
        </w:tc>
        <w:tc>
          <w:tcPr>
            <w:tcW w:w="1660" w:type="dxa"/>
            <w:vAlign w:val="bottom"/>
            <w:gridSpan w:val="2"/>
            <w:vMerge w:val="restart"/>
          </w:tcPr>
          <w:p>
            <w:pPr>
              <w:ind w:left="120"/>
              <w:spacing w:after="0"/>
              <w:rPr>
                <w:sz w:val="20"/>
                <w:szCs w:val="20"/>
                <w:color w:val="auto"/>
              </w:rPr>
            </w:pPr>
            <w:r>
              <w:rPr>
                <w:rFonts w:ascii="Arial" w:cs="Arial" w:eastAsia="Arial" w:hAnsi="Arial"/>
                <w:sz w:val="10"/>
                <w:szCs w:val="10"/>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restart"/>
          </w:tcPr>
          <w:p>
            <w:pPr>
              <w:ind w:left="80"/>
              <w:spacing w:after="0"/>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2">
            <w:col w:w="4620" w:space="320"/>
            <w:col w:w="608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Class A Common Stock</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20" w:type="dxa"/>
            <w:vAlign w:val="bottom"/>
          </w:tcPr>
          <w:p>
            <w:pPr>
              <w:jc w:val="right"/>
              <w:ind w:right="926"/>
              <w:spacing w:after="0"/>
              <w:rPr>
                <w:sz w:val="20"/>
                <w:szCs w:val="20"/>
                <w:color w:val="auto"/>
              </w:rPr>
            </w:pPr>
            <w:r>
              <w:rPr>
                <w:rFonts w:ascii="Arial" w:cs="Arial" w:eastAsia="Arial" w:hAnsi="Arial"/>
                <w:sz w:val="13"/>
                <w:szCs w:val="13"/>
                <w:color w:val="0000FF"/>
              </w:rPr>
              <w:t>622,890</w:t>
            </w:r>
          </w:p>
        </w:tc>
        <w:tc>
          <w:tcPr>
            <w:tcW w:w="660" w:type="dxa"/>
            <w:vAlign w:val="bottom"/>
          </w:tcPr>
          <w:p>
            <w:pPr>
              <w:ind w:left="40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338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4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4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020"/>
          </w:cols>
          <w:pgMar w:left="440" w:top="203" w:right="439" w:bottom="1440" w:gutter="0" w:footer="0" w:header="0"/>
          <w:type w:val="continuous"/>
        </w:sectPr>
      </w:pPr>
    </w:p>
    <w:p>
      <w:pPr>
        <w:jc w:val="right"/>
        <w:ind w:right="2100"/>
        <w:spacing w:after="0"/>
        <w:rPr>
          <w:sz w:val="20"/>
          <w:szCs w:val="20"/>
          <w:color w:val="auto"/>
        </w:rPr>
      </w:pPr>
      <w:r>
        <w:rPr>
          <w:sz w:val="1"/>
          <w:szCs w:val="1"/>
          <w:color w:val="auto"/>
        </w:rPr>
        <w:drawing>
          <wp:inline distT="0" distB="0" distL="0" distR="0">
            <wp:extent cx="31750" cy="180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750" cy="180975"/>
                    </a:xfrm>
                    <a:prstGeom prst="rect">
                      <a:avLst/>
                    </a:prstGeom>
                    <a:noFill/>
                    <a:ln>
                      <a:noFill/>
                    </a:ln>
                  </pic:spPr>
                </pic:pic>
              </a:graphicData>
            </a:graphic>
          </wp:inline>
        </w:drawing>
      </w:r>
      <w:r>
        <w:rPr>
          <w:rFonts w:ascii="Arial" w:cs="Arial" w:eastAsia="Arial" w:hAnsi="Arial"/>
          <w:sz w:val="11"/>
          <w:szCs w:val="11"/>
          <w:color w:val="0000FF"/>
        </w:rPr>
        <w:t xml:space="preserve"> LT10 Common Stock</w:t>
      </w:r>
    </w:p>
    <w:p>
      <w:pPr>
        <w:spacing w:after="0" w:line="34" w:lineRule="exact"/>
        <w:rPr>
          <w:sz w:val="24"/>
          <w:szCs w:val="24"/>
          <w:color w:val="auto"/>
        </w:rPr>
      </w:pPr>
    </w:p>
    <w:p>
      <w:pPr>
        <w:jc w:val="right"/>
        <w:ind w:right="2100"/>
        <w:spacing w:after="0"/>
        <w:rPr>
          <w:sz w:val="20"/>
          <w:szCs w:val="20"/>
          <w:color w:val="auto"/>
        </w:rPr>
      </w:pPr>
      <w:r>
        <w:rPr>
          <w:rFonts w:ascii="Arial" w:cs="Arial" w:eastAsia="Arial" w:hAnsi="Arial"/>
          <w:sz w:val="12"/>
          <w:szCs w:val="12"/>
          <w:color w:val="0000FF"/>
        </w:rPr>
        <w:t>LT50 Common Stock</w:t>
      </w:r>
    </w:p>
    <w:p>
      <w:pPr>
        <w:spacing w:after="0" w:line="30" w:lineRule="exact"/>
        <w:rPr>
          <w:sz w:val="24"/>
          <w:szCs w:val="24"/>
          <w:color w:val="auto"/>
        </w:rPr>
      </w:pPr>
    </w:p>
    <w:p>
      <w:pPr>
        <w:spacing w:after="0"/>
        <w:rPr>
          <w:sz w:val="20"/>
          <w:szCs w:val="20"/>
          <w:color w:val="auto"/>
        </w:rPr>
      </w:pPr>
      <w:r>
        <w:rPr>
          <w:sz w:val="1"/>
          <w:szCs w:val="1"/>
          <w:color w:val="auto"/>
        </w:rPr>
        <w:drawing>
          <wp:inline distT="0" distB="0" distL="0" distR="0">
            <wp:extent cx="31750" cy="190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3"/>
          <w:szCs w:val="13"/>
          <w:color w:val="0000FF"/>
        </w:rPr>
        <w:t xml:space="preserve"> Stock Option</w:t>
      </w:r>
    </w:p>
    <w:p>
      <w:pPr>
        <w:spacing w:after="0" w:line="24" w:lineRule="exact"/>
        <w:rPr>
          <w:sz w:val="24"/>
          <w:szCs w:val="24"/>
          <w:color w:val="auto"/>
        </w:rPr>
      </w:pPr>
    </w:p>
    <w:p>
      <w:pPr>
        <w:ind w:left="60"/>
        <w:spacing w:after="0"/>
        <w:rPr>
          <w:sz w:val="20"/>
          <w:szCs w:val="20"/>
          <w:color w:val="auto"/>
        </w:rPr>
      </w:pPr>
      <w:r>
        <w:rPr>
          <w:rFonts w:ascii="Arial" w:cs="Arial" w:eastAsia="Arial" w:hAnsi="Arial"/>
          <w:sz w:val="12"/>
          <w:szCs w:val="12"/>
          <w:color w:val="0000FF"/>
        </w:rPr>
        <w:t>Restricted Stock Units</w:t>
      </w:r>
    </w:p>
    <w:p>
      <w:pPr>
        <w:spacing w:after="0" w:line="33" w:lineRule="exact"/>
        <w:rPr>
          <w:sz w:val="24"/>
          <w:szCs w:val="24"/>
          <w:color w:val="auto"/>
        </w:rPr>
      </w:pPr>
    </w:p>
    <w:p>
      <w:pPr>
        <w:spacing w:after="0"/>
        <w:rPr>
          <w:sz w:val="20"/>
          <w:szCs w:val="20"/>
          <w:color w:val="auto"/>
        </w:rPr>
      </w:pPr>
      <w:r>
        <w:rPr>
          <w:sz w:val="1"/>
          <w:szCs w:val="1"/>
          <w:color w:val="auto"/>
        </w:rPr>
        <w:drawing>
          <wp:inline distT="0" distB="0" distL="0" distR="0">
            <wp:extent cx="31750" cy="190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2"/>
          <w:szCs w:val="12"/>
          <w:color w:val="0000FF"/>
        </w:rPr>
        <w:t xml:space="preserve"> Restricted Stock Units</w:t>
      </w:r>
    </w:p>
    <w:p>
      <w:pPr>
        <w:spacing w:after="0" w:line="8" w:lineRule="exact"/>
        <w:rPr>
          <w:sz w:val="24"/>
          <w:szCs w:val="24"/>
          <w:color w:val="auto"/>
        </w:rPr>
      </w:pPr>
    </w:p>
    <w:p>
      <w:pPr>
        <w:ind w:left="40"/>
        <w:spacing w:after="0"/>
        <w:rPr>
          <w:sz w:val="20"/>
          <w:szCs w:val="20"/>
          <w:color w:val="auto"/>
        </w:rPr>
      </w:pPr>
      <w:r>
        <w:rPr>
          <w:rFonts w:ascii="Arial" w:cs="Arial" w:eastAsia="Arial" w:hAnsi="Arial"/>
          <w:sz w:val="9"/>
          <w:szCs w:val="9"/>
          <w:b w:val="1"/>
          <w:bCs w:val="1"/>
          <w:color w:val="auto"/>
        </w:rPr>
        <w:t>Explanation of Responses:</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(1)</w:t>
            </w:r>
          </w:p>
        </w:tc>
        <w:tc>
          <w:tcPr>
            <w:tcW w:w="880" w:type="dxa"/>
            <w:vAlign w:val="bottom"/>
          </w:tcPr>
          <w:p>
            <w:pPr>
              <w:jc w:val="center"/>
              <w:ind w:right="33"/>
              <w:spacing w:after="0"/>
              <w:rPr>
                <w:sz w:val="20"/>
                <w:szCs w:val="20"/>
                <w:color w:val="auto"/>
              </w:rPr>
            </w:pPr>
            <w:r>
              <w:rPr>
                <w:rFonts w:ascii="Arial" w:cs="Arial" w:eastAsia="Arial" w:hAnsi="Arial"/>
                <w:sz w:val="8"/>
                <w:szCs w:val="8"/>
                <w:color w:val="008000"/>
                <w:w w:val="81"/>
              </w:rPr>
              <w:t>(1)</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55"/>
              <w:spacing w:after="0"/>
              <w:rPr>
                <w:sz w:val="20"/>
                <w:szCs w:val="20"/>
                <w:color w:val="auto"/>
              </w:rPr>
            </w:pPr>
            <w:r>
              <w:rPr>
                <w:rFonts w:ascii="Arial" w:cs="Arial" w:eastAsia="Arial" w:hAnsi="Arial"/>
                <w:sz w:val="13"/>
                <w:szCs w:val="13"/>
                <w:color w:val="0000FF"/>
                <w:w w:val="89"/>
              </w:rPr>
              <w:t>576,720</w:t>
            </w:r>
          </w:p>
        </w:tc>
        <w:tc>
          <w:tcPr>
            <w:tcW w:w="780" w:type="dxa"/>
            <w:vAlign w:val="bottom"/>
          </w:tcPr>
          <w:p>
            <w:pPr>
              <w:jc w:val="center"/>
              <w:ind w:right="74"/>
              <w:spacing w:after="0"/>
              <w:rPr>
                <w:sz w:val="20"/>
                <w:szCs w:val="20"/>
                <w:color w:val="auto"/>
              </w:rPr>
            </w:pPr>
            <w:r>
              <w:rPr>
                <w:rFonts w:ascii="Arial" w:cs="Arial" w:eastAsia="Arial" w:hAnsi="Arial"/>
                <w:sz w:val="8"/>
                <w:szCs w:val="8"/>
                <w:color w:val="008000"/>
              </w:rPr>
              <w:t>(1)</w:t>
            </w:r>
          </w:p>
        </w:tc>
        <w:tc>
          <w:tcPr>
            <w:tcW w:w="620" w:type="dxa"/>
            <w:vAlign w:val="bottom"/>
          </w:tcPr>
          <w:p>
            <w:pPr>
              <w:jc w:val="center"/>
              <w:ind w:left="35"/>
              <w:spacing w:after="0"/>
              <w:rPr>
                <w:sz w:val="20"/>
                <w:szCs w:val="20"/>
                <w:color w:val="auto"/>
              </w:rPr>
            </w:pPr>
            <w:r>
              <w:rPr>
                <w:rFonts w:ascii="Arial" w:cs="Arial" w:eastAsia="Arial" w:hAnsi="Arial"/>
                <w:sz w:val="13"/>
                <w:szCs w:val="13"/>
                <w:color w:val="0000FF"/>
              </w:rPr>
              <w:t>I</w:t>
            </w:r>
          </w:p>
        </w:tc>
        <w:tc>
          <w:tcPr>
            <w:tcW w:w="980" w:type="dxa"/>
            <w:vAlign w:val="bottom"/>
          </w:tcPr>
          <w:p>
            <w:pPr>
              <w:ind w:left="220"/>
              <w:spacing w:after="0"/>
              <w:rPr>
                <w:sz w:val="20"/>
                <w:szCs w:val="20"/>
                <w:color w:val="auto"/>
              </w:rPr>
            </w:pPr>
            <w:r>
              <w:rPr>
                <w:rFonts w:ascii="Arial" w:cs="Arial" w:eastAsia="Arial" w:hAnsi="Arial"/>
                <w:sz w:val="13"/>
                <w:szCs w:val="13"/>
                <w:color w:val="0000FF"/>
                <w:w w:val="85"/>
              </w:rPr>
              <w:t>See footnote</w:t>
            </w:r>
            <w:r>
              <w:rPr>
                <w:rFonts w:ascii="Arial" w:cs="Arial" w:eastAsia="Arial" w:hAnsi="Arial"/>
                <w:sz w:val="16"/>
                <w:szCs w:val="16"/>
                <w:color w:val="008000"/>
                <w:w w:val="85"/>
                <w:vertAlign w:val="superscript"/>
              </w:rPr>
              <w:t>(2)</w:t>
            </w:r>
          </w:p>
        </w:tc>
      </w:tr>
      <w:tr>
        <w:trPr>
          <w:trHeight w:val="260"/>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(3)</w:t>
            </w:r>
          </w:p>
        </w:tc>
        <w:tc>
          <w:tcPr>
            <w:tcW w:w="880" w:type="dxa"/>
            <w:vAlign w:val="bottom"/>
          </w:tcPr>
          <w:p>
            <w:pPr>
              <w:jc w:val="center"/>
              <w:ind w:right="33"/>
              <w:spacing w:after="0"/>
              <w:rPr>
                <w:sz w:val="20"/>
                <w:szCs w:val="20"/>
                <w:color w:val="auto"/>
              </w:rPr>
            </w:pPr>
            <w:r>
              <w:rPr>
                <w:rFonts w:ascii="Arial" w:cs="Arial" w:eastAsia="Arial" w:hAnsi="Arial"/>
                <w:sz w:val="8"/>
                <w:szCs w:val="8"/>
                <w:color w:val="008000"/>
                <w:w w:val="81"/>
              </w:rPr>
              <w:t>(3)</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55"/>
              <w:spacing w:after="0"/>
              <w:rPr>
                <w:sz w:val="20"/>
                <w:szCs w:val="20"/>
                <w:color w:val="auto"/>
              </w:rPr>
            </w:pPr>
            <w:r>
              <w:rPr>
                <w:rFonts w:ascii="Arial" w:cs="Arial" w:eastAsia="Arial" w:hAnsi="Arial"/>
                <w:sz w:val="13"/>
                <w:szCs w:val="13"/>
                <w:color w:val="0000FF"/>
                <w:w w:val="89"/>
              </w:rPr>
              <w:t>519,640</w:t>
            </w:r>
          </w:p>
        </w:tc>
        <w:tc>
          <w:tcPr>
            <w:tcW w:w="780" w:type="dxa"/>
            <w:vAlign w:val="bottom"/>
          </w:tcPr>
          <w:p>
            <w:pPr>
              <w:jc w:val="center"/>
              <w:ind w:right="74"/>
              <w:spacing w:after="0"/>
              <w:rPr>
                <w:sz w:val="20"/>
                <w:szCs w:val="20"/>
                <w:color w:val="auto"/>
              </w:rPr>
            </w:pPr>
            <w:r>
              <w:rPr>
                <w:rFonts w:ascii="Arial" w:cs="Arial" w:eastAsia="Arial" w:hAnsi="Arial"/>
                <w:sz w:val="8"/>
                <w:szCs w:val="8"/>
                <w:color w:val="008000"/>
              </w:rPr>
              <w:t>(3)</w:t>
            </w:r>
          </w:p>
        </w:tc>
        <w:tc>
          <w:tcPr>
            <w:tcW w:w="620" w:type="dxa"/>
            <w:vAlign w:val="bottom"/>
          </w:tcPr>
          <w:p>
            <w:pPr>
              <w:jc w:val="center"/>
              <w:ind w:left="35"/>
              <w:spacing w:after="0"/>
              <w:rPr>
                <w:sz w:val="20"/>
                <w:szCs w:val="20"/>
                <w:color w:val="auto"/>
              </w:rPr>
            </w:pPr>
            <w:r>
              <w:rPr>
                <w:rFonts w:ascii="Arial" w:cs="Arial" w:eastAsia="Arial" w:hAnsi="Arial"/>
                <w:sz w:val="13"/>
                <w:szCs w:val="13"/>
                <w:color w:val="0000FF"/>
              </w:rPr>
              <w:t>I</w:t>
            </w:r>
          </w:p>
        </w:tc>
        <w:tc>
          <w:tcPr>
            <w:tcW w:w="980" w:type="dxa"/>
            <w:vAlign w:val="bottom"/>
          </w:tcPr>
          <w:p>
            <w:pPr>
              <w:ind w:left="220"/>
              <w:spacing w:after="0"/>
              <w:rPr>
                <w:sz w:val="20"/>
                <w:szCs w:val="20"/>
                <w:color w:val="auto"/>
              </w:rPr>
            </w:pPr>
            <w:r>
              <w:rPr>
                <w:rFonts w:ascii="Arial" w:cs="Arial" w:eastAsia="Arial" w:hAnsi="Arial"/>
                <w:sz w:val="13"/>
                <w:szCs w:val="13"/>
                <w:color w:val="0000FF"/>
                <w:w w:val="85"/>
              </w:rPr>
              <w:t>See footnote</w:t>
            </w:r>
            <w:r>
              <w:rPr>
                <w:rFonts w:ascii="Arial" w:cs="Arial" w:eastAsia="Arial" w:hAnsi="Arial"/>
                <w:sz w:val="16"/>
                <w:szCs w:val="16"/>
                <w:color w:val="008000"/>
                <w:w w:val="85"/>
                <w:vertAlign w:val="superscript"/>
              </w:rPr>
              <w:t>(2)</w:t>
            </w:r>
          </w:p>
        </w:tc>
      </w:tr>
      <w:tr>
        <w:trPr>
          <w:trHeight w:val="203"/>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(4)</w:t>
            </w:r>
          </w:p>
        </w:tc>
        <w:tc>
          <w:tcPr>
            <w:tcW w:w="880" w:type="dxa"/>
            <w:vAlign w:val="bottom"/>
          </w:tcPr>
          <w:p>
            <w:pPr>
              <w:jc w:val="center"/>
              <w:ind w:right="33"/>
              <w:spacing w:after="0"/>
              <w:rPr>
                <w:sz w:val="20"/>
                <w:szCs w:val="20"/>
                <w:color w:val="auto"/>
              </w:rPr>
            </w:pPr>
            <w:r>
              <w:rPr>
                <w:rFonts w:ascii="Arial" w:cs="Arial" w:eastAsia="Arial" w:hAnsi="Arial"/>
                <w:sz w:val="10"/>
                <w:szCs w:val="10"/>
                <w:color w:val="0000FF"/>
                <w:w w:val="87"/>
              </w:rPr>
              <w:t>10/12/2031</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90"/>
              </w:rPr>
              <w:t>10,130</w:t>
            </w:r>
          </w:p>
        </w:tc>
        <w:tc>
          <w:tcPr>
            <w:tcW w:w="780" w:type="dxa"/>
            <w:vAlign w:val="bottom"/>
          </w:tcPr>
          <w:p>
            <w:pPr>
              <w:jc w:val="center"/>
              <w:ind w:right="74"/>
              <w:spacing w:after="0"/>
              <w:rPr>
                <w:sz w:val="20"/>
                <w:szCs w:val="20"/>
                <w:color w:val="auto"/>
              </w:rPr>
            </w:pPr>
            <w:r>
              <w:rPr>
                <w:rFonts w:ascii="Arial" w:cs="Arial" w:eastAsia="Arial" w:hAnsi="Arial"/>
                <w:sz w:val="13"/>
                <w:szCs w:val="13"/>
                <w:color w:val="0000FF"/>
                <w:w w:val="92"/>
              </w:rPr>
              <w:t>12.97</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980" w:type="dxa"/>
            <w:vAlign w:val="bottom"/>
          </w:tcPr>
          <w:p>
            <w:pPr>
              <w:spacing w:after="0"/>
              <w:rPr>
                <w:sz w:val="17"/>
                <w:szCs w:val="17"/>
                <w:color w:val="auto"/>
              </w:rPr>
            </w:pPr>
          </w:p>
        </w:tc>
      </w:tr>
      <w:tr>
        <w:trPr>
          <w:trHeight w:val="260"/>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(5)</w:t>
            </w:r>
          </w:p>
        </w:tc>
        <w:tc>
          <w:tcPr>
            <w:tcW w:w="880" w:type="dxa"/>
            <w:vAlign w:val="bottom"/>
          </w:tcPr>
          <w:p>
            <w:pPr>
              <w:jc w:val="center"/>
              <w:ind w:right="33"/>
              <w:spacing w:after="0"/>
              <w:rPr>
                <w:sz w:val="20"/>
                <w:szCs w:val="20"/>
                <w:color w:val="auto"/>
              </w:rPr>
            </w:pPr>
            <w:r>
              <w:rPr>
                <w:rFonts w:ascii="Arial" w:cs="Arial" w:eastAsia="Arial" w:hAnsi="Arial"/>
                <w:sz w:val="10"/>
                <w:szCs w:val="10"/>
                <w:color w:val="0000FF"/>
                <w:w w:val="87"/>
              </w:rPr>
              <w:t>12/15/2029</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55"/>
              <w:spacing w:after="0"/>
              <w:rPr>
                <w:sz w:val="20"/>
                <w:szCs w:val="20"/>
                <w:color w:val="auto"/>
              </w:rPr>
            </w:pPr>
            <w:r>
              <w:rPr>
                <w:rFonts w:ascii="Arial" w:cs="Arial" w:eastAsia="Arial" w:hAnsi="Arial"/>
                <w:sz w:val="13"/>
                <w:szCs w:val="13"/>
                <w:color w:val="0000FF"/>
                <w:w w:val="89"/>
              </w:rPr>
              <w:t>122,280</w:t>
            </w:r>
          </w:p>
        </w:tc>
        <w:tc>
          <w:tcPr>
            <w:tcW w:w="780" w:type="dxa"/>
            <w:vAlign w:val="bottom"/>
          </w:tcPr>
          <w:p>
            <w:pPr>
              <w:jc w:val="center"/>
              <w:ind w:right="74"/>
              <w:spacing w:after="0"/>
              <w:rPr>
                <w:sz w:val="20"/>
                <w:szCs w:val="20"/>
                <w:color w:val="auto"/>
              </w:rPr>
            </w:pPr>
            <w:r>
              <w:rPr>
                <w:rFonts w:ascii="Arial" w:cs="Arial" w:eastAsia="Arial" w:hAnsi="Arial"/>
                <w:sz w:val="8"/>
                <w:szCs w:val="8"/>
                <w:color w:val="008000"/>
              </w:rPr>
              <w:t>(6)</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980" w:type="dxa"/>
            <w:vAlign w:val="bottom"/>
          </w:tcPr>
          <w:p>
            <w:pPr>
              <w:spacing w:after="0"/>
              <w:rPr>
                <w:sz w:val="22"/>
                <w:szCs w:val="22"/>
                <w:color w:val="auto"/>
              </w:rPr>
            </w:pPr>
          </w:p>
        </w:tc>
      </w:tr>
      <w:tr>
        <w:trPr>
          <w:trHeight w:val="260"/>
        </w:trPr>
        <w:tc>
          <w:tcPr>
            <w:tcW w:w="280" w:type="dxa"/>
            <w:vAlign w:val="bottom"/>
          </w:tcPr>
          <w:p>
            <w:pPr>
              <w:jc w:val="right"/>
              <w:ind w:right="138"/>
              <w:spacing w:after="0"/>
              <w:rPr>
                <w:sz w:val="20"/>
                <w:szCs w:val="20"/>
                <w:color w:val="auto"/>
              </w:rPr>
            </w:pPr>
            <w:r>
              <w:rPr>
                <w:rFonts w:ascii="Arial" w:cs="Arial" w:eastAsia="Arial" w:hAnsi="Arial"/>
                <w:sz w:val="8"/>
                <w:szCs w:val="8"/>
                <w:color w:val="008000"/>
                <w:w w:val="81"/>
              </w:rPr>
              <w:t>(5)</w:t>
            </w:r>
          </w:p>
        </w:tc>
        <w:tc>
          <w:tcPr>
            <w:tcW w:w="880" w:type="dxa"/>
            <w:vAlign w:val="bottom"/>
          </w:tcPr>
          <w:p>
            <w:pPr>
              <w:jc w:val="center"/>
              <w:ind w:right="33"/>
              <w:spacing w:after="0"/>
              <w:rPr>
                <w:sz w:val="20"/>
                <w:szCs w:val="20"/>
                <w:color w:val="auto"/>
              </w:rPr>
            </w:pPr>
            <w:r>
              <w:rPr>
                <w:rFonts w:ascii="Arial" w:cs="Arial" w:eastAsia="Arial" w:hAnsi="Arial"/>
                <w:sz w:val="10"/>
                <w:szCs w:val="10"/>
                <w:color w:val="0000FF"/>
                <w:w w:val="87"/>
              </w:rPr>
              <w:t>12/15/2029</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LT50 Common Stock</w:t>
            </w:r>
          </w:p>
        </w:tc>
        <w:tc>
          <w:tcPr>
            <w:tcW w:w="860" w:type="dxa"/>
            <w:vAlign w:val="bottom"/>
          </w:tcPr>
          <w:p>
            <w:pPr>
              <w:jc w:val="center"/>
              <w:ind w:left="55"/>
              <w:spacing w:after="0"/>
              <w:rPr>
                <w:sz w:val="20"/>
                <w:szCs w:val="20"/>
                <w:color w:val="auto"/>
              </w:rPr>
            </w:pPr>
            <w:r>
              <w:rPr>
                <w:rFonts w:ascii="Arial" w:cs="Arial" w:eastAsia="Arial" w:hAnsi="Arial"/>
                <w:sz w:val="13"/>
                <w:szCs w:val="13"/>
                <w:color w:val="0000FF"/>
                <w:w w:val="89"/>
              </w:rPr>
              <w:t>122,280</w:t>
            </w:r>
          </w:p>
        </w:tc>
        <w:tc>
          <w:tcPr>
            <w:tcW w:w="780" w:type="dxa"/>
            <w:vAlign w:val="bottom"/>
          </w:tcPr>
          <w:p>
            <w:pPr>
              <w:jc w:val="center"/>
              <w:ind w:right="74"/>
              <w:spacing w:after="0"/>
              <w:rPr>
                <w:sz w:val="20"/>
                <w:szCs w:val="20"/>
                <w:color w:val="auto"/>
              </w:rPr>
            </w:pPr>
            <w:r>
              <w:rPr>
                <w:rFonts w:ascii="Arial" w:cs="Arial" w:eastAsia="Arial" w:hAnsi="Arial"/>
                <w:sz w:val="8"/>
                <w:szCs w:val="8"/>
                <w:color w:val="008000"/>
              </w:rPr>
              <w:t>(7)</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980" w:type="dxa"/>
            <w:vAlign w:val="bottom"/>
          </w:tcPr>
          <w:p>
            <w:pPr>
              <w:spacing w:after="0"/>
              <w:rPr>
                <w:sz w:val="22"/>
                <w:szCs w:val="22"/>
                <w:color w:val="auto"/>
              </w:rPr>
            </w:pPr>
          </w:p>
        </w:tc>
      </w:tr>
    </w:tbl>
    <w:p>
      <w:pPr>
        <w:spacing w:after="0" w:line="235" w:lineRule="exact"/>
        <w:rPr>
          <w:sz w:val="24"/>
          <w:szCs w:val="24"/>
          <w:color w:val="auto"/>
        </w:rPr>
      </w:pPr>
    </w:p>
    <w:p>
      <w:pPr>
        <w:sectPr>
          <w:pgSz w:w="11900" w:h="16838" w:orient="portrait"/>
          <w:cols w:equalWidth="0" w:num="2">
            <w:col w:w="3280" w:space="720"/>
            <w:col w:w="7020"/>
          </w:cols>
          <w:pgMar w:left="440" w:top="203" w:right="439" w:bottom="1440" w:gutter="0" w:footer="0" w:header="0"/>
          <w:type w:val="continuous"/>
        </w:sectPr>
      </w:pPr>
    </w:p>
    <w:p>
      <w:pPr>
        <w:ind w:left="40" w:right="6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LT10 Common Stock is convertible into the Issuer's Class A Common Stock on a one-to-one basis only upon, and generally cannot be transferred without, satisfaction of certain notice and other requirements, including a notice period of 10 months. The LT10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2"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Deposited into the Expensify Voting Trust (the "Voting Trust"). The Reporting Person retains investment control and dispositive power over the shares deposited into the Voting Trust.</w:t>
      </w:r>
    </w:p>
    <w:p>
      <w:pPr>
        <w:spacing w:after="0" w:line="35" w:lineRule="exact"/>
        <w:rPr>
          <w:rFonts w:ascii="Arial" w:cs="Arial" w:eastAsia="Arial" w:hAnsi="Arial"/>
          <w:sz w:val="10"/>
          <w:szCs w:val="10"/>
          <w:color w:val="008000"/>
        </w:rPr>
      </w:pPr>
    </w:p>
    <w:p>
      <w:pPr>
        <w:ind w:left="40" w:right="6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2"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October 16, 2021.</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restricted stock units vest 12.5% on September 15, 2022 and 1/32nd each quarter thereafter, on December 15th, March 15th, June 15th and September 15th.</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the contingent right to receive one share of Class A common stock.</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the contingent right to receive one share of LT50 common stock.</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Exhibit 24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Ryan Schaffer, as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11/15/2021</w:t>
            </w:r>
          </w:p>
        </w:tc>
      </w:tr>
      <w:tr>
        <w:trPr>
          <w:trHeight w:val="170"/>
        </w:trPr>
        <w:tc>
          <w:tcPr>
            <w:tcW w:w="6580" w:type="dxa"/>
            <w:vAlign w:val="bottom"/>
          </w:tcPr>
          <w:p>
            <w:pPr>
              <w:spacing w:after="0"/>
              <w:rPr>
                <w:sz w:val="14"/>
                <w:szCs w:val="14"/>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30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Filings under Section 16 of the Securities Exchange Act of 1934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(Expensify, Inc.)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David Michael Barrett, Chief Executive Officer of Expensify, Inc. (the "Company") and Ryan Sch</w:t>
      </w:r>
    </w:p>
    <w:p>
      <w:pPr>
        <w:spacing w:after="0" w:line="153" w:lineRule="exact"/>
        <w:rPr>
          <w:sz w:val="20"/>
          <w:szCs w:val="20"/>
          <w:color w:val="auto"/>
        </w:rPr>
      </w:pPr>
    </w:p>
    <w:p>
      <w:pPr>
        <w:ind w:left="620" w:hanging="620"/>
        <w:spacing w:after="0"/>
        <w:tabs>
          <w:tab w:leader="none" w:pos="6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the Company, Forms 3, 4 a</w:t>
      </w:r>
    </w:p>
    <w:p>
      <w:pPr>
        <w:spacing w:after="0" w:line="152" w:lineRule="exact"/>
        <w:rPr>
          <w:rFonts w:ascii="Courier New" w:cs="Courier New" w:eastAsia="Courier New" w:hAnsi="Courier New"/>
          <w:sz w:val="13"/>
          <w:szCs w:val="13"/>
          <w:color w:val="auto"/>
        </w:rPr>
      </w:pPr>
    </w:p>
    <w:p>
      <w:pPr>
        <w:ind w:left="620" w:hanging="620"/>
        <w:spacing w:after="0"/>
        <w:tabs>
          <w:tab w:leader="none" w:pos="6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w:t>
      </w:r>
    </w:p>
    <w:p>
      <w:pPr>
        <w:spacing w:after="0" w:line="153" w:lineRule="exact"/>
        <w:rPr>
          <w:rFonts w:ascii="Courier New" w:cs="Courier New" w:eastAsia="Courier New" w:hAnsi="Courier New"/>
          <w:sz w:val="13"/>
          <w:szCs w:val="13"/>
          <w:color w:val="auto"/>
        </w:rPr>
      </w:pPr>
    </w:p>
    <w:p>
      <w:pPr>
        <w:spacing w:after="0" w:line="488" w:lineRule="auto"/>
        <w:tabs>
          <w:tab w:leader="none" w:pos="62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solely in connection with the foregoing which, in the opinion of such attorney-in-fact, may be of benefit to, in The undersigned hereby grants to each such attorney-in-fact full power and authority to do and perform any and every act and thing whatsoever This Limited Power of Attorney shall remain in full force and effect until the undersigned is no longer required to file Forms 3, 4 and 5 with IN WITNESS WHEREOF, the undersigned has executed this Limited Power of Attorney this 5th day of November 2021.</w:t>
      </w:r>
    </w:p>
    <w:p>
      <w:pPr>
        <w:spacing w:after="0" w:line="2"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/s/Jason Fahr Mills</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891197" TargetMode="External"/><Relationship Id="rId12"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2021-11-15T18:11:56Z</dcterms:created>
  <dcterms:modified xsi:type="dcterms:W3CDTF">2021-11-15T18:11:56Z</dcterms:modified>
</cp:coreProperties>
</file>