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43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0001891061</w:t>
            </w: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43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43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436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436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36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436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736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4360" w:type="dxa"/>
            <w:vAlign w:val="bottom"/>
          </w:tcPr>
          <w:p>
            <w:pPr>
              <w:spacing w:after="0"/>
              <w:rPr>
                <w:sz w:val="24"/>
                <w:szCs w:val="24"/>
                <w:color w:val="auto"/>
              </w:rPr>
            </w:pPr>
          </w:p>
        </w:tc>
        <w:tc>
          <w:tcPr>
            <w:tcW w:w="3020" w:type="dxa"/>
            <w:vAlign w:val="bottom"/>
          </w:tcPr>
          <w:p>
            <w:pPr>
              <w:ind w:left="1600"/>
              <w:spacing w:after="0"/>
              <w:rPr>
                <w:sz w:val="20"/>
                <w:szCs w:val="20"/>
                <w:color w:val="auto"/>
              </w:rPr>
            </w:pPr>
            <w:r>
              <w:rPr>
                <w:rFonts w:ascii="Times New Roman" w:cs="Times New Roman" w:eastAsia="Times New Roman" w:hAnsi="Times New Roman"/>
                <w:sz w:val="22"/>
                <w:szCs w:val="22"/>
                <w:color w:val="auto"/>
              </w:rPr>
              <w:t>Expensify, Inc.</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4360" w:type="dxa"/>
            <w:vAlign w:val="bottom"/>
          </w:tcPr>
          <w:p>
            <w:pPr>
              <w:spacing w:after="0"/>
              <w:rPr>
                <w:sz w:val="24"/>
                <w:szCs w:val="24"/>
                <w:color w:val="auto"/>
              </w:rPr>
            </w:pPr>
          </w:p>
        </w:tc>
        <w:tc>
          <w:tcPr>
            <w:tcW w:w="3020" w:type="dxa"/>
            <w:vAlign w:val="bottom"/>
          </w:tcPr>
          <w:p>
            <w:pPr>
              <w:ind w:left="1600"/>
              <w:spacing w:after="0"/>
              <w:rPr>
                <w:sz w:val="20"/>
                <w:szCs w:val="20"/>
                <w:color w:val="auto"/>
              </w:rPr>
            </w:pPr>
            <w:r>
              <w:rPr>
                <w:rFonts w:ascii="Times New Roman" w:cs="Times New Roman" w:eastAsia="Times New Roman" w:hAnsi="Times New Roman"/>
                <w:sz w:val="22"/>
                <w:szCs w:val="22"/>
                <w:color w:val="auto"/>
              </w:rPr>
              <w:t>001-41043</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4360" w:type="dxa"/>
            <w:vAlign w:val="bottom"/>
          </w:tcPr>
          <w:p>
            <w:pPr>
              <w:spacing w:after="0"/>
              <w:rPr>
                <w:sz w:val="22"/>
                <w:szCs w:val="22"/>
                <w:color w:val="auto"/>
              </w:rPr>
            </w:pPr>
          </w:p>
        </w:tc>
        <w:tc>
          <w:tcPr>
            <w:tcW w:w="3020" w:type="dxa"/>
            <w:vAlign w:val="bottom"/>
          </w:tcPr>
          <w:p>
            <w:pPr>
              <w:ind w:left="1600"/>
              <w:spacing w:after="0"/>
              <w:rPr>
                <w:sz w:val="20"/>
                <w:szCs w:val="20"/>
                <w:color w:val="auto"/>
              </w:rPr>
            </w:pPr>
            <w:r>
              <w:rPr>
                <w:rFonts w:ascii="Times New Roman" w:cs="Times New Roman" w:eastAsia="Times New Roman" w:hAnsi="Times New Roman"/>
                <w:sz w:val="22"/>
                <w:szCs w:val="22"/>
                <w:color w:val="auto"/>
                <w:w w:val="95"/>
              </w:rPr>
              <w:t>401 SW 5th Ave</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4360" w:type="dxa"/>
            <w:vAlign w:val="bottom"/>
          </w:tcPr>
          <w:p>
            <w:pPr>
              <w:spacing w:after="0"/>
              <w:rPr>
                <w:sz w:val="21"/>
                <w:szCs w:val="21"/>
                <w:color w:val="auto"/>
              </w:rPr>
            </w:pPr>
          </w:p>
        </w:tc>
        <w:tc>
          <w:tcPr>
            <w:tcW w:w="3020" w:type="dxa"/>
            <w:vAlign w:val="bottom"/>
          </w:tcPr>
          <w:p>
            <w:pPr>
              <w:ind w:left="1600"/>
              <w:spacing w:after="0" w:line="243" w:lineRule="exact"/>
              <w:rPr>
                <w:sz w:val="20"/>
                <w:szCs w:val="20"/>
                <w:color w:val="auto"/>
              </w:rPr>
            </w:pPr>
            <w:r>
              <w:rPr>
                <w:rFonts w:ascii="Times New Roman" w:cs="Times New Roman" w:eastAsia="Times New Roman" w:hAnsi="Times New Roman"/>
                <w:sz w:val="22"/>
                <w:szCs w:val="22"/>
                <w:color w:val="auto"/>
              </w:rPr>
              <w:t>Portland</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4360" w:type="dxa"/>
            <w:vAlign w:val="bottom"/>
          </w:tcPr>
          <w:p>
            <w:pPr>
              <w:spacing w:after="0"/>
              <w:rPr>
                <w:sz w:val="13"/>
                <w:szCs w:val="13"/>
                <w:color w:val="auto"/>
              </w:rPr>
            </w:pPr>
          </w:p>
        </w:tc>
        <w:tc>
          <w:tcPr>
            <w:tcW w:w="3020" w:type="dxa"/>
            <w:vAlign w:val="bottom"/>
            <w:vMerge w:val="restart"/>
          </w:tcPr>
          <w:p>
            <w:pPr>
              <w:ind w:left="1600"/>
              <w:spacing w:after="0" w:line="243" w:lineRule="exact"/>
              <w:rPr>
                <w:sz w:val="20"/>
                <w:szCs w:val="20"/>
                <w:color w:val="auto"/>
              </w:rPr>
            </w:pPr>
            <w:r>
              <w:rPr>
                <w:rFonts w:ascii="Times New Roman" w:cs="Times New Roman" w:eastAsia="Times New Roman" w:hAnsi="Times New Roman"/>
                <w:sz w:val="22"/>
                <w:szCs w:val="22"/>
                <w:color w:val="auto"/>
              </w:rPr>
              <w:t>OREGON</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4360" w:type="dxa"/>
            <w:vAlign w:val="bottom"/>
          </w:tcPr>
          <w:p>
            <w:pPr>
              <w:spacing w:after="0"/>
              <w:rPr>
                <w:sz w:val="7"/>
                <w:szCs w:val="7"/>
                <w:color w:val="auto"/>
              </w:rPr>
            </w:pPr>
          </w:p>
        </w:tc>
        <w:tc>
          <w:tcPr>
            <w:tcW w:w="30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3020" w:type="dxa"/>
            <w:vAlign w:val="bottom"/>
          </w:tcPr>
          <w:p>
            <w:pPr>
              <w:ind w:left="1600"/>
              <w:spacing w:after="0"/>
              <w:rPr>
                <w:sz w:val="20"/>
                <w:szCs w:val="20"/>
                <w:color w:val="auto"/>
              </w:rPr>
            </w:pPr>
            <w:r>
              <w:rPr>
                <w:rFonts w:ascii="Times New Roman" w:cs="Times New Roman" w:eastAsia="Times New Roman" w:hAnsi="Times New Roman"/>
                <w:sz w:val="22"/>
                <w:szCs w:val="22"/>
                <w:color w:val="auto"/>
              </w:rPr>
              <w:t>97204</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360" w:type="dxa"/>
            <w:vAlign w:val="bottom"/>
          </w:tcPr>
          <w:p>
            <w:pPr>
              <w:spacing w:after="0"/>
              <w:rPr>
                <w:sz w:val="24"/>
                <w:szCs w:val="24"/>
                <w:color w:val="auto"/>
              </w:rPr>
            </w:pPr>
          </w:p>
        </w:tc>
        <w:tc>
          <w:tcPr>
            <w:tcW w:w="3020" w:type="dxa"/>
            <w:vAlign w:val="bottom"/>
          </w:tcPr>
          <w:p>
            <w:pPr>
              <w:ind w:left="1600"/>
              <w:spacing w:after="0"/>
              <w:rPr>
                <w:sz w:val="20"/>
                <w:szCs w:val="20"/>
                <w:color w:val="auto"/>
              </w:rPr>
            </w:pPr>
            <w:r>
              <w:rPr>
                <w:rFonts w:ascii="Times New Roman" w:cs="Times New Roman" w:eastAsia="Times New Roman" w:hAnsi="Times New Roman"/>
                <w:sz w:val="22"/>
                <w:szCs w:val="22"/>
                <w:color w:val="auto"/>
              </w:rPr>
              <w:t>971-365-3939</w:t>
            </w:r>
          </w:p>
        </w:tc>
        <w:tc>
          <w:tcPr>
            <w:tcW w:w="0" w:type="dxa"/>
            <w:vAlign w:val="bottom"/>
          </w:tcPr>
          <w:p>
            <w:pPr>
              <w:spacing w:after="0"/>
              <w:rPr>
                <w:sz w:val="1"/>
                <w:szCs w:val="1"/>
                <w:color w:val="auto"/>
              </w:rPr>
            </w:pPr>
          </w:p>
        </w:tc>
      </w:tr>
      <w:tr>
        <w:trPr>
          <w:trHeight w:val="297"/>
        </w:trPr>
        <w:tc>
          <w:tcPr>
            <w:tcW w:w="73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020" w:type="dxa"/>
            <w:vAlign w:val="bottom"/>
          </w:tcPr>
          <w:p>
            <w:pPr>
              <w:ind w:left="1600"/>
              <w:spacing w:after="0"/>
              <w:rPr>
                <w:sz w:val="20"/>
                <w:szCs w:val="20"/>
                <w:color w:val="auto"/>
              </w:rPr>
            </w:pPr>
            <w:r>
              <w:rPr>
                <w:rFonts w:ascii="Times New Roman" w:cs="Times New Roman" w:eastAsia="Times New Roman" w:hAnsi="Times New Roman"/>
                <w:sz w:val="22"/>
                <w:szCs w:val="22"/>
                <w:color w:val="auto"/>
              </w:rPr>
              <w:t>Ryan Schaffer</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9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44" w:lineRule="exact"/>
        <w:rPr>
          <w:sz w:val="24"/>
          <w:szCs w:val="24"/>
          <w:color w:val="auto"/>
        </w:rPr>
      </w:pPr>
    </w:p>
    <w:p>
      <w:pPr>
        <w:ind w:left="40"/>
        <w:spacing w:after="0"/>
        <w:tabs>
          <w:tab w:leader="none" w:pos="89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43"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2"/>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tcPr>
          <w:p>
            <w:pPr>
              <w:jc w:val="right"/>
              <w:ind w:right="632"/>
              <w:spacing w:after="0" w:line="243" w:lineRule="exact"/>
              <w:rPr>
                <w:sz w:val="20"/>
                <w:szCs w:val="20"/>
                <w:color w:val="auto"/>
              </w:rPr>
            </w:pPr>
            <w:r>
              <w:rPr>
                <w:rFonts w:ascii="Times New Roman" w:cs="Times New Roman" w:eastAsia="Times New Roman" w:hAnsi="Times New Roman"/>
                <w:sz w:val="22"/>
                <w:szCs w:val="22"/>
                <w:color w:val="auto"/>
              </w:rPr>
              <w:t>3292</w:t>
            </w:r>
          </w:p>
        </w:tc>
        <w:tc>
          <w:tcPr>
            <w:tcW w:w="1140" w:type="dxa"/>
            <w:vAlign w:val="bottom"/>
          </w:tcPr>
          <w:p>
            <w:pPr>
              <w:jc w:val="right"/>
              <w:ind w:right="392"/>
              <w:spacing w:after="0" w:line="243" w:lineRule="exact"/>
              <w:rPr>
                <w:sz w:val="20"/>
                <w:szCs w:val="20"/>
                <w:color w:val="auto"/>
              </w:rPr>
            </w:pPr>
            <w:r>
              <w:rPr>
                <w:rFonts w:ascii="Times New Roman" w:cs="Times New Roman" w:eastAsia="Times New Roman" w:hAnsi="Times New Roman"/>
                <w:sz w:val="22"/>
                <w:szCs w:val="22"/>
                <w:color w:val="auto"/>
              </w:rPr>
              <w:t>7900.8</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12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ind w:left="40"/>
              <w:spacing w:after="0"/>
              <w:rPr>
                <w:sz w:val="20"/>
                <w:szCs w:val="20"/>
                <w:color w:val="auto"/>
              </w:rPr>
            </w:pPr>
            <w:r>
              <w:rPr>
                <w:rFonts w:ascii="Times New Roman" w:cs="Times New Roman" w:eastAsia="Times New Roman" w:hAnsi="Times New Roman"/>
                <w:sz w:val="22"/>
                <w:szCs w:val="22"/>
                <w:b w:val="1"/>
                <w:bCs w:val="1"/>
                <w:color w:val="auto"/>
                <w:w w:val="97"/>
              </w:rPr>
              <w:t>Approximate</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0"/>
        </w:trPr>
        <w:tc>
          <w:tcPr>
            <w:tcW w:w="1200" w:type="dxa"/>
            <w:vAlign w:val="bottom"/>
            <w:vMerge w:val="continue"/>
          </w:tcPr>
          <w:p>
            <w:pPr>
              <w:spacing w:after="0"/>
              <w:rPr>
                <w:sz w:val="19"/>
                <w:szCs w:val="19"/>
                <w:color w:val="auto"/>
              </w:rPr>
            </w:pPr>
          </w:p>
        </w:tc>
        <w:tc>
          <w:tcPr>
            <w:tcW w:w="1280" w:type="dxa"/>
            <w:vAlign w:val="bottom"/>
            <w:vMerge w:val="continue"/>
          </w:tcPr>
          <w:p>
            <w:pPr>
              <w:spacing w:after="0"/>
              <w:rPr>
                <w:sz w:val="19"/>
                <w:szCs w:val="19"/>
                <w:color w:val="auto"/>
              </w:rPr>
            </w:pPr>
          </w:p>
        </w:tc>
        <w:tc>
          <w:tcPr>
            <w:tcW w:w="1120" w:type="dxa"/>
            <w:vAlign w:val="bottom"/>
          </w:tcPr>
          <w:p>
            <w:pPr>
              <w:ind w:left="220"/>
              <w:spacing w:after="0" w:line="221"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44"/>
        </w:trPr>
        <w:tc>
          <w:tcPr>
            <w:tcW w:w="1200" w:type="dxa"/>
            <w:vAlign w:val="bottom"/>
          </w:tcPr>
          <w:p>
            <w:pPr>
              <w:jc w:val="center"/>
              <w:spacing w:after="0" w:line="144" w:lineRule="exact"/>
              <w:rPr>
                <w:sz w:val="20"/>
                <w:szCs w:val="20"/>
                <w:color w:val="auto"/>
              </w:rPr>
            </w:pPr>
            <w:r>
              <w:rPr>
                <w:rFonts w:ascii="Times New Roman" w:cs="Times New Roman" w:eastAsia="Times New Roman" w:hAnsi="Times New Roman"/>
                <w:sz w:val="16"/>
                <w:szCs w:val="16"/>
                <w:b w:val="1"/>
                <w:bCs w:val="1"/>
                <w:color w:val="auto"/>
              </w:rPr>
              <w:t>Other Units</w:t>
            </w:r>
          </w:p>
        </w:tc>
        <w:tc>
          <w:tcPr>
            <w:tcW w:w="1280" w:type="dxa"/>
            <w:vAlign w:val="bottom"/>
          </w:tcPr>
          <w:p>
            <w:pPr>
              <w:ind w:left="100"/>
              <w:spacing w:after="0" w:line="144" w:lineRule="exact"/>
              <w:rPr>
                <w:sz w:val="20"/>
                <w:szCs w:val="20"/>
                <w:color w:val="auto"/>
              </w:rPr>
            </w:pPr>
            <w:r>
              <w:rPr>
                <w:rFonts w:ascii="Times New Roman" w:cs="Times New Roman" w:eastAsia="Times New Roman" w:hAnsi="Times New Roman"/>
                <w:sz w:val="16"/>
                <w:szCs w:val="16"/>
                <w:b w:val="1"/>
                <w:bCs w:val="1"/>
                <w:color w:val="auto"/>
              </w:rPr>
              <w:t>Date of Sale</w:t>
            </w:r>
          </w:p>
        </w:tc>
        <w:tc>
          <w:tcPr>
            <w:tcW w:w="112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28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237"/>
              <w:spacing w:after="0"/>
              <w:rPr>
                <w:sz w:val="20"/>
                <w:szCs w:val="20"/>
                <w:color w:val="auto"/>
              </w:rPr>
            </w:pPr>
            <w:r>
              <w:rPr>
                <w:rFonts w:ascii="Times New Roman" w:cs="Times New Roman" w:eastAsia="Times New Roman" w:hAnsi="Times New Roman"/>
                <w:sz w:val="22"/>
                <w:szCs w:val="22"/>
                <w:color w:val="auto"/>
                <w:w w:val="95"/>
              </w:rPr>
              <w:t>69194671</w:t>
            </w:r>
          </w:p>
        </w:tc>
        <w:tc>
          <w:tcPr>
            <w:tcW w:w="12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12/15/2023</w:t>
            </w:r>
          </w:p>
        </w:tc>
        <w:tc>
          <w:tcPr>
            <w:tcW w:w="11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NASDAQ</w:t>
            </w:r>
          </w:p>
        </w:tc>
        <w:tc>
          <w:tcPr>
            <w:tcW w:w="0" w:type="dxa"/>
            <w:vAlign w:val="bottom"/>
          </w:tcPr>
          <w:p>
            <w:pPr>
              <w:spacing w:after="0"/>
              <w:rPr>
                <w:sz w:val="1"/>
                <w:szCs w:val="1"/>
                <w:color w:val="auto"/>
              </w:rPr>
            </w:pPr>
          </w:p>
        </w:tc>
      </w:tr>
    </w:tbl>
    <w:p>
      <w:pPr>
        <w:spacing w:after="0" w:line="685" w:lineRule="exact"/>
        <w:rPr>
          <w:sz w:val="24"/>
          <w:szCs w:val="24"/>
          <w:color w:val="auto"/>
        </w:rPr>
      </w:pPr>
    </w:p>
    <w:p>
      <w:pPr>
        <w:sectPr>
          <w:pgSz w:w="11900" w:h="16843"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43"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43"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6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36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46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6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46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ind w:left="22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2820" w:type="dxa"/>
            <w:vAlign w:val="bottom"/>
            <w:gridSpan w:val="2"/>
            <w:vMerge w:val="restart"/>
          </w:tcPr>
          <w:p>
            <w:pPr>
              <w:ind w:left="240"/>
              <w:spacing w:after="0"/>
              <w:rPr>
                <w:sz w:val="20"/>
                <w:szCs w:val="20"/>
                <w:color w:val="auto"/>
              </w:rPr>
            </w:pPr>
            <w:r>
              <w:rPr>
                <w:rFonts w:ascii="Times New Roman" w:cs="Times New Roman" w:eastAsia="Times New Roman" w:hAnsi="Times New Roman"/>
                <w:sz w:val="22"/>
                <w:szCs w:val="22"/>
                <w:color w:val="auto"/>
              </w:rPr>
              <w:t>12/15/2023 RSU Vesting</w:t>
            </w:r>
          </w:p>
        </w:tc>
        <w:tc>
          <w:tcPr>
            <w:tcW w:w="15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Expensify, Inc.</w:t>
            </w:r>
          </w:p>
        </w:tc>
        <w:tc>
          <w:tcPr>
            <w:tcW w:w="6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2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2951</w:t>
            </w:r>
          </w:p>
        </w:tc>
        <w:tc>
          <w:tcPr>
            <w:tcW w:w="248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12/15/2023 Compensation</w:t>
            </w:r>
          </w:p>
        </w:tc>
        <w:tc>
          <w:tcPr>
            <w:tcW w:w="0" w:type="dxa"/>
            <w:vAlign w:val="bottom"/>
          </w:tcPr>
          <w:p>
            <w:pPr>
              <w:spacing w:after="0"/>
              <w:rPr>
                <w:sz w:val="1"/>
                <w:szCs w:val="1"/>
                <w:color w:val="auto"/>
              </w:rPr>
            </w:pPr>
          </w:p>
        </w:tc>
      </w:tr>
      <w:tr>
        <w:trPr>
          <w:trHeight w:val="16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820" w:type="dxa"/>
            <w:vAlign w:val="bottom"/>
            <w:gridSpan w:val="2"/>
            <w:vMerge w:val="continue"/>
          </w:tcPr>
          <w:p>
            <w:pPr>
              <w:spacing w:after="0"/>
              <w:rPr>
                <w:sz w:val="13"/>
                <w:szCs w:val="13"/>
                <w:color w:val="auto"/>
              </w:rPr>
            </w:pPr>
          </w:p>
        </w:tc>
        <w:tc>
          <w:tcPr>
            <w:tcW w:w="1560" w:type="dxa"/>
            <w:vAlign w:val="bottom"/>
            <w:vMerge w:val="continue"/>
          </w:tcPr>
          <w:p>
            <w:pPr>
              <w:spacing w:after="0"/>
              <w:rPr>
                <w:sz w:val="13"/>
                <w:szCs w:val="13"/>
                <w:color w:val="auto"/>
              </w:rPr>
            </w:pPr>
          </w:p>
        </w:tc>
        <w:tc>
          <w:tcPr>
            <w:tcW w:w="6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20" w:type="dxa"/>
            <w:vAlign w:val="bottom"/>
            <w:vMerge w:val="continue"/>
          </w:tcPr>
          <w:p>
            <w:pPr>
              <w:spacing w:after="0"/>
              <w:rPr>
                <w:sz w:val="13"/>
                <w:szCs w:val="13"/>
                <w:color w:val="auto"/>
              </w:rPr>
            </w:pPr>
          </w:p>
        </w:tc>
        <w:tc>
          <w:tcPr>
            <w:tcW w:w="24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220" w:type="dxa"/>
            <w:vAlign w:val="bottom"/>
            <w:vMerge w:val="continue"/>
          </w:tcPr>
          <w:p>
            <w:pPr>
              <w:spacing w:after="0"/>
              <w:rPr>
                <w:sz w:val="10"/>
                <w:szCs w:val="10"/>
                <w:color w:val="auto"/>
              </w:rPr>
            </w:pPr>
          </w:p>
        </w:tc>
        <w:tc>
          <w:tcPr>
            <w:tcW w:w="136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2820" w:type="dxa"/>
            <w:vAlign w:val="bottom"/>
            <w:gridSpan w:val="2"/>
            <w:vMerge w:val="restart"/>
          </w:tcPr>
          <w:p>
            <w:pPr>
              <w:ind w:left="240"/>
              <w:spacing w:after="0"/>
              <w:rPr>
                <w:sz w:val="20"/>
                <w:szCs w:val="20"/>
                <w:color w:val="auto"/>
              </w:rPr>
            </w:pPr>
            <w:r>
              <w:rPr>
                <w:rFonts w:ascii="Times New Roman" w:cs="Times New Roman" w:eastAsia="Times New Roman" w:hAnsi="Times New Roman"/>
                <w:sz w:val="22"/>
                <w:szCs w:val="22"/>
                <w:color w:val="auto"/>
              </w:rPr>
              <w:t>12/15/2023 SPMP Purchase</w:t>
            </w:r>
          </w:p>
        </w:tc>
        <w:tc>
          <w:tcPr>
            <w:tcW w:w="15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Expensify, Inc.</w:t>
            </w:r>
          </w:p>
        </w:tc>
        <w:tc>
          <w:tcPr>
            <w:tcW w:w="6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2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341</w:t>
            </w:r>
          </w:p>
        </w:tc>
        <w:tc>
          <w:tcPr>
            <w:tcW w:w="248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12/15/2023 Compensation</w:t>
            </w:r>
          </w:p>
        </w:tc>
        <w:tc>
          <w:tcPr>
            <w:tcW w:w="0" w:type="dxa"/>
            <w:vAlign w:val="bottom"/>
          </w:tcPr>
          <w:p>
            <w:pPr>
              <w:spacing w:after="0"/>
              <w:rPr>
                <w:sz w:val="1"/>
                <w:szCs w:val="1"/>
                <w:color w:val="auto"/>
              </w:rPr>
            </w:pPr>
          </w:p>
        </w:tc>
      </w:tr>
      <w:tr>
        <w:trPr>
          <w:trHeight w:val="16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820" w:type="dxa"/>
            <w:vAlign w:val="bottom"/>
            <w:gridSpan w:val="2"/>
            <w:vMerge w:val="continue"/>
          </w:tcPr>
          <w:p>
            <w:pPr>
              <w:spacing w:after="0"/>
              <w:rPr>
                <w:sz w:val="13"/>
                <w:szCs w:val="13"/>
                <w:color w:val="auto"/>
              </w:rPr>
            </w:pPr>
          </w:p>
        </w:tc>
        <w:tc>
          <w:tcPr>
            <w:tcW w:w="1560" w:type="dxa"/>
            <w:vAlign w:val="bottom"/>
            <w:vMerge w:val="continue"/>
          </w:tcPr>
          <w:p>
            <w:pPr>
              <w:spacing w:after="0"/>
              <w:rPr>
                <w:sz w:val="13"/>
                <w:szCs w:val="13"/>
                <w:color w:val="auto"/>
              </w:rPr>
            </w:pPr>
          </w:p>
        </w:tc>
        <w:tc>
          <w:tcPr>
            <w:tcW w:w="6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20" w:type="dxa"/>
            <w:vAlign w:val="bottom"/>
            <w:vMerge w:val="continue"/>
          </w:tcPr>
          <w:p>
            <w:pPr>
              <w:spacing w:after="0"/>
              <w:rPr>
                <w:sz w:val="13"/>
                <w:szCs w:val="13"/>
                <w:color w:val="auto"/>
              </w:rPr>
            </w:pPr>
          </w:p>
        </w:tc>
        <w:tc>
          <w:tcPr>
            <w:tcW w:w="24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220" w:type="dxa"/>
            <w:vAlign w:val="bottom"/>
            <w:vMerge w:val="continue"/>
          </w:tcPr>
          <w:p>
            <w:pPr>
              <w:spacing w:after="0"/>
              <w:rPr>
                <w:sz w:val="10"/>
                <w:szCs w:val="10"/>
                <w:color w:val="auto"/>
              </w:rPr>
            </w:pPr>
          </w:p>
        </w:tc>
        <w:tc>
          <w:tcPr>
            <w:tcW w:w="136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-572770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300" w:type="dxa"/>
            <w:vAlign w:val="bottom"/>
          </w:tcPr>
          <w:p>
            <w:pPr>
              <w:spacing w:after="0"/>
              <w:rPr>
                <w:sz w:val="22"/>
                <w:szCs w:val="22"/>
                <w:color w:val="auto"/>
              </w:rPr>
            </w:pPr>
          </w:p>
        </w:tc>
        <w:tc>
          <w:tcPr>
            <w:tcW w:w="20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2"/>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34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30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300" w:type="dxa"/>
            <w:vAlign w:val="bottom"/>
          </w:tcPr>
          <w:p>
            <w:pPr>
              <w:spacing w:after="0"/>
              <w:rPr>
                <w:sz w:val="10"/>
                <w:szCs w:val="10"/>
                <w:color w:val="auto"/>
              </w:rPr>
            </w:pPr>
          </w:p>
        </w:tc>
        <w:tc>
          <w:tcPr>
            <w:tcW w:w="20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300" w:type="dxa"/>
            <w:vAlign w:val="bottom"/>
          </w:tcPr>
          <w:p>
            <w:pPr>
              <w:spacing w:after="0"/>
              <w:rPr>
                <w:sz w:val="20"/>
                <w:szCs w:val="20"/>
                <w:color w:val="auto"/>
              </w:rPr>
            </w:pPr>
            <w:r>
              <w:rPr>
                <w:rFonts w:ascii="Times New Roman" w:cs="Times New Roman" w:eastAsia="Times New Roman" w:hAnsi="Times New Roman"/>
                <w:sz w:val="22"/>
                <w:szCs w:val="22"/>
                <w:color w:val="auto"/>
              </w:rPr>
              <w:t>Ryan Schaffer</w:t>
            </w:r>
          </w:p>
        </w:tc>
        <w:tc>
          <w:tcPr>
            <w:tcW w:w="20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401 SW 5th Ave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18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10/31/2023 4000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10680</w:t>
            </w:r>
          </w:p>
        </w:tc>
        <w:tc>
          <w:tcPr>
            <w:tcW w:w="0" w:type="dxa"/>
            <w:vAlign w:val="bottom"/>
          </w:tcPr>
          <w:p>
            <w:pPr>
              <w:spacing w:after="0"/>
              <w:rPr>
                <w:sz w:val="1"/>
                <w:szCs w:val="1"/>
                <w:color w:val="auto"/>
              </w:rPr>
            </w:pPr>
          </w:p>
        </w:tc>
      </w:tr>
      <w:tr>
        <w:trPr>
          <w:trHeight w:val="282"/>
        </w:trPr>
        <w:tc>
          <w:tcPr>
            <w:tcW w:w="1300" w:type="dxa"/>
            <w:vAlign w:val="bottom"/>
          </w:tcPr>
          <w:p>
            <w:pPr>
              <w:spacing w:after="0"/>
              <w:rPr>
                <w:sz w:val="20"/>
                <w:szCs w:val="20"/>
                <w:color w:val="auto"/>
              </w:rPr>
            </w:pPr>
            <w:r>
              <w:rPr>
                <w:rFonts w:ascii="Times New Roman" w:cs="Times New Roman" w:eastAsia="Times New Roman" w:hAnsi="Times New Roman"/>
                <w:sz w:val="22"/>
                <w:szCs w:val="22"/>
                <w:color w:val="auto"/>
              </w:rPr>
              <w:t>Portland  OR</w:t>
            </w:r>
          </w:p>
        </w:tc>
        <w:tc>
          <w:tcPr>
            <w:tcW w:w="2040" w:type="dxa"/>
            <w:vAlign w:val="bottom"/>
          </w:tcPr>
          <w:p>
            <w:pPr>
              <w:jc w:val="right"/>
              <w:ind w:right="1332"/>
              <w:spacing w:after="0"/>
              <w:rPr>
                <w:sz w:val="20"/>
                <w:szCs w:val="20"/>
                <w:color w:val="auto"/>
              </w:rPr>
            </w:pPr>
            <w:r>
              <w:rPr>
                <w:rFonts w:ascii="Times New Roman" w:cs="Times New Roman" w:eastAsia="Times New Roman" w:hAnsi="Times New Roman"/>
                <w:sz w:val="22"/>
                <w:szCs w:val="22"/>
                <w:color w:val="auto"/>
              </w:rPr>
              <w:t>97209</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300" w:type="dxa"/>
            <w:vAlign w:val="bottom"/>
          </w:tcPr>
          <w:p>
            <w:pPr>
              <w:spacing w:after="0"/>
              <w:rPr>
                <w:sz w:val="20"/>
                <w:szCs w:val="20"/>
                <w:color w:val="auto"/>
              </w:rPr>
            </w:pPr>
            <w:r>
              <w:rPr>
                <w:rFonts w:ascii="Times New Roman" w:cs="Times New Roman" w:eastAsia="Times New Roman" w:hAnsi="Times New Roman"/>
                <w:sz w:val="22"/>
                <w:szCs w:val="22"/>
                <w:color w:val="auto"/>
              </w:rPr>
              <w:t>Ryan Schaffer</w:t>
            </w:r>
          </w:p>
        </w:tc>
        <w:tc>
          <w:tcPr>
            <w:tcW w:w="20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401 SW 5th Ave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18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09/29/2023 4000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13120</w:t>
            </w:r>
          </w:p>
        </w:tc>
        <w:tc>
          <w:tcPr>
            <w:tcW w:w="0" w:type="dxa"/>
            <w:vAlign w:val="bottom"/>
          </w:tcPr>
          <w:p>
            <w:pPr>
              <w:spacing w:after="0"/>
              <w:rPr>
                <w:sz w:val="1"/>
                <w:szCs w:val="1"/>
                <w:color w:val="auto"/>
              </w:rPr>
            </w:pPr>
          </w:p>
        </w:tc>
      </w:tr>
      <w:tr>
        <w:trPr>
          <w:trHeight w:val="282"/>
        </w:trPr>
        <w:tc>
          <w:tcPr>
            <w:tcW w:w="1300" w:type="dxa"/>
            <w:vAlign w:val="bottom"/>
          </w:tcPr>
          <w:p>
            <w:pPr>
              <w:spacing w:after="0"/>
              <w:rPr>
                <w:sz w:val="20"/>
                <w:szCs w:val="20"/>
                <w:color w:val="auto"/>
              </w:rPr>
            </w:pPr>
            <w:r>
              <w:rPr>
                <w:rFonts w:ascii="Times New Roman" w:cs="Times New Roman" w:eastAsia="Times New Roman" w:hAnsi="Times New Roman"/>
                <w:sz w:val="22"/>
                <w:szCs w:val="22"/>
                <w:color w:val="auto"/>
              </w:rPr>
              <w:t>Portland  OR</w:t>
            </w:r>
          </w:p>
        </w:tc>
        <w:tc>
          <w:tcPr>
            <w:tcW w:w="2040" w:type="dxa"/>
            <w:vAlign w:val="bottom"/>
          </w:tcPr>
          <w:p>
            <w:pPr>
              <w:jc w:val="right"/>
              <w:ind w:right="1332"/>
              <w:spacing w:after="0"/>
              <w:rPr>
                <w:sz w:val="20"/>
                <w:szCs w:val="20"/>
                <w:color w:val="auto"/>
              </w:rPr>
            </w:pPr>
            <w:r>
              <w:rPr>
                <w:rFonts w:ascii="Times New Roman" w:cs="Times New Roman" w:eastAsia="Times New Roman" w:hAnsi="Times New Roman"/>
                <w:sz w:val="22"/>
                <w:szCs w:val="22"/>
                <w:color w:val="auto"/>
              </w:rPr>
              <w:t>97209</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300" w:type="dxa"/>
            <w:vAlign w:val="bottom"/>
          </w:tcPr>
          <w:p>
            <w:pPr>
              <w:spacing w:after="0"/>
              <w:rPr>
                <w:sz w:val="20"/>
                <w:szCs w:val="20"/>
                <w:color w:val="auto"/>
              </w:rPr>
            </w:pPr>
            <w:r>
              <w:rPr>
                <w:rFonts w:ascii="Times New Roman" w:cs="Times New Roman" w:eastAsia="Times New Roman" w:hAnsi="Times New Roman"/>
                <w:sz w:val="22"/>
                <w:szCs w:val="22"/>
                <w:color w:val="auto"/>
              </w:rPr>
              <w:t>Ryan Schaffer</w:t>
            </w:r>
          </w:p>
        </w:tc>
        <w:tc>
          <w:tcPr>
            <w:tcW w:w="20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401 SW 5th Ave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18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11/30/2023 9212</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22040.92</w:t>
            </w:r>
          </w:p>
        </w:tc>
        <w:tc>
          <w:tcPr>
            <w:tcW w:w="0" w:type="dxa"/>
            <w:vAlign w:val="bottom"/>
          </w:tcPr>
          <w:p>
            <w:pPr>
              <w:spacing w:after="0"/>
              <w:rPr>
                <w:sz w:val="1"/>
                <w:szCs w:val="1"/>
                <w:color w:val="auto"/>
              </w:rPr>
            </w:pPr>
          </w:p>
        </w:tc>
      </w:tr>
      <w:tr>
        <w:trPr>
          <w:trHeight w:val="282"/>
        </w:trPr>
        <w:tc>
          <w:tcPr>
            <w:tcW w:w="1300" w:type="dxa"/>
            <w:vAlign w:val="bottom"/>
          </w:tcPr>
          <w:p>
            <w:pPr>
              <w:spacing w:after="0"/>
              <w:rPr>
                <w:sz w:val="20"/>
                <w:szCs w:val="20"/>
                <w:color w:val="auto"/>
              </w:rPr>
            </w:pPr>
            <w:r>
              <w:rPr>
                <w:rFonts w:ascii="Times New Roman" w:cs="Times New Roman" w:eastAsia="Times New Roman" w:hAnsi="Times New Roman"/>
                <w:sz w:val="22"/>
                <w:szCs w:val="22"/>
                <w:color w:val="auto"/>
              </w:rPr>
              <w:t>Portland  OR</w:t>
            </w:r>
          </w:p>
        </w:tc>
        <w:tc>
          <w:tcPr>
            <w:tcW w:w="2040" w:type="dxa"/>
            <w:vAlign w:val="bottom"/>
          </w:tcPr>
          <w:p>
            <w:pPr>
              <w:jc w:val="right"/>
              <w:ind w:right="1332"/>
              <w:spacing w:after="0"/>
              <w:rPr>
                <w:sz w:val="20"/>
                <w:szCs w:val="20"/>
                <w:color w:val="auto"/>
              </w:rPr>
            </w:pPr>
            <w:r>
              <w:rPr>
                <w:rFonts w:ascii="Times New Roman" w:cs="Times New Roman" w:eastAsia="Times New Roman" w:hAnsi="Times New Roman"/>
                <w:sz w:val="22"/>
                <w:szCs w:val="22"/>
                <w:color w:val="auto"/>
              </w:rPr>
              <w:t>97209</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43"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Remarks</w:t>
            </w:r>
          </w:p>
        </w:tc>
        <w:tc>
          <w:tcPr>
            <w:tcW w:w="10040" w:type="dxa"/>
            <w:vAlign w:val="bottom"/>
          </w:tcPr>
          <w:p>
            <w:pPr>
              <w:ind w:left="140"/>
              <w:spacing w:after="0"/>
              <w:rPr>
                <w:sz w:val="20"/>
                <w:szCs w:val="20"/>
                <w:color w:val="auto"/>
              </w:rPr>
            </w:pPr>
            <w:r>
              <w:rPr>
                <w:rFonts w:ascii="Times New Roman" w:cs="Times New Roman" w:eastAsia="Times New Roman" w:hAnsi="Times New Roman"/>
                <w:sz w:val="22"/>
                <w:szCs w:val="22"/>
                <w:color w:val="auto"/>
                <w:w w:val="97"/>
              </w:rPr>
              <w:t>Note for 3(e): As of November 3, 2023, as stated in Issuer's quarterly report on Form 10-Q for the quarterly period</w:t>
            </w:r>
          </w:p>
        </w:tc>
        <w:tc>
          <w:tcPr>
            <w:tcW w:w="0" w:type="dxa"/>
            <w:vAlign w:val="bottom"/>
          </w:tcPr>
          <w:p>
            <w:pPr>
              <w:spacing w:after="0"/>
              <w:rPr>
                <w:sz w:val="1"/>
                <w:szCs w:val="1"/>
                <w:color w:val="auto"/>
              </w:rPr>
            </w:pPr>
          </w:p>
        </w:tc>
      </w:tr>
      <w:tr>
        <w:trPr>
          <w:trHeight w:val="161"/>
        </w:trPr>
        <w:tc>
          <w:tcPr>
            <w:tcW w:w="940" w:type="dxa"/>
            <w:vAlign w:val="bottom"/>
            <w:vMerge w:val="continue"/>
          </w:tcPr>
          <w:p>
            <w:pPr>
              <w:spacing w:after="0"/>
              <w:rPr>
                <w:sz w:val="13"/>
                <w:szCs w:val="13"/>
                <w:color w:val="auto"/>
              </w:rPr>
            </w:pPr>
          </w:p>
        </w:tc>
        <w:tc>
          <w:tcPr>
            <w:tcW w:w="100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ending September 30, 2023.</w:t>
            </w:r>
          </w:p>
        </w:tc>
        <w:tc>
          <w:tcPr>
            <w:tcW w:w="0" w:type="dxa"/>
            <w:vAlign w:val="bottom"/>
          </w:tcPr>
          <w:p>
            <w:pPr>
              <w:spacing w:after="0"/>
              <w:rPr>
                <w:sz w:val="1"/>
                <w:szCs w:val="1"/>
                <w:color w:val="auto"/>
              </w:rPr>
            </w:pPr>
          </w:p>
        </w:tc>
      </w:tr>
      <w:tr>
        <w:trPr>
          <w:trHeight w:val="121"/>
        </w:trPr>
        <w:tc>
          <w:tcPr>
            <w:tcW w:w="940" w:type="dxa"/>
            <w:vAlign w:val="bottom"/>
          </w:tcPr>
          <w:p>
            <w:pPr>
              <w:spacing w:after="0"/>
              <w:rPr>
                <w:sz w:val="10"/>
                <w:szCs w:val="10"/>
                <w:color w:val="auto"/>
              </w:rPr>
            </w:pPr>
          </w:p>
        </w:tc>
        <w:tc>
          <w:tcPr>
            <w:tcW w:w="100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94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100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12/15/2023</w:t>
            </w:r>
          </w:p>
        </w:tc>
        <w:tc>
          <w:tcPr>
            <w:tcW w:w="0" w:type="dxa"/>
            <w:vAlign w:val="bottom"/>
          </w:tcPr>
          <w:p>
            <w:pPr>
              <w:spacing w:after="0"/>
              <w:rPr>
                <w:sz w:val="1"/>
                <w:szCs w:val="1"/>
                <w:color w:val="auto"/>
              </w:rPr>
            </w:pPr>
          </w:p>
        </w:tc>
      </w:tr>
      <w:tr>
        <w:trPr>
          <w:trHeight w:val="161"/>
        </w:trPr>
        <w:tc>
          <w:tcPr>
            <w:tcW w:w="9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100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940" w:type="dxa"/>
            <w:vAlign w:val="bottom"/>
            <w:vMerge w:val="continue"/>
          </w:tcPr>
          <w:p>
            <w:pPr>
              <w:spacing w:after="0"/>
              <w:rPr>
                <w:sz w:val="10"/>
                <w:szCs w:val="10"/>
                <w:color w:val="auto"/>
              </w:rPr>
            </w:pPr>
          </w:p>
        </w:tc>
        <w:tc>
          <w:tcPr>
            <w:tcW w:w="10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098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1100" w:val="left"/>
        </w:tabs>
        <w:rPr>
          <w:sz w:val="20"/>
          <w:szCs w:val="20"/>
          <w:color w:val="auto"/>
        </w:rPr>
      </w:pPr>
      <w:r>
        <w:rPr>
          <w:rFonts w:ascii="Times New Roman" w:cs="Times New Roman" w:eastAsia="Times New Roman" w:hAnsi="Times New Roman"/>
          <w:sz w:val="22"/>
          <w:szCs w:val="22"/>
          <w:color w:val="auto"/>
        </w:rPr>
        <w:t>Signature</w:t>
        <w:tab/>
        <w:t>/s/ Cole Eason as attorney-in-fact</w:t>
      </w:r>
    </w:p>
    <w:p>
      <w:pPr>
        <w:spacing w:after="0" w:line="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p>
      <w:pPr>
        <w:sectPr>
          <w:pgSz w:w="11900" w:h="16838" w:orient="portrait"/>
          <w:cols w:equalWidth="0" w:num="1">
            <w:col w:w="11240"/>
          </w:cols>
          <w:pgMar w:left="320" w:top="98"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22"/>
          <w:szCs w:val="22"/>
          <w:b w:val="1"/>
          <w:bCs w:val="1"/>
          <w:color w:val="auto"/>
        </w:rPr>
        <w:t>POWER OF ATTORNEY</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Form 144</w:t>
      </w:r>
    </w:p>
    <w:p>
      <w:pPr>
        <w:spacing w:after="0" w:line="194"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18"/>
          <w:szCs w:val="18"/>
          <w:color w:val="auto"/>
        </w:rPr>
        <w:t>With respect to holdings of and transactions in securities issued by Expensify,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the undersigned hereby constitutes and appoints Cole Eason, Secretary of the Company, in his capacity as such, and his successor in such office, and him, as the undersigned’s true and lawful attorney-in-fact and agent, with full power of substitution and resubstitution, for the undersigned and in the undersigned’s name, place and stead, in any and all capacities, to:</w:t>
      </w:r>
    </w:p>
    <w:p>
      <w:pPr>
        <w:spacing w:after="0" w:line="204" w:lineRule="exact"/>
        <w:rPr>
          <w:sz w:val="20"/>
          <w:szCs w:val="20"/>
          <w:color w:val="auto"/>
        </w:rPr>
      </w:pPr>
    </w:p>
    <w:p>
      <w:pPr>
        <w:ind w:left="660" w:hanging="328"/>
        <w:spacing w:after="0" w:line="271"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execute for and on behalf of the undersigned an electronic Notice of Proposed Sale of Securities Pursuant to Rule 144 (</w:t>
      </w:r>
      <w:r>
        <w:rPr>
          <w:rFonts w:ascii="Times New Roman" w:cs="Times New Roman" w:eastAsia="Times New Roman" w:hAnsi="Times New Roman"/>
          <w:sz w:val="18"/>
          <w:szCs w:val="18"/>
          <w:b w:val="1"/>
          <w:bCs w:val="1"/>
          <w:i w:val="1"/>
          <w:iCs w:val="1"/>
          <w:color w:val="auto"/>
        </w:rPr>
        <w:t>“Form 144”</w:t>
      </w:r>
      <w:r>
        <w:rPr>
          <w:rFonts w:ascii="Times New Roman" w:cs="Times New Roman" w:eastAsia="Times New Roman" w:hAnsi="Times New Roman"/>
          <w:sz w:val="18"/>
          <w:szCs w:val="18"/>
          <w:color w:val="auto"/>
        </w:rPr>
        <w:t>) relating to such sales, in accordance with the requirements of Rule 144 under the Securities Act of 1933, as amended (the “</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color w:val="auto"/>
        </w:rPr>
        <w:t>”); and</w:t>
      </w:r>
    </w:p>
    <w:p>
      <w:pPr>
        <w:spacing w:after="0" w:line="184"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 and perform any and all acts for and on behalf of the undersigned which may be necessary or desirable to complete and execute any such Form 144 complete and execute any amendment or amendments thereto, and to timely file the Form 144, and any amendment thereto, with the United States Securities and Exchange Commission and any stock exchange or similar authority.</w:t>
      </w:r>
    </w:p>
    <w:p>
      <w:pPr>
        <w:spacing w:after="0" w:line="204"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The undersigned hereby grants to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and resubstitution or revocation, hereby ratifying and confirming all that such attorney-in-fact, or such attorney-in-fact substitute or substitutes, shall lawfully do or cause to be done by virtue of this Power of Attorney and the rights and powers herein granted.</w:t>
      </w:r>
    </w:p>
    <w:p>
      <w:pPr>
        <w:spacing w:after="0" w:line="21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undersigned acknowledges that the foregoing attorneys-in-fact, in serving in such capacity at the request of the undersigned, are not assuming, nor is the Company assuming, any of the undersigned’s responsibilities to comply with the requirements of Rule 144 under the Securities Act.</w:t>
      </w:r>
    </w:p>
    <w:p>
      <w:pPr>
        <w:spacing w:after="0" w:line="18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This Power of Attorney shall remain in full force and effect until the undersigned is no longer required to file Form 144 with respect to the undersigned’s transactions in securities issued by the Company, unless earlier revoked by the undersigned in a signed writing delivered to the foregoing attorneys-in-fact.</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WITNESS WHEREOF, the undersigned has caused this Power of Attorney to be executed as of this 28th day of November, 2023.</w:t>
      </w:r>
    </w:p>
    <w:p>
      <w:pPr>
        <w:spacing w:after="0" w:line="200" w:lineRule="exact"/>
        <w:rPr>
          <w:sz w:val="20"/>
          <w:szCs w:val="20"/>
          <w:color w:val="auto"/>
        </w:rPr>
      </w:pPr>
    </w:p>
    <w:p>
      <w:pPr>
        <w:spacing w:after="0" w:line="336"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18"/>
          <w:szCs w:val="18"/>
          <w:color w:val="auto"/>
        </w:rPr>
        <w:t>/s/ Ryan Schaffer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4308475</wp:posOffset>
            </wp:positionH>
            <wp:positionV relativeFrom="paragraph">
              <wp:posOffset>17145</wp:posOffset>
            </wp:positionV>
            <wp:extent cx="282892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828925" cy="8890"/>
                    </a:xfrm>
                    <a:prstGeom prst="rect">
                      <a:avLst/>
                    </a:prstGeom>
                    <a:noFill/>
                  </pic:spPr>
                </pic:pic>
              </a:graphicData>
            </a:graphic>
          </wp:anchor>
        </w:drawing>
      </w:r>
    </w:p>
    <w:p>
      <w:pPr>
        <w:spacing w:after="0" w:line="16"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18"/>
          <w:szCs w:val="18"/>
          <w:color w:val="auto"/>
        </w:rPr>
        <w:t>Ryan Shaffer</w:t>
      </w:r>
    </w:p>
    <w:sectPr>
      <w:pgSz w:w="11900" w:h="16838" w:orient="portrait"/>
      <w:cols w:equalWidth="0" w:num="1">
        <w:col w:w="11240"/>
      </w:cols>
      <w:pgMar w:left="320" w:top="14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2023-12-15T19:48:13Z</dcterms:created>
  <dcterms:modified xsi:type="dcterms:W3CDTF">2023-12-15T19:48:13Z</dcterms:modified>
</cp:coreProperties>
</file>