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sc13ga.htm"/>
      <w:bookmarkStart w:id="1" w:name="ks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b/>
          <w:sz w:val="36"/>
        </w:rPr>
      </w:pPr>
      <w:r>
        <w:rPr>
          <w:b/>
          <w:sz w:val="36"/>
        </w:rPr>
        <w:t xml:space="preserve">UNITED STATES </w:t>
      </w:r>
    </w:p>
    <w:p>
      <w:pPr>
        <w:pStyle w:val="TextBody"/>
        <w:bidi w:val="0"/>
        <w:spacing w:before="0" w:after="0"/>
        <w:jc w:val="center"/>
        <w:rPr>
          <w:b/>
          <w:sz w:val="36"/>
        </w:rPr>
      </w:pPr>
      <w:r>
        <w:rPr>
          <w:b/>
          <w:sz w:val="36"/>
        </w:rPr>
        <w:t xml:space="preserve">SECURITIES AND EXCHANGE COMMISSION </w:t>
      </w:r>
    </w:p>
    <w:p>
      <w:pPr>
        <w:pStyle w:val="TextBody"/>
        <w:bidi w:val="0"/>
        <w:spacing w:before="0" w:after="0"/>
        <w:jc w:val="center"/>
        <w:rPr>
          <w:b/>
          <w:sz w:val="24"/>
        </w:rPr>
      </w:pPr>
      <w:r>
        <w:rPr>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b/>
          <w:sz w:val="36"/>
        </w:rPr>
      </w:pPr>
      <w:r>
        <w:rPr>
          <w:b/>
          <w:sz w:val="36"/>
        </w:rPr>
        <w:t xml:space="preserve">SCHEDULE 13G </w:t>
      </w:r>
    </w:p>
    <w:p>
      <w:pPr>
        <w:pStyle w:val="TextBody"/>
        <w:bidi w:val="0"/>
        <w:spacing w:before="0" w:after="0"/>
        <w:jc w:val="center"/>
        <w:rPr>
          <w:b/>
          <w:sz w:val="24"/>
        </w:rPr>
      </w:pPr>
      <w:r>
        <w:rPr>
          <w:b/>
          <w:sz w:val="24"/>
        </w:rPr>
        <w:t xml:space="preserve">Under the Securities Exchange Act of 1934 </w:t>
      </w:r>
    </w:p>
    <w:p>
      <w:pPr>
        <w:pStyle w:val="TextBody"/>
        <w:bidi w:val="0"/>
        <w:spacing w:before="0" w:after="0"/>
        <w:jc w:val="center"/>
        <w:rPr>
          <w:b/>
          <w:sz w:val="24"/>
        </w:rPr>
      </w:pPr>
      <w:r>
        <w:rPr>
          <w:b/>
          <w:sz w:val="24"/>
        </w:rPr>
        <w:t xml:space="preserve">(Amendment No. 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b/>
          <w:sz w:val="44"/>
        </w:rPr>
      </w:pPr>
      <w:r>
        <w:rPr>
          <w:b/>
          <w:sz w:val="44"/>
        </w:rPr>
        <w:t xml:space="preserve">Expensify, Inc. </w:t>
      </w:r>
    </w:p>
    <w:p>
      <w:pPr>
        <w:pStyle w:val="TextBody"/>
        <w:bidi w:val="0"/>
        <w:spacing w:before="0" w:after="0"/>
        <w:jc w:val="center"/>
        <w:rPr>
          <w:b/>
          <w:sz w:val="20"/>
        </w:rPr>
      </w:pPr>
      <w:r>
        <w:rPr>
          <w:b/>
          <w:sz w:val="20"/>
        </w:rPr>
        <w:t xml:space="preserve">(Name of Issuer) </w:t>
      </w:r>
    </w:p>
    <w:p>
      <w:pPr>
        <w:pStyle w:val="TextBody"/>
        <w:bidi w:val="0"/>
        <w:spacing w:before="480" w:after="0"/>
        <w:jc w:val="center"/>
        <w:rPr>
          <w:b/>
          <w:sz w:val="20"/>
        </w:rPr>
      </w:pPr>
      <w:r>
        <w:rPr>
          <w:b/>
          <w:sz w:val="20"/>
        </w:rPr>
        <w:t xml:space="preserve">Class A Common Stock, $0.0001 par value per share </w:t>
      </w:r>
    </w:p>
    <w:p>
      <w:pPr>
        <w:pStyle w:val="TextBody"/>
        <w:bidi w:val="0"/>
        <w:spacing w:before="0" w:after="0"/>
        <w:jc w:val="center"/>
        <w:rPr>
          <w:b/>
          <w:sz w:val="16"/>
        </w:rPr>
      </w:pPr>
      <w:r>
        <w:rPr>
          <w:b/>
          <w:sz w:val="16"/>
        </w:rPr>
        <w:t xml:space="preserve">(Title of Class of Securities) </w:t>
      </w:r>
    </w:p>
    <w:p>
      <w:pPr>
        <w:pStyle w:val="TextBody"/>
        <w:bidi w:val="0"/>
        <w:spacing w:before="480" w:after="0"/>
        <w:jc w:val="center"/>
        <w:rPr>
          <w:b/>
          <w:sz w:val="20"/>
        </w:rPr>
      </w:pPr>
      <w:r>
        <w:rPr>
          <w:b/>
          <w:sz w:val="20"/>
        </w:rPr>
        <w:t xml:space="preserve">30219Q106 </w:t>
      </w:r>
    </w:p>
    <w:p>
      <w:pPr>
        <w:pStyle w:val="TextBody"/>
        <w:bidi w:val="0"/>
        <w:spacing w:before="0" w:after="0"/>
        <w:jc w:val="center"/>
        <w:rPr>
          <w:b/>
          <w:sz w:val="16"/>
        </w:rPr>
      </w:pPr>
      <w:r>
        <w:rPr>
          <w:b/>
          <w:sz w:val="16"/>
        </w:rPr>
        <w:t xml:space="preserve">(CUSIP Number) </w:t>
      </w:r>
    </w:p>
    <w:p>
      <w:pPr>
        <w:pStyle w:val="TextBody"/>
        <w:bidi w:val="0"/>
        <w:spacing w:before="480" w:after="0"/>
        <w:jc w:val="center"/>
        <w:rPr>
          <w:b/>
          <w:sz w:val="20"/>
        </w:rPr>
      </w:pPr>
      <w:r>
        <w:rPr>
          <w:b/>
          <w:sz w:val="20"/>
        </w:rPr>
        <w:t xml:space="preserve">November 8, 2023 </w:t>
      </w:r>
    </w:p>
    <w:p>
      <w:pPr>
        <w:pStyle w:val="TextBody"/>
        <w:bidi w:val="0"/>
        <w:spacing w:before="0" w:after="0"/>
        <w:jc w:val="center"/>
        <w:rPr>
          <w:b/>
          <w:sz w:val="16"/>
        </w:rPr>
      </w:pPr>
      <w:r>
        <w:rPr>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sz w:val="20"/>
        </w:rPr>
      </w:pPr>
      <w:r>
        <w:rPr>
          <w:sz w:val="20"/>
        </w:rPr>
        <w:t xml:space="preserve">Check the appropriate box to designate the rule pursuant to which this Schedule is filed: </w:t>
      </w:r>
    </w:p>
    <w:p>
      <w:pPr>
        <w:pStyle w:val="TextBody"/>
        <w:bidi w:val="0"/>
        <w:spacing w:before="240" w:after="0"/>
        <w:jc w:val="left"/>
        <w:rPr/>
      </w:pPr>
      <w:r>
        <w:rPr/>
        <w:t xml:space="preserve">☐ </w:t>
      </w:r>
      <w:r>
        <w:rPr>
          <w:sz w:val="20"/>
        </w:rPr>
        <w:t xml:space="preserve">Rule 13d-l(b) </w:t>
      </w:r>
    </w:p>
    <w:p>
      <w:pPr>
        <w:pStyle w:val="TextBody"/>
        <w:bidi w:val="0"/>
        <w:spacing w:before="240" w:after="0"/>
        <w:jc w:val="left"/>
        <w:rPr/>
      </w:pPr>
      <w:r>
        <w:rPr/>
        <w:t xml:space="preserve">☒ </w:t>
      </w:r>
      <w:r>
        <w:rPr>
          <w:sz w:val="20"/>
        </w:rPr>
        <w:t xml:space="preserve">Rule 13d-l(c) </w:t>
      </w:r>
    </w:p>
    <w:p>
      <w:pPr>
        <w:pStyle w:val="TextBody"/>
        <w:bidi w:val="0"/>
        <w:spacing w:before="240" w:after="0"/>
        <w:jc w:val="left"/>
        <w:rPr/>
      </w:pPr>
      <w:r>
        <w:rPr/>
        <w:t xml:space="preserve">☐ </w:t>
      </w:r>
      <w:r>
        <w:rPr>
          <w:sz w:val="20"/>
        </w:rPr>
        <w:t xml:space="preserve">Rule 13d-l(d)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pPr>
            <w:r>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sz w:val="20"/>
        </w:rPr>
      </w:pPr>
      <w:r>
        <w:rPr>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ind w:left="180" w:right="0" w:hanging="0"/>
        <w:jc w:val="left"/>
        <w:rPr>
          <w:b/>
        </w:rPr>
      </w:pPr>
      <w:r>
        <w:rPr>
          <w:b/>
        </w:rPr>
      </w:r>
    </w:p>
    <w:p>
      <w:pPr>
        <w:pStyle w:val="TextBody"/>
        <w:bidi w:val="0"/>
        <w:spacing w:before="0" w:after="0"/>
        <w:jc w:val="left"/>
        <w:rPr>
          <w:sz w:val="20"/>
        </w:rPr>
      </w:pPr>
      <w:r>
        <w:rPr>
          <w:b/>
          <w:sz w:val="20"/>
        </w:rPr>
        <w:t>CUSIP No. 30219Q106</w:t>
      </w:r>
      <w:r>
        <w:rPr>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32"/>
        <w:gridCol w:w="129"/>
        <w:gridCol w:w="790"/>
        <w:gridCol w:w="265"/>
        <w:gridCol w:w="256"/>
        <w:gridCol w:w="265"/>
        <w:gridCol w:w="7865"/>
      </w:tblGrid>
      <w:tr>
        <w:trPr/>
        <w:tc>
          <w:tcPr>
            <w:tcW w:w="53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53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t>Name of Reporting Person.</w:t>
            </w:r>
          </w:p>
          <w:p>
            <w:pPr>
              <w:pStyle w:val="TableContents"/>
              <w:bidi w:val="0"/>
              <w:spacing w:before="0" w:after="0"/>
              <w:jc w:val="left"/>
              <w:rPr/>
            </w:pPr>
            <w:r>
              <w:rPr/>
              <w:t> </w:t>
            </w:r>
          </w:p>
          <w:p>
            <w:pPr>
              <w:pStyle w:val="TableContents"/>
              <w:bidi w:val="0"/>
              <w:spacing w:before="0" w:after="20"/>
              <w:jc w:val="left"/>
              <w:rPr/>
            </w:pPr>
            <w:r>
              <w:rPr/>
              <w:t>  </w:t>
            </w:r>
            <w:r>
              <w:rPr>
                <w:b/>
              </w:rPr>
              <w:t>Steven</w:t>
            </w:r>
            <w:r>
              <w:rPr/>
              <w:t xml:space="preserve"> </w:t>
            </w:r>
            <w:r>
              <w:rPr>
                <w:b/>
              </w:rPr>
              <w:t>J.</w:t>
            </w:r>
            <w:r>
              <w:rPr/>
              <w:t xml:space="preserve"> </w:t>
            </w:r>
            <w:r>
              <w:rPr>
                <w:b/>
              </w:rPr>
              <w:t>McLaughlin</w:t>
            </w:r>
          </w:p>
        </w:tc>
      </w:tr>
      <w:tr>
        <w:trPr/>
        <w:tc>
          <w:tcPr>
            <w:tcW w:w="53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Check the Appropriate Box if a Member of a Group (See Instructions)</w:t>
            </w:r>
          </w:p>
          <w:p>
            <w:pPr>
              <w:pStyle w:val="TableContents"/>
              <w:bidi w:val="0"/>
              <w:spacing w:before="0" w:after="0"/>
              <w:jc w:val="left"/>
              <w:rPr/>
            </w:pPr>
            <w:r>
              <w:rPr/>
              <w:t> </w:t>
            </w:r>
          </w:p>
          <w:p>
            <w:pPr>
              <w:pStyle w:val="TableContents"/>
              <w:bidi w:val="0"/>
              <w:spacing w:before="0" w:after="20"/>
              <w:jc w:val="left"/>
              <w:rPr/>
            </w:pPr>
            <w:r>
              <w:rPr/>
              <w:t>  </w:t>
            </w:r>
            <w:r>
              <w:rPr/>
              <w:t>(a)  ☐        (b)  ☐</w:t>
            </w:r>
          </w:p>
        </w:tc>
      </w:tr>
      <w:tr>
        <w:trPr/>
        <w:tc>
          <w:tcPr>
            <w:tcW w:w="53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SEC Use Only</w:t>
            </w:r>
          </w:p>
          <w:p>
            <w:pPr>
              <w:pStyle w:val="TableContents"/>
              <w:bidi w:val="0"/>
              <w:spacing w:before="0" w:after="20"/>
              <w:jc w:val="left"/>
              <w:rPr/>
            </w:pPr>
            <w:r>
              <w:rPr/>
              <w:t> </w:t>
            </w:r>
          </w:p>
        </w:tc>
      </w:tr>
      <w:tr>
        <w:trPr/>
        <w:tc>
          <w:tcPr>
            <w:tcW w:w="53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b/>
              </w:rPr>
              <w:t>Florida,</w:t>
            </w:r>
            <w:r>
              <w:rPr/>
              <w:t xml:space="preserve"> </w:t>
            </w:r>
            <w:r>
              <w:rPr>
                <w:b/>
              </w:rPr>
              <w:t>United</w:t>
            </w:r>
            <w:r>
              <w:rPr/>
              <w:t xml:space="preserve"> </w:t>
            </w:r>
            <w:r>
              <w:rPr>
                <w:b/>
              </w:rPr>
              <w:t>States</w:t>
            </w:r>
          </w:p>
        </w:tc>
      </w:tr>
    </w:tbl>
    <w:tbl>
      <w:tblPr>
        <w:tblW w:w="4950" w:type="pct"/>
        <w:jc w:val="left"/>
        <w:tblInd w:w="0" w:type="dxa"/>
        <w:tblLayout w:type="fixed"/>
        <w:tblCellMar>
          <w:top w:w="0" w:type="dxa"/>
          <w:left w:w="0" w:type="dxa"/>
          <w:bottom w:w="0" w:type="dxa"/>
          <w:right w:w="0" w:type="dxa"/>
        </w:tblCellMar>
      </w:tblPr>
      <w:tblGrid>
        <w:gridCol w:w="666"/>
        <w:gridCol w:w="517"/>
        <w:gridCol w:w="893"/>
        <w:gridCol w:w="179"/>
        <w:gridCol w:w="324"/>
        <w:gridCol w:w="127"/>
        <w:gridCol w:w="7396"/>
      </w:tblGrid>
      <w:tr>
        <w:trPr/>
        <w:tc>
          <w:tcPr>
            <w:tcW w:w="666"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2076" w:type="dxa"/>
            <w:gridSpan w:val="3"/>
            <w:vMerge w:val="restart"/>
            <w:tcBorders>
              <w:left w:val="single" w:sz="2" w:space="0" w:color="000000"/>
            </w:tcBorders>
            <w:tcMar>
              <w:left w:w="160" w:type="dxa"/>
            </w:tcMar>
            <w:vAlign w:val="center"/>
          </w:tcPr>
          <w:p>
            <w:pPr>
              <w:pStyle w:val="TableContents"/>
              <w:bidi w:val="0"/>
              <w:spacing w:before="0" w:after="0"/>
              <w:jc w:val="center"/>
              <w:rPr/>
            </w:pPr>
            <w:r>
              <w:rPr/>
              <w:t>Number of</w:t>
            </w:r>
          </w:p>
          <w:p>
            <w:pPr>
              <w:pStyle w:val="TableContents"/>
              <w:bidi w:val="0"/>
              <w:spacing w:before="0" w:after="0"/>
              <w:jc w:val="center"/>
              <w:rPr/>
            </w:pPr>
            <w:r>
              <w:rPr/>
              <w:t>Shares</w:t>
            </w:r>
          </w:p>
          <w:p>
            <w:pPr>
              <w:pStyle w:val="TableContents"/>
              <w:bidi w:val="0"/>
              <w:spacing w:before="0" w:after="0"/>
              <w:jc w:val="center"/>
              <w:rPr/>
            </w:pPr>
            <w:r>
              <w:rPr/>
              <w:t> </w:t>
            </w:r>
            <w:r>
              <w:rPr/>
              <w:t>Beneficially by</w:t>
            </w:r>
          </w:p>
          <w:p>
            <w:pPr>
              <w:pStyle w:val="TableContents"/>
              <w:bidi w:val="0"/>
              <w:spacing w:before="0" w:after="0"/>
              <w:jc w:val="center"/>
              <w:rPr/>
            </w:pPr>
            <w:r>
              <w:rPr/>
              <w:t>Owned by</w:t>
            </w:r>
          </w:p>
          <w:p>
            <w:pPr>
              <w:pStyle w:val="TableContents"/>
              <w:bidi w:val="0"/>
              <w:spacing w:before="0" w:after="0"/>
              <w:jc w:val="center"/>
              <w:rPr/>
            </w:pPr>
            <w:r>
              <w:rPr/>
              <w:t>Each</w:t>
            </w:r>
          </w:p>
          <w:p>
            <w:pPr>
              <w:pStyle w:val="TableContents"/>
              <w:bidi w:val="0"/>
              <w:spacing w:before="0" w:after="0"/>
              <w:jc w:val="center"/>
              <w:rPr/>
            </w:pPr>
            <w:r>
              <w:rPr/>
              <w:t>Reporting</w:t>
            </w:r>
          </w:p>
          <w:p>
            <w:pPr>
              <w:pStyle w:val="TableContents"/>
              <w:bidi w:val="0"/>
              <w:spacing w:before="0" w:after="0"/>
              <w:jc w:val="center"/>
              <w:rPr/>
            </w:pPr>
            <w:r>
              <w:rPr/>
              <w:t>Person</w:t>
            </w:r>
          </w:p>
          <w:p>
            <w:pPr>
              <w:pStyle w:val="TableContents"/>
              <w:bidi w:val="0"/>
              <w:spacing w:before="0" w:after="20"/>
              <w:jc w:val="center"/>
              <w:rPr/>
            </w:pPr>
            <w:r>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4"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6"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Sole Voting Power</w:t>
            </w:r>
          </w:p>
          <w:p>
            <w:pPr>
              <w:pStyle w:val="TableContents"/>
              <w:bidi w:val="0"/>
              <w:spacing w:before="0" w:after="0"/>
              <w:jc w:val="left"/>
              <w:rPr/>
            </w:pPr>
            <w:r>
              <w:rPr/>
              <w:t> </w:t>
            </w:r>
          </w:p>
          <w:p>
            <w:pPr>
              <w:pStyle w:val="TableContents"/>
              <w:bidi w:val="0"/>
              <w:spacing w:before="0" w:after="20"/>
              <w:jc w:val="left"/>
              <w:rPr/>
            </w:pPr>
            <w:r>
              <w:rPr/>
              <w:t>  </w:t>
            </w:r>
            <w:r>
              <w:rPr>
                <w:b/>
              </w:rPr>
              <w:t>9,892,832</w:t>
            </w:r>
          </w:p>
        </w:tc>
      </w:tr>
      <w:tr>
        <w:trPr/>
        <w:tc>
          <w:tcPr>
            <w:tcW w:w="2076"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4"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6"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Shared Voting Power</w:t>
            </w:r>
          </w:p>
          <w:p>
            <w:pPr>
              <w:pStyle w:val="TableContents"/>
              <w:bidi w:val="0"/>
              <w:spacing w:before="0" w:after="0"/>
              <w:jc w:val="left"/>
              <w:rPr/>
            </w:pPr>
            <w:r>
              <w:rPr/>
              <w:t> </w:t>
            </w:r>
          </w:p>
          <w:p>
            <w:pPr>
              <w:pStyle w:val="TableContents"/>
              <w:bidi w:val="0"/>
              <w:spacing w:before="0" w:after="20"/>
              <w:jc w:val="left"/>
              <w:rPr/>
            </w:pPr>
            <w:r>
              <w:rPr/>
              <w:t>  </w:t>
            </w:r>
            <w:r>
              <w:rPr>
                <w:b/>
              </w:rPr>
              <w:t>0</w:t>
            </w:r>
          </w:p>
        </w:tc>
      </w:tr>
      <w:tr>
        <w:trPr/>
        <w:tc>
          <w:tcPr>
            <w:tcW w:w="2076"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4"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6"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Sole Dispositive Power</w:t>
            </w:r>
          </w:p>
          <w:p>
            <w:pPr>
              <w:pStyle w:val="TableContents"/>
              <w:bidi w:val="0"/>
              <w:spacing w:before="0" w:after="0"/>
              <w:jc w:val="left"/>
              <w:rPr/>
            </w:pPr>
            <w:r>
              <w:rPr/>
              <w:t> </w:t>
            </w:r>
          </w:p>
          <w:p>
            <w:pPr>
              <w:pStyle w:val="TableContents"/>
              <w:bidi w:val="0"/>
              <w:spacing w:before="0" w:after="20"/>
              <w:jc w:val="left"/>
              <w:rPr/>
            </w:pPr>
            <w:r>
              <w:rPr/>
              <w:t>  </w:t>
            </w:r>
            <w:r>
              <w:rPr>
                <w:b/>
              </w:rPr>
              <w:t>9,892,832</w:t>
            </w:r>
          </w:p>
        </w:tc>
      </w:tr>
      <w:tr>
        <w:trPr/>
        <w:tc>
          <w:tcPr>
            <w:tcW w:w="2076"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324"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6" w:type="dxa"/>
            <w:tcBorders>
              <w:right w:val="single" w:sz="2" w:space="0" w:color="000000"/>
            </w:tcBorders>
            <w:tcMar>
              <w:right w:w="40" w:type="dxa"/>
            </w:tcMar>
          </w:tcPr>
          <w:p>
            <w:pPr>
              <w:pStyle w:val="TableContents"/>
              <w:bidi w:val="0"/>
              <w:spacing w:before="0" w:after="0"/>
              <w:jc w:val="left"/>
              <w:rPr/>
            </w:pPr>
            <w:r>
              <w:rPr/>
              <w:t>  </w:t>
            </w:r>
            <w:r>
              <w:rPr/>
              <w:t>Shared Dispositive Power</w:t>
            </w:r>
          </w:p>
          <w:p>
            <w:pPr>
              <w:pStyle w:val="TableContents"/>
              <w:bidi w:val="0"/>
              <w:spacing w:before="0" w:after="0"/>
              <w:jc w:val="left"/>
              <w:rPr/>
            </w:pPr>
            <w:r>
              <w:rPr/>
              <w:t> </w:t>
            </w:r>
          </w:p>
          <w:p>
            <w:pPr>
              <w:pStyle w:val="TableContents"/>
              <w:bidi w:val="0"/>
              <w:spacing w:before="0" w:after="20"/>
              <w:jc w:val="left"/>
              <w:rPr/>
            </w:pPr>
            <w:r>
              <w:rPr/>
              <w:t>  </w:t>
            </w:r>
            <w:r>
              <w:rPr>
                <w:b/>
              </w:rPr>
              <w:t>0</w:t>
            </w:r>
          </w:p>
        </w:tc>
      </w:tr>
    </w:tbl>
    <w:tbl>
      <w:tblPr>
        <w:tblW w:w="4950" w:type="pct"/>
        <w:jc w:val="left"/>
        <w:tblInd w:w="0" w:type="dxa"/>
        <w:tblLayout w:type="fixed"/>
        <w:tblCellMar>
          <w:top w:w="0" w:type="dxa"/>
          <w:left w:w="0" w:type="dxa"/>
          <w:bottom w:w="0" w:type="dxa"/>
          <w:right w:w="0" w:type="dxa"/>
        </w:tblCellMar>
      </w:tblPr>
      <w:tblGrid>
        <w:gridCol w:w="527"/>
        <w:gridCol w:w="128"/>
        <w:gridCol w:w="710"/>
        <w:gridCol w:w="238"/>
        <w:gridCol w:w="232"/>
        <w:gridCol w:w="238"/>
        <w:gridCol w:w="8029"/>
      </w:tblGrid>
      <w:tr>
        <w:trPr/>
        <w:tc>
          <w:tcPr>
            <w:tcW w:w="52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8029" w:type="dxa"/>
            <w:tcBorders/>
            <w:vAlign w:val="center"/>
          </w:tcPr>
          <w:p>
            <w:pPr>
              <w:pStyle w:val="TableContents"/>
              <w:bidi w:val="0"/>
              <w:spacing w:before="0" w:after="283"/>
              <w:jc w:val="left"/>
              <w:rPr>
                <w:sz w:val="4"/>
                <w:szCs w:val="4"/>
              </w:rPr>
            </w:pPr>
            <w:r>
              <w:rPr>
                <w:sz w:val="4"/>
                <w:szCs w:val="4"/>
              </w:rPr>
            </w:r>
          </w:p>
        </w:tc>
      </w:tr>
      <w:tr>
        <w:trPr/>
        <w:tc>
          <w:tcPr>
            <w:tcW w:w="52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b/>
              </w:rPr>
              <w:t>9,892,832</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xml:space="preserve">   </w:t>
            </w:r>
            <w:r>
              <w:rPr/>
              <w:t>Check if the Aggregate Amount in Row (9) Excludes Certain Shares (See Instructions)</w:t>
            </w:r>
          </w:p>
          <w:p>
            <w:pPr>
              <w:pStyle w:val="TableContents"/>
              <w:bidi w:val="0"/>
              <w:spacing w:before="0" w:after="20"/>
              <w:jc w:val="left"/>
              <w:rPr/>
            </w:pPr>
            <w:r>
              <w:rPr/>
              <w:t> </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Percent of Class Represented by Amount in Row (9)</w:t>
            </w:r>
          </w:p>
          <w:p>
            <w:pPr>
              <w:pStyle w:val="TableContents"/>
              <w:bidi w:val="0"/>
              <w:spacing w:before="0" w:after="0"/>
              <w:jc w:val="left"/>
              <w:rPr/>
            </w:pPr>
            <w:r>
              <w:rPr/>
              <w:t> </w:t>
            </w:r>
          </w:p>
          <w:p>
            <w:pPr>
              <w:pStyle w:val="TableContents"/>
              <w:bidi w:val="0"/>
              <w:spacing w:lineRule="auto" w:line="240" w:before="0" w:after="20"/>
              <w:jc w:val="left"/>
              <w:rPr/>
            </w:pPr>
            <w:r>
              <w:rPr/>
              <w:t>  </w:t>
            </w:r>
            <w:r>
              <w:rPr>
                <w:b/>
              </w:rPr>
              <w:t>14.3%</w:t>
            </w:r>
            <w:r>
              <w:rPr/>
              <w:t xml:space="preserve"> </w:t>
            </w:r>
            <w:r>
              <w:rPr>
                <w:b/>
              </w:rPr>
              <w:t>(1)</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lineRule="auto" w:line="240" w:before="0" w:after="283"/>
              <w:jc w:val="left"/>
              <w:rPr/>
            </w:pPr>
            <w:r>
              <w:rPr/>
              <w:t>(1) </w:t>
            </w:r>
          </w:p>
        </w:tc>
        <w:tc>
          <w:tcPr>
            <w:tcW w:w="9799" w:type="dxa"/>
            <w:tcBorders/>
          </w:tcPr>
          <w:p>
            <w:pPr>
              <w:pStyle w:val="TableContents"/>
              <w:bidi w:val="0"/>
              <w:spacing w:before="0" w:after="0"/>
              <w:jc w:val="left"/>
              <w:rPr>
                <w:rFonts w:ascii="Times New Roman" w:hAnsi="Times New Roman"/>
                <w:color w:val="000000"/>
              </w:rPr>
            </w:pPr>
            <w:r>
              <w:rPr>
                <w:rFonts w:ascii="Times New Roman" w:hAnsi="Times New Roman"/>
                <w:color w:val="000000"/>
              </w:rPr>
              <w:t>Based on 69,194,671 shares of the Issuer's Class A Common Stock outstanding as of November 3, 2023, as reported on Issuer's Form 10-Q for the quarterly period ended September 30, 2023.</w:t>
            </w:r>
          </w:p>
        </w:tc>
      </w:tr>
    </w:tbl>
    <w:p>
      <w:pPr>
        <w:pStyle w:val="TextBody"/>
        <w:bidi w:val="0"/>
        <w:spacing w:before="0" w:after="0"/>
        <w:jc w:val="left"/>
        <w:rPr/>
      </w:pPr>
      <w:r>
        <w:rPr/>
        <w:t> </w:t>
      </w:r>
    </w:p>
    <w:p>
      <w:pPr>
        <w:pStyle w:val="TextBody"/>
        <w:bidi w:val="0"/>
        <w:spacing w:before="0" w:after="0"/>
        <w:jc w:val="center"/>
        <w:rPr>
          <w:sz w:val="20"/>
        </w:rPr>
      </w:pPr>
      <w:r>
        <w:rPr>
          <w:sz w:val="20"/>
        </w:rPr>
        <w:t xml:space="preserve">Page 2 of 4 </w:t>
      </w:r>
      <w:r>
        <w:br w:type="page"/>
      </w:r>
    </w:p>
    <w:p>
      <w:pPr>
        <w:pStyle w:val="HorizontalLine"/>
        <w:pBdr>
          <w:bottom w:val="double" w:sz="6" w:space="0" w:color="808080"/>
        </w:pBdr>
        <w:bidi w:val="0"/>
        <w:jc w:val="left"/>
        <w:rPr/>
      </w:pPr>
      <w:r>
        <w:rPr/>
      </w:r>
    </w:p>
    <w:p>
      <w:pPr>
        <w:pStyle w:val="TextBody"/>
        <w:bidi w:val="0"/>
        <w:spacing w:before="0" w:after="0"/>
        <w:jc w:val="left"/>
        <w:rPr>
          <w:sz w:val="20"/>
        </w:rPr>
      </w:pPr>
      <w:r>
        <w:rPr>
          <w:b/>
          <w:sz w:val="20"/>
        </w:rPr>
        <w:t>CUSIP No. 30219Q106</w:t>
      </w:r>
      <w:r>
        <w:rPr>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w:t>
            </w:r>
          </w:p>
        </w:tc>
        <w:tc>
          <w:tcPr>
            <w:tcW w:w="9185"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sz w:val="20"/>
        </w:rPr>
      </w:pPr>
      <w:r>
        <w:rPr>
          <w:sz w:val="20"/>
        </w:rPr>
        <w:t xml:space="preserve">(a) Name of Issuer: </w:t>
      </w:r>
    </w:p>
    <w:p>
      <w:pPr>
        <w:pStyle w:val="TextBody"/>
        <w:bidi w:val="0"/>
        <w:spacing w:before="120" w:after="0"/>
        <w:jc w:val="left"/>
        <w:rPr>
          <w:b/>
          <w:sz w:val="20"/>
        </w:rPr>
      </w:pPr>
      <w:r>
        <w:rPr>
          <w:b/>
          <w:sz w:val="20"/>
        </w:rPr>
        <w:t xml:space="preserve">Expensify, Inc. </w:t>
      </w:r>
    </w:p>
    <w:p>
      <w:pPr>
        <w:pStyle w:val="TextBody"/>
        <w:bidi w:val="0"/>
        <w:spacing w:before="360" w:after="0"/>
        <w:jc w:val="left"/>
        <w:rPr>
          <w:sz w:val="20"/>
        </w:rPr>
      </w:pPr>
      <w:r>
        <w:rPr>
          <w:sz w:val="20"/>
        </w:rPr>
        <w:t xml:space="preserve">(b) Address of Issuer’s Principal Executive Offices: </w:t>
      </w:r>
    </w:p>
    <w:p>
      <w:pPr>
        <w:pStyle w:val="TextBody"/>
        <w:bidi w:val="0"/>
        <w:spacing w:before="120" w:after="0"/>
        <w:jc w:val="left"/>
        <w:rPr>
          <w:b/>
          <w:sz w:val="20"/>
        </w:rPr>
      </w:pPr>
      <w:r>
        <w:rPr>
          <w:b/>
          <w:sz w:val="20"/>
        </w:rPr>
        <w:t xml:space="preserve">401 SW 5th Avenue </w:t>
      </w:r>
    </w:p>
    <w:p>
      <w:pPr>
        <w:pStyle w:val="TextBody"/>
        <w:bidi w:val="0"/>
        <w:spacing w:before="0" w:after="0"/>
        <w:jc w:val="left"/>
        <w:rPr>
          <w:b/>
          <w:sz w:val="20"/>
        </w:rPr>
      </w:pPr>
      <w:r>
        <w:rPr>
          <w:b/>
          <w:sz w:val="20"/>
        </w:rPr>
        <w:t xml:space="preserve">Portland, OR 97204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w:t>
            </w:r>
          </w:p>
        </w:tc>
        <w:tc>
          <w:tcPr>
            <w:tcW w:w="9185"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sz w:val="20"/>
        </w:rPr>
      </w:pPr>
      <w:r>
        <w:rPr>
          <w:sz w:val="20"/>
        </w:rPr>
        <w:t xml:space="preserve">(a) Name of Person Filing: </w:t>
      </w:r>
    </w:p>
    <w:p>
      <w:pPr>
        <w:pStyle w:val="TextBody"/>
        <w:bidi w:val="0"/>
        <w:spacing w:before="120" w:after="0"/>
        <w:jc w:val="left"/>
        <w:rPr>
          <w:b/>
          <w:sz w:val="20"/>
        </w:rPr>
      </w:pPr>
      <w:r>
        <w:rPr>
          <w:b/>
          <w:sz w:val="20"/>
        </w:rPr>
        <w:t xml:space="preserve">Steven J. McLaughlin </w:t>
      </w:r>
    </w:p>
    <w:p>
      <w:pPr>
        <w:pStyle w:val="TextBody"/>
        <w:bidi w:val="0"/>
        <w:spacing w:before="360" w:after="0"/>
        <w:jc w:val="left"/>
        <w:rPr>
          <w:sz w:val="20"/>
        </w:rPr>
      </w:pPr>
      <w:r>
        <w:rPr>
          <w:sz w:val="20"/>
        </w:rPr>
        <w:t xml:space="preserve">(b) Address of Principal Business Office or, if none, Residence: </w:t>
      </w:r>
    </w:p>
    <w:p>
      <w:pPr>
        <w:pStyle w:val="TextBody"/>
        <w:bidi w:val="0"/>
        <w:spacing w:before="120" w:after="0"/>
        <w:jc w:val="left"/>
        <w:rPr>
          <w:b/>
          <w:sz w:val="20"/>
        </w:rPr>
      </w:pPr>
      <w:r>
        <w:rPr>
          <w:b/>
          <w:sz w:val="20"/>
        </w:rPr>
        <w:t xml:space="preserve">1521 Alton Road, #345 </w:t>
      </w:r>
    </w:p>
    <w:p>
      <w:pPr>
        <w:pStyle w:val="TextBody"/>
        <w:bidi w:val="0"/>
        <w:spacing w:before="0" w:after="0"/>
        <w:jc w:val="left"/>
        <w:rPr>
          <w:b/>
          <w:sz w:val="20"/>
        </w:rPr>
      </w:pPr>
      <w:r>
        <w:rPr>
          <w:b/>
          <w:sz w:val="20"/>
        </w:rPr>
        <w:t xml:space="preserve">Miami Beach, FL 33139 </w:t>
      </w:r>
    </w:p>
    <w:p>
      <w:pPr>
        <w:pStyle w:val="TextBody"/>
        <w:bidi w:val="0"/>
        <w:spacing w:before="360" w:after="0"/>
        <w:jc w:val="left"/>
        <w:rPr>
          <w:sz w:val="20"/>
        </w:rPr>
      </w:pPr>
      <w:r>
        <w:rPr>
          <w:sz w:val="20"/>
        </w:rPr>
        <w:t xml:space="preserve">(c) Citizenship: </w:t>
      </w:r>
    </w:p>
    <w:p>
      <w:pPr>
        <w:pStyle w:val="TextBody"/>
        <w:bidi w:val="0"/>
        <w:spacing w:before="120" w:after="0"/>
        <w:jc w:val="left"/>
        <w:rPr>
          <w:b/>
          <w:sz w:val="20"/>
        </w:rPr>
      </w:pPr>
      <w:r>
        <w:rPr>
          <w:b/>
          <w:sz w:val="20"/>
        </w:rPr>
        <w:t xml:space="preserve">United States </w:t>
      </w:r>
    </w:p>
    <w:p>
      <w:pPr>
        <w:pStyle w:val="TextBody"/>
        <w:bidi w:val="0"/>
        <w:spacing w:before="360" w:after="0"/>
        <w:jc w:val="left"/>
        <w:rPr>
          <w:sz w:val="20"/>
        </w:rPr>
      </w:pPr>
      <w:r>
        <w:rPr>
          <w:sz w:val="20"/>
        </w:rPr>
        <w:t xml:space="preserve">(d) Title of Class of Securities: </w:t>
      </w:r>
    </w:p>
    <w:p>
      <w:pPr>
        <w:pStyle w:val="TextBody"/>
        <w:bidi w:val="0"/>
        <w:spacing w:before="120" w:after="0"/>
        <w:jc w:val="left"/>
        <w:rPr>
          <w:b/>
          <w:sz w:val="20"/>
        </w:rPr>
      </w:pPr>
      <w:r>
        <w:rPr>
          <w:b/>
          <w:sz w:val="20"/>
        </w:rPr>
        <w:t xml:space="preserve">Class A Common Stock, $0.0001 par value per share </w:t>
      </w:r>
    </w:p>
    <w:p>
      <w:pPr>
        <w:pStyle w:val="TextBody"/>
        <w:bidi w:val="0"/>
        <w:spacing w:before="360" w:after="0"/>
        <w:jc w:val="left"/>
        <w:rPr>
          <w:sz w:val="20"/>
        </w:rPr>
      </w:pPr>
      <w:r>
        <w:rPr>
          <w:sz w:val="20"/>
        </w:rPr>
        <w:t xml:space="preserve">(e) CUSIP Number: </w:t>
      </w:r>
      <w:r>
        <w:rPr>
          <w:b/>
          <w:sz w:val="20"/>
        </w:rPr>
        <w:t>30219Q106</w:t>
      </w:r>
      <w:r>
        <w:rPr>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b/>
              </w:rPr>
            </w:pPr>
            <w:r>
              <w:rPr>
                <w:b/>
              </w:rPr>
              <w:t xml:space="preserve">If this statement is filed pursuant to §§240.13d-l(b) or 240.13d-2(b) or (c), check whether the person filing is a: </w:t>
            </w:r>
          </w:p>
        </w:tc>
      </w:tr>
    </w:tbl>
    <w:p>
      <w:pPr>
        <w:pStyle w:val="TextBody"/>
        <w:bidi w:val="0"/>
        <w:spacing w:before="120" w:after="0"/>
        <w:jc w:val="left"/>
        <w:rPr>
          <w:b/>
          <w:i/>
          <w:sz w:val="20"/>
        </w:rPr>
      </w:pPr>
      <w:r>
        <w:rPr>
          <w:b/>
          <w:i/>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b/>
              </w:rPr>
            </w:pPr>
            <w:r>
              <w:rPr>
                <w:b/>
              </w:rPr>
              <w:t xml:space="preserve">Ownership. </w:t>
            </w:r>
          </w:p>
        </w:tc>
      </w:tr>
    </w:tbl>
    <w:p>
      <w:pPr>
        <w:pStyle w:val="TextBody"/>
        <w:bidi w:val="0"/>
        <w:spacing w:before="120" w:after="0"/>
        <w:jc w:val="left"/>
        <w:rPr>
          <w:sz w:val="20"/>
        </w:rPr>
      </w:pPr>
      <w:r>
        <w:rPr>
          <w:sz w:val="20"/>
        </w:rPr>
        <w:t xml:space="preserve">Provide the following information regarding the aggregate number and percentage of the class of securities of the issuer identified in Item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t xml:space="preserve">Amount beneficially owned: </w:t>
            </w:r>
            <w:r>
              <w:rPr>
                <w:b/>
              </w:rPr>
              <w:t>9,892,832</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pPr>
            <w:r>
              <w:rPr/>
              <w:t xml:space="preserve">Percent of class: </w:t>
            </w:r>
            <w:r>
              <w:rPr>
                <w:b/>
              </w:rPr>
              <w:t>14.3% based on 69,194,671 shares of the Issuer's Class A Common Stock outstanding as of November 3, 2023, as reported on Issuer's Form 10-Q for the quarterly period ended September 30, 2023.</w:t>
            </w:r>
          </w:p>
          <w:p>
            <w:pPr>
              <w:pStyle w:val="TableContents"/>
              <w:bidi w:val="0"/>
              <w:spacing w:before="0" w:after="283"/>
              <w:jc w:val="left"/>
              <w:rPr/>
            </w:pPr>
            <w:r>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pPr>
            <w:r>
              <w:rPr/>
              <w:t xml:space="preserve">Number of shares as to which the person has: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43"/>
        <w:gridCol w:w="175"/>
        <w:gridCol w:w="60"/>
        <w:gridCol w:w="999"/>
        <w:gridCol w:w="62"/>
      </w:tblGrid>
      <w:tr>
        <w:trPr/>
        <w:tc>
          <w:tcPr>
            <w:tcW w:w="5643"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43" w:type="dxa"/>
            <w:tcBorders/>
          </w:tcPr>
          <w:p>
            <w:pPr>
              <w:pStyle w:val="TableContents"/>
              <w:bidi w:val="0"/>
              <w:spacing w:before="0" w:after="0"/>
              <w:jc w:val="left"/>
              <w:rPr/>
            </w:pPr>
            <w:r>
              <w:rPr/>
              <w:t>(i) Sole power to vote or to direct the vote</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9,892,832</w:t>
            </w:r>
          </w:p>
        </w:tc>
        <w:tc>
          <w:tcPr>
            <w:tcW w:w="62" w:type="dxa"/>
            <w:tcBorders/>
            <w:vAlign w:val="bottom"/>
          </w:tcPr>
          <w:p>
            <w:pPr>
              <w:pStyle w:val="TableContents"/>
              <w:bidi w:val="0"/>
              <w:spacing w:before="0" w:after="283"/>
              <w:jc w:val="left"/>
              <w:rPr/>
            </w:pPr>
            <w:r>
              <w:rPr/>
              <w:t> </w:t>
            </w:r>
          </w:p>
        </w:tc>
      </w:tr>
      <w:tr>
        <w:trPr/>
        <w:tc>
          <w:tcPr>
            <w:tcW w:w="5643" w:type="dxa"/>
            <w:tcBorders/>
          </w:tcPr>
          <w:p>
            <w:pPr>
              <w:pStyle w:val="TableContents"/>
              <w:bidi w:val="0"/>
              <w:spacing w:before="0" w:after="0"/>
              <w:jc w:val="left"/>
              <w:rPr/>
            </w:pPr>
            <w:r>
              <w:rPr/>
              <w:t>(ii)  Shared power to vote or to direct the vote</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0</w:t>
            </w:r>
          </w:p>
        </w:tc>
        <w:tc>
          <w:tcPr>
            <w:tcW w:w="62" w:type="dxa"/>
            <w:tcBorders/>
            <w:vAlign w:val="bottom"/>
          </w:tcPr>
          <w:p>
            <w:pPr>
              <w:pStyle w:val="TableContents"/>
              <w:bidi w:val="0"/>
              <w:spacing w:before="0" w:after="283"/>
              <w:jc w:val="left"/>
              <w:rPr/>
            </w:pPr>
            <w:r>
              <w:rPr/>
              <w:t> </w:t>
            </w:r>
          </w:p>
        </w:tc>
      </w:tr>
      <w:tr>
        <w:trPr/>
        <w:tc>
          <w:tcPr>
            <w:tcW w:w="5643" w:type="dxa"/>
            <w:tcBorders/>
          </w:tcPr>
          <w:p>
            <w:pPr>
              <w:pStyle w:val="TableContents"/>
              <w:bidi w:val="0"/>
              <w:spacing w:before="0" w:after="0"/>
              <w:jc w:val="left"/>
              <w:rPr/>
            </w:pPr>
            <w:r>
              <w:rPr/>
              <w:t>(iii)  Sole power to dispose or to direct the disposition of</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9,892,832</w:t>
            </w:r>
          </w:p>
        </w:tc>
        <w:tc>
          <w:tcPr>
            <w:tcW w:w="62" w:type="dxa"/>
            <w:tcBorders/>
            <w:vAlign w:val="bottom"/>
          </w:tcPr>
          <w:p>
            <w:pPr>
              <w:pStyle w:val="TableContents"/>
              <w:bidi w:val="0"/>
              <w:spacing w:before="0" w:after="283"/>
              <w:jc w:val="left"/>
              <w:rPr/>
            </w:pPr>
            <w:r>
              <w:rPr/>
              <w:t> </w:t>
            </w:r>
          </w:p>
        </w:tc>
      </w:tr>
      <w:tr>
        <w:trPr/>
        <w:tc>
          <w:tcPr>
            <w:tcW w:w="5643" w:type="dxa"/>
            <w:tcBorders/>
          </w:tcPr>
          <w:p>
            <w:pPr>
              <w:pStyle w:val="TableContents"/>
              <w:bidi w:val="0"/>
              <w:spacing w:before="0" w:after="0"/>
              <w:jc w:val="left"/>
              <w:rPr/>
            </w:pPr>
            <w:r>
              <w:rPr/>
              <w:t>(iv) Shared power to dispose or to direct the disposition of</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sz w:val="20"/>
        </w:rPr>
      </w:pPr>
      <w:r>
        <w:rPr>
          <w:sz w:val="20"/>
        </w:rPr>
        <w:t xml:space="preserve">Page 3 of 4 </w:t>
      </w:r>
      <w:r>
        <w:br w:type="page"/>
      </w:r>
    </w:p>
    <w:p>
      <w:pPr>
        <w:pStyle w:val="HorizontalLine"/>
        <w:pBdr>
          <w:bottom w:val="double" w:sz="6" w:space="0" w:color="808080"/>
        </w:pBdr>
        <w:bidi w:val="0"/>
        <w:jc w:val="left"/>
        <w:rPr/>
      </w:pPr>
      <w:r>
        <w:rPr/>
      </w:r>
    </w:p>
    <w:p>
      <w:pPr>
        <w:pStyle w:val="TextBody"/>
        <w:bidi w:val="0"/>
        <w:spacing w:before="0" w:after="0"/>
        <w:jc w:val="left"/>
        <w:rPr>
          <w:sz w:val="20"/>
        </w:rPr>
      </w:pPr>
      <w:r>
        <w:rPr>
          <w:b/>
          <w:sz w:val="20"/>
        </w:rPr>
        <w:t>CUSIP No. 30219Q106</w:t>
      </w:r>
      <w:r>
        <w:rPr>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b/>
              </w:rPr>
            </w:pPr>
            <w:r>
              <w:rPr>
                <w:b/>
              </w:rPr>
              <w:t xml:space="preserve">Ownership of Five Percent or Less of a Class. </w:t>
            </w:r>
          </w:p>
        </w:tc>
      </w:tr>
    </w:tbl>
    <w:p>
      <w:pPr>
        <w:pStyle w:val="TextBody"/>
        <w:bidi w:val="0"/>
        <w:spacing w:before="120" w:after="0"/>
        <w:jc w:val="left"/>
        <w:rPr>
          <w:b/>
          <w:i/>
          <w:sz w:val="20"/>
        </w:rPr>
      </w:pPr>
      <w:r>
        <w:rPr>
          <w:b/>
          <w:i/>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b/>
              </w:rPr>
            </w:pPr>
            <w:r>
              <w:rPr>
                <w:b/>
              </w:rPr>
              <w:t xml:space="preserve">Ownership of More than Five Percent on Behalf of Another Person. </w:t>
            </w:r>
          </w:p>
        </w:tc>
      </w:tr>
    </w:tbl>
    <w:p>
      <w:pPr>
        <w:pStyle w:val="TextBody"/>
        <w:bidi w:val="0"/>
        <w:spacing w:before="120" w:after="0"/>
        <w:jc w:val="left"/>
        <w:rPr>
          <w:b/>
          <w:i/>
          <w:sz w:val="20"/>
        </w:rPr>
      </w:pPr>
      <w:r>
        <w:rPr>
          <w:b/>
          <w:i/>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b/>
              </w:rPr>
            </w:pPr>
            <w:r>
              <w:rPr>
                <w:b/>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b/>
          <w:i/>
          <w:sz w:val="20"/>
        </w:rPr>
      </w:pPr>
      <w:r>
        <w:rPr>
          <w:b/>
          <w:i/>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b/>
              </w:rPr>
            </w:pPr>
            <w:r>
              <w:rPr>
                <w:b/>
              </w:rPr>
              <w:t xml:space="preserve">Identification and Classification of Members of the Group. </w:t>
            </w:r>
          </w:p>
        </w:tc>
      </w:tr>
    </w:tbl>
    <w:p>
      <w:pPr>
        <w:pStyle w:val="TextBody"/>
        <w:bidi w:val="0"/>
        <w:spacing w:before="120" w:after="0"/>
        <w:jc w:val="left"/>
        <w:rPr>
          <w:b/>
          <w:i/>
          <w:sz w:val="20"/>
        </w:rPr>
      </w:pPr>
      <w:r>
        <w:rPr>
          <w:b/>
          <w:i/>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w:t>
            </w:r>
          </w:p>
        </w:tc>
        <w:tc>
          <w:tcPr>
            <w:tcW w:w="9186" w:type="dxa"/>
            <w:tcBorders/>
          </w:tcPr>
          <w:p>
            <w:pPr>
              <w:pStyle w:val="TableContents"/>
              <w:bidi w:val="0"/>
              <w:spacing w:before="0" w:after="0"/>
              <w:jc w:val="left"/>
              <w:rPr>
                <w:b/>
              </w:rPr>
            </w:pPr>
            <w:r>
              <w:rPr>
                <w:b/>
              </w:rPr>
              <w:t xml:space="preserve">Notice of Dissolution of Group. </w:t>
            </w:r>
          </w:p>
        </w:tc>
      </w:tr>
    </w:tbl>
    <w:p>
      <w:pPr>
        <w:pStyle w:val="TextBody"/>
        <w:bidi w:val="0"/>
        <w:spacing w:before="120" w:after="0"/>
        <w:jc w:val="left"/>
        <w:rPr>
          <w:b/>
          <w:i/>
          <w:sz w:val="20"/>
        </w:rPr>
      </w:pPr>
      <w:r>
        <w:rPr>
          <w:b/>
          <w:i/>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w:t>
            </w:r>
          </w:p>
        </w:tc>
        <w:tc>
          <w:tcPr>
            <w:tcW w:w="9185" w:type="dxa"/>
            <w:tcBorders/>
          </w:tcPr>
          <w:p>
            <w:pPr>
              <w:pStyle w:val="TableContents"/>
              <w:bidi w:val="0"/>
              <w:spacing w:before="0" w:after="0"/>
              <w:jc w:val="left"/>
              <w:rPr>
                <w:b/>
              </w:rPr>
            </w:pPr>
            <w:r>
              <w:rPr>
                <w:b/>
              </w:rPr>
              <w:t xml:space="preserve">Certifications. </w:t>
            </w:r>
          </w:p>
        </w:tc>
      </w:tr>
    </w:tbl>
    <w:p>
      <w:pPr>
        <w:pStyle w:val="TextBody"/>
        <w:bidi w:val="0"/>
        <w:spacing w:before="120" w:after="0"/>
        <w:jc w:val="left"/>
        <w:rPr>
          <w:b/>
          <w:sz w:val="20"/>
        </w:rPr>
      </w:pPr>
      <w:r>
        <w:rPr>
          <w:b/>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jc w:val="left"/>
        <w:rPr/>
      </w:pPr>
      <w:r>
        <w:rPr/>
        <w:t> </w:t>
      </w:r>
    </w:p>
    <w:p>
      <w:pPr>
        <w:pStyle w:val="HorizontalLine"/>
        <w:pBdr>
          <w:bottom w:val="double" w:sz="6"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t> </w:t>
      </w:r>
    </w:p>
    <w:p>
      <w:pPr>
        <w:pStyle w:val="TextBody"/>
        <w:bidi w:val="0"/>
        <w:spacing w:before="0" w:after="0"/>
        <w:jc w:val="center"/>
        <w:rPr>
          <w:b/>
          <w:sz w:val="20"/>
        </w:rPr>
      </w:pPr>
      <w:r>
        <w:rPr>
          <w:b/>
          <w:sz w:val="20"/>
        </w:rPr>
        <w:t xml:space="preserve">SIGNATURE </w:t>
      </w:r>
    </w:p>
    <w:p>
      <w:pPr>
        <w:pStyle w:val="TextBody"/>
        <w:bidi w:val="0"/>
        <w:spacing w:before="240" w:after="0"/>
        <w:jc w:val="left"/>
        <w:rPr>
          <w:sz w:val="20"/>
        </w:rPr>
      </w:pPr>
      <w:r>
        <w:rPr>
          <w:sz w:val="20"/>
        </w:rPr>
        <w:t xml:space="preserve">After reasonable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t>November 13, 2023</w:t>
            </w:r>
          </w:p>
        </w:tc>
      </w:tr>
      <w:tr>
        <w:trPr/>
        <w:tc>
          <w:tcPr>
            <w:tcW w:w="4082" w:type="dxa"/>
            <w:tcBorders/>
          </w:tcPr>
          <w:p>
            <w:pPr>
              <w:pStyle w:val="TableContents"/>
              <w:bidi w:val="0"/>
              <w:spacing w:before="0" w:after="0"/>
              <w:jc w:val="left"/>
              <w:rPr/>
            </w:pPr>
            <w:r>
              <w:rPr/>
              <w:t>Date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Steven J. McLaughlin</w:t>
            </w:r>
          </w:p>
        </w:tc>
      </w:tr>
      <w:tr>
        <w:trPr/>
        <w:tc>
          <w:tcPr>
            <w:tcW w:w="4082" w:type="dxa"/>
            <w:tcBorders/>
          </w:tcPr>
          <w:p>
            <w:pPr>
              <w:pStyle w:val="TableContents"/>
              <w:bidi w:val="0"/>
              <w:spacing w:before="0" w:after="0"/>
              <w:jc w:val="left"/>
              <w:rPr/>
            </w:pPr>
            <w:r>
              <w:rPr/>
              <w:t>Steven J. McLaughlin</w:t>
            </w:r>
          </w:p>
        </w:tc>
      </w:tr>
    </w:tbl>
    <w:p>
      <w:pPr>
        <w:pStyle w:val="TextBody"/>
        <w:bidi w:val="0"/>
        <w:spacing w:before="0" w:after="0"/>
        <w:jc w:val="left"/>
        <w:rPr/>
      </w:pPr>
      <w:r>
        <w:rPr/>
        <w:t> </w:t>
      </w:r>
    </w:p>
    <w:p>
      <w:pPr>
        <w:pStyle w:val="TextBody"/>
        <w:bidi w:val="0"/>
        <w:spacing w:before="0" w:after="0"/>
        <w:jc w:val="center"/>
        <w:rPr>
          <w:sz w:val="20"/>
        </w:rPr>
      </w:pPr>
      <w:r>
        <w:rPr>
          <w:sz w:val="20"/>
        </w:rPr>
        <w:t xml:space="preserve">Page 4 of 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764</Words>
  <Characters>3773</Characters>
  <CharactersWithSpaces>4624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