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EXPENSIFY,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30219Q106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175"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08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0838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OpenView Management, LLC</w:t>
      </w:r>
    </w:p>
    <w:p>
      <w:pPr>
        <w:spacing w:after="0" w:line="36"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10,044,250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10,044,250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10,044,250</w:t>
      </w:r>
    </w:p>
    <w:p>
      <w:pPr>
        <w:spacing w:after="0" w:line="36" w:lineRule="exact"/>
        <w:rPr>
          <w:sz w:val="20"/>
          <w:szCs w:val="20"/>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79"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14.9% (1)</w:t>
      </w:r>
    </w:p>
    <w:p>
      <w:pPr>
        <w:spacing w:after="0" w:line="36" w:lineRule="exact"/>
        <w:rPr>
          <w:rFonts w:ascii="Arial" w:cs="Arial" w:eastAsia="Arial" w:hAnsi="Arial"/>
          <w:sz w:val="18"/>
          <w:szCs w:val="18"/>
          <w:color w:val="auto"/>
        </w:rPr>
      </w:pPr>
    </w:p>
    <w:p>
      <w:pPr>
        <w:ind w:left="624" w:right="5960" w:hanging="467"/>
        <w:spacing w:after="0" w:line="547"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 based on 67,519,744 shares of Common Stock outstanding as of December 20, 2021, as set forth in the Issuer’s Quarterly Report on Form 10-Q filed with the Securities and Exchange Commission on December 23, 2021.</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30219Q106</w:t>
      </w:r>
    </w:p>
    <w:p>
      <w:pPr>
        <w:spacing w:after="0" w:line="175" w:lineRule="exact"/>
        <w:rPr>
          <w:sz w:val="20"/>
          <w:szCs w:val="20"/>
          <w:color w:val="auto"/>
        </w:rPr>
      </w:pP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08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OpenView General Partner IV, L.P.</w:t>
      </w:r>
    </w:p>
    <w:p>
      <w:pPr>
        <w:spacing w:after="0" w:line="3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10,044,250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10,044,250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10,044,250</w:t>
      </w:r>
    </w:p>
    <w:p>
      <w:pPr>
        <w:spacing w:after="0" w:line="36" w:lineRule="exact"/>
        <w:rPr>
          <w:sz w:val="20"/>
          <w:szCs w:val="20"/>
          <w:color w:val="auto"/>
        </w:rPr>
      </w:pPr>
    </w:p>
    <w:p>
      <w:pPr>
        <w:ind w:left="624" w:hanging="467"/>
        <w:spacing w:after="0"/>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79" w:lineRule="exact"/>
        <w:rPr>
          <w:rFonts w:ascii="Arial" w:cs="Arial" w:eastAsia="Arial" w:hAnsi="Arial"/>
          <w:sz w:val="18"/>
          <w:szCs w:val="18"/>
          <w:color w:val="auto"/>
        </w:rPr>
      </w:pPr>
    </w:p>
    <w:p>
      <w:pPr>
        <w:ind w:left="624" w:hanging="467"/>
        <w:spacing w:after="0"/>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14.9% (1)</w:t>
      </w:r>
    </w:p>
    <w:p>
      <w:pPr>
        <w:spacing w:after="0" w:line="36" w:lineRule="exact"/>
        <w:rPr>
          <w:rFonts w:ascii="Arial" w:cs="Arial" w:eastAsia="Arial" w:hAnsi="Arial"/>
          <w:sz w:val="18"/>
          <w:szCs w:val="18"/>
          <w:color w:val="auto"/>
        </w:rPr>
      </w:pPr>
    </w:p>
    <w:p>
      <w:pPr>
        <w:ind w:left="624" w:right="5960" w:hanging="467"/>
        <w:spacing w:after="0" w:line="547" w:lineRule="auto"/>
        <w:tabs>
          <w:tab w:leader="none" w:pos="6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 based on 67,519,744 shares of Common Stock outstanding as of December 20, 2021, as set forth in the Issuer’s Quarterly Report on Form 10-Q filed with the Securities and Exchange Commission on December 23, 2021.</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175" w:lineRule="exact"/>
        <w:rPr>
          <w:sz w:val="20"/>
          <w:szCs w:val="20"/>
          <w:color w:val="auto"/>
        </w:rPr>
      </w:pPr>
    </w:p>
    <w:p>
      <w:pPr>
        <w:ind w:left="624" w:hanging="377"/>
        <w:spacing w:after="0"/>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08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0838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OpenView Venture Partners IV, L.P.</w:t>
      </w:r>
    </w:p>
    <w:p>
      <w:pPr>
        <w:spacing w:after="0" w:line="36"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9,726,290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9,726,290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9,726,290</w:t>
      </w:r>
    </w:p>
    <w:p>
      <w:pPr>
        <w:spacing w:after="0" w:line="36" w:lineRule="exact"/>
        <w:rPr>
          <w:sz w:val="20"/>
          <w:szCs w:val="20"/>
          <w:color w:val="auto"/>
        </w:rPr>
      </w:pPr>
    </w:p>
    <w:p>
      <w:pPr>
        <w:ind w:left="624" w:hanging="467"/>
        <w:spacing w:after="0"/>
        <w:tabs>
          <w:tab w:leader="none" w:pos="6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79" w:lineRule="exact"/>
        <w:rPr>
          <w:rFonts w:ascii="Arial" w:cs="Arial" w:eastAsia="Arial" w:hAnsi="Arial"/>
          <w:sz w:val="18"/>
          <w:szCs w:val="18"/>
          <w:color w:val="auto"/>
        </w:rPr>
      </w:pPr>
    </w:p>
    <w:p>
      <w:pPr>
        <w:ind w:left="624" w:hanging="467"/>
        <w:spacing w:after="0"/>
        <w:tabs>
          <w:tab w:leader="none" w:pos="6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14.4% (1)</w:t>
      </w:r>
    </w:p>
    <w:p>
      <w:pPr>
        <w:spacing w:after="0" w:line="36" w:lineRule="exact"/>
        <w:rPr>
          <w:rFonts w:ascii="Arial" w:cs="Arial" w:eastAsia="Arial" w:hAnsi="Arial"/>
          <w:sz w:val="18"/>
          <w:szCs w:val="18"/>
          <w:color w:val="auto"/>
        </w:rPr>
      </w:pPr>
    </w:p>
    <w:p>
      <w:pPr>
        <w:ind w:left="624" w:right="5960" w:hanging="467"/>
        <w:spacing w:after="0" w:line="547" w:lineRule="auto"/>
        <w:tabs>
          <w:tab w:leader="none" w:pos="6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Percentage based on 67,519,744 shares of Common Stock outstanding as of December 20, 2021, as set forth in the Issuer’s Quarterly Report on Form 10-Q filed with the Securities and Exchange Commission on December 23, 2021.</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30219Q106</w:t>
      </w:r>
    </w:p>
    <w:p>
      <w:pPr>
        <w:spacing w:after="0" w:line="175" w:lineRule="exact"/>
        <w:rPr>
          <w:sz w:val="20"/>
          <w:szCs w:val="20"/>
          <w:color w:val="auto"/>
        </w:rPr>
      </w:pPr>
    </w:p>
    <w:p>
      <w:pPr>
        <w:ind w:left="624" w:hanging="377"/>
        <w:spacing w:after="0"/>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08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OpenView Affiliates Fund IV, L.P.</w:t>
      </w:r>
    </w:p>
    <w:p>
      <w:pPr>
        <w:spacing w:after="0" w:line="36" w:lineRule="exact"/>
        <w:rPr>
          <w:sz w:val="20"/>
          <w:szCs w:val="20"/>
          <w:color w:val="auto"/>
        </w:rPr>
      </w:pPr>
    </w:p>
    <w:p>
      <w:pPr>
        <w:ind w:left="624" w:hanging="377"/>
        <w:spacing w:after="0"/>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317,960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317,960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317,960</w:t>
      </w:r>
    </w:p>
    <w:p>
      <w:pPr>
        <w:spacing w:after="0" w:line="36" w:lineRule="exact"/>
        <w:rPr>
          <w:sz w:val="20"/>
          <w:szCs w:val="20"/>
          <w:color w:val="auto"/>
        </w:rPr>
      </w:pPr>
    </w:p>
    <w:p>
      <w:pPr>
        <w:ind w:left="624" w:hanging="467"/>
        <w:spacing w:after="0"/>
        <w:tabs>
          <w:tab w:leader="none" w:pos="6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79" w:lineRule="exact"/>
        <w:rPr>
          <w:rFonts w:ascii="Arial" w:cs="Arial" w:eastAsia="Arial" w:hAnsi="Arial"/>
          <w:sz w:val="18"/>
          <w:szCs w:val="18"/>
          <w:color w:val="auto"/>
        </w:rPr>
      </w:pPr>
    </w:p>
    <w:p>
      <w:pPr>
        <w:ind w:left="624" w:hanging="467"/>
        <w:spacing w:after="0"/>
        <w:tabs>
          <w:tab w:leader="none" w:pos="6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0.5% (1)</w:t>
      </w:r>
    </w:p>
    <w:p>
      <w:pPr>
        <w:spacing w:after="0" w:line="36" w:lineRule="exact"/>
        <w:rPr>
          <w:rFonts w:ascii="Arial" w:cs="Arial" w:eastAsia="Arial" w:hAnsi="Arial"/>
          <w:sz w:val="18"/>
          <w:szCs w:val="18"/>
          <w:color w:val="auto"/>
        </w:rPr>
      </w:pPr>
    </w:p>
    <w:p>
      <w:pPr>
        <w:ind w:left="624" w:right="5960" w:hanging="467"/>
        <w:spacing w:after="0" w:line="547" w:lineRule="auto"/>
        <w:tabs>
          <w:tab w:leader="none" w:pos="6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Percentage based on 67,519,744 shares of Common Stock outstanding as of December 20, 2021, as set forth in the Issuer’s Quarterly Report on Form 10-Q filed with the Securities and Exchange Commission on December 23, 2021.</w:t>
      </w:r>
    </w:p>
    <w:p>
      <w:pPr>
        <w:sectPr>
          <w:pgSz w:w="11900" w:h="16838" w:orient="portrait"/>
          <w:cols w:equalWidth="0" w:num="1">
            <w:col w:w="10904"/>
          </w:cols>
          <w:pgMar w:left="436" w:top="270"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5" w:lineRule="exact"/>
        <w:rPr>
          <w:sz w:val="20"/>
          <w:szCs w:val="20"/>
          <w:color w:val="auto"/>
        </w:rPr>
      </w:pPr>
    </w:p>
    <w:p>
      <w:pPr>
        <w:jc w:val="both"/>
        <w:ind w:left="540" w:right="9180" w:hanging="315"/>
        <w:spacing w:after="0" w:line="42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 of Issuer Expensify, Inc.</w:t>
      </w:r>
    </w:p>
    <w:p>
      <w:pPr>
        <w:ind w:left="540" w:hanging="315"/>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jc w:val="both"/>
        <w:ind w:left="540" w:right="8820"/>
        <w:spacing w:after="0" w:line="342" w:lineRule="auto"/>
        <w:rPr>
          <w:rFonts w:ascii="Arial" w:cs="Arial" w:eastAsia="Arial" w:hAnsi="Arial"/>
          <w:sz w:val="18"/>
          <w:szCs w:val="18"/>
          <w:color w:val="auto"/>
        </w:rPr>
      </w:pPr>
      <w:r>
        <w:rPr>
          <w:rFonts w:ascii="Arial" w:cs="Arial" w:eastAsia="Arial" w:hAnsi="Arial"/>
          <w:sz w:val="16"/>
          <w:szCs w:val="16"/>
          <w:color w:val="auto"/>
        </w:rPr>
        <w:t>401 SW 5</w:t>
      </w:r>
      <w:r>
        <w:rPr>
          <w:rFonts w:ascii="Arial" w:cs="Arial" w:eastAsia="Arial" w:hAnsi="Arial"/>
          <w:sz w:val="13"/>
          <w:szCs w:val="13"/>
          <w:color w:val="auto"/>
        </w:rPr>
        <w:t>th</w:t>
      </w:r>
      <w:r>
        <w:rPr>
          <w:rFonts w:ascii="Arial" w:cs="Arial" w:eastAsia="Arial" w:hAnsi="Arial"/>
          <w:sz w:val="16"/>
          <w:szCs w:val="16"/>
          <w:color w:val="auto"/>
        </w:rPr>
        <w:t xml:space="preserve"> Avenue Portland, OR 97209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480" w:hanging="255"/>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(c)  Names of Persons Filing; Address; Citizenship:</w:t>
      </w:r>
    </w:p>
    <w:p>
      <w:pPr>
        <w:spacing w:after="0" w:line="130" w:lineRule="exact"/>
        <w:rPr>
          <w:rFonts w:ascii="Arial" w:cs="Arial" w:eastAsia="Arial" w:hAnsi="Arial"/>
          <w:sz w:val="18"/>
          <w:szCs w:val="18"/>
          <w:color w:val="auto"/>
        </w:rPr>
      </w:pPr>
    </w:p>
    <w:p>
      <w:pPr>
        <w:ind w:left="1100" w:hanging="213"/>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OpenView Management, LLC, a Delaware Limited Liability Company (“OVM LLC”)</w:t>
      </w:r>
    </w:p>
    <w:p>
      <w:pPr>
        <w:spacing w:after="0" w:line="117" w:lineRule="exact"/>
        <w:rPr>
          <w:rFonts w:ascii="Arial" w:cs="Arial" w:eastAsia="Arial" w:hAnsi="Arial"/>
          <w:sz w:val="18"/>
          <w:szCs w:val="18"/>
          <w:color w:val="auto"/>
        </w:rPr>
      </w:pPr>
    </w:p>
    <w:p>
      <w:pPr>
        <w:ind w:left="1160" w:hanging="273"/>
        <w:spacing w:after="0"/>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OpenView General Partner IV, L.P. a Delaware Limited Partnership (“OGP IV LP”)</w:t>
      </w:r>
    </w:p>
    <w:p>
      <w:pPr>
        <w:spacing w:after="0" w:line="117" w:lineRule="exact"/>
        <w:rPr>
          <w:rFonts w:ascii="Arial" w:cs="Arial" w:eastAsia="Arial" w:hAnsi="Arial"/>
          <w:sz w:val="18"/>
          <w:szCs w:val="18"/>
          <w:color w:val="auto"/>
        </w:rPr>
      </w:pPr>
    </w:p>
    <w:p>
      <w:pPr>
        <w:ind w:left="1200" w:hanging="313"/>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OpenView Venture Partners IV, L.P. a Delaware Limited Partnership (“OV IV LP”)</w:t>
      </w:r>
    </w:p>
    <w:p>
      <w:pPr>
        <w:spacing w:after="0" w:line="117" w:lineRule="exact"/>
        <w:rPr>
          <w:rFonts w:ascii="Arial" w:cs="Arial" w:eastAsia="Arial" w:hAnsi="Arial"/>
          <w:sz w:val="18"/>
          <w:szCs w:val="18"/>
          <w:color w:val="auto"/>
        </w:rPr>
      </w:pPr>
    </w:p>
    <w:p>
      <w:pPr>
        <w:ind w:left="1200" w:hanging="313"/>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OpenView Affiliates Fund IV, L.P., a Delaware Limited Partnership (“OAF IV LP”)</w:t>
      </w:r>
    </w:p>
    <w:p>
      <w:pPr>
        <w:spacing w:after="0" w:line="117" w:lineRule="exact"/>
        <w:rPr>
          <w:sz w:val="20"/>
          <w:szCs w:val="20"/>
          <w:color w:val="auto"/>
        </w:rPr>
      </w:pPr>
    </w:p>
    <w:p>
      <w:pPr>
        <w:ind w:left="880" w:right="520"/>
        <w:spacing w:after="0" w:line="277" w:lineRule="auto"/>
        <w:rPr>
          <w:sz w:val="20"/>
          <w:szCs w:val="20"/>
          <w:color w:val="auto"/>
        </w:rPr>
      </w:pPr>
      <w:r>
        <w:rPr>
          <w:rFonts w:ascii="Arial" w:cs="Arial" w:eastAsia="Arial" w:hAnsi="Arial"/>
          <w:sz w:val="18"/>
          <w:szCs w:val="18"/>
          <w:color w:val="auto"/>
        </w:rPr>
        <w:t>OVM LLC and the Funds are sometimes individually referred to herein as a “Reporting Person” and collectively as the “Reporting Persons.”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The address for each of the Reporting Persons is 303 Congress Street, 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Boston, MA 02210.</w:t>
      </w:r>
    </w:p>
    <w:p>
      <w:pPr>
        <w:spacing w:after="0" w:line="148" w:lineRule="exact"/>
        <w:rPr>
          <w:sz w:val="20"/>
          <w:szCs w:val="20"/>
          <w:color w:val="auto"/>
        </w:rPr>
      </w:pPr>
    </w:p>
    <w:p>
      <w:pPr>
        <w:ind w:left="540" w:hanging="315"/>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Class A Common Stock, par value $0.0001 per share</w:t>
      </w:r>
    </w:p>
    <w:p>
      <w:pPr>
        <w:spacing w:after="0" w:line="117" w:lineRule="exact"/>
        <w:rPr>
          <w:rFonts w:ascii="Arial" w:cs="Arial" w:eastAsia="Arial" w:hAnsi="Arial"/>
          <w:sz w:val="18"/>
          <w:szCs w:val="18"/>
          <w:color w:val="auto"/>
        </w:rPr>
      </w:pPr>
    </w:p>
    <w:p>
      <w:pPr>
        <w:ind w:left="540" w:right="9120" w:hanging="315"/>
        <w:spacing w:after="0" w:line="483"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CUSIP Number 30219Q106</w:t>
      </w:r>
    </w:p>
    <w:p>
      <w:pPr>
        <w:spacing w:after="0" w:line="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102" w:lineRule="exact"/>
        <w:rPr>
          <w:sz w:val="20"/>
          <w:szCs w:val="20"/>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80" w:hanging="639"/>
        <w:spacing w:after="0" w:line="239" w:lineRule="exact"/>
        <w:tabs>
          <w:tab w:leader="none" w:pos="783" w:val="left"/>
        </w:tabs>
        <w:numPr>
          <w:ilvl w:val="0"/>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0820"/>
          </w:cols>
          <w:pgMar w:left="440" w:top="270" w:right="639" w:bottom="1440" w:gutter="0" w:footer="0" w:header="0"/>
        </w:sectPr>
      </w:pPr>
    </w:p>
    <w:bookmarkStart w:id="6" w:name="page7"/>
    <w:bookmarkEnd w:id="6"/>
    <w:p>
      <w:pPr>
        <w:ind w:left="780" w:hanging="339"/>
        <w:spacing w:after="0" w:line="207" w:lineRule="exact"/>
        <w:tabs>
          <w:tab w:leader="none" w:pos="780"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080" w:right="80" w:hanging="639"/>
        <w:spacing w:after="0" w:line="239" w:lineRule="exact"/>
        <w:tabs>
          <w:tab w:leader="none" w:pos="783" w:val="left"/>
        </w:tabs>
        <w:numPr>
          <w:ilvl w:val="0"/>
          <w:numId w:val="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760" w:hanging="319"/>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30" w:lineRule="exact"/>
        <w:rPr>
          <w:rFonts w:ascii="Arial" w:cs="Arial" w:eastAsia="Arial" w:hAnsi="Arial"/>
          <w:sz w:val="18"/>
          <w:szCs w:val="18"/>
          <w:color w:val="auto"/>
        </w:rPr>
      </w:pPr>
    </w:p>
    <w:p>
      <w:pPr>
        <w:jc w:val="both"/>
        <w:ind w:left="1080" w:right="60" w:hanging="364"/>
        <w:spacing w:after="0" w:line="263" w:lineRule="auto"/>
        <w:tabs>
          <w:tab w:leader="none" w:pos="10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OVM LLC may be deemed to beneficially own 10,044,250 shares of Class A Common Stock, consisting of 9,726,290 shares of Class A Common Stock held by OV IV LP and 317,960 shares of Class A Common Stock held by OAF IV LP, which in the aggregate represents 14.9% of the outstanding Class A Common Stock.</w:t>
      </w:r>
    </w:p>
    <w:p>
      <w:pPr>
        <w:spacing w:after="0" w:line="89" w:lineRule="exact"/>
        <w:rPr>
          <w:rFonts w:ascii="Arial" w:cs="Arial" w:eastAsia="Arial" w:hAnsi="Arial"/>
          <w:sz w:val="18"/>
          <w:szCs w:val="18"/>
          <w:color w:val="auto"/>
        </w:rPr>
      </w:pPr>
    </w:p>
    <w:p>
      <w:pPr>
        <w:jc w:val="both"/>
        <w:ind w:left="1080" w:right="40" w:hanging="364"/>
        <w:spacing w:after="0" w:line="263" w:lineRule="auto"/>
        <w:tabs>
          <w:tab w:leader="none" w:pos="1066" w:val="left"/>
        </w:tabs>
        <w:numPr>
          <w:ilvl w:val="1"/>
          <w:numId w:val="36"/>
        </w:numPr>
        <w:rPr>
          <w:rFonts w:ascii="Arial" w:cs="Arial" w:eastAsia="Arial" w:hAnsi="Arial"/>
          <w:sz w:val="18"/>
          <w:szCs w:val="18"/>
          <w:color w:val="auto"/>
        </w:rPr>
      </w:pPr>
      <w:r>
        <w:rPr>
          <w:rFonts w:ascii="Arial" w:cs="Arial" w:eastAsia="Arial" w:hAnsi="Arial"/>
          <w:sz w:val="18"/>
          <w:szCs w:val="18"/>
          <w:color w:val="auto"/>
        </w:rPr>
        <w:t>OGV IV LP may be deemed to beneficially own 10,044,250 shares of Class A Common Stock, consisting of 9,726,290 shares of Class A Common Stock held by OV IV LP and 317,960 shares of Class A Common Stock held by OAF IV LP, which in the aggregate represents 14.9% of the outstanding Class A Common Stock.</w:t>
      </w:r>
    </w:p>
    <w:p>
      <w:pPr>
        <w:spacing w:after="0" w:line="89" w:lineRule="exact"/>
        <w:rPr>
          <w:rFonts w:ascii="Arial" w:cs="Arial" w:eastAsia="Arial" w:hAnsi="Arial"/>
          <w:sz w:val="18"/>
          <w:szCs w:val="18"/>
          <w:color w:val="auto"/>
        </w:rPr>
      </w:pPr>
    </w:p>
    <w:p>
      <w:pPr>
        <w:ind w:left="1080" w:right="460" w:hanging="364"/>
        <w:spacing w:after="0" w:line="277" w:lineRule="auto"/>
        <w:tabs>
          <w:tab w:leader="none" w:pos="10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OV IV LP directly owns 9,726,290 shares of Class A Common Stock, which represents 14.4% of the outstanding Class A Common Stock.</w:t>
      </w:r>
    </w:p>
    <w:p>
      <w:pPr>
        <w:spacing w:after="0" w:line="75" w:lineRule="exact"/>
        <w:rPr>
          <w:rFonts w:ascii="Arial" w:cs="Arial" w:eastAsia="Arial" w:hAnsi="Arial"/>
          <w:sz w:val="18"/>
          <w:szCs w:val="18"/>
          <w:color w:val="auto"/>
        </w:rPr>
      </w:pPr>
    </w:p>
    <w:p>
      <w:pPr>
        <w:ind w:left="1060" w:hanging="344"/>
        <w:spacing w:after="0"/>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OAF IV LP directly owns 317,960 shares of Class A Common Stock, which represents 0.5% of the outstanding Class A Common Stock.</w:t>
      </w:r>
    </w:p>
    <w:p>
      <w:pPr>
        <w:spacing w:after="0" w:line="167" w:lineRule="exact"/>
        <w:rPr>
          <w:rFonts w:ascii="Arial" w:cs="Arial" w:eastAsia="Arial" w:hAnsi="Arial"/>
          <w:sz w:val="16"/>
          <w:szCs w:val="16"/>
          <w:color w:val="auto"/>
        </w:rPr>
      </w:pPr>
    </w:p>
    <w:p>
      <w:pPr>
        <w:ind w:left="760" w:hanging="319"/>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6060" w:type="dxa"/>
            <w:vAlign w:val="bottom"/>
          </w:tcPr>
          <w:p>
            <w:pPr>
              <w:spacing w:after="0"/>
              <w:rPr>
                <w:sz w:val="14"/>
                <w:szCs w:val="14"/>
                <w:color w:val="auto"/>
              </w:rPr>
            </w:pPr>
          </w:p>
        </w:tc>
        <w:tc>
          <w:tcPr>
            <w:tcW w:w="27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Number of Shares of Common Stock</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6060" w:type="dxa"/>
            <w:vAlign w:val="bottom"/>
          </w:tcPr>
          <w:p>
            <w:pPr>
              <w:spacing w:after="0"/>
              <w:rPr>
                <w:sz w:val="12"/>
                <w:szCs w:val="12"/>
                <w:color w:val="auto"/>
              </w:rPr>
            </w:pPr>
          </w:p>
        </w:tc>
        <w:tc>
          <w:tcPr>
            <w:tcW w:w="1140" w:type="dxa"/>
            <w:vAlign w:val="bottom"/>
            <w:gridSpan w:val="2"/>
          </w:tcPr>
          <w:p>
            <w:pPr>
              <w:ind w:left="380"/>
              <w:spacing w:after="0" w:line="129" w:lineRule="exact"/>
              <w:rPr>
                <w:sz w:val="20"/>
                <w:szCs w:val="20"/>
                <w:color w:val="auto"/>
              </w:rPr>
            </w:pPr>
            <w:r>
              <w:rPr>
                <w:rFonts w:ascii="Arial" w:cs="Arial" w:eastAsia="Arial" w:hAnsi="Arial"/>
                <w:sz w:val="14"/>
                <w:szCs w:val="14"/>
                <w:color w:val="auto"/>
              </w:rPr>
              <w:t>(i)</w:t>
            </w:r>
          </w:p>
        </w:tc>
        <w:tc>
          <w:tcPr>
            <w:tcW w:w="4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(ii)</w:t>
            </w:r>
          </w:p>
        </w:tc>
        <w:tc>
          <w:tcPr>
            <w:tcW w:w="1120" w:type="dxa"/>
            <w:vAlign w:val="bottom"/>
            <w:gridSpan w:val="2"/>
          </w:tcPr>
          <w:p>
            <w:pPr>
              <w:jc w:val="right"/>
              <w:ind w:right="580"/>
              <w:spacing w:after="0" w:line="129" w:lineRule="exact"/>
              <w:rPr>
                <w:sz w:val="20"/>
                <w:szCs w:val="20"/>
                <w:color w:val="auto"/>
              </w:rPr>
            </w:pPr>
            <w:r>
              <w:rPr>
                <w:rFonts w:ascii="Arial" w:cs="Arial" w:eastAsia="Arial" w:hAnsi="Arial"/>
                <w:sz w:val="14"/>
                <w:szCs w:val="14"/>
                <w:color w:val="auto"/>
              </w:rPr>
              <w:t>(iii)</w:t>
            </w: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w w:val="92"/>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OVM LLC</w:t>
            </w:r>
          </w:p>
        </w:tc>
        <w:tc>
          <w:tcPr>
            <w:tcW w:w="60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10,044,250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10,044,250</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OGP IV LP</w:t>
            </w:r>
          </w:p>
        </w:tc>
        <w:tc>
          <w:tcPr>
            <w:tcW w:w="7200" w:type="dxa"/>
            <w:vAlign w:val="bottom"/>
            <w:gridSpan w:val="3"/>
          </w:tcPr>
          <w:p>
            <w:pPr>
              <w:jc w:val="right"/>
              <w:ind w:right="260"/>
              <w:spacing w:after="0"/>
              <w:rPr>
                <w:sz w:val="20"/>
                <w:szCs w:val="20"/>
                <w:color w:val="auto"/>
              </w:rPr>
            </w:pPr>
            <w:r>
              <w:rPr>
                <w:rFonts w:ascii="Arial" w:cs="Arial" w:eastAsia="Arial" w:hAnsi="Arial"/>
                <w:sz w:val="18"/>
                <w:szCs w:val="18"/>
                <w:color w:val="auto"/>
              </w:rPr>
              <w:t>10,044,250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10,044,250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OV IV LP</w:t>
            </w:r>
          </w:p>
        </w:tc>
        <w:tc>
          <w:tcPr>
            <w:tcW w:w="7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9,726,290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9,726,290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OAF IV LP</w:t>
            </w:r>
          </w:p>
        </w:tc>
        <w:tc>
          <w:tcPr>
            <w:tcW w:w="7200" w:type="dxa"/>
            <w:vAlign w:val="bottom"/>
            <w:gridSpan w:val="3"/>
          </w:tcPr>
          <w:p>
            <w:pPr>
              <w:jc w:val="right"/>
              <w:ind w:right="260"/>
              <w:spacing w:after="0"/>
              <w:rPr>
                <w:sz w:val="20"/>
                <w:szCs w:val="20"/>
                <w:color w:val="auto"/>
              </w:rPr>
            </w:pPr>
            <w:r>
              <w:rPr>
                <w:rFonts w:ascii="Arial" w:cs="Arial" w:eastAsia="Arial" w:hAnsi="Arial"/>
                <w:sz w:val="18"/>
                <w:szCs w:val="18"/>
                <w:color w:val="auto"/>
              </w:rPr>
              <w:t>317,960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317,960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hanging="34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700" w:hanging="34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700" w:hanging="34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700" w:hanging="34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Percentage based on 67,519,744 shares of Common Stock outstanding as of December 20, 2021, as set forth in the Issuer’s Quarterly Report on Form 10-Q filed with the Securities and Exchange Commission on December 23, 2021.</w:t>
      </w:r>
    </w:p>
    <w:p>
      <w:pPr>
        <w:spacing w:after="0" w:line="2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7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780" w:right="60" w:hanging="782"/>
        <w:spacing w:after="0" w:line="282" w:lineRule="auto"/>
        <w:tabs>
          <w:tab w:leader="none" w:pos="7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980"/>
          </w:cols>
          <w:pgMar w:left="440" w:top="241" w:right="47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019"/>
          </w:cols>
          <w:pgMar w:left="440" w:top="270" w:right="1440"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GENERAL PARTNER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OpenView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AFFILIATES FUND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OpenView General Partner IV, L.P.,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OpenView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VENTURE PARTNERS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OpenView General Partner IV, L.P.,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OpenView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ectPr>
          <w:pgSz w:w="11900" w:h="16838" w:orient="portrait"/>
          <w:cols w:equalWidth="0" w:num="1">
            <w:col w:w="10460"/>
          </w:cols>
          <w:pgMar w:left="440" w:top="270" w:right="9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this 9</w:t>
      </w:r>
      <w:r>
        <w:rPr>
          <w:rFonts w:ascii="Arial" w:cs="Arial" w:eastAsia="Arial" w:hAnsi="Arial"/>
          <w:sz w:val="15"/>
          <w:szCs w:val="15"/>
          <w:color w:val="auto"/>
        </w:rPr>
        <w:t>th</w:t>
      </w:r>
      <w:r>
        <w:rPr>
          <w:rFonts w:ascii="Arial" w:cs="Arial" w:eastAsia="Arial" w:hAnsi="Arial"/>
          <w:sz w:val="18"/>
          <w:szCs w:val="18"/>
          <w:color w:val="auto"/>
        </w:rPr>
        <w:t xml:space="preserve"> day of February,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GENERAL PARTNER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OpenView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AFFILIATES FUND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OpenView General Partner IV, L.P.,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OpenView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OPENVIEW VENTURE PARTNERS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OpenView General Partner IV, L.P.,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OpenView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Rufus C.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Rufus C. King, Attorney-in-Fact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2"/>
      <w:numFmt w:val="bullet"/>
      <w:start w:val="1"/>
    </w:lvl>
  </w:abstractNum>
  <w:abstractNum w:abstractNumId="4">
    <w:nsid w:val="333AB105"/>
    <w:multiLevelType w:val="hybridMultilevel"/>
    <w:lvl w:ilvl="0">
      <w:lvlJc w:val="left"/>
      <w:lvlText w:val="3"/>
      <w:numFmt w:val="bullet"/>
      <w:start w:val="1"/>
    </w:lvl>
  </w:abstractNum>
  <w:abstractNum w:abstractNumId="5">
    <w:nsid w:val="721DA317"/>
    <w:multiLevelType w:val="hybridMultilevel"/>
    <w:lvl w:ilvl="0">
      <w:lvlJc w:val="left"/>
      <w:lvlText w:val="4"/>
      <w:numFmt w:val="bullet"/>
      <w:start w:val="1"/>
    </w:lvl>
  </w:abstractNum>
  <w:abstractNum w:abstractNumId="6">
    <w:nsid w:val="2443A858"/>
    <w:multiLevelType w:val="hybridMultilevel"/>
    <w:lvl w:ilvl="0">
      <w:lvlJc w:val="left"/>
      <w:lvlText w:val="9"/>
      <w:numFmt w:val="bullet"/>
      <w:start w:val="1"/>
    </w:lvl>
  </w:abstractNum>
  <w:abstractNum w:abstractNumId="7">
    <w:nsid w:val="2D1D5AE9"/>
    <w:multiLevelType w:val="hybridMultilevel"/>
    <w:lvl w:ilvl="0">
      <w:lvlJc w:val="left"/>
      <w:lvlText w:val="%1"/>
      <w:numFmt w:val="decimal"/>
      <w:start w:val="1"/>
    </w:lvl>
    <w:lvl w:ilvl="1">
      <w:lvlJc w:val="left"/>
      <w:lvlText w:val="%2"/>
      <w:numFmt w:val="decimal"/>
      <w:start w:val="10"/>
    </w:lvl>
  </w:abstractNum>
  <w:abstractNum w:abstractNumId="8">
    <w:nsid w:val="6763845E"/>
    <w:multiLevelType w:val="hybridMultilevel"/>
    <w:lvl w:ilvl="0">
      <w:lvlJc w:val="left"/>
      <w:lvlText w:val="(%1)"/>
      <w:numFmt w:val="decimal"/>
      <w:start w:val="1"/>
    </w:lvl>
    <w:lvl w:ilvl="1">
      <w:lvlJc w:val="left"/>
      <w:lvlText w:val="%2"/>
      <w:numFmt w:val="decimal"/>
      <w:start w:val="1"/>
    </w:lvl>
  </w:abstractNum>
  <w:abstractNum w:abstractNumId="9">
    <w:nsid w:val="75A2A8D4"/>
    <w:multiLevelType w:val="hybridMultilevel"/>
    <w:lvl w:ilvl="0">
      <w:lvlJc w:val="left"/>
      <w:lvlText w:val="1"/>
      <w:numFmt w:val="bullet"/>
      <w:start w:val="1"/>
    </w:lvl>
  </w:abstractNum>
  <w:abstractNum w:abstractNumId="10">
    <w:nsid w:val="8EDBDAB"/>
    <w:multiLevelType w:val="hybridMultilevel"/>
    <w:lvl w:ilvl="0">
      <w:lvlJc w:val="left"/>
      <w:lvlText w:val="2"/>
      <w:numFmt w:val="bullet"/>
      <w:start w:val="1"/>
    </w:lvl>
  </w:abstractNum>
  <w:abstractNum w:abstractNumId="11">
    <w:nsid w:val="79838CB2"/>
    <w:multiLevelType w:val="hybridMultilevel"/>
    <w:lvl w:ilvl="0">
      <w:lvlJc w:val="left"/>
      <w:lvlText w:val="3"/>
      <w:numFmt w:val="bullet"/>
      <w:start w:val="1"/>
    </w:lvl>
  </w:abstractNum>
  <w:abstractNum w:abstractNumId="12">
    <w:nsid w:val="4353D0CD"/>
    <w:multiLevelType w:val="hybridMultilevel"/>
    <w:lvl w:ilvl="0">
      <w:lvlJc w:val="left"/>
      <w:lvlText w:val="4"/>
      <w:numFmt w:val="bullet"/>
      <w:start w:val="1"/>
    </w:lvl>
  </w:abstractNum>
  <w:abstractNum w:abstractNumId="13">
    <w:nsid w:val="B03E0C6"/>
    <w:multiLevelType w:val="hybridMultilevel"/>
    <w:lvl w:ilvl="0">
      <w:lvlJc w:val="left"/>
      <w:lvlText w:val="9"/>
      <w:numFmt w:val="bullet"/>
      <w:start w:val="1"/>
    </w:lvl>
  </w:abstractNum>
  <w:abstractNum w:abstractNumId="14">
    <w:nsid w:val="189A769B"/>
    <w:multiLevelType w:val="hybridMultilevel"/>
    <w:lvl w:ilvl="0">
      <w:lvlJc w:val="left"/>
      <w:lvlText w:val="%1"/>
      <w:numFmt w:val="decimal"/>
      <w:start w:val="1"/>
    </w:lvl>
    <w:lvl w:ilvl="1">
      <w:lvlJc w:val="left"/>
      <w:lvlText w:val="%2"/>
      <w:numFmt w:val="decimal"/>
      <w:start w:val="10"/>
    </w:lvl>
  </w:abstractNum>
  <w:abstractNum w:abstractNumId="15">
    <w:nsid w:val="54E49EB4"/>
    <w:multiLevelType w:val="hybridMultilevel"/>
    <w:lvl w:ilvl="0">
      <w:lvlJc w:val="left"/>
      <w:lvlText w:val="(%1)"/>
      <w:numFmt w:val="decimal"/>
      <w:start w:val="1"/>
    </w:lvl>
    <w:lvl w:ilvl="1">
      <w:lvlJc w:val="left"/>
      <w:lvlText w:val="%2"/>
      <w:numFmt w:val="decimal"/>
      <w:start w:val="1"/>
    </w:lvl>
  </w:abstractNum>
  <w:abstractNum w:abstractNumId="16">
    <w:nsid w:val="71F32454"/>
    <w:multiLevelType w:val="hybridMultilevel"/>
    <w:lvl w:ilvl="0">
      <w:lvlJc w:val="left"/>
      <w:lvlText w:val="1"/>
      <w:numFmt w:val="bullet"/>
      <w:start w:val="1"/>
    </w:lvl>
  </w:abstractNum>
  <w:abstractNum w:abstractNumId="17">
    <w:nsid w:val="2CA88611"/>
    <w:multiLevelType w:val="hybridMultilevel"/>
    <w:lvl w:ilvl="0">
      <w:lvlJc w:val="left"/>
      <w:lvlText w:val="2"/>
      <w:numFmt w:val="bullet"/>
      <w:start w:val="1"/>
    </w:lvl>
  </w:abstractNum>
  <w:abstractNum w:abstractNumId="18">
    <w:nsid w:val="836C40E"/>
    <w:multiLevelType w:val="hybridMultilevel"/>
    <w:lvl w:ilvl="0">
      <w:lvlJc w:val="left"/>
      <w:lvlText w:val="3"/>
      <w:numFmt w:val="bullet"/>
      <w:start w:val="1"/>
    </w:lvl>
  </w:abstractNum>
  <w:abstractNum w:abstractNumId="19">
    <w:nsid w:val="2901D82"/>
    <w:multiLevelType w:val="hybridMultilevel"/>
    <w:lvl w:ilvl="0">
      <w:lvlJc w:val="left"/>
      <w:lvlText w:val="4"/>
      <w:numFmt w:val="bullet"/>
      <w:start w:val="1"/>
    </w:lvl>
  </w:abstractNum>
  <w:abstractNum w:abstractNumId="20">
    <w:nsid w:val="3A95F874"/>
    <w:multiLevelType w:val="hybridMultilevel"/>
    <w:lvl w:ilvl="0">
      <w:lvlJc w:val="left"/>
      <w:lvlText w:val="9"/>
      <w:numFmt w:val="bullet"/>
      <w:start w:val="1"/>
    </w:lvl>
  </w:abstractNum>
  <w:abstractNum w:abstractNumId="21">
    <w:nsid w:val="8138641"/>
    <w:multiLevelType w:val="hybridMultilevel"/>
    <w:lvl w:ilvl="0">
      <w:lvlJc w:val="left"/>
      <w:lvlText w:val="%1"/>
      <w:numFmt w:val="decimal"/>
      <w:start w:val="1"/>
    </w:lvl>
    <w:lvl w:ilvl="1">
      <w:lvlJc w:val="left"/>
      <w:lvlText w:val="%2"/>
      <w:numFmt w:val="decimal"/>
      <w:start w:val="10"/>
    </w:lvl>
  </w:abstractNum>
  <w:abstractNum w:abstractNumId="22">
    <w:nsid w:val="1E7FF521"/>
    <w:multiLevelType w:val="hybridMultilevel"/>
    <w:lvl w:ilvl="0">
      <w:lvlJc w:val="left"/>
      <w:lvlText w:val="(%1)"/>
      <w:numFmt w:val="decimal"/>
      <w:start w:val="1"/>
    </w:lvl>
    <w:lvl w:ilvl="1">
      <w:lvlJc w:val="left"/>
      <w:lvlText w:val="%2"/>
      <w:numFmt w:val="decimal"/>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2"/>
      <w:numFmt w:val="bullet"/>
      <w:start w:val="1"/>
    </w:lvl>
  </w:abstractNum>
  <w:abstractNum w:abstractNumId="25">
    <w:nsid w:val="6CEAF087"/>
    <w:multiLevelType w:val="hybridMultilevel"/>
    <w:lvl w:ilvl="0">
      <w:lvlJc w:val="left"/>
      <w:lvlText w:val="3"/>
      <w:numFmt w:val="bullet"/>
      <w:start w:val="1"/>
    </w:lvl>
  </w:abstractNum>
  <w:abstractNum w:abstractNumId="26">
    <w:nsid w:val="22221A70"/>
    <w:multiLevelType w:val="hybridMultilevel"/>
    <w:lvl w:ilvl="0">
      <w:lvlJc w:val="left"/>
      <w:lvlText w:val="4"/>
      <w:numFmt w:val="bullet"/>
      <w:start w:val="1"/>
    </w:lvl>
  </w:abstractNum>
  <w:abstractNum w:abstractNumId="27">
    <w:nsid w:val="4516DDE9"/>
    <w:multiLevelType w:val="hybridMultilevel"/>
    <w:lvl w:ilvl="0">
      <w:lvlJc w:val="left"/>
      <w:lvlText w:val="9"/>
      <w:numFmt w:val="bullet"/>
      <w:start w:val="1"/>
    </w:lvl>
  </w:abstractNum>
  <w:abstractNum w:abstractNumId="28">
    <w:nsid w:val="3006C83E"/>
    <w:multiLevelType w:val="hybridMultilevel"/>
    <w:lvl w:ilvl="0">
      <w:lvlJc w:val="left"/>
      <w:lvlText w:val="%1"/>
      <w:numFmt w:val="decimal"/>
      <w:start w:val="1"/>
    </w:lvl>
    <w:lvl w:ilvl="1">
      <w:lvlJc w:val="left"/>
      <w:lvlText w:val="%2"/>
      <w:numFmt w:val="decimal"/>
      <w:start w:val="10"/>
    </w:lvl>
  </w:abstractNum>
  <w:abstractNum w:abstractNumId="29">
    <w:nsid w:val="614FD4A1"/>
    <w:multiLevelType w:val="hybridMultilevel"/>
    <w:lvl w:ilvl="0">
      <w:lvlJc w:val="left"/>
      <w:lvlText w:val="(%1)"/>
      <w:numFmt w:val="decimal"/>
      <w:start w:val="1"/>
    </w:lvl>
    <w:lvl w:ilvl="1">
      <w:lvlJc w:val="left"/>
      <w:lvlText w:val="%2"/>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lvl w:ilvl="1">
      <w:lvlJc w:val="left"/>
      <w:lvlText w:val="(%2)"/>
      <w:numFmt w:val="lowerRoman"/>
      <w:start w:val="1"/>
    </w:lvl>
  </w:abstractNum>
  <w:abstractNum w:abstractNumId="32">
    <w:nsid w:val="440BADFC"/>
    <w:multiLevelType w:val="hybridMultilevel"/>
    <w:lvl w:ilvl="0">
      <w:lvlJc w:val="left"/>
      <w:lvlText w:val="(%1)"/>
      <w:numFmt w:val="lowerLetter"/>
      <w:start w:val="4"/>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0"/>
    </w:lvl>
  </w:abstractNum>
  <w:abstractNum w:abstractNumId="35">
    <w:nsid w:val="77465F01"/>
    <w:multiLevelType w:val="hybridMultilevel"/>
    <w:lvl w:ilvl="0">
      <w:lvlJc w:val="left"/>
      <w:lvlText w:val="(%1)"/>
      <w:numFmt w:val="lowerLetter"/>
      <w:start w:val="1"/>
    </w:lvl>
    <w:lvl w:ilvl="1">
      <w:lvlJc w:val="left"/>
      <w:lvlText w:val="(%2)"/>
      <w:numFmt w:val="lowerRoman"/>
      <w:start w:val="1"/>
    </w:lvl>
  </w:abstractNum>
  <w:abstractNum w:abstractNumId="36">
    <w:nsid w:val="7724C67E"/>
    <w:multiLevelType w:val="hybridMultilevel"/>
    <w:lvl w:ilvl="0">
      <w:lvlJc w:val="left"/>
      <w:lvlText w:val="(%1)"/>
      <w:numFmt w:val="lowerLetter"/>
      <w:start w:val="3"/>
    </w:lvl>
    <w:lvl w:ilvl="1">
      <w:lvlJc w:val="left"/>
      <w:lvlText w:val="%2"/>
      <w:numFmt w:val="lowerRoman"/>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2022-02-09T09:53:36Z</dcterms:created>
  <dcterms:modified xsi:type="dcterms:W3CDTF">2022-02-09T09:53:36Z</dcterms:modified>
</cp:coreProperties>
</file>