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6">
                <wp:simplePos x="0" y="0"/>
                <wp:positionH relativeFrom="page">
                  <wp:posOffset>1933575</wp:posOffset>
                </wp:positionH>
                <wp:positionV relativeFrom="page">
                  <wp:posOffset>47625</wp:posOffset>
                </wp:positionV>
                <wp:extent cx="3905250" cy="676910"/>
                <wp:effectExtent l="0" t="0" r="0" b="0"/>
                <wp:wrapNone/>
                <wp:docPr id="1" name="Frame5"/>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3.75pt;mso-position-vertical-relative:page;margin-left:152.25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1933575</wp:posOffset>
                </wp:positionH>
                <wp:positionV relativeFrom="page">
                  <wp:posOffset>47625</wp:posOffset>
                </wp:positionV>
                <wp:extent cx="3905250" cy="676910"/>
                <wp:effectExtent l="0" t="0" r="0" b="0"/>
                <wp:wrapNone/>
                <wp:docPr id="2" name="Frame4"/>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3.75pt;mso-position-vertical-relative:page;margin-left:152.25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1933575</wp:posOffset>
                </wp:positionH>
                <wp:positionV relativeFrom="page">
                  <wp:posOffset>47625</wp:posOffset>
                </wp:positionV>
                <wp:extent cx="3905250" cy="676910"/>
                <wp:effectExtent l="0" t="0" r="0" b="0"/>
                <wp:wrapNone/>
                <wp:docPr id="3" name="Frame3"/>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3.75pt;mso-position-vertical-relative:page;margin-left:152.25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1901825</wp:posOffset>
                </wp:positionH>
                <wp:positionV relativeFrom="page">
                  <wp:posOffset>47625</wp:posOffset>
                </wp:positionV>
                <wp:extent cx="3905250" cy="676910"/>
                <wp:effectExtent l="0" t="0" r="0" b="0"/>
                <wp:wrapNone/>
                <wp:docPr id="4" name="Frame2"/>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3.75pt;mso-position-vertical-relative:page;margin-left:149.75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1917700</wp:posOffset>
                </wp:positionH>
                <wp:positionV relativeFrom="page">
                  <wp:posOffset>47625</wp:posOffset>
                </wp:positionV>
                <wp:extent cx="3905250" cy="676910"/>
                <wp:effectExtent l="0" t="0" r="0" b="0"/>
                <wp:wrapNone/>
                <wp:docPr id="5" name="Frame1"/>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3.75pt;mso-position-vertical-relative:page;margin-left:151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 </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before="0" w:after="0"/>
        <w:jc w:val="left"/>
        <w:rPr>
          <w:caps w:val="false"/>
          <w:smallCaps w:val="false"/>
          <w:shd w:fill="E4E4E4" w:val="clear"/>
        </w:rPr>
      </w:pPr>
      <w:r>
        <w:rPr>
          <w:caps w:val="false"/>
          <w:smallCaps w:val="false"/>
          <w:shd w:fill="E4E4E4" w:val="clear"/>
        </w:rPr>
        <w:t> </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Amendment No. 3</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SCHEDULE TO</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Tender Offer Statement under Section 14(d)(1) or 13(e)(1)</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of the Securities Exchange Act of 1934</w:t>
      </w:r>
    </w:p>
    <w:p>
      <w:pPr>
        <w:pStyle w:val="TextBody"/>
        <w:bidi w:val="0"/>
        <w:spacing w:before="0" w:after="0"/>
        <w:jc w:val="left"/>
        <w:rPr>
          <w:caps w:val="false"/>
          <w:smallCaps w:val="false"/>
          <w:shd w:fill="E4E4E4" w:val="clear"/>
        </w:rPr>
      </w:pPr>
      <w:r>
        <w:rPr>
          <w:caps w:val="false"/>
          <w:smallCaps w:val="false"/>
          <w:shd w:fill="E4E4E4" w:val="clear"/>
        </w:rPr>
        <w:t>  </w:t>
      </w:r>
    </w:p>
    <w:p>
      <w:pPr>
        <w:pStyle w:val="TextBody"/>
        <w:bidi w:val="0"/>
        <w:spacing w:lineRule="atLeast" w:line="325" w:before="0" w:after="0"/>
        <w:jc w:val="left"/>
        <w:rPr>
          <w:rFonts w:ascii="Times New Roman;serif" w:hAnsi="Times New Roman;serif"/>
          <w:b/>
          <w:i w:val="false"/>
          <w:caps w:val="false"/>
          <w:smallCaps w:val="false"/>
          <w:sz w:val="48"/>
          <w:shd w:fill="E4E4E4" w:val="clear"/>
        </w:rPr>
      </w:pPr>
      <w:r>
        <w:rPr>
          <w:rFonts w:ascii="Times New Roman;serif" w:hAnsi="Times New Roman;serif"/>
          <w:b/>
          <w:i w:val="false"/>
          <w:caps w:val="false"/>
          <w:smallCaps w:val="false"/>
          <w:sz w:val="48"/>
          <w:shd w:fill="E4E4E4" w:val="clear"/>
        </w:rPr>
        <w:t>Expensify, Inc.</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(Name of Subject Company (Issuer))</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325" w:before="0" w:after="0"/>
        <w:jc w:val="left"/>
        <w:rPr>
          <w:rFonts w:ascii="Times New Roman;serif" w:hAnsi="Times New Roman;serif"/>
          <w:b/>
          <w:i w:val="false"/>
          <w:caps w:val="false"/>
          <w:smallCaps w:val="false"/>
          <w:sz w:val="48"/>
          <w:shd w:fill="E4E4E4" w:val="clear"/>
        </w:rPr>
      </w:pPr>
      <w:r>
        <w:rPr>
          <w:rFonts w:ascii="Times New Roman;serif" w:hAnsi="Times New Roman;serif"/>
          <w:b/>
          <w:i w:val="false"/>
          <w:caps w:val="false"/>
          <w:smallCaps w:val="false"/>
          <w:sz w:val="48"/>
          <w:shd w:fill="E4E4E4" w:val="clear"/>
        </w:rPr>
        <w:t>Expensify, Inc.</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(Names of filing Persons (Offeror and Issuer))</w:t>
      </w:r>
    </w:p>
    <w:p>
      <w:pPr>
        <w:pStyle w:val="TextBody"/>
        <w:bidi w:val="0"/>
        <w:spacing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Class A Common Stock, Par Value $0.0001 per share</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w:t>
      </w:r>
      <w:r>
        <w:rPr>
          <w:rFonts w:ascii="Times New Roman;serif" w:hAnsi="Times New Roman;serif"/>
          <w:b/>
          <w:i w:val="false"/>
          <w:caps w:val="false"/>
          <w:smallCaps w:val="false"/>
          <w:sz w:val="16"/>
          <w:shd w:fill="E4E4E4" w:val="clear"/>
        </w:rPr>
        <w:t>Title of Class of Securities)</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30219Q106</w:t>
      </w:r>
    </w:p>
    <w:p>
      <w:pPr>
        <w:pStyle w:val="TextBody"/>
        <w:bidi w:val="0"/>
        <w:spacing w:lineRule="atLeast" w:line="142" w:before="0" w:after="0"/>
        <w:jc w:val="left"/>
        <w:rPr>
          <w:rFonts w:ascii="Times New Roman;serif" w:hAnsi="Times New Roman;serif"/>
          <w:b/>
          <w:i w:val="false"/>
          <w:caps w:val="false"/>
          <w:smallCaps w:val="false"/>
          <w:sz w:val="16"/>
          <w:shd w:fill="E4E4E4" w:val="clear"/>
        </w:rPr>
      </w:pPr>
      <w:r>
        <w:rPr>
          <w:rFonts w:ascii="Times New Roman;serif" w:hAnsi="Times New Roman;serif"/>
          <w:b/>
          <w:i w:val="false"/>
          <w:caps w:val="false"/>
          <w:smallCaps w:val="false"/>
          <w:sz w:val="16"/>
          <w:shd w:fill="E4E4E4" w:val="clear"/>
        </w:rPr>
        <w:t>(CUSIP Number of Class of Securities)</w:t>
      </w:r>
    </w:p>
    <w:p>
      <w:pPr>
        <w:pStyle w:val="TextBody"/>
        <w:bidi w:val="0"/>
        <w:spacing w:lineRule="atLeast" w:line="142" w:before="0" w:after="0"/>
        <w:jc w:val="left"/>
        <w:rPr>
          <w:rFonts w:ascii="Times New Roman;serif" w:hAnsi="Times New Roman;serif"/>
          <w:b/>
          <w:i w:val="false"/>
          <w:caps w:val="false"/>
          <w:smallCaps w:val="false"/>
          <w:sz w:val="16"/>
          <w:shd w:fill="E4E4E4" w:val="clear"/>
        </w:rPr>
      </w:pPr>
      <w:r>
        <w:rPr>
          <w:rFonts w:ascii="Times New Roman;serif" w:hAnsi="Times New Roman;serif"/>
          <w:b/>
          <w:i w:val="false"/>
          <w:caps w:val="false"/>
          <w:smallCaps w:val="false"/>
          <w:sz w:val="16"/>
          <w:shd w:fill="E4E4E4" w:val="clear"/>
        </w:rPr>
        <w:t>(Underlying Common Stock)</w:t>
      </w:r>
    </w:p>
    <w:p>
      <w:pPr>
        <w:pStyle w:val="TextBody"/>
        <w:bidi w:val="0"/>
        <w:spacing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Ryan Schaffer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Chief Financial Officer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Expensify, Inc.</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88 Kearny St., Ste 1600</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San Francisco, California 94108</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Tel: (971) 365-3939</w:t>
      </w:r>
    </w:p>
    <w:p>
      <w:pPr>
        <w:pStyle w:val="TextBody"/>
        <w:bidi w:val="0"/>
        <w:spacing w:lineRule="atLeast" w:line="142" w:before="0" w:after="0"/>
        <w:jc w:val="left"/>
        <w:rPr>
          <w:rFonts w:ascii="Times New Roman;serif" w:hAnsi="Times New Roman;serif"/>
          <w:b/>
          <w:i w:val="false"/>
          <w:caps w:val="false"/>
          <w:smallCaps w:val="false"/>
          <w:sz w:val="16"/>
          <w:shd w:fill="E4E4E4" w:val="clear"/>
        </w:rPr>
      </w:pPr>
      <w:r>
        <w:rPr>
          <w:rFonts w:ascii="Times New Roman;serif" w:hAnsi="Times New Roman;serif"/>
          <w:b/>
          <w:i w:val="false"/>
          <w:caps w:val="false"/>
          <w:smallCaps w:val="false"/>
          <w:sz w:val="16"/>
          <w:shd w:fill="E4E4E4" w:val="clear"/>
        </w:rPr>
        <w:t>(Name, address and telephone number of person authorized to receive notices and communications on behalf of filing person)</w:t>
      </w:r>
    </w:p>
    <w:p>
      <w:pPr>
        <w:pStyle w:val="TextBody"/>
        <w:bidi w:val="0"/>
        <w:spacing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sz w:val="20"/>
          <w:shd w:fill="E4E4E4" w:val="clear"/>
        </w:rPr>
      </w:pPr>
      <w:r>
        <w:rPr>
          <w:rFonts w:ascii="Times New Roman;serif" w:hAnsi="Times New Roman;serif"/>
          <w:b/>
          <w:i/>
          <w:sz w:val="20"/>
          <w:shd w:fill="E4E4E4" w:val="clear"/>
        </w:rPr>
        <w:t>Copies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This Amendment No. 3 (this “</w:t>
      </w:r>
      <w:r>
        <w:rPr>
          <w:rFonts w:ascii="Times New Roman;serif" w:hAnsi="Times New Roman;serif"/>
          <w:b/>
          <w:i/>
          <w:sz w:val="20"/>
          <w:shd w:fill="E4E4E4" w:val="clear"/>
        </w:rPr>
        <w:t>Amendment No. 3</w:t>
      </w:r>
      <w:r>
        <w:rPr>
          <w:rFonts w:ascii="Arial;sans-serif" w:hAnsi="Arial;sans-serif"/>
          <w:caps w:val="false"/>
          <w:smallCaps w:val="false"/>
          <w:shd w:fill="E4E4E4" w:val="clear"/>
        </w:rPr>
        <w:t>”</w:t>
      </w:r>
      <w:r>
        <w:rPr>
          <w:rFonts w:ascii="Times New Roman;serif" w:hAnsi="Times New Roman;serif"/>
          <w:b w:val="false"/>
          <w:i w:val="false"/>
          <w:caps w:val="false"/>
          <w:smallCaps w:val="false"/>
          <w:sz w:val="20"/>
          <w:shd w:fill="E4E4E4" w:val="clear"/>
        </w:rPr>
        <w:t xml:space="preserve">) amends and supplements the  Tender Offer Statement on </w:t>
      </w:r>
      <w:r>
        <mc:AlternateContent>
          <mc:Choice Requires="wps">
            <w:drawing>
              <wp:anchor behindDoc="0" distT="0" distB="0" distL="0" distR="0" simplePos="0" locked="0" layoutInCell="1" allowOverlap="1" relativeHeight="7">
                <wp:simplePos x="0" y="0"/>
                <wp:positionH relativeFrom="page">
                  <wp:posOffset>1918970</wp:posOffset>
                </wp:positionH>
                <wp:positionV relativeFrom="line">
                  <wp:posOffset>635</wp:posOffset>
                </wp:positionV>
                <wp:extent cx="3933825" cy="664210"/>
                <wp:effectExtent l="0" t="0" r="0" b="0"/>
                <wp:wrapNone/>
                <wp:docPr id="6" name="Frame6"/>
                <a:graphic xmlns:a="http://schemas.openxmlformats.org/drawingml/2006/main">
                  <a:graphicData uri="http://schemas.microsoft.com/office/word/2010/wordprocessingShape">
                    <wps:wsp>
                      <wps:cNvSpPr txBox="1"/>
                      <wps:spPr>
                        <a:xfrm>
                          <a:off x="0" y="0"/>
                          <a:ext cx="3933825" cy="664210"/>
                        </a:xfrm>
                        <a:prstGeom prst="rect"/>
                        <a:solidFill>
                          <a:srgbClr val="FFFFFF"/>
                        </a:solidFill>
                      </wps:spPr>
                      <wps:txbx>
                        <w:txbxContent>
                          <w:tbl>
                            <w:tblPr>
                              <w:tblW w:w="5936" w:type="dxa"/>
                              <w:jc w:val="left"/>
                              <w:tblInd w:w="0" w:type="dxa"/>
                              <w:tblLayout w:type="fixed"/>
                              <w:tblCellMar>
                                <w:top w:w="28" w:type="dxa"/>
                                <w:left w:w="28" w:type="dxa"/>
                                <w:bottom w:w="28" w:type="dxa"/>
                                <w:right w:w="28" w:type="dxa"/>
                              </w:tblCellMar>
                            </w:tblPr>
                            <w:tblGrid>
                              <w:gridCol w:w="2981"/>
                              <w:gridCol w:w="109"/>
                              <w:gridCol w:w="2846"/>
                            </w:tblGrid>
                            <w:tr>
                              <w:trPr/>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r>
                              <w:trPr/>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9.75pt;height:52.3pt;mso-wrap-distance-left:0pt;mso-wrap-distance-right:0pt;mso-wrap-distance-top:0pt;mso-wrap-distance-bottom:0pt;margin-top:0pt;mso-position-vertical:top;mso-position-vertical-relative:text;margin-left:151.1pt;mso-position-horizontal-relative:page">
                <v:textbox>
                  <w:txbxContent>
                    <w:tbl>
                      <w:tblPr>
                        <w:tblW w:w="5936" w:type="dxa"/>
                        <w:jc w:val="left"/>
                        <w:tblInd w:w="0" w:type="dxa"/>
                        <w:tblLayout w:type="fixed"/>
                        <w:tblCellMar>
                          <w:top w:w="28" w:type="dxa"/>
                          <w:left w:w="28" w:type="dxa"/>
                          <w:bottom w:w="28" w:type="dxa"/>
                          <w:right w:w="28" w:type="dxa"/>
                        </w:tblCellMar>
                      </w:tblPr>
                      <w:tblGrid>
                        <w:gridCol w:w="2981"/>
                        <w:gridCol w:w="109"/>
                        <w:gridCol w:w="2846"/>
                      </w:tblGrid>
                      <w:tr>
                        <w:trPr/>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r>
                        <w:trPr/>
                        <w:tc>
                          <w:tcPr>
                            <w:tcW w:w="2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1933575</wp:posOffset>
                </wp:positionH>
                <wp:positionV relativeFrom="line">
                  <wp:posOffset>635</wp:posOffset>
                </wp:positionV>
                <wp:extent cx="3905250" cy="676910"/>
                <wp:effectExtent l="0" t="0" r="0" b="0"/>
                <wp:wrapNone/>
                <wp:docPr id="7" name="Frame9"/>
                <a:graphic xmlns:a="http://schemas.openxmlformats.org/drawingml/2006/main">
                  <a:graphicData uri="http://schemas.microsoft.com/office/word/2010/wordprocessingShape">
                    <wps:wsp>
                      <wps:cNvSpPr txBox="1"/>
                      <wps:spPr>
                        <a:xfrm>
                          <a:off x="0" y="0"/>
                          <a:ext cx="3905250" cy="6769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07.5pt;height:53.3pt;mso-wrap-distance-left:0pt;mso-wrap-distance-right:0pt;mso-wrap-distance-top:0pt;mso-wrap-distance-bottom:0pt;margin-top:0pt;mso-position-vertical:top;mso-position-vertical-relative:text;margin-left:152.25pt;mso-position-horizontal-relative:page">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671830</wp:posOffset>
                </wp:positionH>
                <wp:positionV relativeFrom="line">
                  <wp:posOffset>635</wp:posOffset>
                </wp:positionV>
                <wp:extent cx="6429375" cy="664210"/>
                <wp:effectExtent l="0" t="0" r="0" b="0"/>
                <wp:wrapNone/>
                <wp:docPr id="8" name="Frame10"/>
                <a:graphic xmlns:a="http://schemas.openxmlformats.org/drawingml/2006/main">
                  <a:graphicData uri="http://schemas.microsoft.com/office/word/2010/wordprocessingShape">
                    <wps:wsp>
                      <wps:cNvSpPr txBox="1"/>
                      <wps:spPr>
                        <a:xfrm>
                          <a:off x="0" y="0"/>
                          <a:ext cx="6429375" cy="664210"/>
                        </a:xfrm>
                        <a:prstGeom prst="rect"/>
                        <a:solidFill>
                          <a:srgbClr val="FFFFFF"/>
                        </a:solidFill>
                      </wps:spPr>
                      <wps:txbx>
                        <w:txbxContent>
                          <w:tbl>
                            <w:tblPr>
                              <w:tblW w:w="10271" w:type="dxa"/>
                              <w:jc w:val="left"/>
                              <w:tblInd w:w="0" w:type="dxa"/>
                              <w:tblLayout w:type="fixed"/>
                              <w:tblCellMar>
                                <w:top w:w="28" w:type="dxa"/>
                                <w:left w:w="28" w:type="dxa"/>
                                <w:bottom w:w="28" w:type="dxa"/>
                                <w:right w:w="28" w:type="dxa"/>
                              </w:tblCellMar>
                            </w:tblPr>
                            <w:tblGrid>
                              <w:gridCol w:w="10271"/>
                            </w:tblGrid>
                            <w:tr>
                              <w:trPr/>
                              <w:tc>
                                <w:tcPr>
                                  <w:tcW w:w="10271" w:type="dxa"/>
                                  <w:tcBorders/>
                                  <w:vAlign w:val="center"/>
                                </w:tcPr>
                                <w:p>
                                  <w:pPr>
                                    <w:pStyle w:val="TableContents"/>
                                    <w:bidi w:val="0"/>
                                    <w:spacing w:before="0" w:after="283"/>
                                    <w:jc w:val="left"/>
                                    <w:rPr>
                                      <w:sz w:val="4"/>
                                      <w:szCs w:val="4"/>
                                    </w:rPr>
                                  </w:pPr>
                                  <w:r>
                                    <w:rPr>
                                      <w:sz w:val="4"/>
                                      <w:szCs w:val="4"/>
                                    </w:rPr>
                                  </w:r>
                                </w:p>
                              </w:tc>
                            </w:tr>
                            <w:tr>
                              <w:trPr/>
                              <w:tc>
                                <w:tcPr>
                                  <w:tcW w:w="102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6.25pt;height:52.3pt;mso-wrap-distance-left:0pt;mso-wrap-distance-right:0pt;mso-wrap-distance-top:0pt;mso-wrap-distance-bottom:0pt;margin-top:0pt;mso-position-vertical:top;mso-position-vertical-relative:text;margin-left:52.9pt;mso-position-horizontal-relative:page">
                <v:textbox>
                  <w:txbxContent>
                    <w:tbl>
                      <w:tblPr>
                        <w:tblW w:w="10271" w:type="dxa"/>
                        <w:jc w:val="left"/>
                        <w:tblInd w:w="0" w:type="dxa"/>
                        <w:tblLayout w:type="fixed"/>
                        <w:tblCellMar>
                          <w:top w:w="28" w:type="dxa"/>
                          <w:left w:w="28" w:type="dxa"/>
                          <w:bottom w:w="28" w:type="dxa"/>
                          <w:right w:w="28" w:type="dxa"/>
                        </w:tblCellMar>
                      </w:tblPr>
                      <w:tblGrid>
                        <w:gridCol w:w="10271"/>
                      </w:tblGrid>
                      <w:tr>
                        <w:trPr/>
                        <w:tc>
                          <w:tcPr>
                            <w:tcW w:w="10271" w:type="dxa"/>
                            <w:tcBorders/>
                            <w:vAlign w:val="center"/>
                          </w:tcPr>
                          <w:p>
                            <w:pPr>
                              <w:pStyle w:val="TableContents"/>
                              <w:bidi w:val="0"/>
                              <w:spacing w:before="0" w:after="283"/>
                              <w:jc w:val="left"/>
                              <w:rPr>
                                <w:sz w:val="4"/>
                                <w:szCs w:val="4"/>
                              </w:rPr>
                            </w:pPr>
                            <w:r>
                              <w:rPr>
                                <w:sz w:val="4"/>
                                <w:szCs w:val="4"/>
                              </w:rPr>
                            </w:r>
                          </w:p>
                        </w:tc>
                      </w:tr>
                      <w:tr>
                        <w:trPr/>
                        <w:tc>
                          <w:tcPr>
                            <w:tcW w:w="102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828800" cy="401955"/>
                <wp:effectExtent l="0" t="0" r="0" b="0"/>
                <wp:wrapNone/>
                <wp:docPr id="9" name="Frame7"/>
                <a:graphic xmlns:a="http://schemas.openxmlformats.org/drawingml/2006/main">
                  <a:graphicData uri="http://schemas.microsoft.com/office/word/2010/wordprocessingShape">
                    <wps:wsp>
                      <wps:cNvSpPr txBox="1"/>
                      <wps:spPr>
                        <a:xfrm>
                          <a:off x="0" y="0"/>
                          <a:ext cx="1828800" cy="40195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Tad J. Freese, Esq.</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Alexa M. Berlin, Esq.</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Latham &amp; Watkins LLP</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 Scott Drive</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Menlo Park, California 94025</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(650) 328-4600</w:t>
                            </w:r>
                          </w:p>
                        </w:txbxContent>
                      </wps:txbx>
                      <wps:bodyPr anchor="t" lIns="0" tIns="0" rIns="0" bIns="0">
                        <a:noAutofit/>
                      </wps:bodyPr>
                    </wps:wsp>
                  </a:graphicData>
                </a:graphic>
              </wp:anchor>
            </w:drawing>
          </mc:Choice>
          <mc:Fallback>
            <w:pict>
              <v:rect style="position:absolute;rotation:-0;width:144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Tad J. Freese, Esq.</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Alexa M. Berlin, Esq.</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Latham &amp; Watkins LLP</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140 Scott Drive</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Menlo Park, California 94025</w:t>
                      </w:r>
                    </w:p>
                    <w:p>
                      <w:pPr>
                        <w:pStyle w:val="TextBody"/>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(650) 328-4600</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2209800</wp:posOffset>
                </wp:positionH>
                <wp:positionV relativeFrom="line">
                  <wp:posOffset>635</wp:posOffset>
                </wp:positionV>
                <wp:extent cx="1724025" cy="401955"/>
                <wp:effectExtent l="0" t="0" r="0" b="0"/>
                <wp:wrapNone/>
                <wp:docPr id="10" name="Frame8"/>
                <a:graphic xmlns:a="http://schemas.openxmlformats.org/drawingml/2006/main">
                  <a:graphicData uri="http://schemas.microsoft.com/office/word/2010/wordprocessingShape">
                    <wps:wsp>
                      <wps:cNvSpPr txBox="1"/>
                      <wps:spPr>
                        <a:xfrm>
                          <a:off x="0" y="0"/>
                          <a:ext cx="1724025" cy="40195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Joshua A. Kaufman, Esq.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DLA Piper LLP (US)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1251 Avenue of the Americas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NY 10020</w:t>
                            </w:r>
                          </w:p>
                        </w:txbxContent>
                      </wps:txbx>
                      <wps:bodyPr anchor="t" lIns="0" tIns="0" rIns="0" bIns="0">
                        <a:noAutofit/>
                      </wps:bodyPr>
                    </wps:wsp>
                  </a:graphicData>
                </a:graphic>
              </wp:anchor>
            </w:drawing>
          </mc:Choice>
          <mc:Fallback>
            <w:pict>
              <v:rect style="position:absolute;rotation:-0;width:135.75pt;height:31.65pt;mso-wrap-distance-left:0pt;mso-wrap-distance-right:0pt;mso-wrap-distance-top:0pt;mso-wrap-distance-bottom:0pt;margin-top:0pt;mso-position-vertical:top;mso-position-vertical-relative:text;margin-left:174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Joshua A. Kaufman, Esq.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DLA Piper LLP (US)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1251 Avenue of the Americas </w:t>
                      </w:r>
                    </w:p>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NY 10020</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29375" cy="401955"/>
                <wp:effectExtent l="0" t="0" r="0" b="0"/>
                <wp:wrapNone/>
                <wp:docPr id="11" name="Frame11"/>
                <a:graphic xmlns:a="http://schemas.openxmlformats.org/drawingml/2006/main">
                  <a:graphicData uri="http://schemas.microsoft.com/office/word/2010/wordprocessingShape">
                    <wps:wsp>
                      <wps:cNvSpPr txBox="1"/>
                      <wps:spPr>
                        <a:xfrm>
                          <a:off x="0" y="0"/>
                          <a:ext cx="6429375" cy="401955"/>
                        </a:xfrm>
                        <a:prstGeom prst="rect"/>
                        <a:solidFill>
                          <a:srgbClr val="FFFFFF"/>
                        </a:solidFill>
                      </wps:spPr>
                      <wps:txbx>
                        <w:txbxContent>
                          <w:p>
                            <w:pPr>
                              <w:pStyle w:val="TextBody"/>
                              <w:bidi w:val="0"/>
                              <w:spacing w:lineRule="atLeast" w:line="142"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0"/>
                              </w:rPr>
                              <w:t>Check the box if the filing relates solely to preliminary communications made before the commencement of a tender offer.</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boxes below to designate any transactions to which the statement relates:</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Third-party tender offer subject to Rule 14d-1.</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Issuer tender offer subject to Rule 13e-4.</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Going-private transaction subject to Rule 13e-3.</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Amendment to Schedule 13D under Rule 13d-2.</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following box if the filing is a final amendment reporting the results of the tender offer: ☒</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applicable, check the appropriate box(es) below to designate the appropriate rule provision(s) relied upon:</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Rule 13e-4(i) (Cross-Border Issuer Tender Offer) </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Rule 14d-1(d) (Cross-Border Third-Party Tender Offer)</w:t>
                            </w:r>
                          </w:p>
                        </w:txbxContent>
                      </wps:txbx>
                      <wps:bodyPr anchor="t" lIns="0" tIns="0" rIns="0" bIns="0">
                        <a:noAutofit/>
                      </wps:bodyPr>
                    </wps:wsp>
                  </a:graphicData>
                </a:graphic>
              </wp:anchor>
            </w:drawing>
          </mc:Choice>
          <mc:Fallback>
            <w:pict>
              <v:rect style="position:absolute;rotation:-0;width:506.25pt;height: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0"/>
                        </w:rPr>
                        <w:t>Check the box if the filing relates solely to preliminary communications made before the commencement of a tender offer.</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boxes below to designate any transactions to which the statement relates:</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Third-party tender offer subject to Rule 14d-1.</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Issuer tender offer subject to Rule 13e-4.</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Going-private transaction subject to Rule 13e-3.</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Amendment to Schedule 13D under Rule 13d-2.</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following box if the filing is a final amendment reporting the results of the tender offer: ☒</w:t>
                      </w:r>
                    </w:p>
                    <w:p>
                      <w:pPr>
                        <w:pStyle w:val="TextBody"/>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applicable, check the appropriate box(es) below to designate the appropriate rule provision(s) relied upon:</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Rule 13e-4(i) (Cross-Border Issuer Tender Offer) </w:t>
                      </w:r>
                    </w:p>
                    <w:p>
                      <w:pPr>
                        <w:pStyle w:val="TextBody"/>
                        <w:bidi w:val="0"/>
                        <w:spacing w:lineRule="atLeast" w:line="142"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Rule 14d-1(d) (Cross-Border Third-Party Tender Offer)</w:t>
                      </w:r>
                    </w:p>
                  </w:txbxContent>
                </v:textbox>
                <w10:wrap type="none"/>
              </v:rect>
            </w:pict>
          </mc:Fallback>
        </mc:AlternateConten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Schedule TO originally filed with the Securities and Exchange Commission (the “</w:t>
      </w:r>
      <w:r>
        <w:rPr>
          <w:rFonts w:ascii="Times New Roman;serif" w:hAnsi="Times New Roman;serif"/>
          <w:b/>
          <w:i/>
          <w:sz w:val="20"/>
          <w:shd w:fill="E4E4E4" w:val="clear"/>
        </w:rPr>
        <w:t>Commission</w:t>
      </w:r>
      <w:r>
        <w:rPr>
          <w:rFonts w:ascii="Arial;sans-serif" w:hAnsi="Arial;sans-serif"/>
          <w:caps w:val="false"/>
          <w:smallCaps w:val="false"/>
          <w:sz w:val="24"/>
          <w:shd w:fill="E4E4E4" w:val="clear"/>
        </w:rPr>
        <w:t>”</w:t>
      </w:r>
      <w:r>
        <w:rPr>
          <w:rFonts w:ascii="Times New Roman;serif" w:hAnsi="Times New Roman;serif"/>
          <w:b w:val="false"/>
          <w:i w:val="false"/>
          <w:caps w:val="false"/>
          <w:smallCaps w:val="false"/>
          <w:sz w:val="20"/>
          <w:shd w:fill="E4E4E4" w:val="clear"/>
        </w:rPr>
        <w:t xml:space="preserve">) on </w:t>
      </w:r>
      <w:r>
        <w:rPr>
          <w:rFonts w:ascii="Times New Roman;serif" w:hAnsi="Times New Roman;serif"/>
          <w:b w:val="false"/>
          <w:i w:val="false"/>
          <w:caps w:val="false"/>
          <w:smallCaps w:val="false"/>
          <w:strike w:val="false"/>
          <w:dstrike w:val="false"/>
          <w:sz w:val="20"/>
          <w:u w:val="none"/>
          <w:effect w:val="none"/>
          <w:shd w:fill="E4E4E4" w:val="clear"/>
        </w:rPr>
        <w:t>May 13, 2026</w:t>
      </w:r>
      <w:r>
        <w:rPr>
          <w:rFonts w:ascii="Times New Roman;serif" w:hAnsi="Times New Roman;serif"/>
          <w:b w:val="false"/>
          <w:i w:val="false"/>
          <w:caps w:val="false"/>
          <w:smallCaps w:val="false"/>
          <w:sz w:val="20"/>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as amended and supplemented by Amendment No. 1 and Amendment No. 2 to the Tender Offer Statement on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Schedule TO filed with the Commission on May 29, 2026 and </w:t>
      </w:r>
      <w:r>
        <w:rPr>
          <w:rFonts w:ascii="Times New Roman;serif" w:hAnsi="Times New Roman;serif"/>
          <w:b w:val="false"/>
          <w:i w:val="false"/>
          <w:caps w:val="false"/>
          <w:smallCaps w:val="false"/>
          <w:strike w:val="false"/>
          <w:dstrike w:val="false"/>
          <w:sz w:val="20"/>
          <w:u w:val="none"/>
          <w:effect w:val="none"/>
          <w:shd w:fill="E4E4E4" w:val="clear"/>
        </w:rPr>
        <w:t>June 11, 2026</w:t>
      </w:r>
      <w:r>
        <w:rPr>
          <w:rFonts w:ascii="Times New Roman;serif" w:hAnsi="Times New Roman;serif"/>
          <w:b w:val="false"/>
          <w:i w:val="false"/>
          <w:caps w:val="false"/>
          <w:smallCaps w:val="false"/>
          <w:sz w:val="20"/>
          <w:shd w:fill="E4E4E4" w:val="clear"/>
        </w:rPr>
        <w:t>, respectively (the “</w:t>
      </w:r>
      <w:r>
        <w:rPr>
          <w:rFonts w:ascii="Times New Roman;serif" w:hAnsi="Times New Roman;serif"/>
          <w:b/>
          <w:i/>
          <w:sz w:val="20"/>
          <w:shd w:fill="E4E4E4" w:val="clear"/>
        </w:rPr>
        <w:t>Schedule TO</w:t>
      </w:r>
      <w:r>
        <w:rPr>
          <w:rFonts w:ascii="Arial;sans-serif" w:hAnsi="Arial;sans-serif"/>
          <w:caps w:val="false"/>
          <w:smallCaps w:val="false"/>
          <w:sz w:val="24"/>
          <w:shd w:fill="E4E4E4" w:val="clear"/>
        </w:rPr>
        <w:t>”</w:t>
      </w:r>
      <w:r>
        <w:rPr>
          <w:rFonts w:ascii="Times New Roman;serif" w:hAnsi="Times New Roman;serif"/>
          <w:b w:val="false"/>
          <w:i w:val="false"/>
          <w:caps w:val="false"/>
          <w:smallCaps w:val="false"/>
          <w:sz w:val="20"/>
          <w:shd w:fill="E4E4E4" w:val="clear"/>
        </w:rPr>
        <w:t xml:space="preserv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related to the offer by Expensify, Inc., a Delaware corporation (the “</w:t>
      </w:r>
      <w:r>
        <w:rPr>
          <w:rFonts w:ascii="Times New Roman;serif" w:hAnsi="Times New Roman;serif"/>
          <w:b/>
          <w:i/>
          <w:sz w:val="20"/>
          <w:shd w:fill="E4E4E4" w:val="clear"/>
        </w:rPr>
        <w:t>Company</w:t>
      </w:r>
      <w:r>
        <w:rPr>
          <w:rFonts w:ascii="Arial;sans-serif" w:hAnsi="Arial;sans-serif"/>
          <w:caps w:val="false"/>
          <w:smallCaps w:val="false"/>
          <w:shd w:fill="E4E4E4" w:val="clear"/>
        </w:rPr>
        <w:t>”</w:t>
      </w:r>
      <w:r>
        <w:rPr>
          <w:rFonts w:ascii="Times New Roman;serif" w:hAnsi="Times New Roman;serif"/>
          <w:b w:val="false"/>
          <w:i w:val="false"/>
          <w:caps w:val="false"/>
          <w:smallCaps w:val="false"/>
          <w:sz w:val="20"/>
          <w:shd w:fill="E4E4E4" w:val="clear"/>
        </w:rPr>
        <w:t xml:space="preserve">), to purchase for cash up to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$25,000,000</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of its Class A common stock, par value $0.0001 per share (the “</w:t>
      </w:r>
      <w:r>
        <w:rPr>
          <w:rFonts w:ascii="Times New Roman;serif" w:hAnsi="Times New Roman;serif"/>
          <w:b/>
          <w:i/>
          <w:sz w:val="20"/>
          <w:shd w:fill="E4E4E4" w:val="clear"/>
        </w:rPr>
        <w:t>Class A common stock</w:t>
      </w:r>
      <w:r>
        <w:rPr>
          <w:rFonts w:ascii="Arial;sans-serif" w:hAnsi="Arial;sans-serif"/>
          <w:caps w:val="false"/>
          <w:smallCaps w:val="false"/>
          <w:sz w:val="24"/>
          <w:shd w:fill="E4E4E4" w:val="clear"/>
        </w:rPr>
        <w:t>”</w:t>
      </w:r>
      <w:r>
        <w:rPr>
          <w:rFonts w:ascii="Times New Roman;serif" w:hAnsi="Times New Roman;serif"/>
          <w:b w:val="false"/>
          <w:i w:val="false"/>
          <w:caps w:val="false"/>
          <w:smallCaps w:val="false"/>
          <w:sz w:val="20"/>
          <w:shd w:fill="E4E4E4" w:val="clear"/>
        </w:rPr>
        <w:t xml:space="preserve">), at a price per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share of not less than </w:t>
      </w:r>
      <w:r>
        <w:rPr>
          <w:rFonts w:ascii="Times New Roman;serif" w:hAnsi="Times New Roman;serif"/>
          <w:b w:val="false"/>
          <w:i w:val="false"/>
          <w:caps w:val="false"/>
          <w:smallCaps w:val="false"/>
          <w:strike w:val="false"/>
          <w:dstrike w:val="false"/>
          <w:sz w:val="20"/>
          <w:u w:val="none"/>
          <w:effect w:val="none"/>
          <w:shd w:fill="E4E4E4" w:val="clear"/>
        </w:rPr>
        <w:t>$0.98</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and not more than </w:t>
      </w:r>
      <w:r>
        <w:rPr>
          <w:rFonts w:ascii="Times New Roman;serif" w:hAnsi="Times New Roman;serif"/>
          <w:b w:val="false"/>
          <w:i w:val="false"/>
          <w:caps w:val="false"/>
          <w:smallCaps w:val="false"/>
          <w:strike w:val="false"/>
          <w:dstrike w:val="false"/>
          <w:sz w:val="20"/>
          <w:u w:val="none"/>
          <w:effect w:val="none"/>
          <w:shd w:fill="E4E4E4" w:val="clear"/>
        </w:rPr>
        <w:t>$1.20</w:t>
      </w:r>
      <w:r>
        <w:rPr>
          <w:rFonts w:ascii="Times New Roman;serif" w:hAnsi="Times New Roman;serif"/>
          <w:b w:val="false"/>
          <w:i w:val="false"/>
          <w:caps w:val="false"/>
          <w:smallCaps w:val="false"/>
          <w:sz w:val="20"/>
          <w:shd w:fill="E4E4E4" w:val="clear"/>
        </w:rPr>
        <w:t xml:space="preserve">, without interest and subject to any applicable withholding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taxes. The Company’s offer is made upon the terms and subject to the conditions described in the Offer to Purchase,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dated </w:t>
      </w:r>
      <w:r>
        <w:rPr>
          <w:rFonts w:ascii="Times New Roman;serif" w:hAnsi="Times New Roman;serif"/>
          <w:b w:val="false"/>
          <w:i w:val="false"/>
          <w:caps w:val="false"/>
          <w:smallCaps w:val="false"/>
          <w:strike w:val="false"/>
          <w:dstrike w:val="false"/>
          <w:sz w:val="20"/>
          <w:u w:val="none"/>
          <w:effect w:val="none"/>
          <w:shd w:fill="E4E4E4" w:val="clear"/>
        </w:rPr>
        <w:t>May 13, 2026</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(as amended or supplemented from time to time, the “</w:t>
      </w:r>
      <w:r>
        <w:rPr>
          <w:rFonts w:ascii="Times New Roman;serif" w:hAnsi="Times New Roman;serif"/>
          <w:b/>
          <w:i/>
          <w:sz w:val="20"/>
          <w:shd w:fill="E4E4E4" w:val="clear"/>
        </w:rPr>
        <w:t>Offer to Purchase</w:t>
      </w:r>
      <w:r>
        <w:rPr>
          <w:rFonts w:ascii="Arial;sans-serif" w:hAnsi="Arial;sans-serif"/>
          <w:caps w:val="false"/>
          <w:smallCaps w:val="false"/>
          <w:sz w:val="24"/>
          <w:shd w:fill="E4E4E4" w:val="clear"/>
        </w:rPr>
        <w:t>”</w:t>
      </w:r>
      <w:r>
        <w:rPr>
          <w:rFonts w:ascii="Times New Roman;serif" w:hAnsi="Times New Roman;serif"/>
          <w:b w:val="false"/>
          <w:i w:val="false"/>
          <w:caps w:val="false"/>
          <w:smallCaps w:val="false"/>
          <w:sz w:val="20"/>
          <w:shd w:fill="E4E4E4" w:val="clear"/>
        </w:rPr>
        <w:t xml:space="preserve">), a copy of which was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filed as Exhibit (a)(1)(i) to the Schedule TO, and in the accompanying Letter of Transmittal (as amended or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supplemented from time to time, the “</w:t>
      </w:r>
      <w:r>
        <w:rPr>
          <w:rFonts w:ascii="Times New Roman;serif" w:hAnsi="Times New Roman;serif"/>
          <w:b/>
          <w:i/>
          <w:sz w:val="20"/>
          <w:shd w:fill="E4E4E4" w:val="clear"/>
        </w:rPr>
        <w:t>Letter of Transmittal</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and, the Letter of Transmittal together with the Offer to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Purchase, the “</w:t>
      </w:r>
      <w:r>
        <w:rPr>
          <w:rFonts w:ascii="Times New Roman;serif" w:hAnsi="Times New Roman;serif"/>
          <w:b/>
          <w:i/>
          <w:sz w:val="20"/>
          <w:shd w:fill="E4E4E4" w:val="clear"/>
        </w:rPr>
        <w:t>tender offer</w:t>
      </w:r>
      <w:r>
        <w:rPr>
          <w:rFonts w:ascii="Arial;sans-serif" w:hAnsi="Arial;sans-serif"/>
          <w:caps w:val="false"/>
          <w:smallCaps w:val="false"/>
          <w:shd w:fill="E4E4E4" w:val="clear"/>
        </w:rPr>
        <w:t>”</w:t>
      </w:r>
      <w:r>
        <w:rPr>
          <w:rFonts w:ascii="Times New Roman;serif" w:hAnsi="Times New Roman;serif"/>
          <w:b w:val="false"/>
          <w:i w:val="false"/>
          <w:caps w:val="false"/>
          <w:smallCaps w:val="false"/>
          <w:sz w:val="20"/>
          <w:shd w:fill="E4E4E4" w:val="clear"/>
        </w:rPr>
        <w:t>), a copy of which was attached as Exhibit (a)(1)(ii) to the Schedule TO.</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Based on the final count by the depositary for the tender offer, a total of </w:t>
      </w:r>
      <w:r>
        <w:rPr>
          <w:rFonts w:ascii="Times New Roman;serif" w:hAnsi="Times New Roman;serif"/>
          <w:b w:val="false"/>
          <w:i w:val="false"/>
          <w:caps w:val="false"/>
          <w:smallCaps w:val="false"/>
          <w:strike w:val="false"/>
          <w:dstrike w:val="false"/>
          <w:sz w:val="20"/>
          <w:u w:val="none"/>
          <w:effect w:val="none"/>
          <w:shd w:fill="E4E4E4" w:val="clear"/>
        </w:rPr>
        <w:t>6,053,023</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shares of Class A common stock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were validly tendered and not validly withdrawn at or below the price of </w:t>
      </w:r>
      <w:r>
        <w:rPr>
          <w:rFonts w:ascii="Times New Roman;serif" w:hAnsi="Times New Roman;serif"/>
          <w:b w:val="false"/>
          <w:i w:val="false"/>
          <w:caps w:val="false"/>
          <w:smallCaps w:val="false"/>
          <w:strike w:val="false"/>
          <w:dstrike w:val="false"/>
          <w:sz w:val="20"/>
          <w:u w:val="none"/>
          <w:effect w:val="none"/>
          <w:shd w:fill="E4E4E4" w:val="clear"/>
        </w:rPr>
        <w:t>$1.20</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per share. The Company accepted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trike w:val="false"/>
          <w:dstrike w:val="false"/>
          <w:sz w:val="20"/>
          <w:u w:val="none"/>
          <w:effect w:val="none"/>
          <w:shd w:fill="E4E4E4" w:val="clear"/>
        </w:rPr>
        <w:t>6,053,023</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shares for purchase at the purchase price of </w:t>
      </w:r>
      <w:r>
        <w:rPr>
          <w:rFonts w:ascii="Times New Roman;serif" w:hAnsi="Times New Roman;serif"/>
          <w:b w:val="false"/>
          <w:i w:val="false"/>
          <w:caps w:val="false"/>
          <w:smallCaps w:val="false"/>
          <w:strike w:val="false"/>
          <w:dstrike w:val="false"/>
          <w:sz w:val="20"/>
          <w:u w:val="none"/>
          <w:effect w:val="none"/>
          <w:shd w:fill="E4E4E4" w:val="clear"/>
        </w:rPr>
        <w:t>$1.20</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per share, for a total cost of </w:t>
      </w:r>
      <w:r>
        <w:rPr>
          <w:rFonts w:ascii="Times New Roman;serif" w:hAnsi="Times New Roman;serif"/>
          <w:b w:val="false"/>
          <w:i w:val="false"/>
          <w:caps w:val="false"/>
          <w:smallCaps w:val="false"/>
          <w:strike w:val="false"/>
          <w:dstrike w:val="false"/>
          <w:sz w:val="20"/>
          <w:u w:val="none"/>
          <w:effect w:val="none"/>
          <w:shd w:fill="E4E4E4" w:val="clear"/>
        </w:rPr>
        <w:t>$7,263,627.60</w:t>
      </w:r>
      <w:r>
        <w:rPr>
          <w:rFonts w:ascii="Times New Roman;serif" w:hAnsi="Times New Roman;serif"/>
          <w:b w:val="false"/>
          <w:i w:val="false"/>
          <w:caps w:val="false"/>
          <w:smallCaps w:val="false"/>
          <w:sz w:val="20"/>
          <w:shd w:fill="E4E4E4" w:val="clear"/>
        </w:rPr>
        <w:t xml:space="preserve">, excluding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fees and expenses related to the tender offer. The total number of shares accepted for payment represents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approximately </w:t>
      </w:r>
      <w:r>
        <w:rPr>
          <w:rFonts w:ascii="Times New Roman;serif" w:hAnsi="Times New Roman;serif"/>
          <w:b w:val="false"/>
          <w:i w:val="false"/>
          <w:caps w:val="false"/>
          <w:smallCaps w:val="false"/>
          <w:strike w:val="false"/>
          <w:dstrike w:val="false"/>
          <w:sz w:val="20"/>
          <w:u w:val="none"/>
          <w:effect w:val="none"/>
          <w:shd w:fill="E4E4E4" w:val="clear"/>
        </w:rPr>
        <w:t>6.8%</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of the Company’s total outstanding shares of Class A common stock as of June 10, 2026.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depositary for the tender offer will promptly pay for the shares accepted for purchase pursuant to the tender offer.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Payment for shares purchased will be made in cash, without interest, but subject to applicable withholding taxes.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Except as specifically provided herein, the information contained in the Schedule TO remains unchanged and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Amendment No. 3 does not modify any of the information previously reported on the Schedule TO. You should read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this Amendment No. 3 together with the Schedule TO, the Offer to Purchase and the Letter of Transmittal.</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The Schedule TO is hereby amended and supplemented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Item 11.                           Additional Information.</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The information set forth in Item 11 is hereby amended and supplemented by adding the following:</w:t>
      </w:r>
    </w:p>
    <w:p>
      <w:pPr>
        <w:pStyle w:val="TextBody"/>
        <w:bidi w:val="0"/>
        <w:spacing w:lineRule="atLeast" w:line="142" w:before="0" w:after="0"/>
        <w:jc w:val="left"/>
        <w:rPr>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On </w:t>
      </w:r>
      <w:r>
        <w:rPr>
          <w:rFonts w:ascii="Times New Roman;serif" w:hAnsi="Times New Roman;serif"/>
          <w:b w:val="false"/>
          <w:i w:val="false"/>
          <w:caps w:val="false"/>
          <w:smallCaps w:val="false"/>
          <w:strike w:val="false"/>
          <w:dstrike w:val="false"/>
          <w:sz w:val="20"/>
          <w:u w:val="none"/>
          <w:effect w:val="none"/>
          <w:shd w:fill="E4E4E4" w:val="clear"/>
        </w:rPr>
        <w:t>June 12, 2026</w:t>
      </w:r>
      <w:r>
        <w:rPr>
          <w:rFonts w:ascii="Times New Roman;serif" w:hAnsi="Times New Roman;serif"/>
          <w:b w:val="false"/>
          <w:i w:val="false"/>
          <w:caps w:val="false"/>
          <w:smallCaps w:val="false"/>
          <w:sz w:val="20"/>
          <w:shd w:fill="E4E4E4" w:val="clear"/>
        </w:rPr>
        <w:t xml:space="preserve">, the Company issued a press release announcing the final results of the tender offer, which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expired at 12:00 midnight, New York City time, at the end of the day on June 10, 2026. A copy of the press release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is filed as Exhibit (a)(5)(iii) hereto and is incorporated by reference herein.”</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Item 12.                         Exhibits.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Item 12 of the Schedule TO is hereby amended and supplemented by adding the following exhibit:</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Filed herewith</w:t>
      </w:r>
      <w:r>
        <mc:AlternateContent>
          <mc:Choice Requires="wps">
            <w:drawing>
              <wp:anchor behindDoc="0" distT="0" distB="0" distL="0" distR="0" simplePos="0" locked="0" layoutInCell="1" allowOverlap="1" relativeHeight="13">
                <wp:simplePos x="0" y="0"/>
                <wp:positionH relativeFrom="page">
                  <wp:posOffset>914400</wp:posOffset>
                </wp:positionH>
                <wp:positionV relativeFrom="line">
                  <wp:posOffset>635</wp:posOffset>
                </wp:positionV>
                <wp:extent cx="5953125" cy="908685"/>
                <wp:effectExtent l="0" t="0" r="0" b="0"/>
                <wp:wrapNone/>
                <wp:docPr id="12" name="Frame12"/>
                <a:graphic xmlns:a="http://schemas.openxmlformats.org/drawingml/2006/main">
                  <a:graphicData uri="http://schemas.microsoft.com/office/word/2010/wordprocessingShape">
                    <wps:wsp>
                      <wps:cNvSpPr txBox="1"/>
                      <wps:spPr>
                        <a:xfrm>
                          <a:off x="0" y="0"/>
                          <a:ext cx="5953125" cy="908685"/>
                        </a:xfrm>
                        <a:prstGeom prst="rect"/>
                        <a:solidFill>
                          <a:srgbClr val="FFFFFF"/>
                        </a:solidFill>
                      </wps:spPr>
                      <wps:txbx>
                        <w:txbxContent>
                          <w:tbl>
                            <w:tblPr>
                              <w:tblW w:w="9607" w:type="dxa"/>
                              <w:jc w:val="left"/>
                              <w:tblInd w:w="0" w:type="dxa"/>
                              <w:tblLayout w:type="fixed"/>
                              <w:tblCellMar>
                                <w:top w:w="28" w:type="dxa"/>
                                <w:left w:w="28" w:type="dxa"/>
                                <w:bottom w:w="28" w:type="dxa"/>
                                <w:right w:w="28" w:type="dxa"/>
                              </w:tblCellMar>
                            </w:tblPr>
                            <w:tblGrid>
                              <w:gridCol w:w="1226"/>
                              <w:gridCol w:w="8381"/>
                            </w:tblGrid>
                            <w:tr>
                              <w:trPr/>
                              <w:tc>
                                <w:tcPr>
                                  <w:tcW w:w="1226"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(a)(5)(iii)*</w:t>
                                  </w:r>
                                </w:p>
                              </w:tc>
                              <w:tc>
                                <w:tcPr>
                                  <w:tcW w:w="83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71.55pt;mso-wrap-distance-left:0pt;mso-wrap-distance-right:0pt;mso-wrap-distance-top:0pt;mso-wrap-distance-bottom:0pt;margin-top:0pt;mso-position-vertical:top;mso-position-vertical-relative:text;margin-left:72pt;mso-position-horizontal-relative:page">
                <v:textbox>
                  <w:txbxContent>
                    <w:tbl>
                      <w:tblPr>
                        <w:tblW w:w="9607" w:type="dxa"/>
                        <w:jc w:val="left"/>
                        <w:tblInd w:w="0" w:type="dxa"/>
                        <w:tblLayout w:type="fixed"/>
                        <w:tblCellMar>
                          <w:top w:w="28" w:type="dxa"/>
                          <w:left w:w="28" w:type="dxa"/>
                          <w:bottom w:w="28" w:type="dxa"/>
                          <w:right w:w="28" w:type="dxa"/>
                        </w:tblCellMar>
                      </w:tblPr>
                      <w:tblGrid>
                        <w:gridCol w:w="1226"/>
                        <w:gridCol w:w="8381"/>
                      </w:tblGrid>
                      <w:tr>
                        <w:trPr/>
                        <w:tc>
                          <w:tcPr>
                            <w:tcW w:w="1226"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before="0" w:after="283"/>
                              <w:jc w:val="left"/>
                              <w:rPr>
                                <w:sz w:val="4"/>
                                <w:szCs w:val="4"/>
                              </w:rPr>
                            </w:pPr>
                            <w:r>
                              <w:rPr>
                                <w:sz w:val="4"/>
                                <w:szCs w:val="4"/>
                              </w:rPr>
                            </w:r>
                          </w:p>
                        </w:tc>
                        <w:tc>
                          <w:tcPr>
                            <w:tcW w:w="838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(a)(5)(iii)*</w:t>
                            </w:r>
                          </w:p>
                        </w:tc>
                        <w:tc>
                          <w:tcPr>
                            <w:tcW w:w="83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14375" cy="293370"/>
                <wp:effectExtent l="0" t="0" r="0" b="0"/>
                <wp:wrapNone/>
                <wp:docPr id="13" name="Frame13"/>
                <a:graphic xmlns:a="http://schemas.openxmlformats.org/drawingml/2006/main">
                  <a:graphicData uri="http://schemas.microsoft.com/office/word/2010/wordprocessingShape">
                    <wps:wsp>
                      <wps:cNvSpPr txBox="1"/>
                      <wps:spPr>
                        <a:xfrm>
                          <a:off x="0" y="0"/>
                          <a:ext cx="714375" cy="293370"/>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EXHIBIT</w:t>
                            </w:r>
                          </w:p>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NUMBER</w:t>
                            </w:r>
                          </w:p>
                        </w:txbxContent>
                      </wps:txbx>
                      <wps:bodyPr anchor="t" lIns="0" tIns="0" rIns="0" bIns="0">
                        <a:noAutofit/>
                      </wps:bodyPr>
                    </wps:wsp>
                  </a:graphicData>
                </a:graphic>
              </wp:anchor>
            </w:drawing>
          </mc:Choice>
          <mc:Fallback>
            <w:pict>
              <v:rect style="position:absolute;rotation:-0;width:56.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EXHIBIT</w:t>
                      </w:r>
                    </w:p>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NUMBER</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714375</wp:posOffset>
                </wp:positionH>
                <wp:positionV relativeFrom="line">
                  <wp:posOffset>635</wp:posOffset>
                </wp:positionV>
                <wp:extent cx="5238750" cy="146685"/>
                <wp:effectExtent l="0" t="0" r="0" b="0"/>
                <wp:wrapNone/>
                <wp:docPr id="14" name="Frame14"/>
                <a:graphic xmlns:a="http://schemas.openxmlformats.org/drawingml/2006/main">
                  <a:graphicData uri="http://schemas.microsoft.com/office/word/2010/wordprocessingShape">
                    <wps:wsp>
                      <wps:cNvSpPr txBox="1"/>
                      <wps:spPr>
                        <a:xfrm>
                          <a:off x="0" y="0"/>
                          <a:ext cx="523875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DESCRIPTION</w:t>
                            </w:r>
                          </w:p>
                        </w:txbxContent>
                      </wps:txbx>
                      <wps:bodyPr anchor="t" lIns="0" tIns="0" rIns="0" bIns="0">
                        <a:noAutofit/>
                      </wps:bodyPr>
                    </wps:wsp>
                  </a:graphicData>
                </a:graphic>
              </wp:anchor>
            </w:drawing>
          </mc:Choice>
          <mc:Fallback>
            <w:pict>
              <v:rect style="position:absolute;rotation:-0;width:412.5pt;height:11.55pt;mso-wrap-distance-left:0pt;mso-wrap-distance-right:0pt;mso-wrap-distance-top:0pt;mso-wrap-distance-bottom:0pt;margin-top:0pt;mso-position-vertical:top;mso-position-vertical-relative:text;margin-left:56.2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DESCRIPTION</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SIGNATURES</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After due inquiry and to the best of my knowledge and belief, I certify that the information set forth in this statement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is true, complete and correct.</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Dated: </w:t>
      </w:r>
      <w:r>
        <w:rPr>
          <w:rFonts w:ascii="Times New Roman;serif" w:hAnsi="Times New Roman;serif"/>
          <w:b w:val="false"/>
          <w:i w:val="false"/>
          <w:caps w:val="false"/>
          <w:smallCaps w:val="false"/>
          <w:strike w:val="false"/>
          <w:dstrike w:val="false"/>
          <w:sz w:val="20"/>
          <w:u w:val="none"/>
          <w:effect w:val="none"/>
          <w:shd w:fill="E4E4E4" w:val="clear"/>
        </w:rPr>
        <w:t>June 12, 2026</w:t>
      </w:r>
    </w:p>
    <w:p>
      <w:pPr>
        <w:pStyle w:val="TextBody"/>
        <w:bidi w:val="0"/>
        <w:spacing w:lineRule="atLeast" w:line="142"/>
        <w:jc w:val="left"/>
        <w:rPr>
          <w:caps w:val="false"/>
          <w:smallCaps w:val="false"/>
          <w:shd w:fill="E4E4E4" w:val="clear"/>
        </w:rPr>
      </w:pPr>
      <w:r>
        <w:rPr>
          <w:caps w:val="false"/>
          <w:smallCaps w:val="false"/>
          <w:shd w:fill="E4E4E4" w:val="clear"/>
        </w:rPr>
        <w:t> </w:t>
      </w:r>
      <w:r>
        <mc:AlternateContent>
          <mc:Choice Requires="wps">
            <w:drawing>
              <wp:anchor behindDoc="0" distT="0" distB="0" distL="0" distR="0" simplePos="0" locked="0" layoutInCell="1" allowOverlap="1" relativeHeight="17">
                <wp:simplePos x="0" y="0"/>
                <wp:positionH relativeFrom="page">
                  <wp:posOffset>3686175</wp:posOffset>
                </wp:positionH>
                <wp:positionV relativeFrom="line">
                  <wp:posOffset>635</wp:posOffset>
                </wp:positionV>
                <wp:extent cx="3171825" cy="1651635"/>
                <wp:effectExtent l="0" t="0" r="0" b="0"/>
                <wp:wrapNone/>
                <wp:docPr id="15" name="Frame16"/>
                <a:graphic xmlns:a="http://schemas.openxmlformats.org/drawingml/2006/main">
                  <a:graphicData uri="http://schemas.microsoft.com/office/word/2010/wordprocessingShape">
                    <wps:wsp>
                      <wps:cNvSpPr txBox="1"/>
                      <wps:spPr>
                        <a:xfrm>
                          <a:off x="0" y="0"/>
                          <a:ext cx="3171825" cy="1651635"/>
                        </a:xfrm>
                        <a:prstGeom prst="rect"/>
                        <a:solidFill>
                          <a:srgbClr val="FFFFFF"/>
                        </a:solidFill>
                      </wps:spPr>
                      <wps:txbx>
                        <w:txbxContent>
                          <w:tbl>
                            <w:tblPr>
                              <w:tblW w:w="4515" w:type="dxa"/>
                              <w:jc w:val="left"/>
                              <w:tblInd w:w="0" w:type="dxa"/>
                              <w:tblLayout w:type="fixed"/>
                              <w:tblCellMar>
                                <w:top w:w="28" w:type="dxa"/>
                                <w:left w:w="28" w:type="dxa"/>
                                <w:bottom w:w="28" w:type="dxa"/>
                                <w:right w:w="28" w:type="dxa"/>
                              </w:tblCellMar>
                            </w:tblPr>
                            <w:tblGrid>
                              <w:gridCol w:w="3178"/>
                              <w:gridCol w:w="591"/>
                              <w:gridCol w:w="592"/>
                              <w:gridCol w:w="154"/>
                            </w:tblGrid>
                            <w:tr>
                              <w:trPr/>
                              <w:tc>
                                <w:tcPr>
                                  <w:tcW w:w="31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9.75pt;height:130.05pt;mso-wrap-distance-left:0pt;mso-wrap-distance-right:0pt;mso-wrap-distance-top:0pt;mso-wrap-distance-bottom:0pt;margin-top:0pt;mso-position-vertical:top;mso-position-vertical-relative:text;margin-left:290.25pt;mso-position-horizontal-relative:page">
                <v:textbox>
                  <w:txbxContent>
                    <w:tbl>
                      <w:tblPr>
                        <w:tblW w:w="4515" w:type="dxa"/>
                        <w:jc w:val="left"/>
                        <w:tblInd w:w="0" w:type="dxa"/>
                        <w:tblLayout w:type="fixed"/>
                        <w:tblCellMar>
                          <w:top w:w="28" w:type="dxa"/>
                          <w:left w:w="28" w:type="dxa"/>
                          <w:bottom w:w="28" w:type="dxa"/>
                          <w:right w:w="28" w:type="dxa"/>
                        </w:tblCellMar>
                      </w:tblPr>
                      <w:tblGrid>
                        <w:gridCol w:w="3178"/>
                        <w:gridCol w:w="591"/>
                        <w:gridCol w:w="592"/>
                        <w:gridCol w:w="154"/>
                      </w:tblGrid>
                      <w:tr>
                        <w:trPr/>
                        <w:tc>
                          <w:tcPr>
                            <w:tcW w:w="31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8"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w:t>
                            </w:r>
                          </w:p>
                        </w:tc>
                        <w:tc>
                          <w:tcPr>
                            <w:tcW w:w="5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705100" cy="146685"/>
                <wp:effectExtent l="0" t="0" r="0" b="0"/>
                <wp:wrapNone/>
                <wp:docPr id="16" name="Frame17"/>
                <a:graphic xmlns:a="http://schemas.openxmlformats.org/drawingml/2006/main">
                  <a:graphicData uri="http://schemas.microsoft.com/office/word/2010/wordprocessingShape">
                    <wps:wsp>
                      <wps:cNvSpPr txBox="1"/>
                      <wps:spPr>
                        <a:xfrm>
                          <a:off x="0" y="0"/>
                          <a:ext cx="27051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EXPENSIFY, INC.</w:t>
                            </w:r>
                          </w:p>
                        </w:txbxContent>
                      </wps:txbx>
                      <wps:bodyPr anchor="t" lIns="0" tIns="0" rIns="0" bIns="0">
                        <a:noAutofit/>
                      </wps:bodyPr>
                    </wps:wsp>
                  </a:graphicData>
                </a:graphic>
              </wp:anchor>
            </w:drawing>
          </mc:Choice>
          <mc:Fallback>
            <w:pict>
              <v:rect style="position:absolute;rotation:-0;width:21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EXPENSIFY, INC.</w:t>
                      </w:r>
                    </w:p>
                  </w:txbxContent>
                </v:textbox>
                <w10:wrap type="none"/>
              </v:rect>
            </w:pict>
          </mc:Fallback>
        </mc:AlternateConten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5(a)(iii)</w:t>
      </w:r>
    </w:p>
    <w:p>
      <w:pPr>
        <w:pStyle w:val="TextBody"/>
        <w:bidi w:val="0"/>
        <w:spacing w:lineRule="auto" w:line="240" w:before="0" w:after="160"/>
        <w:jc w:val="center"/>
        <w:rPr>
          <w:rFonts w:ascii="Times New Roman;serif" w:hAnsi="Times New Roman;serif"/>
          <w:b/>
          <w:color w:val="000000"/>
          <w:sz w:val="20"/>
        </w:rPr>
      </w:pPr>
      <w:r>
        <w:rPr>
          <w:rFonts w:ascii="Times New Roman;serif" w:hAnsi="Times New Roman;serif"/>
          <w:b/>
          <w:color w:val="000000"/>
          <w:sz w:val="20"/>
        </w:rPr>
        <w:t>EXPENSIFY, INC. ANNOUNCES FINAL RESULTS OF TENDER OFFER</w:t>
      </w:r>
    </w:p>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Company accepted for purchase 6,053,023 shares of common stock at $1.20 per share, which will result in an approximate 6.8% reduction in Class A common stock outstanding.</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color w:val="000000"/>
          <w:sz w:val="20"/>
        </w:rPr>
        <w:t>SAN FRANCISCO, CAL.--(BUSINESS WIRE)--June 12, 2026-- Expensify, Inc. (Nasdaq: EXFY)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the easiest way to manage expenses, corporate cards, and travel, today announced the final results of its modified “Dutch auction” tender offer (the “</w:t>
      </w:r>
      <w:r>
        <w:rPr>
          <w:rFonts w:ascii="Times New Roman;serif" w:hAnsi="Times New Roman;serif"/>
          <w:b/>
          <w:i/>
          <w:color w:val="000000"/>
          <w:sz w:val="20"/>
        </w:rPr>
        <w:t>Tender Offer</w:t>
      </w:r>
      <w:r>
        <w:rPr>
          <w:color w:val="000000"/>
        </w:rPr>
        <w:t>”</w:t>
      </w:r>
      <w:r>
        <w:rPr>
          <w:rFonts w:ascii="Times New Roman;serif" w:hAnsi="Times New Roman;serif"/>
          <w:b w:val="false"/>
          <w:color w:val="000000"/>
          <w:sz w:val="20"/>
        </w:rPr>
        <w:t>) to purchase for cash up to $25,000,000 of its outstanding shares of Class A common stock, par value $0.0001 per share (“</w:t>
      </w:r>
      <w:r>
        <w:rPr>
          <w:rFonts w:ascii="Times New Roman;serif" w:hAnsi="Times New Roman;serif"/>
          <w:b/>
          <w:i/>
          <w:color w:val="000000"/>
          <w:sz w:val="20"/>
        </w:rPr>
        <w:t>Class A common stock</w:t>
      </w:r>
      <w:r>
        <w:rPr>
          <w:color w:val="000000"/>
        </w:rPr>
        <w:t xml:space="preserve">” </w:t>
      </w:r>
      <w:r>
        <w:rPr>
          <w:rFonts w:ascii="Times New Roman;serif" w:hAnsi="Times New Roman;serif"/>
          <w:b w:val="false"/>
          <w:color w:val="000000"/>
          <w:sz w:val="20"/>
        </w:rPr>
        <w:t>or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at a price per share not less than $0.98 and not more than $1.20, less any applicable withholding taxes and without interest, which expired at 12:00 midnight, New York City time, at the end of the day on June 10,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accepted 6,053,023 shares of Class A common stock for purchase at the purchase price of $1.20 per share, for a total cost of $7,263,627.60, excluding fees and expenses related to the Tender Offer. The total number of shares accepted for payment represents approximately 6.8% of the Company’s total outstanding shares of Class A common stock as of June 10, 2026. Based on the final count by the depositary for the Tender Offer, a total of 6,053,023 shares of Class A common stock were validly tendered and not validly withdrawn at or below the price of $1.20 per share. Accordingly, the Company will purchase approximately 100% of the shares of stockholders who submitted auction tenders at a price of $1.20 or less per share and purchase price tenders (other than “odd lot” holders, whose shares will be purchased on a priority basis). The depositary for the Tender Offer will promptly pay for the shares accepted for purchase pursuant to the Tender Offer. Payment for shares purchased will be made in cash, without interest, but subject to applicable withholding taxes. The Company will fund the purchase of shares in the Tender Offer with cash on hand.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Citizens JMP Securities, LLC, is acting as dealer manager for the Tender Offer. The information agent for the Tender Offer is Georgeson LLC, and the depositary is Computershare Trust Company, N.A.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Certain statements made in this press release constitute forward-looking statements, including with respect to the Company’s expectations regarding payment for the shares of Class A common stock purchased in the Tender Offer and the source of financing for those purchases. All statements contained in this press release that do not relate to matters of historical fact should be considered forward-looking statements, including, without limitation, statements regarding the Tender Offer. These forward-looking statements are based on management’s current expectations. These statements are neither promises nor guarantees, but involve known and unknown risks, uncertainties and other important factors that may cause Expensify’s actual results, performance or achievements to be materially different from any future results, performance or achievements expressed or implied by the forward-looking statements, including the risks discussed in Expensify’s filings with the SEC, including Expensify’s Annual Report on Form 10-K and subsequent Quarterly Reports on Form 10-Q. Expensify undertakes no obligation to update publicly any forward-looking statements, whether as a result of future events, new information or otherwise, except as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Expensify.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Expensify, Inc. (Nasdaq: EXFY) is the easiest way to do your expenses, travel, and corporate cards. Built for businesses of all sizes and trusted by 15 million members worldwide, Expensify is a top-rated app across G2, TrustRadius, Capterra, and more.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7"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1418</Words>
  <Characters>7508</Characters>
  <CharactersWithSpaces>8921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