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4510038.xml.htm"/>
      <w:bookmarkStart w:id="1" w:name="kswkform4_17145100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Barrett David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04/26/2024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12,437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w:t>
            </w:r>
            <w:r>
              <w:rPr>
                <w:rFonts w:ascii="Times;serif" w:hAnsi="Times;serif"/>
                <w:color w:val="008000"/>
                <w:position w:val="7"/>
                <w:sz w:val="16"/>
                <w:sz w:val="20"/>
                <w:shd w:fill="FFFFFF" w:val="clear"/>
              </w:rPr>
              <w:t>(2)</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1,027,411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w:t>
            </w:r>
            <w:r>
              <w:rPr>
                <w:rFonts w:ascii="Times;serif" w:hAnsi="Times;serif"/>
                <w:color w:val="008000"/>
                <w:position w:val="7"/>
                <w:sz w:val="16"/>
                <w:sz w:val="20"/>
                <w:shd w:fill="FFFFFF" w:val="clear"/>
              </w:rPr>
              <w:t>(4)</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1,025,911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w:t>
            </w:r>
            <w:r>
              <w:rPr>
                <w:rFonts w:ascii="Times;serif" w:hAnsi="Times;serif"/>
                <w:color w:val="008000"/>
                <w:position w:val="7"/>
                <w:sz w:val="16"/>
                <w:sz w:val="20"/>
                <w:shd w:fill="FFFFFF" w:val="clear"/>
              </w:rPr>
              <w:t>(5)</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1,024,411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133,668</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Rule 10b5-1 trading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$1.60 to $1.67,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By Barrett Trust LLC, a manager-managed limited liability company. The investment and voting decisions of Barrett Trust LLC are made by its manager, the Reporting Person, and its controlling member is the Barrett Family Trust,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$1.61 to $1.63,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$1.56 to $1.63,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92682"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886</Words>
  <Characters>4750</Characters>
  <CharactersWithSpaces>5551</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