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172720</wp:posOffset>
            </wp:positionV>
            <wp:extent cx="7132320" cy="10431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3178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(Names of filing Persons (Offeror and Issuer))</w:t>
      </w:r>
    </w:p>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Title of Class of Securities)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30219Q106</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(Underlying Common Stock)</w:t>
      </w:r>
    </w:p>
    <w:p>
      <w:pPr>
        <w:spacing w:after="0" w:line="2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Ryan Schaffer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88 Kearny St., Ste 1600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San Francisco, California 94108</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Tel: (971) 365-3939</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w:t>
      </w:r>
    </w:p>
    <w:p>
      <w:pPr>
        <w:spacing w:after="0" w:line="208" w:lineRule="exact"/>
        <w:rPr>
          <w:sz w:val="24"/>
          <w:szCs w:val="24"/>
          <w:color w:val="auto"/>
        </w:rPr>
      </w:pPr>
    </w:p>
    <w:tbl>
      <w:tblPr>
        <w:tblLayout w:type="fixed"/>
        <w:tblInd w:w="1880" w:type="dxa"/>
        <w:tblCellMar>
          <w:top w:w="0" w:type="dxa"/>
          <w:left w:w="0" w:type="dxa"/>
          <w:bottom w:w="0" w:type="dxa"/>
          <w:right w:w="0" w:type="dxa"/>
        </w:tblCellMar>
      </w:tblPr>
      <w:tr>
        <w:trPr>
          <w:trHeight w:val="238"/>
        </w:trPr>
        <w:tc>
          <w:tcPr>
            <w:tcW w:w="304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Tad J. Freese, Esq.</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Joshua A. Kaufman, Esq.</w:t>
            </w:r>
          </w:p>
        </w:tc>
        <w:tc>
          <w:tcPr>
            <w:tcW w:w="0" w:type="dxa"/>
            <w:vAlign w:val="bottom"/>
          </w:tcPr>
          <w:p>
            <w:pPr>
              <w:spacing w:after="0"/>
              <w:rPr>
                <w:sz w:val="1"/>
                <w:szCs w:val="1"/>
                <w:color w:val="auto"/>
              </w:rPr>
            </w:pPr>
          </w:p>
        </w:tc>
      </w:tr>
      <w:tr>
        <w:trPr>
          <w:trHeight w:val="216"/>
        </w:trPr>
        <w:tc>
          <w:tcPr>
            <w:tcW w:w="30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Alexa M. Berlin, Esq.</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DLA Piper LLP (US)</w:t>
            </w:r>
          </w:p>
        </w:tc>
        <w:tc>
          <w:tcPr>
            <w:tcW w:w="0" w:type="dxa"/>
            <w:vAlign w:val="bottom"/>
          </w:tcPr>
          <w:p>
            <w:pPr>
              <w:spacing w:after="0"/>
              <w:rPr>
                <w:sz w:val="1"/>
                <w:szCs w:val="1"/>
                <w:color w:val="auto"/>
              </w:rPr>
            </w:pPr>
          </w:p>
        </w:tc>
      </w:tr>
      <w:tr>
        <w:trPr>
          <w:trHeight w:val="140"/>
        </w:trPr>
        <w:tc>
          <w:tcPr>
            <w:tcW w:w="3040" w:type="dxa"/>
            <w:vAlign w:val="bottom"/>
            <w:vMerge w:val="restart"/>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2260" w:type="dxa"/>
            <w:vAlign w:val="bottom"/>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rPr>
              <w:t>1251 Avenue of the Americas</w:t>
            </w:r>
          </w:p>
        </w:tc>
        <w:tc>
          <w:tcPr>
            <w:tcW w:w="0" w:type="dxa"/>
            <w:vAlign w:val="bottom"/>
          </w:tcPr>
          <w:p>
            <w:pPr>
              <w:spacing w:after="0"/>
              <w:rPr>
                <w:sz w:val="1"/>
                <w:szCs w:val="1"/>
                <w:color w:val="auto"/>
              </w:rPr>
            </w:pPr>
          </w:p>
        </w:tc>
      </w:tr>
      <w:tr>
        <w:trPr>
          <w:trHeight w:val="108"/>
        </w:trPr>
        <w:tc>
          <w:tcPr>
            <w:tcW w:w="3040" w:type="dxa"/>
            <w:vAlign w:val="bottom"/>
            <w:vMerge w:val="continue"/>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NY 10020</w:t>
            </w:r>
          </w:p>
        </w:tc>
        <w:tc>
          <w:tcPr>
            <w:tcW w:w="0" w:type="dxa"/>
            <w:vAlign w:val="bottom"/>
          </w:tcPr>
          <w:p>
            <w:pPr>
              <w:spacing w:after="0"/>
              <w:rPr>
                <w:sz w:val="1"/>
                <w:szCs w:val="1"/>
                <w:color w:val="auto"/>
              </w:rPr>
            </w:pPr>
          </w:p>
        </w:tc>
      </w:tr>
      <w:tr>
        <w:trPr>
          <w:trHeight w:val="130"/>
        </w:trPr>
        <w:tc>
          <w:tcPr>
            <w:tcW w:w="304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140 Scott Drive</w:t>
            </w: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04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0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Menlo Park, California 94025</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900" w:hanging="437"/>
        <w:spacing w:after="0"/>
        <w:tabs>
          <w:tab w:leader="none" w:pos="2900" w:val="left"/>
        </w:tabs>
        <w:numPr>
          <w:ilvl w:val="2"/>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328-4600</w:t>
      </w:r>
    </w:p>
    <w:p>
      <w:pPr>
        <w:spacing w:after="0" w:line="274" w:lineRule="exact"/>
        <w:rPr>
          <w:rFonts w:ascii="Times New Roman" w:cs="Times New Roman" w:eastAsia="Times New Roman" w:hAnsi="Times New Roman"/>
          <w:sz w:val="18"/>
          <w:szCs w:val="18"/>
          <w:b w:val="1"/>
          <w:bCs w:val="1"/>
          <w:color w:val="auto"/>
        </w:rPr>
      </w:pPr>
    </w:p>
    <w:p>
      <w:pPr>
        <w:ind w:firstLine="8"/>
        <w:spacing w:after="0" w:line="39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2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ind w:left="1300" w:hanging="644"/>
        <w:spacing w:after="0" w:line="219" w:lineRule="auto"/>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ind w:left="1300" w:hanging="644"/>
        <w:spacing w:after="0" w:line="211" w:lineRule="auto"/>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9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46"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300" w:right="360"/>
        <w:spacing w:after="0" w:line="291" w:lineRule="auto"/>
        <w:rPr>
          <w:sz w:val="20"/>
          <w:szCs w:val="20"/>
          <w:color w:val="auto"/>
        </w:rPr>
      </w:pPr>
      <w:r>
        <w:rPr>
          <w:rFonts w:ascii="Times New Roman" w:cs="Times New Roman" w:eastAsia="Times New Roman" w:hAnsi="Times New Roman"/>
          <w:sz w:val="17"/>
          <w:szCs w:val="17"/>
          <w:color w:val="auto"/>
        </w:rPr>
        <w:t>This Amendment No 1. (this “</w:t>
      </w:r>
      <w:r>
        <w:rPr>
          <w:rFonts w:ascii="Times New Roman" w:cs="Times New Roman" w:eastAsia="Times New Roman" w:hAnsi="Times New Roman"/>
          <w:sz w:val="17"/>
          <w:szCs w:val="17"/>
          <w:b w:val="1"/>
          <w:bCs w:val="1"/>
          <w:i w:val="1"/>
          <w:iCs w:val="1"/>
          <w:color w:val="auto"/>
        </w:rPr>
        <w:t>Amendment</w:t>
      </w:r>
      <w:r>
        <w:rPr>
          <w:rFonts w:ascii="Times New Roman" w:cs="Times New Roman" w:eastAsia="Times New Roman" w:hAnsi="Times New Roman"/>
          <w:sz w:val="17"/>
          <w:szCs w:val="17"/>
          <w:color w:val="auto"/>
        </w:rPr>
        <w:t>”) amends and supplements the Tender Offer Statement on Schedule TO filed with the Securities and Exchange Commission by Expensify,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May 13, 2026 (the “</w:t>
      </w:r>
      <w:r>
        <w:rPr>
          <w:rFonts w:ascii="Times New Roman" w:cs="Times New Roman" w:eastAsia="Times New Roman" w:hAnsi="Times New Roman"/>
          <w:sz w:val="17"/>
          <w:szCs w:val="17"/>
          <w:b w:val="1"/>
          <w:bCs w:val="1"/>
          <w:i w:val="1"/>
          <w:iCs w:val="1"/>
          <w:color w:val="auto"/>
        </w:rPr>
        <w:t>Schedule TO</w:t>
      </w:r>
      <w:r>
        <w:rPr>
          <w:rFonts w:ascii="Times New Roman" w:cs="Times New Roman" w:eastAsia="Times New Roman" w:hAnsi="Times New Roman"/>
          <w:sz w:val="17"/>
          <w:szCs w:val="17"/>
          <w:color w:val="auto"/>
        </w:rPr>
        <w:t>”), relating to the offer by the Company to purchase for cash up to $25,000,000 of</w:t>
      </w:r>
    </w:p>
    <w:p>
      <w:pPr>
        <w:sectPr>
          <w:pgSz w:w="11900" w:h="16851" w:orient="portrait"/>
          <w:cols w:equalWidth="0" w:num="1">
            <w:col w:w="9040"/>
          </w:cols>
          <w:pgMar w:left="1440" w:top="867" w:right="1419" w:bottom="0" w:gutter="0" w:footer="0" w:header="0"/>
        </w:sectPr>
      </w:pPr>
    </w:p>
    <w:bookmarkStart w:id="1" w:name="page2"/>
    <w:bookmarkEnd w:id="1"/>
    <w:p>
      <w:pPr>
        <w:ind w:left="300" w:right="359"/>
        <w:spacing w:after="0" w:line="238" w:lineRule="auto"/>
        <w:rPr>
          <w:sz w:val="20"/>
          <w:szCs w:val="20"/>
          <w:color w:val="auto"/>
        </w:rPr>
      </w:pPr>
      <w:r>
        <w:rPr>
          <w:rFonts w:ascii="Times New Roman" w:cs="Times New Roman" w:eastAsia="Times New Roman" w:hAnsi="Times New Roman"/>
          <w:sz w:val="17"/>
          <w:szCs w:val="17"/>
          <w:color w:val="auto"/>
        </w:rPr>
        <w:t>its Class A common stock, $0.0001 par value per share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at a price per share of not less than $0.98 and not more than $1.20, without interest and subject to any applicable withholding taxes. The Company’s offer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-205105</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79"/>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Offer to Purchase, dated May 13, 2026 (as amended or supplemented from time to time, the “</w:t>
      </w:r>
      <w:r>
        <w:rPr>
          <w:rFonts w:ascii="Times New Roman" w:cs="Times New Roman" w:eastAsia="Times New Roman" w:hAnsi="Times New Roman"/>
          <w:sz w:val="18"/>
          <w:szCs w:val="18"/>
          <w:b w:val="1"/>
          <w:bCs w:val="1"/>
          <w:i w:val="1"/>
          <w:iCs w:val="1"/>
          <w:color w:val="auto"/>
        </w:rPr>
        <w:t>Offer to Purchase</w:t>
      </w:r>
      <w:r>
        <w:rPr>
          <w:rFonts w:ascii="Times New Roman" w:cs="Times New Roman" w:eastAsia="Times New Roman" w:hAnsi="Times New Roman"/>
          <w:sz w:val="18"/>
          <w:szCs w:val="18"/>
          <w:color w:val="auto"/>
        </w:rPr>
        <w:t>”), a copy of which is filed as Exhibit (a)(1)(i) to the Schedule TO, and in the accompanying Letter of Transmittal (as amended or supplemented from time to time, the “</w:t>
      </w:r>
      <w:r>
        <w:rPr>
          <w:rFonts w:ascii="Times New Roman" w:cs="Times New Roman" w:eastAsia="Times New Roman" w:hAnsi="Times New Roman"/>
          <w:sz w:val="18"/>
          <w:szCs w:val="18"/>
          <w:b w:val="1"/>
          <w:bCs w:val="1"/>
          <w:i w:val="1"/>
          <w:iCs w:val="1"/>
          <w:color w:val="auto"/>
        </w:rPr>
        <w:t>Letter of Transmittal</w:t>
      </w:r>
      <w:r>
        <w:rPr>
          <w:rFonts w:ascii="Times New Roman" w:cs="Times New Roman" w:eastAsia="Times New Roman" w:hAnsi="Times New Roman"/>
          <w:sz w:val="18"/>
          <w:szCs w:val="18"/>
          <w:color w:val="auto"/>
        </w:rPr>
        <w:t>”), a copy of which is filed as Exhibit (a)(1)(ii) to the Schedule TO.</w:t>
      </w:r>
    </w:p>
    <w:p>
      <w:pPr>
        <w:spacing w:after="0" w:line="189"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The purpose of this Amendment is to amend and supplement the Schedule TO and the Offer to Purchase. Only those items that are amended are reported in this Amendment. Except as specifically provided herein, the information contained in the Schedule TO, the Offer to Purchase and the Letter of Transmittal remains unchanged. This Amendment should be read together with the Schedule TO, the Offer to Purchase and the Letter of Transmittal.</w:t>
      </w:r>
    </w:p>
    <w:p>
      <w:pPr>
        <w:spacing w:after="0" w:line="160" w:lineRule="exact"/>
        <w:rPr>
          <w:sz w:val="20"/>
          <w:szCs w:val="20"/>
          <w:color w:val="auto"/>
        </w:rPr>
      </w:pPr>
    </w:p>
    <w:p>
      <w:pPr>
        <w:ind w:left="30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information set forth in Item 11 is hereby amended and supplemented by the following:</w:t>
      </w:r>
    </w:p>
    <w:p>
      <w:pPr>
        <w:spacing w:after="0" w:line="225"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The third bullet under the heading “Incorporation by Reference” on pages 30-31 of the Offer to Purchase is hereby deleted in its entirety and replaced with the following: “Our Current Reports on Form 8-K, filed with the SEC on April,21, 2026, May 27, 2026 and May 29, 2026;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May 29, 2026</w:t>
      </w:r>
    </w:p>
    <w:p>
      <w:pPr>
        <w:spacing w:after="0" w:line="28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56" w:lineRule="exact"/>
        <w:rPr>
          <w:sz w:val="20"/>
          <w:szCs w:val="20"/>
          <w:color w:val="auto"/>
        </w:rPr>
      </w:pPr>
    </w:p>
    <w:p>
      <w:pPr>
        <w:ind w:left="4280"/>
        <w:spacing w:after="0"/>
        <w:tabs>
          <w:tab w:leader="none" w:pos="4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50" w:lineRule="exact"/>
        <w:rPr>
          <w:sz w:val="20"/>
          <w:szCs w:val="20"/>
          <w:color w:val="auto"/>
        </w:rPr>
      </w:pPr>
    </w:p>
    <w:p>
      <w:pPr>
        <w:ind w:left="4280"/>
        <w:spacing w:after="0"/>
        <w:tabs>
          <w:tab w:leader="none" w:pos="48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50" w:lineRule="exact"/>
        <w:rPr>
          <w:sz w:val="20"/>
          <w:szCs w:val="20"/>
          <w:color w:val="auto"/>
        </w:rPr>
      </w:pPr>
    </w:p>
    <w:p>
      <w:pPr>
        <w:ind w:left="4280"/>
        <w:spacing w:after="0"/>
        <w:tabs>
          <w:tab w:leader="none" w:pos="48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9019"/>
          </w:cols>
          <w:pgMar w:left="1440" w:top="75" w:right="1440" w:bottom="0" w:gutter="0" w:footer="0" w:header="0"/>
        </w:sectPr>
      </w:pPr>
    </w:p>
    <w:bookmarkStart w:id="2" w:name="page3"/>
    <w:bookmarkEnd w:id="2"/>
    <w:p>
      <w:pPr>
        <w:spacing w:after="0"/>
        <w:tabs>
          <w:tab w:leader="none" w:pos="48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414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414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3)"/>
      <w:numFmt w:val="decimal"/>
      <w:start w:val="65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2026-05-29T17:01:33Z</dcterms:created>
  <dcterms:modified xsi:type="dcterms:W3CDTF">2026-05-29T17:01:33Z</dcterms:modified>
</cp:coreProperties>
</file>