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02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Barrett David Michael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EXPENSIFY,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401 SW 5TH AVE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Expensify,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EXFY</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11/20/2024</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3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PORTLAND</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OR</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97204</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2"/>
            <w:vMerge w:val="restart"/>
          </w:tcPr>
          <w:p>
            <w:pPr>
              <w:ind w:left="640"/>
              <w:spacing w:after="0"/>
              <w:rPr>
                <w:sz w:val="20"/>
                <w:szCs w:val="20"/>
                <w:color w:val="auto"/>
              </w:rPr>
            </w:pPr>
            <w:r>
              <w:rPr>
                <w:rFonts w:ascii="Times New Roman" w:cs="Times New Roman" w:eastAsia="Times New Roman" w:hAnsi="Times New Roman"/>
                <w:sz w:val="17"/>
                <w:szCs w:val="17"/>
                <w:color w:val="0000FF"/>
              </w:rPr>
              <w:t>11/20/2024</w:t>
            </w: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15,454</w:t>
            </w:r>
          </w:p>
        </w:tc>
        <w:tc>
          <w:tcPr>
            <w:tcW w:w="44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Pr>
          <w:p>
            <w:pPr>
              <w:spacing w:after="0"/>
              <w:rPr>
                <w:sz w:val="21"/>
                <w:szCs w:val="21"/>
                <w:color w:val="auto"/>
              </w:rPr>
            </w:pPr>
          </w:p>
        </w:tc>
        <w:tc>
          <w:tcPr>
            <w:tcW w:w="620" w:type="dxa"/>
            <w:vAlign w:val="bottom"/>
            <w:gridSpan w:val="3"/>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2.91</w:t>
            </w:r>
            <w:r>
              <w:rPr>
                <w:rFonts w:ascii="Times New Roman" w:cs="Times New Roman" w:eastAsia="Times New Roman" w:hAnsi="Times New Roman"/>
                <w:sz w:val="22"/>
                <w:szCs w:val="22"/>
                <w:color w:val="008000"/>
                <w:vertAlign w:val="superscript"/>
              </w:rPr>
              <w:t>(2)</w:t>
            </w:r>
          </w:p>
        </w:tc>
        <w:tc>
          <w:tcPr>
            <w:tcW w:w="12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7"/>
                <w:szCs w:val="17"/>
                <w:color w:val="0000FF"/>
              </w:rPr>
              <w:t>2,378,319</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note</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640" w:type="dxa"/>
            <w:vAlign w:val="bottom"/>
            <w:tcBorders>
              <w:top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700" w:type="dxa"/>
            <w:vAlign w:val="bottom"/>
            <w:tcBorders>
              <w:top w:val="single" w:sz="8" w:color="2C2C2C"/>
            </w:tcBorders>
          </w:tcPr>
          <w:p>
            <w:pPr>
              <w:spacing w:after="0"/>
              <w:rPr>
                <w:sz w:val="23"/>
                <w:szCs w:val="23"/>
                <w:color w:val="auto"/>
              </w:rPr>
            </w:pPr>
          </w:p>
        </w:tc>
        <w:tc>
          <w:tcPr>
            <w:tcW w:w="800" w:type="dxa"/>
            <w:vAlign w:val="bottom"/>
            <w:tcBorders>
              <w:top w:val="single" w:sz="8" w:color="2C2C2C"/>
            </w:tcBorders>
          </w:tcPr>
          <w:p>
            <w:pPr>
              <w:spacing w:after="0"/>
              <w:rPr>
                <w:sz w:val="23"/>
                <w:szCs w:val="23"/>
                <w:color w:val="auto"/>
              </w:rPr>
            </w:pPr>
          </w:p>
        </w:tc>
        <w:tc>
          <w:tcPr>
            <w:tcW w:w="72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200" w:type="dxa"/>
            <w:vAlign w:val="bottom"/>
            <w:tcBorders>
              <w:top w:val="single" w:sz="8" w:color="2C2C2C"/>
            </w:tcBorders>
          </w:tcPr>
          <w:p>
            <w:pPr>
              <w:spacing w:after="0"/>
              <w:rPr>
                <w:sz w:val="23"/>
                <w:szCs w:val="23"/>
                <w:color w:val="auto"/>
              </w:rPr>
            </w:pPr>
          </w:p>
        </w:tc>
        <w:tc>
          <w:tcPr>
            <w:tcW w:w="34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200" w:type="dxa"/>
            <w:vAlign w:val="bottom"/>
            <w:tcBorders>
              <w:top w:val="single" w:sz="8" w:color="2C2C2C"/>
            </w:tcBorders>
          </w:tcPr>
          <w:p>
            <w:pPr>
              <w:spacing w:after="0"/>
              <w:rPr>
                <w:sz w:val="23"/>
                <w:szCs w:val="23"/>
                <w:color w:val="auto"/>
              </w:rPr>
            </w:pPr>
          </w:p>
        </w:tc>
        <w:tc>
          <w:tcPr>
            <w:tcW w:w="1200" w:type="dxa"/>
            <w:vAlign w:val="bottom"/>
            <w:tcBorders>
              <w:top w:val="single" w:sz="8" w:color="2C2C2C"/>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0000FF"/>
              </w:rPr>
              <w:t>177,451</w:t>
            </w:r>
          </w:p>
        </w:tc>
        <w:tc>
          <w:tcPr>
            <w:tcW w:w="920" w:type="dxa"/>
            <w:vAlign w:val="bottom"/>
            <w:tcBorders>
              <w:top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transactions reported on this Form 4 were effected pursuant to a Rule 10b5-1 trading plan adopted by the reporting person on August 15, 2024.</w:t>
      </w:r>
    </w:p>
    <w:p>
      <w:pPr>
        <w:spacing w:after="0" w:line="50" w:lineRule="exact"/>
        <w:rPr>
          <w:rFonts w:ascii="Times New Roman" w:cs="Times New Roman" w:eastAsia="Times New Roman" w:hAnsi="Times New Roman"/>
          <w:sz w:val="13"/>
          <w:szCs w:val="13"/>
          <w:color w:val="008000"/>
        </w:rPr>
      </w:pPr>
    </w:p>
    <w:p>
      <w:pPr>
        <w:jc w:val="both"/>
        <w:ind w:left="40" w:right="2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$2.83 to $2.96, inclusive. The reporting person undertakes to provide to Expensify, Inc., any security holder of Expensify, Inc., or the staff of the Securities and Exchange Commission, upon request, full information regarding the number of shares sold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ind w:left="40" w:right="5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By Barrett Trust LLC, a manager-managed limited liability company. The investment and voting decisions of Barrett Trust LLC are made by its manager, the Reporting Person, and its controlling member is the Barrett Family Trust, for which the Reporting Person serves as trustee.</w:t>
      </w:r>
    </w:p>
    <w:p>
      <w:pPr>
        <w:sectPr>
          <w:pgSz w:w="11900" w:h="16838" w:orient="portrait"/>
          <w:cols w:equalWidth="0" w:num="1">
            <w:col w:w="11080"/>
          </w:cols>
          <w:pgMar w:left="460" w:top="219" w:right="359" w:bottom="1440" w:gutter="0" w:footer="0" w:header="0"/>
          <w:type w:val="continuous"/>
        </w:sectPr>
      </w:pP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Ryan Schaffer, as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239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3975"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870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87020" cy="8255"/>
                    </a:xfrm>
                    <a:prstGeom prst="rect">
                      <a:avLst/>
                    </a:prstGeom>
                    <a:noFill/>
                  </pic:spPr>
                </pic:pic>
              </a:graphicData>
            </a:graphic>
          </wp:anchor>
        </w:drawing>
      </w:r>
    </w:p>
    <w:p>
      <w:pPr>
        <w:spacing w:after="0" w:line="40"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11/20/2024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680" w:space="10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92682" TargetMode="External"/><Relationship Id="rId14" Type="http://schemas.openxmlformats.org/officeDocument/2006/relationships/hyperlink" Target="http://www.sec.gov/cgi-bin/browse-edgar?action=getcompany&amp;CIK=0001476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2024-11-20T16:35:18Z</dcterms:created>
  <dcterms:modified xsi:type="dcterms:W3CDTF">2024-11-20T16:35:18Z</dcterms:modified>
</cp:coreProperties>
</file>