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June 14, 2021.</w:t>
      </w:r>
    </w:p>
    <w:p>
      <w:pPr>
        <w:spacing w:after="0" w:line="136" w:lineRule="exact"/>
        <w:rPr>
          <w:sz w:val="24"/>
          <w:szCs w:val="24"/>
          <w:color w:val="auto"/>
        </w:rPr>
      </w:pPr>
    </w:p>
    <w:p>
      <w:pPr>
        <w:ind w:right="460"/>
        <w:spacing w:after="0" w:line="254" w:lineRule="auto"/>
        <w:rPr>
          <w:sz w:val="20"/>
          <w:szCs w:val="20"/>
          <w:color w:val="auto"/>
        </w:rPr>
      </w:pPr>
      <w:r>
        <w:rPr>
          <w:rFonts w:ascii="Arial" w:cs="Arial" w:eastAsia="Arial" w:hAnsi="Arial"/>
          <w:sz w:val="14"/>
          <w:szCs w:val="14"/>
          <w:b w:val="1"/>
          <w:bCs w:val="1"/>
          <w:color w:val="auto"/>
        </w:rPr>
        <w:t>This Amendment No. 1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54610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7" w:lineRule="exact"/>
        <w:rPr>
          <w:sz w:val="24"/>
          <w:szCs w:val="24"/>
          <w:color w:val="auto"/>
        </w:rPr>
      </w:pPr>
    </w:p>
    <w:tbl>
      <w:tblPr>
        <w:tblLayout w:type="fixed"/>
        <w:tblInd w:w="1040" w:type="dxa"/>
        <w:tblCellMar>
          <w:top w:w="0" w:type="dxa"/>
          <w:left w:w="0" w:type="dxa"/>
          <w:bottom w:w="0" w:type="dxa"/>
          <w:right w:w="0" w:type="dxa"/>
        </w:tblCellMar>
      </w:tblPr>
      <w:tr>
        <w:trPr>
          <w:trHeight w:val="168"/>
        </w:trPr>
        <w:tc>
          <w:tcPr>
            <w:tcW w:w="2700" w:type="dxa"/>
            <w:vAlign w:val="bottom"/>
          </w:tcPr>
          <w:p>
            <w:pPr>
              <w:jc w:val="center"/>
              <w:ind w:right="1017"/>
              <w:spacing w:after="0"/>
              <w:rPr>
                <w:sz w:val="20"/>
                <w:szCs w:val="20"/>
                <w:color w:val="auto"/>
              </w:rPr>
            </w:pPr>
            <w:r>
              <w:rPr>
                <w:rFonts w:ascii="Arial" w:cs="Arial" w:eastAsia="Arial" w:hAnsi="Arial"/>
                <w:sz w:val="13"/>
                <w:szCs w:val="13"/>
                <w:b w:val="1"/>
                <w:bCs w:val="1"/>
                <w:color w:val="auto"/>
                <w:w w:val="94"/>
              </w:rPr>
              <w:t>Delaware</w:t>
            </w:r>
          </w:p>
        </w:tc>
        <w:tc>
          <w:tcPr>
            <w:tcW w:w="392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7372</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97"/>
              </w:rPr>
              <w:t>27-0239450</w:t>
            </w:r>
          </w:p>
        </w:tc>
      </w:tr>
      <w:tr>
        <w:trPr>
          <w:trHeight w:val="199"/>
        </w:trPr>
        <w:tc>
          <w:tcPr>
            <w:tcW w:w="2700" w:type="dxa"/>
            <w:vAlign w:val="bottom"/>
          </w:tcPr>
          <w:p>
            <w:pPr>
              <w:jc w:val="center"/>
              <w:ind w:right="1017"/>
              <w:spacing w:after="0"/>
              <w:rPr>
                <w:sz w:val="20"/>
                <w:szCs w:val="20"/>
                <w:color w:val="auto"/>
              </w:rPr>
            </w:pPr>
            <w:r>
              <w:rPr>
                <w:rFonts w:ascii="Arial" w:cs="Arial" w:eastAsia="Arial" w:hAnsi="Arial"/>
                <w:sz w:val="13"/>
                <w:szCs w:val="13"/>
                <w:color w:val="auto"/>
                <w:w w:val="97"/>
              </w:rPr>
              <w:t>(State or other jurisdiction of</w:t>
            </w:r>
          </w:p>
        </w:tc>
        <w:tc>
          <w:tcPr>
            <w:tcW w:w="3920" w:type="dxa"/>
            <w:vAlign w:val="bottom"/>
          </w:tcPr>
          <w:p>
            <w:pPr>
              <w:jc w:val="center"/>
              <w:ind w:right="117"/>
              <w:spacing w:after="0"/>
              <w:rPr>
                <w:sz w:val="20"/>
                <w:szCs w:val="20"/>
                <w:color w:val="auto"/>
              </w:rPr>
            </w:pPr>
            <w:r>
              <w:rPr>
                <w:rFonts w:ascii="Arial" w:cs="Arial" w:eastAsia="Arial" w:hAnsi="Arial"/>
                <w:sz w:val="13"/>
                <w:szCs w:val="13"/>
                <w:color w:val="auto"/>
                <w:w w:val="97"/>
              </w:rPr>
              <w:t>(Primary Standard Industrial</w:t>
            </w:r>
          </w:p>
        </w:tc>
        <w:tc>
          <w:tcPr>
            <w:tcW w:w="2220" w:type="dxa"/>
            <w:vAlign w:val="bottom"/>
          </w:tcPr>
          <w:p>
            <w:pPr>
              <w:jc w:val="center"/>
              <w:ind w:left="1157"/>
              <w:spacing w:after="0"/>
              <w:rPr>
                <w:sz w:val="20"/>
                <w:szCs w:val="20"/>
                <w:color w:val="auto"/>
              </w:rPr>
            </w:pPr>
            <w:r>
              <w:rPr>
                <w:rFonts w:ascii="Arial" w:cs="Arial" w:eastAsia="Arial" w:hAnsi="Arial"/>
                <w:sz w:val="13"/>
                <w:szCs w:val="13"/>
                <w:color w:val="auto"/>
                <w:w w:val="96"/>
              </w:rPr>
              <w:t>(I.R.S. Employer</w:t>
            </w:r>
          </w:p>
        </w:tc>
      </w:tr>
      <w:tr>
        <w:trPr>
          <w:trHeight w:val="152"/>
        </w:trPr>
        <w:tc>
          <w:tcPr>
            <w:tcW w:w="2700" w:type="dxa"/>
            <w:vAlign w:val="bottom"/>
          </w:tcPr>
          <w:p>
            <w:pPr>
              <w:jc w:val="center"/>
              <w:ind w:right="1017"/>
              <w:spacing w:after="0"/>
              <w:rPr>
                <w:sz w:val="20"/>
                <w:szCs w:val="20"/>
                <w:color w:val="auto"/>
              </w:rPr>
            </w:pPr>
            <w:r>
              <w:rPr>
                <w:rFonts w:ascii="Arial" w:cs="Arial" w:eastAsia="Arial" w:hAnsi="Arial"/>
                <w:sz w:val="13"/>
                <w:szCs w:val="13"/>
                <w:color w:val="auto"/>
                <w:w w:val="95"/>
              </w:rPr>
              <w:t>incorporation or organization)</w:t>
            </w:r>
          </w:p>
        </w:tc>
        <w:tc>
          <w:tcPr>
            <w:tcW w:w="3920" w:type="dxa"/>
            <w:vAlign w:val="bottom"/>
          </w:tcPr>
          <w:p>
            <w:pPr>
              <w:jc w:val="center"/>
              <w:ind w:right="117"/>
              <w:spacing w:after="0"/>
              <w:rPr>
                <w:sz w:val="20"/>
                <w:szCs w:val="20"/>
                <w:color w:val="auto"/>
              </w:rPr>
            </w:pPr>
            <w:r>
              <w:rPr>
                <w:rFonts w:ascii="Arial" w:cs="Arial" w:eastAsia="Arial" w:hAnsi="Arial"/>
                <w:sz w:val="13"/>
                <w:szCs w:val="13"/>
                <w:color w:val="auto"/>
                <w:w w:val="97"/>
              </w:rPr>
              <w:t>Classification Code Number)</w:t>
            </w:r>
          </w:p>
        </w:tc>
        <w:tc>
          <w:tcPr>
            <w:tcW w:w="2220" w:type="dxa"/>
            <w:vAlign w:val="bottom"/>
          </w:tcPr>
          <w:p>
            <w:pPr>
              <w:jc w:val="center"/>
              <w:ind w:left="1177"/>
              <w:spacing w:after="0"/>
              <w:rPr>
                <w:sz w:val="20"/>
                <w:szCs w:val="20"/>
                <w:color w:val="auto"/>
              </w:rPr>
            </w:pPr>
            <w:r>
              <w:rPr>
                <w:rFonts w:ascii="Arial" w:cs="Arial" w:eastAsia="Arial" w:hAnsi="Arial"/>
                <w:sz w:val="13"/>
                <w:szCs w:val="13"/>
                <w:color w:val="auto"/>
                <w:w w:val="96"/>
              </w:rPr>
              <w:t>Identification No.)</w:t>
            </w:r>
          </w:p>
        </w:tc>
      </w:tr>
    </w:tbl>
    <w:p>
      <w:pPr>
        <w:spacing w:after="0" w:line="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401 SW 5</w:t>
      </w:r>
      <w:r>
        <w:rPr>
          <w:rFonts w:ascii="Arial" w:cs="Arial" w:eastAsia="Arial" w:hAnsi="Arial"/>
          <w:sz w:val="16"/>
          <w:szCs w:val="16"/>
          <w:b w:val="1"/>
          <w:bCs w:val="1"/>
          <w:color w:val="auto"/>
          <w:vertAlign w:val="superscript"/>
        </w:rPr>
        <w:t>th</w:t>
      </w:r>
      <w:r>
        <w:rPr>
          <w:rFonts w:ascii="Arial" w:cs="Arial" w:eastAsia="Arial" w:hAnsi="Arial"/>
          <w:sz w:val="13"/>
          <w:szCs w:val="13"/>
          <w:b w:val="1"/>
          <w:bCs w:val="1"/>
          <w:color w:val="auto"/>
        </w:rPr>
        <w:t xml:space="preserve"> Ave</w:t>
      </w:r>
    </w:p>
    <w:p>
      <w:pPr>
        <w:jc w:val="center"/>
        <w:spacing w:after="0"/>
        <w:rPr>
          <w:sz w:val="20"/>
          <w:szCs w:val="20"/>
          <w:color w:val="auto"/>
        </w:rPr>
      </w:pPr>
      <w:r>
        <w:rPr>
          <w:rFonts w:ascii="Arial" w:cs="Arial" w:eastAsia="Arial" w:hAnsi="Arial"/>
          <w:sz w:val="13"/>
          <w:szCs w:val="13"/>
          <w:b w:val="1"/>
          <w:bCs w:val="1"/>
          <w:color w:val="auto"/>
        </w:rPr>
        <w:t>Portland, Oregon 97204</w:t>
      </w:r>
    </w:p>
    <w:p>
      <w:pPr>
        <w:jc w:val="center"/>
        <w:spacing w:after="0"/>
        <w:rPr>
          <w:sz w:val="20"/>
          <w:szCs w:val="20"/>
          <w:color w:val="auto"/>
        </w:rPr>
      </w:pPr>
      <w:r>
        <w:rPr>
          <w:rFonts w:ascii="Arial" w:cs="Arial" w:eastAsia="Arial" w:hAnsi="Arial"/>
          <w:sz w:val="13"/>
          <w:szCs w:val="13"/>
          <w:b w:val="1"/>
          <w:bCs w:val="1"/>
          <w:color w:val="auto"/>
        </w:rPr>
        <w:t>Telephone: (971) 365-3939</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54610</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Barrett</w:t>
      </w:r>
    </w:p>
    <w:p>
      <w:pPr>
        <w:jc w:val="center"/>
        <w:spacing w:after="0" w:line="195" w:lineRule="auto"/>
        <w:rPr>
          <w:sz w:val="20"/>
          <w:szCs w:val="20"/>
          <w:color w:val="auto"/>
        </w:rPr>
      </w:pPr>
      <w:r>
        <w:rPr>
          <w:rFonts w:ascii="Arial" w:cs="Arial" w:eastAsia="Arial" w:hAnsi="Arial"/>
          <w:sz w:val="13"/>
          <w:szCs w:val="13"/>
          <w:b w:val="1"/>
          <w:bCs w:val="1"/>
          <w:color w:val="auto"/>
        </w:rPr>
        <w:t>Chief Executive Officer</w:t>
      </w:r>
    </w:p>
    <w:p>
      <w:pPr>
        <w:jc w:val="center"/>
        <w:spacing w:after="0" w:line="186" w:lineRule="auto"/>
        <w:rPr>
          <w:sz w:val="20"/>
          <w:szCs w:val="20"/>
          <w:color w:val="auto"/>
        </w:rPr>
      </w:pPr>
      <w:r>
        <w:rPr>
          <w:rFonts w:ascii="Arial" w:cs="Arial" w:eastAsia="Arial" w:hAnsi="Arial"/>
          <w:sz w:val="12"/>
          <w:szCs w:val="12"/>
          <w:b w:val="1"/>
          <w:bCs w:val="1"/>
          <w:color w:val="auto"/>
        </w:rPr>
        <w:t>Expensify, Inc.</w:t>
      </w:r>
    </w:p>
    <w:p>
      <w:pPr>
        <w:jc w:val="center"/>
        <w:spacing w:after="0" w:line="189" w:lineRule="auto"/>
        <w:rPr>
          <w:sz w:val="20"/>
          <w:szCs w:val="20"/>
          <w:color w:val="auto"/>
        </w:rPr>
      </w:pPr>
      <w:r>
        <w:rPr>
          <w:rFonts w:ascii="Arial" w:cs="Arial" w:eastAsia="Arial" w:hAnsi="Arial"/>
          <w:sz w:val="12"/>
          <w:szCs w:val="12"/>
          <w:b w:val="1"/>
          <w:bCs w:val="1"/>
          <w:color w:val="auto"/>
        </w:rPr>
        <w:t>401 SW 5</w:t>
      </w:r>
      <w:r>
        <w:rPr>
          <w:rFonts w:ascii="Arial" w:cs="Arial" w:eastAsia="Arial" w:hAnsi="Arial"/>
          <w:sz w:val="15"/>
          <w:szCs w:val="15"/>
          <w:b w:val="1"/>
          <w:bCs w:val="1"/>
          <w:color w:val="auto"/>
          <w:vertAlign w:val="superscript"/>
        </w:rPr>
        <w:t>th</w:t>
      </w:r>
      <w:r>
        <w:rPr>
          <w:rFonts w:ascii="Arial" w:cs="Arial" w:eastAsia="Arial" w:hAnsi="Arial"/>
          <w:sz w:val="12"/>
          <w:szCs w:val="12"/>
          <w:b w:val="1"/>
          <w:bCs w:val="1"/>
          <w:color w:val="auto"/>
        </w:rPr>
        <w:t xml:space="preserve"> Ave</w:t>
      </w:r>
    </w:p>
    <w:p>
      <w:pPr>
        <w:jc w:val="center"/>
        <w:spacing w:after="0" w:line="195" w:lineRule="auto"/>
        <w:rPr>
          <w:sz w:val="20"/>
          <w:szCs w:val="20"/>
          <w:color w:val="auto"/>
        </w:rPr>
      </w:pPr>
      <w:r>
        <w:rPr>
          <w:rFonts w:ascii="Arial" w:cs="Arial" w:eastAsia="Arial" w:hAnsi="Arial"/>
          <w:sz w:val="13"/>
          <w:szCs w:val="13"/>
          <w:b w:val="1"/>
          <w:bCs w:val="1"/>
          <w:color w:val="auto"/>
        </w:rPr>
        <w:t>Portland, Oregon 97204</w:t>
      </w:r>
    </w:p>
    <w:p>
      <w:pPr>
        <w:jc w:val="center"/>
        <w:spacing w:after="0" w:line="217" w:lineRule="auto"/>
        <w:rPr>
          <w:sz w:val="20"/>
          <w:szCs w:val="20"/>
          <w:color w:val="auto"/>
        </w:rPr>
      </w:pPr>
      <w:r>
        <w:rPr>
          <w:rFonts w:ascii="Arial" w:cs="Arial" w:eastAsia="Arial" w:hAnsi="Arial"/>
          <w:sz w:val="13"/>
          <w:szCs w:val="13"/>
          <w:b w:val="1"/>
          <w:bCs w:val="1"/>
          <w:color w:val="auto"/>
        </w:rPr>
        <w:t>Telephone: (971) 365-3939</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54610</wp:posOffset>
            </wp:positionV>
            <wp:extent cx="2048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39" w:lineRule="exact"/>
        <w:rPr>
          <w:sz w:val="24"/>
          <w:szCs w:val="24"/>
          <w:color w:val="auto"/>
        </w:rPr>
      </w:pPr>
    </w:p>
    <w:tbl>
      <w:tblPr>
        <w:tblLayout w:type="fixed"/>
        <w:tblInd w:w="100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366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Copies to:</w:t>
            </w:r>
          </w:p>
        </w:tc>
        <w:tc>
          <w:tcPr>
            <w:tcW w:w="2920" w:type="dxa"/>
            <w:vAlign w:val="bottom"/>
          </w:tcPr>
          <w:p>
            <w:pPr>
              <w:spacing w:after="0"/>
              <w:rPr>
                <w:sz w:val="14"/>
                <w:szCs w:val="14"/>
                <w:color w:val="auto"/>
              </w:rPr>
            </w:pPr>
          </w:p>
        </w:tc>
      </w:tr>
      <w:tr>
        <w:trPr>
          <w:trHeight w:val="183"/>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3"/>
              </w:rPr>
              <w:t>Tad J. Freese</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8"/>
              </w:rPr>
              <w:t>Ryan Schaffer</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6"/>
              </w:rPr>
              <w:t>Dave Peinsipp</w:t>
            </w:r>
          </w:p>
        </w:tc>
      </w:tr>
      <w:tr>
        <w:trPr>
          <w:trHeight w:val="149"/>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6"/>
              </w:rPr>
              <w:t>Alexa M. Berlin</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Chief Financial Officer</w:t>
            </w: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Kristin VanderPas</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7"/>
              </w:rPr>
              <w:t>Benjamin A. Potter</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4"/>
              </w:rPr>
              <w:t>Expensify, Inc.</w:t>
            </w: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5"/>
              </w:rPr>
              <w:t>Denny Won</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5"/>
              </w:rPr>
              <w:t>Christopher Shoff</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401 SW 5th Ave</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7"/>
              </w:rPr>
              <w:t>Cooley LLP</w:t>
            </w:r>
          </w:p>
        </w:tc>
      </w:tr>
      <w:tr>
        <w:trPr>
          <w:trHeight w:val="149"/>
        </w:trPr>
        <w:tc>
          <w:tcPr>
            <w:tcW w:w="2760" w:type="dxa"/>
            <w:vAlign w:val="bottom"/>
          </w:tcPr>
          <w:p>
            <w:pPr>
              <w:jc w:val="center"/>
              <w:ind w:right="977"/>
              <w:spacing w:after="0"/>
              <w:rPr>
                <w:sz w:val="20"/>
                <w:szCs w:val="20"/>
                <w:color w:val="auto"/>
              </w:rPr>
            </w:pPr>
            <w:r>
              <w:rPr>
                <w:rFonts w:ascii="Arial" w:cs="Arial" w:eastAsia="Arial" w:hAnsi="Arial"/>
                <w:sz w:val="13"/>
                <w:szCs w:val="13"/>
                <w:b w:val="1"/>
                <w:bCs w:val="1"/>
                <w:color w:val="auto"/>
                <w:w w:val="96"/>
              </w:rPr>
              <w:t>Latham &amp; Watkins LLP</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Portland, Oregon 97204</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6"/>
              </w:rPr>
              <w:t>101 California Street, 5th Floor</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5"/>
              </w:rPr>
              <w:t>140 Scott Drive</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5"/>
              </w:rPr>
              <w:t>Telephone: (971) 365-3939</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7"/>
              </w:rPr>
              <w:t>San Francisco, California 94111</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6"/>
              </w:rPr>
              <w:t>Menlo Park, California 94025</w:t>
            </w:r>
          </w:p>
        </w:tc>
        <w:tc>
          <w:tcPr>
            <w:tcW w:w="3660" w:type="dxa"/>
            <w:vAlign w:val="bottom"/>
          </w:tcPr>
          <w:p>
            <w:pPr>
              <w:spacing w:after="0"/>
              <w:rPr>
                <w:sz w:val="12"/>
                <w:szCs w:val="12"/>
                <w:color w:val="auto"/>
              </w:rPr>
            </w:pP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Telephone: (415) 693-2000</w:t>
            </w:r>
          </w:p>
        </w:tc>
      </w:tr>
      <w:tr>
        <w:trPr>
          <w:trHeight w:val="168"/>
        </w:trPr>
        <w:tc>
          <w:tcPr>
            <w:tcW w:w="2760" w:type="dxa"/>
            <w:vAlign w:val="bottom"/>
          </w:tcPr>
          <w:p>
            <w:pPr>
              <w:jc w:val="center"/>
              <w:ind w:right="977"/>
              <w:spacing w:after="0"/>
              <w:rPr>
                <w:sz w:val="20"/>
                <w:szCs w:val="20"/>
                <w:color w:val="auto"/>
              </w:rPr>
            </w:pPr>
            <w:r>
              <w:rPr>
                <w:rFonts w:ascii="Arial" w:cs="Arial" w:eastAsia="Arial" w:hAnsi="Arial"/>
                <w:sz w:val="13"/>
                <w:szCs w:val="13"/>
                <w:b w:val="1"/>
                <w:bCs w:val="1"/>
                <w:color w:val="auto"/>
                <w:w w:val="96"/>
              </w:rPr>
              <w:t>Telephone: (650) 328-4600</w:t>
            </w:r>
          </w:p>
        </w:tc>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130175</wp:posOffset>
            </wp:positionV>
            <wp:extent cx="2023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64770</wp:posOffset>
            </wp:positionV>
            <wp:extent cx="2023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3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3"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right="18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right="18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4" w:lineRule="exact"/>
        <w:rPr>
          <w:sz w:val="24"/>
          <w:szCs w:val="24"/>
          <w:color w:val="auto"/>
        </w:rPr>
      </w:pPr>
    </w:p>
    <w:p>
      <w:pPr>
        <w:ind w:right="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p>
      <w:pPr>
        <w:ind w:left="20"/>
        <w:spacing w:after="0" w:line="150" w:lineRule="exact"/>
        <w:tabs>
          <w:tab w:leader="none" w:pos="8040" w:val="left"/>
        </w:tabs>
        <w:rPr>
          <w:sz w:val="20"/>
          <w:szCs w:val="20"/>
          <w:color w:val="auto"/>
        </w:rPr>
      </w:pPr>
      <w:r>
        <w:rPr>
          <w:rFonts w:ascii="Arial" w:cs="Arial" w:eastAsia="Arial" w:hAnsi="Arial"/>
          <w:sz w:val="13"/>
          <w:szCs w:val="13"/>
          <w:b w:val="1"/>
          <w:bCs w:val="1"/>
          <w:color w:val="auto"/>
        </w:rPr>
        <w:t xml:space="preserve">Large accelerated filer </w:t>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ind w:left="20"/>
        <w:spacing w:after="0" w:line="150" w:lineRule="exact"/>
        <w:tabs>
          <w:tab w:leader="none" w:pos="8040" w:val="left"/>
        </w:tabs>
        <w:rPr>
          <w:sz w:val="20"/>
          <w:szCs w:val="20"/>
          <w:color w:val="auto"/>
        </w:rPr>
      </w:pPr>
      <w:r>
        <w:rPr>
          <w:rFonts w:ascii="Arial" w:cs="Arial" w:eastAsia="Arial" w:hAnsi="Arial"/>
          <w:sz w:val="13"/>
          <w:szCs w:val="13"/>
          <w:b w:val="1"/>
          <w:bCs w:val="1"/>
          <w:color w:val="auto"/>
        </w:rPr>
        <w:t xml:space="preserve">Non-accelerated filer </w:t>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b w:val="1"/>
          <w:bCs w:val="1"/>
          <w:color w:val="auto"/>
        </w:rPr>
        <w:t xml:space="preserve">Emerging growth company </w:t>
      </w:r>
      <w:r>
        <w:rPr>
          <w:rFonts w:ascii="MS PGothic" w:cs="MS PGothic" w:eastAsia="MS PGothic" w:hAnsi="MS PGothic"/>
          <w:sz w:val="13"/>
          <w:szCs w:val="13"/>
          <w:color w:val="auto"/>
          <w:highlight w:val="black"/>
        </w:rPr>
        <w:t>☒</w:t>
      </w:r>
    </w:p>
    <w:p>
      <w:pPr>
        <w:spacing w:after="0" w:line="153" w:lineRule="exact"/>
        <w:rPr>
          <w:sz w:val="24"/>
          <w:szCs w:val="24"/>
          <w:color w:val="auto"/>
        </w:rPr>
      </w:pPr>
    </w:p>
    <w:p>
      <w:pPr>
        <w:ind w:right="260"/>
        <w:spacing w:after="0" w:line="195"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39370</wp:posOffset>
            </wp:positionV>
            <wp:extent cx="202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7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CALCULATION OF REGISTRATION FEE</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2"/>
        </w:trPr>
        <w:tc>
          <w:tcPr>
            <w:tcW w:w="4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6"/>
              </w:rPr>
              <w:t>Proposed</w:t>
            </w:r>
          </w:p>
        </w:tc>
        <w:tc>
          <w:tcPr>
            <w:tcW w:w="1760" w:type="dxa"/>
            <w:vAlign w:val="bottom"/>
          </w:tcPr>
          <w:p>
            <w:pPr>
              <w:spacing w:after="0"/>
              <w:rPr>
                <w:sz w:val="24"/>
                <w:szCs w:val="24"/>
                <w:color w:val="auto"/>
              </w:rPr>
            </w:pPr>
          </w:p>
        </w:tc>
      </w:tr>
      <w:tr>
        <w:trPr>
          <w:trHeight w:val="149"/>
        </w:trPr>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5"/>
              </w:rPr>
              <w:t>maximum</w:t>
            </w:r>
          </w:p>
        </w:tc>
        <w:tc>
          <w:tcPr>
            <w:tcW w:w="1760" w:type="dxa"/>
            <w:vAlign w:val="bottom"/>
          </w:tcPr>
          <w:p>
            <w:pPr>
              <w:spacing w:after="0"/>
              <w:rPr>
                <w:sz w:val="12"/>
                <w:szCs w:val="12"/>
                <w:color w:val="auto"/>
              </w:rPr>
            </w:pPr>
          </w:p>
        </w:tc>
      </w:tr>
      <w:tr>
        <w:trPr>
          <w:trHeight w:val="148"/>
        </w:trPr>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6"/>
              </w:rPr>
              <w:t>aggregate</w:t>
            </w:r>
          </w:p>
        </w:tc>
        <w:tc>
          <w:tcPr>
            <w:tcW w:w="176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Amount of</w:t>
            </w:r>
          </w:p>
        </w:tc>
      </w:tr>
      <w:tr>
        <w:trPr>
          <w:trHeight w:val="149"/>
        </w:trPr>
        <w:tc>
          <w:tcPr>
            <w:tcW w:w="4140" w:type="dxa"/>
            <w:vAlign w:val="bottom"/>
          </w:tcPr>
          <w:p>
            <w:pPr>
              <w:jc w:val="center"/>
              <w:ind w:left="1881"/>
              <w:spacing w:after="0"/>
              <w:rPr>
                <w:sz w:val="20"/>
                <w:szCs w:val="20"/>
                <w:color w:val="auto"/>
              </w:rPr>
            </w:pPr>
            <w:r>
              <w:rPr>
                <w:rFonts w:ascii="Arial" w:cs="Arial" w:eastAsia="Arial" w:hAnsi="Arial"/>
                <w:sz w:val="13"/>
                <w:szCs w:val="13"/>
                <w:b w:val="1"/>
                <w:bCs w:val="1"/>
                <w:color w:val="auto"/>
                <w:w w:val="96"/>
              </w:rPr>
              <w:t>Title of each class of</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480"/>
              <w:spacing w:after="0" w:line="148"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16"/>
                <w:szCs w:val="16"/>
                <w:b w:val="1"/>
                <w:bCs w:val="1"/>
                <w:color w:val="auto"/>
                <w:w w:val="93"/>
                <w:vertAlign w:val="superscript"/>
              </w:rPr>
              <w:t>(1)</w:t>
            </w:r>
          </w:p>
        </w:tc>
        <w:tc>
          <w:tcPr>
            <w:tcW w:w="1760" w:type="dxa"/>
            <w:vAlign w:val="bottom"/>
          </w:tcPr>
          <w:p>
            <w:pPr>
              <w:jc w:val="center"/>
              <w:ind w:right="600"/>
              <w:spacing w:after="0" w:line="148" w:lineRule="exact"/>
              <w:rPr>
                <w:sz w:val="20"/>
                <w:szCs w:val="20"/>
                <w:color w:val="auto"/>
              </w:rPr>
            </w:pPr>
            <w:r>
              <w:rPr>
                <w:rFonts w:ascii="Arial" w:cs="Arial" w:eastAsia="Arial" w:hAnsi="Arial"/>
                <w:sz w:val="13"/>
                <w:szCs w:val="13"/>
                <w:b w:val="1"/>
                <w:bCs w:val="1"/>
                <w:color w:val="auto"/>
                <w:w w:val="95"/>
              </w:rPr>
              <w:t>registration fee</w:t>
            </w:r>
            <w:r>
              <w:rPr>
                <w:rFonts w:ascii="Arial" w:cs="Arial" w:eastAsia="Arial" w:hAnsi="Arial"/>
                <w:sz w:val="16"/>
                <w:szCs w:val="16"/>
                <w:b w:val="1"/>
                <w:bCs w:val="1"/>
                <w:color w:val="auto"/>
                <w:w w:val="95"/>
                <w:vertAlign w:val="superscript"/>
              </w:rPr>
              <w:t>(2)</w:t>
            </w:r>
          </w:p>
        </w:tc>
      </w:tr>
      <w:tr>
        <w:trPr>
          <w:trHeight w:val="168"/>
        </w:trPr>
        <w:tc>
          <w:tcPr>
            <w:tcW w:w="4140" w:type="dxa"/>
            <w:vAlign w:val="bottom"/>
          </w:tcPr>
          <w:p>
            <w:pPr>
              <w:jc w:val="center"/>
              <w:ind w:left="1881"/>
              <w:spacing w:after="0"/>
              <w:rPr>
                <w:sz w:val="20"/>
                <w:szCs w:val="20"/>
                <w:color w:val="auto"/>
              </w:rPr>
            </w:pPr>
            <w:r>
              <w:rPr>
                <w:rFonts w:ascii="Arial" w:cs="Arial" w:eastAsia="Arial" w:hAnsi="Arial"/>
                <w:sz w:val="13"/>
                <w:szCs w:val="13"/>
                <w:b w:val="1"/>
                <w:bCs w:val="1"/>
                <w:color w:val="auto"/>
                <w:w w:val="96"/>
              </w:rPr>
              <w:t>securities to be registered</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0"/>
        </w:trPr>
        <w:tc>
          <w:tcPr>
            <w:tcW w:w="4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Class A Common Stock, par value $0.0001 per share</w:t>
            </w:r>
          </w:p>
        </w:tc>
        <w:tc>
          <w:tcPr>
            <w:tcW w:w="27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2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CCEEFF"/>
            </w:tcBorders>
            <w:shd w:val="clear" w:color="auto" w:fill="CCEEFF"/>
          </w:tcPr>
          <w:p>
            <w:pPr>
              <w:spacing w:after="0"/>
              <w:rPr>
                <w:sz w:val="15"/>
                <w:szCs w:val="15"/>
                <w:color w:val="auto"/>
              </w:rPr>
            </w:pPr>
          </w:p>
        </w:tc>
      </w:tr>
      <w:tr>
        <w:trPr>
          <w:trHeight w:val="199"/>
        </w:trPr>
        <w:tc>
          <w:tcPr>
            <w:tcW w:w="9480" w:type="dxa"/>
            <w:vAlign w:val="bottom"/>
            <w:gridSpan w:val="7"/>
          </w:tcPr>
          <w:p>
            <w:pPr>
              <w:jc w:val="right"/>
              <w:ind w:right="20"/>
              <w:spacing w:after="0"/>
              <w:rPr>
                <w:sz w:val="20"/>
                <w:szCs w:val="20"/>
                <w:color w:val="auto"/>
              </w:rPr>
            </w:pPr>
            <w:r>
              <w:rPr>
                <w:rFonts w:ascii="Arial" w:cs="Arial" w:eastAsia="Arial" w:hAnsi="Arial"/>
                <w:sz w:val="11"/>
                <w:szCs w:val="11"/>
                <w:color w:val="auto"/>
              </w:rPr>
              <w:t>(1)   Estimated solely for the purpose of calculating the registration fee in accordance with Rule 457(o) under the Securities Act of 1933, as amended. Includes the aggregate offering price of</w:t>
            </w:r>
          </w:p>
        </w:tc>
        <w:tc>
          <w:tcPr>
            <w:tcW w:w="1760" w:type="dxa"/>
            <w:vAlign w:val="bottom"/>
          </w:tcPr>
          <w:p>
            <w:pPr>
              <w:ind w:left="280"/>
              <w:spacing w:after="0"/>
              <w:rPr>
                <w:sz w:val="20"/>
                <w:szCs w:val="20"/>
                <w:color w:val="auto"/>
              </w:rPr>
            </w:pPr>
            <w:r>
              <w:rPr>
                <w:rFonts w:ascii="Arial" w:cs="Arial" w:eastAsia="Arial" w:hAnsi="Arial"/>
                <w:sz w:val="11"/>
                <w:szCs w:val="11"/>
                <w:color w:val="auto"/>
              </w:rPr>
              <w:t>additional shares that the</w:t>
            </w:r>
          </w:p>
        </w:tc>
      </w:tr>
      <w:tr>
        <w:trPr>
          <w:trHeight w:val="121"/>
        </w:trPr>
        <w:tc>
          <w:tcPr>
            <w:tcW w:w="4140" w:type="dxa"/>
            <w:vAlign w:val="bottom"/>
          </w:tcPr>
          <w:p>
            <w:pPr>
              <w:ind w:left="660"/>
              <w:spacing w:after="0" w:line="122" w:lineRule="exact"/>
              <w:rPr>
                <w:sz w:val="20"/>
                <w:szCs w:val="20"/>
                <w:color w:val="auto"/>
              </w:rPr>
            </w:pPr>
            <w:r>
              <w:rPr>
                <w:rFonts w:ascii="Arial" w:cs="Arial" w:eastAsia="Arial" w:hAnsi="Arial"/>
                <w:sz w:val="11"/>
                <w:szCs w:val="11"/>
                <w:color w:val="auto"/>
              </w:rPr>
              <w:t>underwriters have the option to purchase.</w:t>
            </w: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ind w:left="660" w:hanging="328"/>
        <w:spacing w:after="0"/>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color w:val="auto"/>
        </w:rPr>
        <w:t>Calculated pursuant to Rule 457(o) based on an estimate of the proposed maximum aggregate offering price.</w:t>
      </w:r>
    </w:p>
    <w:p>
      <w:pPr>
        <w:sectPr>
          <w:pgSz w:w="11900" w:h="16838" w:orient="portrait"/>
          <w:cols w:equalWidth="0" w:num="1">
            <w:col w:w="11240"/>
          </w:cols>
          <w:pgMar w:left="320" w:top="707" w:right="339" w:bottom="1440" w:gutter="0" w:footer="0" w:header="0"/>
        </w:sectPr>
      </w:pPr>
    </w:p>
    <w:p>
      <w:pPr>
        <w:spacing w:after="0" w:line="125" w:lineRule="exact"/>
        <w:rPr>
          <w:sz w:val="24"/>
          <w:szCs w:val="24"/>
          <w:color w:val="auto"/>
        </w:rPr>
      </w:pPr>
    </w:p>
    <w:p>
      <w:pPr>
        <w:jc w:val="both"/>
        <w:ind w:right="16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type w:val="continuous"/>
        </w:sectPr>
      </w:pPr>
    </w:p>
    <w:bookmarkStart w:id="1" w:name="page2"/>
    <w:bookmarkEnd w:id="1"/>
    <w:p>
      <w:pPr>
        <w:ind w:right="80"/>
        <w:spacing w:after="0" w:line="266" w:lineRule="auto"/>
        <w:rPr>
          <w:sz w:val="20"/>
          <w:szCs w:val="20"/>
          <w:color w:val="auto"/>
        </w:rPr>
      </w:pPr>
      <w:r>
        <w:rPr>
          <w:rFonts w:ascii="Arial" w:cs="Arial" w:eastAsia="Arial" w:hAnsi="Arial"/>
          <w:sz w:val="16"/>
          <w:szCs w:val="16"/>
          <w:b w:val="1"/>
          <w:bCs w:val="1"/>
          <w:color w:val="A655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20"/>
                <w:szCs w:val="20"/>
                <w:color w:val="auto"/>
              </w:rPr>
            </w:pPr>
            <w:r>
              <w:rPr>
                <w:rFonts w:ascii="Arial" w:cs="Arial" w:eastAsia="Arial" w:hAnsi="Arial"/>
                <w:sz w:val="16"/>
                <w:szCs w:val="16"/>
                <w:b w:val="1"/>
                <w:bCs w:val="1"/>
                <w:color w:val="A6555F"/>
              </w:rPr>
              <w:t>Subject to completion, dated</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6555F"/>
              </w:rPr>
              <w:t>, 2021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w:t>
      </w:r>
    </w:p>
    <w:p>
      <w:pPr>
        <w:spacing w:after="0" w:line="114" w:lineRule="exact"/>
        <w:rPr>
          <w:sz w:val="20"/>
          <w:szCs w:val="20"/>
          <w:color w:val="auto"/>
        </w:rPr>
      </w:pPr>
    </w:p>
    <w:p>
      <w:pPr>
        <w:ind w:left="960"/>
        <w:spacing w:after="0"/>
        <w:rPr>
          <w:sz w:val="20"/>
          <w:szCs w:val="20"/>
          <w:color w:val="auto"/>
        </w:rPr>
      </w:pPr>
      <w:r>
        <w:rPr>
          <w:rFonts w:ascii="Arial" w:cs="Arial" w:eastAsia="Arial" w:hAnsi="Arial"/>
          <w:sz w:val="29"/>
          <w:szCs w:val="29"/>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857250"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Expensify, Inc.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69" w:lineRule="exact"/>
        <w:rPr>
          <w:sz w:val="20"/>
          <w:szCs w:val="20"/>
          <w:color w:val="auto"/>
        </w:rPr>
      </w:pPr>
    </w:p>
    <w:p>
      <w:pPr>
        <w:spacing w:after="0"/>
        <w:tabs>
          <w:tab w:leader="none" w:pos="7940" w:val="left"/>
        </w:tabs>
        <w:rPr>
          <w:sz w:val="20"/>
          <w:szCs w:val="20"/>
          <w:color w:val="auto"/>
        </w:rPr>
      </w:pPr>
      <w:r>
        <w:rPr>
          <w:rFonts w:ascii="Arial" w:cs="Arial" w:eastAsia="Arial" w:hAnsi="Arial"/>
          <w:sz w:val="16"/>
          <w:szCs w:val="16"/>
          <w:color w:val="auto"/>
        </w:rPr>
        <w:t>This is an initial public offering of shares of Class A common stock by Expensify, Inc. We are offering</w:t>
      </w:r>
      <w:r>
        <w:rPr>
          <w:sz w:val="20"/>
          <w:szCs w:val="20"/>
          <w:color w:val="auto"/>
        </w:rPr>
        <w:tab/>
      </w:r>
      <w:r>
        <w:rPr>
          <w:rFonts w:ascii="Arial" w:cs="Arial" w:eastAsia="Arial" w:hAnsi="Arial"/>
          <w:sz w:val="16"/>
          <w:szCs w:val="16"/>
          <w:color w:val="auto"/>
        </w:rPr>
        <w:t>shares of our Class A common stock and the</w:t>
      </w:r>
    </w:p>
    <w:p>
      <w:pPr>
        <w:spacing w:after="0" w:line="5" w:lineRule="exact"/>
        <w:rPr>
          <w:sz w:val="20"/>
          <w:szCs w:val="20"/>
          <w:color w:val="auto"/>
        </w:rPr>
      </w:pPr>
    </w:p>
    <w:p>
      <w:pPr>
        <w:spacing w:after="0"/>
        <w:tabs>
          <w:tab w:leader="none" w:pos="6000" w:val="left"/>
        </w:tabs>
        <w:rPr>
          <w:sz w:val="20"/>
          <w:szCs w:val="20"/>
          <w:color w:val="auto"/>
        </w:rPr>
      </w:pPr>
      <w:r>
        <w:rPr>
          <w:rFonts w:ascii="Arial" w:cs="Arial" w:eastAsia="Arial" w:hAnsi="Arial"/>
          <w:sz w:val="16"/>
          <w:szCs w:val="16"/>
          <w:color w:val="auto"/>
        </w:rPr>
        <w:t>selling stockholders identified in this prospectus are offering an additional</w:t>
      </w:r>
      <w:r>
        <w:rPr>
          <w:sz w:val="20"/>
          <w:szCs w:val="20"/>
          <w:color w:val="auto"/>
        </w:rPr>
        <w:tab/>
      </w:r>
      <w:r>
        <w:rPr>
          <w:rFonts w:ascii="Arial" w:cs="Arial" w:eastAsia="Arial" w:hAnsi="Arial"/>
          <w:sz w:val="16"/>
          <w:szCs w:val="16"/>
          <w:color w:val="auto"/>
        </w:rPr>
        <w:t>shares of Class A common stock. We will not receive any proceeds from</w:t>
      </w:r>
    </w:p>
    <w:p>
      <w:pPr>
        <w:spacing w:after="0" w:line="5" w:lineRule="exact"/>
        <w:rPr>
          <w:sz w:val="20"/>
          <w:szCs w:val="20"/>
          <w:color w:val="auto"/>
        </w:rPr>
      </w:pPr>
    </w:p>
    <w:p>
      <w:pPr>
        <w:spacing w:after="0"/>
        <w:tabs>
          <w:tab w:leader="none" w:pos="8820" w:val="left"/>
          <w:tab w:leader="none" w:pos="10000" w:val="left"/>
        </w:tabs>
        <w:rPr>
          <w:sz w:val="20"/>
          <w:szCs w:val="20"/>
          <w:color w:val="auto"/>
        </w:rPr>
      </w:pPr>
      <w:r>
        <w:rPr>
          <w:rFonts w:ascii="Arial" w:cs="Arial" w:eastAsia="Arial" w:hAnsi="Arial"/>
          <w:sz w:val="16"/>
          <w:szCs w:val="16"/>
          <w:color w:val="auto"/>
        </w:rPr>
        <w:t>the sale of shares by the selling stockholders. We currently expect the initial public offering price to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per share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113"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Prior to this offering, there has been no public market for our common stock. We intend to apply to list our Class A common stock on the</w:t>
      </w:r>
      <w:r>
        <w:rPr>
          <w:sz w:val="20"/>
          <w:szCs w:val="20"/>
          <w:color w:val="auto"/>
        </w:rPr>
        <w:tab/>
      </w:r>
      <w:r>
        <w:rPr>
          <w:rFonts w:ascii="Arial" w:cs="Arial" w:eastAsia="Arial" w:hAnsi="Arial"/>
          <w:sz w:val="16"/>
          <w:szCs w:val="16"/>
          <w:color w:val="auto"/>
        </w:rPr>
        <w:t>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symbol “EXFY.”</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7"/>
          <w:szCs w:val="17"/>
          <w:color w:val="auto"/>
        </w:rPr>
        <w:t>10</w:t>
      </w:r>
      <w:r>
        <w:rPr>
          <w:rFonts w:ascii="Arial" w:cs="Arial" w:eastAsia="Arial" w:hAnsi="Arial"/>
          <w:sz w:val="16"/>
          <w:szCs w:val="16"/>
          <w:color w:val="auto"/>
        </w:rPr>
        <w:t xml:space="preserve"> and </w:t>
      </w:r>
      <w:r>
        <w:rPr>
          <w:rFonts w:ascii="Arial" w:cs="Arial" w:eastAsia="Arial" w:hAnsi="Arial"/>
          <w:sz w:val="17"/>
          <w:szCs w:val="17"/>
          <w:color w:val="auto"/>
        </w:rPr>
        <w:t>50</w:t>
      </w:r>
      <w:r>
        <w:rPr>
          <w:rFonts w:ascii="Arial" w:cs="Arial" w:eastAsia="Arial" w:hAnsi="Arial"/>
          <w:sz w:val="16"/>
          <w:szCs w:val="16"/>
          <w:color w:val="auto"/>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7"/>
          <w:szCs w:val="17"/>
          <w:color w:val="auto"/>
        </w:rPr>
        <w:t>10 months</w:t>
      </w:r>
      <w:r>
        <w:rPr>
          <w:rFonts w:ascii="Arial" w:cs="Arial" w:eastAsia="Arial" w:hAnsi="Arial"/>
          <w:sz w:val="16"/>
          <w:szCs w:val="16"/>
          <w:color w:val="auto"/>
        </w:rPr>
        <w:t xml:space="preserve"> and </w:t>
      </w:r>
      <w:r>
        <w:rPr>
          <w:rFonts w:ascii="Arial" w:cs="Arial" w:eastAsia="Arial" w:hAnsi="Arial"/>
          <w:sz w:val="17"/>
          <w:szCs w:val="17"/>
          <w:color w:val="auto"/>
        </w:rPr>
        <w:t>50 months</w:t>
      </w:r>
      <w:r>
        <w:rPr>
          <w:rFonts w:ascii="Arial" w:cs="Arial" w:eastAsia="Arial" w:hAnsi="Arial"/>
          <w:sz w:val="16"/>
          <w:szCs w:val="16"/>
          <w:color w:val="auto"/>
        </w:rPr>
        <w:t>, respectively. All of the shares of LT10 and LT50 common stock will be held by a voting trust 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reporting requirements.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Borders>
              <w:top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Total</w:t>
            </w:r>
          </w:p>
        </w:tc>
      </w:tr>
      <w:tr>
        <w:trPr>
          <w:trHeight w:val="21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Initial public offering price</w:t>
            </w:r>
          </w:p>
        </w:tc>
        <w:tc>
          <w:tcPr>
            <w:tcW w:w="1560" w:type="dxa"/>
            <w:vAlign w:val="bottom"/>
            <w:tcBorders>
              <w:top w:val="single" w:sz="8" w:color="auto"/>
            </w:tcBorders>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6"/>
        </w:trPr>
        <w:tc>
          <w:tcPr>
            <w:tcW w:w="8020" w:type="dxa"/>
            <w:vAlign w:val="bottom"/>
          </w:tcPr>
          <w:p>
            <w:pPr>
              <w:ind w:left="20"/>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to Expensify, Inc., before expenses</w:t>
            </w:r>
          </w:p>
        </w:tc>
        <w:tc>
          <w:tcPr>
            <w:tcW w:w="1560" w:type="dxa"/>
            <w:vAlign w:val="bottom"/>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Proceeds to the selling stockholders, before expenses</w:t>
            </w: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underwriters.</w:t>
      </w:r>
    </w:p>
    <w:p>
      <w:pPr>
        <w:sectPr>
          <w:pgSz w:w="11900" w:h="16838" w:orient="portrait"/>
          <w:cols w:equalWidth="0" w:num="1">
            <w:col w:w="11240"/>
          </w:cols>
          <w:pgMar w:left="320" w:top="918" w:right="339" w:bottom="1440" w:gutter="0" w:footer="0" w:header="0"/>
        </w:sectPr>
      </w:pP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granted the underwriters the option for a period of 30 days to purchase up to an additional have granted the underwriters the option for a period of 30 days to purchase up to an additional to the public less the underwriting discounts and commissions.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firstLine="285"/>
        <w:spacing w:after="0" w:line="260" w:lineRule="auto"/>
        <w:rPr>
          <w:sz w:val="20"/>
          <w:szCs w:val="20"/>
          <w:color w:val="auto"/>
        </w:rPr>
      </w:pPr>
      <w:r>
        <w:rPr>
          <w:rFonts w:ascii="Arial" w:cs="Arial" w:eastAsia="Arial" w:hAnsi="Arial"/>
          <w:sz w:val="16"/>
          <w:szCs w:val="16"/>
          <w:color w:val="auto"/>
        </w:rPr>
        <w:t>shares from us, and the selling stockholders shares from them, in each case at the initial price</w:t>
      </w:r>
    </w:p>
    <w:p>
      <w:pPr>
        <w:spacing w:after="0" w:line="256" w:lineRule="exact"/>
        <w:rPr>
          <w:sz w:val="20"/>
          <w:szCs w:val="20"/>
          <w:color w:val="auto"/>
        </w:rPr>
      </w:pPr>
    </w:p>
    <w:p>
      <w:pPr>
        <w:sectPr>
          <w:pgSz w:w="11900" w:h="16838" w:orient="portrait"/>
          <w:cols w:equalWidth="0" w:num="2">
            <w:col w:w="7120" w:space="480"/>
            <w:col w:w="3640"/>
          </w:cols>
          <w:pgMar w:left="320" w:top="918" w:right="339" w:bottom="1440" w:gutter="0" w:footer="0" w:header="0"/>
          <w:type w:val="continuous"/>
        </w:sect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See “Risk factors” beginning on page </w:t>
      </w:r>
      <w:hyperlink w:anchor="page31">
        <w:r>
          <w:rPr>
            <w:rFonts w:ascii="Arial" w:cs="Arial" w:eastAsia="Arial" w:hAnsi="Arial"/>
            <w:sz w:val="16"/>
            <w:szCs w:val="16"/>
            <w:b w:val="1"/>
            <w:bCs w:val="1"/>
            <w:u w:val="single" w:color="auto"/>
            <w:color w:val="0000FF"/>
          </w:rPr>
          <w:t>19</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The underwriters expect to deliver the shares to purchasers on or about</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39" w:lineRule="exact"/>
        <w:rPr>
          <w:sz w:val="20"/>
          <w:szCs w:val="20"/>
          <w:color w:val="auto"/>
        </w:rPr>
      </w:pPr>
    </w:p>
    <w:p>
      <w:pPr>
        <w:ind w:left="20"/>
        <w:spacing w:after="0"/>
        <w:tabs>
          <w:tab w:leader="none" w:pos="4940" w:val="left"/>
          <w:tab w:leader="none" w:pos="8980" w:val="left"/>
        </w:tabs>
        <w:rPr>
          <w:sz w:val="20"/>
          <w:szCs w:val="20"/>
          <w:color w:val="auto"/>
        </w:rPr>
      </w:pPr>
      <w:r>
        <w:rPr>
          <w:rFonts w:ascii="Arial" w:cs="Arial" w:eastAsia="Arial" w:hAnsi="Arial"/>
          <w:sz w:val="32"/>
          <w:szCs w:val="32"/>
          <w:color w:val="auto"/>
        </w:rPr>
        <w:t>J.P. Morgan</w:t>
      </w:r>
      <w:r>
        <w:rPr>
          <w:sz w:val="20"/>
          <w:szCs w:val="20"/>
          <w:color w:val="auto"/>
        </w:rPr>
        <w:tab/>
      </w:r>
      <w:r>
        <w:rPr>
          <w:rFonts w:ascii="Arial" w:cs="Arial" w:eastAsia="Arial" w:hAnsi="Arial"/>
          <w:sz w:val="32"/>
          <w:szCs w:val="32"/>
          <w:color w:val="auto"/>
        </w:rPr>
        <w:t>Citigroup</w:t>
      </w:r>
      <w:r>
        <w:rPr>
          <w:sz w:val="20"/>
          <w:szCs w:val="20"/>
          <w:color w:val="auto"/>
        </w:rPr>
        <w:tab/>
      </w:r>
      <w:r>
        <w:rPr>
          <w:rFonts w:ascii="Arial" w:cs="Arial" w:eastAsia="Arial" w:hAnsi="Arial"/>
          <w:sz w:val="32"/>
          <w:szCs w:val="32"/>
          <w:color w:val="auto"/>
        </w:rPr>
        <w:t>BofA Securities</w:t>
      </w:r>
    </w:p>
    <w:p>
      <w:pPr>
        <w:spacing w:after="0" w:line="67" w:lineRule="exact"/>
        <w:rPr>
          <w:sz w:val="20"/>
          <w:szCs w:val="20"/>
          <w:color w:val="auto"/>
        </w:rPr>
      </w:pPr>
    </w:p>
    <w:p>
      <w:pPr>
        <w:ind w:left="20"/>
        <w:spacing w:after="0"/>
        <w:tabs>
          <w:tab w:leader="none" w:pos="4860" w:val="left"/>
          <w:tab w:leader="none" w:pos="9160" w:val="left"/>
        </w:tabs>
        <w:rPr>
          <w:sz w:val="20"/>
          <w:szCs w:val="20"/>
          <w:color w:val="auto"/>
        </w:rPr>
      </w:pPr>
      <w:r>
        <w:rPr>
          <w:rFonts w:ascii="Arial" w:cs="Arial" w:eastAsia="Arial" w:hAnsi="Arial"/>
          <w:sz w:val="22"/>
          <w:szCs w:val="22"/>
          <w:color w:val="auto"/>
        </w:rPr>
        <w:t>Piper Sandler</w:t>
      </w:r>
      <w:r>
        <w:rPr>
          <w:sz w:val="20"/>
          <w:szCs w:val="20"/>
          <w:color w:val="auto"/>
        </w:rPr>
        <w:tab/>
      </w:r>
      <w:r>
        <w:rPr>
          <w:rFonts w:ascii="Arial" w:cs="Arial" w:eastAsia="Arial" w:hAnsi="Arial"/>
          <w:sz w:val="22"/>
          <w:szCs w:val="22"/>
          <w:color w:val="auto"/>
        </w:rPr>
        <w:t>JMP Securities</w:t>
      </w:r>
      <w:r>
        <w:rPr>
          <w:sz w:val="20"/>
          <w:szCs w:val="20"/>
          <w:color w:val="auto"/>
        </w:rPr>
        <w:tab/>
      </w:r>
      <w:r>
        <w:rPr>
          <w:rFonts w:ascii="Arial" w:cs="Arial" w:eastAsia="Arial" w:hAnsi="Arial"/>
          <w:sz w:val="21"/>
          <w:szCs w:val="21"/>
          <w:color w:val="auto"/>
        </w:rPr>
        <w:t>Loop Capital Markets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240"/>
          </w:cols>
          <w:pgMar w:left="320" w:top="918" w:right="3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337820</wp:posOffset>
            </wp:positionV>
            <wp:extent cx="6986270" cy="905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5"/>
          </w:tcPr>
          <w:p>
            <w:pPr>
              <w:ind w:left="340"/>
              <w:spacing w:after="0"/>
              <w:rPr>
                <w:sz w:val="20"/>
                <w:szCs w:val="20"/>
                <w:color w:val="auto"/>
              </w:rPr>
            </w:pPr>
            <w:r>
              <w:rPr>
                <w:rFonts w:ascii="Arial" w:cs="Arial" w:eastAsia="Arial" w:hAnsi="Arial"/>
                <w:sz w:val="18"/>
                <w:szCs w:val="18"/>
                <w:b w:val="1"/>
                <w:bCs w:val="1"/>
                <w:color w:val="auto"/>
              </w:rPr>
              <w:t>Page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Borders>
              <w:bottom w:val="single" w:sz="8" w:color="0000FF"/>
            </w:tcBorders>
            <w:gridSpan w:val="9"/>
          </w:tcPr>
          <w:p>
            <w:pPr>
              <w:spacing w:after="0" w:line="189" w:lineRule="exact"/>
              <w:rPr>
                <w:rFonts w:ascii="Arial" w:cs="Arial" w:eastAsia="Arial" w:hAnsi="Arial"/>
                <w:sz w:val="18"/>
                <w:szCs w:val="18"/>
                <w:color w:val="0000FF"/>
                <w:w w:val="99"/>
              </w:rPr>
            </w:pPr>
            <w:hyperlink w:anchor="page13">
              <w:r>
                <w:rPr>
                  <w:rFonts w:ascii="Arial" w:cs="Arial" w:eastAsia="Arial" w:hAnsi="Arial"/>
                  <w:sz w:val="18"/>
                  <w:szCs w:val="18"/>
                  <w:color w:val="0000FF"/>
                  <w:w w:val="99"/>
                </w:rPr>
                <w:t>PROSPECTUS SUMMARY</w:t>
              </w:r>
            </w:hyperlink>
          </w:p>
        </w:tc>
        <w:tc>
          <w:tcPr>
            <w:tcW w:w="6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w:t>
              </w:r>
            </w:hyperlink>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bottom w:val="single" w:sz="8" w:color="0000FF"/>
            </w:tcBorders>
            <w:gridSpan w:val="7"/>
          </w:tcPr>
          <w:p>
            <w:pPr>
              <w:spacing w:after="0" w:line="189" w:lineRule="exact"/>
              <w:rPr>
                <w:rFonts w:ascii="Arial" w:cs="Arial" w:eastAsia="Arial" w:hAnsi="Arial"/>
                <w:sz w:val="18"/>
                <w:szCs w:val="18"/>
                <w:color w:val="0000FF"/>
                <w:w w:val="98"/>
              </w:rPr>
            </w:pPr>
            <w:hyperlink w:anchor="page148">
              <w:r>
                <w:rPr>
                  <w:rFonts w:ascii="Arial" w:cs="Arial" w:eastAsia="Arial" w:hAnsi="Arial"/>
                  <w:sz w:val="18"/>
                  <w:szCs w:val="18"/>
                  <w:color w:val="0000FF"/>
                  <w:w w:val="98"/>
                </w:rPr>
                <w:t>EXECUTIVE COMPENSATION</w:t>
              </w:r>
            </w:hyperlink>
          </w:p>
        </w:tc>
        <w:tc>
          <w:tcPr>
            <w:tcW w:w="194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0000FF"/>
            </w:tcBorders>
          </w:tcPr>
          <w:p>
            <w:pPr>
              <w:spacing w:after="0" w:line="189" w:lineRule="exact"/>
              <w:rPr>
                <w:rFonts w:ascii="Arial" w:cs="Arial" w:eastAsia="Arial" w:hAnsi="Arial"/>
                <w:sz w:val="18"/>
                <w:szCs w:val="18"/>
                <w:color w:val="0000FF"/>
                <w:w w:val="79"/>
              </w:rPr>
            </w:pPr>
            <w:hyperlink w:anchor="page148">
              <w:r>
                <w:rPr>
                  <w:rFonts w:ascii="Arial" w:cs="Arial" w:eastAsia="Arial" w:hAnsi="Arial"/>
                  <w:sz w:val="18"/>
                  <w:szCs w:val="18"/>
                  <w:color w:val="0000FF"/>
                  <w:w w:val="79"/>
                </w:rPr>
                <w:t>136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1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5"/>
          </w:tcPr>
          <w:p>
            <w:pPr>
              <w:jc w:val="right"/>
              <w:ind w:right="400"/>
              <w:spacing w:after="0"/>
              <w:rPr>
                <w:rFonts w:ascii="Arial" w:cs="Arial" w:eastAsia="Arial" w:hAnsi="Arial"/>
                <w:sz w:val="18"/>
                <w:szCs w:val="18"/>
                <w:color w:val="0000FF"/>
              </w:rPr>
            </w:pPr>
            <w:hyperlink w:anchor="page31">
              <w:r>
                <w:rPr>
                  <w:rFonts w:ascii="Arial" w:cs="Arial" w:eastAsia="Arial" w:hAnsi="Arial"/>
                  <w:sz w:val="18"/>
                  <w:szCs w:val="18"/>
                  <w:color w:val="0000FF"/>
                </w:rPr>
                <w:t>19</w:t>
              </w:r>
            </w:hyperlink>
          </w:p>
        </w:tc>
        <w:tc>
          <w:tcPr>
            <w:tcW w:w="4860" w:type="dxa"/>
            <w:vAlign w:val="bottom"/>
            <w:gridSpan w:val="15"/>
          </w:tcPr>
          <w:p>
            <w:pPr>
              <w:ind w:left="400"/>
              <w:spacing w:after="0"/>
              <w:rPr>
                <w:rFonts w:ascii="Arial" w:cs="Arial" w:eastAsia="Arial" w:hAnsi="Arial"/>
                <w:sz w:val="18"/>
                <w:szCs w:val="18"/>
                <w:color w:val="0000FF"/>
              </w:rPr>
            </w:pPr>
            <w:hyperlink w:anchor="page160">
              <w:r>
                <w:rPr>
                  <w:rFonts w:ascii="Arial" w:cs="Arial" w:eastAsia="Arial" w:hAnsi="Arial"/>
                  <w:sz w:val="18"/>
                  <w:szCs w:val="18"/>
                  <w:color w:val="0000FF"/>
                </w:rPr>
                <w:t>CERTAIN RELATIONSHIPS AND RELATED PARTY</w:t>
              </w:r>
            </w:hyperlink>
          </w:p>
        </w:tc>
        <w:tc>
          <w:tcPr>
            <w:tcW w:w="420" w:type="dxa"/>
            <w:vAlign w:val="bottom"/>
          </w:tcPr>
          <w:p>
            <w:pPr>
              <w:spacing w:after="0"/>
              <w:rPr>
                <w:sz w:val="18"/>
                <w:szCs w:val="18"/>
                <w:color w:val="auto"/>
              </w:rPr>
            </w:pPr>
          </w:p>
        </w:tc>
        <w:tc>
          <w:tcPr>
            <w:tcW w:w="260" w:type="dxa"/>
            <w:vAlign w:val="bottom"/>
            <w:vMerge w:val="restart"/>
          </w:tcPr>
          <w:p>
            <w:pPr>
              <w:spacing w:after="0"/>
              <w:rPr>
                <w:rFonts w:ascii="Arial" w:cs="Arial" w:eastAsia="Arial" w:hAnsi="Arial"/>
                <w:sz w:val="18"/>
                <w:szCs w:val="18"/>
                <w:color w:val="0000FF"/>
                <w:w w:val="79"/>
              </w:rPr>
            </w:pPr>
            <w:hyperlink w:anchor="page160">
              <w:r>
                <w:rPr>
                  <w:rFonts w:ascii="Arial" w:cs="Arial" w:eastAsia="Arial" w:hAnsi="Arial"/>
                  <w:sz w:val="18"/>
                  <w:szCs w:val="18"/>
                  <w:color w:val="0000FF"/>
                  <w:w w:val="79"/>
                </w:rPr>
                <w:t>148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80" w:type="dxa"/>
            <w:vAlign w:val="bottom"/>
            <w:gridSpan w:val="16"/>
            <w:vMerge w:val="restart"/>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CAUTIONARY NOTE REGARDING FORWARD-</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w:anchor="page160">
              <w:r>
                <w:rPr>
                  <w:rFonts w:ascii="Arial" w:cs="Arial" w:eastAsia="Arial" w:hAnsi="Arial"/>
                  <w:sz w:val="16"/>
                  <w:szCs w:val="16"/>
                  <w:color w:val="0000FF"/>
                </w:rPr>
                <w:t>TRANSACTIONS</w:t>
              </w:r>
            </w:hyperlink>
          </w:p>
        </w:tc>
        <w:tc>
          <w:tcPr>
            <w:tcW w:w="140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80" w:type="dxa"/>
            <w:vAlign w:val="bottom"/>
            <w:gridSpan w:val="16"/>
            <w:vMerge w:val="continue"/>
          </w:tcPr>
          <w:p>
            <w:pPr>
              <w:spacing w:after="0"/>
              <w:rPr>
                <w:sz w:val="2"/>
                <w:szCs w:val="2"/>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76">
              <w:r>
                <w:rPr>
                  <w:rFonts w:ascii="Arial" w:cs="Arial" w:eastAsia="Arial" w:hAnsi="Arial"/>
                  <w:sz w:val="18"/>
                  <w:szCs w:val="18"/>
                  <w:color w:val="0000FF"/>
                </w:rPr>
                <w:t>64</w:t>
              </w:r>
            </w:hyperlink>
          </w:p>
        </w:tc>
        <w:tc>
          <w:tcPr>
            <w:tcW w:w="4860" w:type="dxa"/>
            <w:vAlign w:val="bottom"/>
            <w:gridSpan w:val="15"/>
            <w:vMerge w:val="restart"/>
          </w:tcPr>
          <w:p>
            <w:pPr>
              <w:ind w:left="400"/>
              <w:spacing w:after="0"/>
              <w:rPr>
                <w:rFonts w:ascii="Arial" w:cs="Arial" w:eastAsia="Arial" w:hAnsi="Arial"/>
                <w:sz w:val="18"/>
                <w:szCs w:val="18"/>
                <w:color w:val="0000FF"/>
              </w:rPr>
            </w:pPr>
            <w:hyperlink w:anchor="page164">
              <w:r>
                <w:rPr>
                  <w:rFonts w:ascii="Arial" w:cs="Arial" w:eastAsia="Arial" w:hAnsi="Arial"/>
                  <w:sz w:val="18"/>
                  <w:szCs w:val="18"/>
                  <w:color w:val="0000FF"/>
                </w:rPr>
                <w:t>PRINCIPAL AND SELLING STOCKHOLDERS</w:t>
              </w:r>
            </w:hyperlink>
          </w:p>
        </w:tc>
        <w:tc>
          <w:tcPr>
            <w:tcW w:w="680" w:type="dxa"/>
            <w:vAlign w:val="bottom"/>
            <w:gridSpan w:val="2"/>
            <w:vMerge w:val="restart"/>
          </w:tcPr>
          <w:p>
            <w:pPr>
              <w:ind w:left="380"/>
              <w:spacing w:after="0"/>
              <w:rPr>
                <w:rFonts w:ascii="Arial" w:cs="Arial" w:eastAsia="Arial" w:hAnsi="Arial"/>
                <w:sz w:val="18"/>
                <w:szCs w:val="18"/>
                <w:color w:val="0000FF"/>
                <w:w w:val="93"/>
              </w:rPr>
            </w:pPr>
            <w:hyperlink w:anchor="page164">
              <w:r>
                <w:rPr>
                  <w:rFonts w:ascii="Arial" w:cs="Arial" w:eastAsia="Arial" w:hAnsi="Arial"/>
                  <w:sz w:val="18"/>
                  <w:szCs w:val="18"/>
                  <w:color w:val="0000FF"/>
                  <w:w w:val="93"/>
                </w:rPr>
                <w:t>152</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LOOKING STATEMENTS</w:t>
              </w:r>
            </w:hyperlink>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4860" w:type="dxa"/>
            <w:vAlign w:val="bottom"/>
            <w:gridSpan w:val="15"/>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spacing w:after="0"/>
              <w:rPr>
                <w:rFonts w:ascii="Arial" w:cs="Arial" w:eastAsia="Arial" w:hAnsi="Arial"/>
                <w:sz w:val="18"/>
                <w:szCs w:val="18"/>
                <w:color w:val="0000FF"/>
                <w:w w:val="98"/>
              </w:rPr>
            </w:pPr>
            <w:hyperlink w:anchor="page78">
              <w:r>
                <w:rPr>
                  <w:rFonts w:ascii="Arial" w:cs="Arial" w:eastAsia="Arial" w:hAnsi="Arial"/>
                  <w:sz w:val="18"/>
                  <w:szCs w:val="18"/>
                  <w:color w:val="0000FF"/>
                  <w:w w:val="98"/>
                </w:rPr>
                <w:t>MARKET AND INDUSTRY DATA</w:t>
              </w:r>
            </w:hyperlink>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66</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14"/>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DESCRIPTION OF CAPITAL STOCK</w:t>
              </w:r>
            </w:hyperlink>
          </w:p>
        </w:tc>
        <w:tc>
          <w:tcPr>
            <w:tcW w:w="680" w:type="dxa"/>
            <w:vAlign w:val="bottom"/>
            <w:gridSpan w:val="2"/>
          </w:tcPr>
          <w:p>
            <w:pPr>
              <w:ind w:left="380"/>
              <w:spacing w:after="0"/>
              <w:rPr>
                <w:rFonts w:ascii="Arial" w:cs="Arial" w:eastAsia="Arial" w:hAnsi="Arial"/>
                <w:sz w:val="18"/>
                <w:szCs w:val="18"/>
                <w:color w:val="0000FF"/>
                <w:w w:val="93"/>
              </w:rPr>
            </w:pPr>
            <w:hyperlink w:anchor="page166">
              <w:r>
                <w:rPr>
                  <w:rFonts w:ascii="Arial" w:cs="Arial" w:eastAsia="Arial" w:hAnsi="Arial"/>
                  <w:sz w:val="18"/>
                  <w:szCs w:val="18"/>
                  <w:color w:val="0000FF"/>
                  <w:w w:val="93"/>
                </w:rPr>
                <w:t>154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USE OF PROCEEDS</w:t>
              </w:r>
            </w:hyperlink>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67</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75">
              <w:r>
                <w:rPr>
                  <w:rFonts w:ascii="Arial" w:cs="Arial" w:eastAsia="Arial" w:hAnsi="Arial"/>
                  <w:sz w:val="18"/>
                  <w:szCs w:val="18"/>
                  <w:color w:val="0000FF"/>
                  <w:w w:val="99"/>
                </w:rPr>
                <w:t>SHARES ELIGIBLE FOR FUTURE SALE</w:t>
              </w:r>
            </w:hyperlink>
          </w:p>
        </w:tc>
        <w:tc>
          <w:tcPr>
            <w:tcW w:w="1140" w:type="dxa"/>
            <w:vAlign w:val="bottom"/>
            <w:gridSpan w:val="5"/>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79"/>
              </w:rPr>
            </w:pPr>
            <w:hyperlink w:anchor="page175">
              <w:r>
                <w:rPr>
                  <w:rFonts w:ascii="Arial" w:cs="Arial" w:eastAsia="Arial" w:hAnsi="Arial"/>
                  <w:sz w:val="18"/>
                  <w:szCs w:val="18"/>
                  <w:color w:val="0000FF"/>
                  <w:w w:val="79"/>
                </w:rPr>
                <w:t>163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rFonts w:ascii="Arial" w:cs="Arial" w:eastAsia="Arial" w:hAnsi="Arial"/>
                <w:sz w:val="18"/>
                <w:szCs w:val="18"/>
                <w:color w:val="0000FF"/>
                <w:w w:val="97"/>
              </w:rPr>
            </w:pPr>
            <w:hyperlink w:anchor="page80">
              <w:r>
                <w:rPr>
                  <w:rFonts w:ascii="Arial" w:cs="Arial" w:eastAsia="Arial" w:hAnsi="Arial"/>
                  <w:sz w:val="18"/>
                  <w:szCs w:val="18"/>
                  <w:color w:val="0000FF"/>
                  <w:w w:val="97"/>
                </w:rPr>
                <w:t>CAPITALIZATION</w:t>
              </w:r>
            </w:hyperlink>
          </w:p>
        </w:tc>
        <w:tc>
          <w:tcPr>
            <w:tcW w:w="1380" w:type="dxa"/>
            <w:vAlign w:val="bottom"/>
            <w:gridSpan w:val="5"/>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68</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14"/>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MATERIAL U.S. FEDERAL INCOME TAX</w:t>
              </w:r>
            </w:hyperlink>
          </w:p>
        </w:tc>
        <w:tc>
          <w:tcPr>
            <w:tcW w:w="420" w:type="dxa"/>
            <w:vAlign w:val="bottom"/>
          </w:tcPr>
          <w:p>
            <w:pPr>
              <w:spacing w:after="0"/>
              <w:rPr>
                <w:sz w:val="18"/>
                <w:szCs w:val="18"/>
                <w:color w:val="auto"/>
              </w:rPr>
            </w:pPr>
          </w:p>
        </w:tc>
        <w:tc>
          <w:tcPr>
            <w:tcW w:w="260" w:type="dxa"/>
            <w:vAlign w:val="bottom"/>
            <w:vMerge w:val="restart"/>
          </w:tcPr>
          <w:p>
            <w:pPr>
              <w:spacing w:after="0"/>
              <w:rPr>
                <w:rFonts w:ascii="Arial" w:cs="Arial" w:eastAsia="Arial" w:hAnsi="Arial"/>
                <w:sz w:val="18"/>
                <w:szCs w:val="18"/>
                <w:color w:val="0000FF"/>
                <w:w w:val="79"/>
              </w:rPr>
            </w:pPr>
            <w:hyperlink w:anchor="page178">
              <w:r>
                <w:rPr>
                  <w:rFonts w:ascii="Arial" w:cs="Arial" w:eastAsia="Arial" w:hAnsi="Arial"/>
                  <w:sz w:val="18"/>
                  <w:szCs w:val="18"/>
                  <w:color w:val="0000FF"/>
                  <w:w w:val="79"/>
                </w:rPr>
                <w:t>166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gridSpan w:val="7"/>
            <w:vMerge w:val="restart"/>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DIVIDEND POLICY</w:t>
              </w:r>
            </w:hyperlink>
          </w:p>
        </w:tc>
        <w:tc>
          <w:tcPr>
            <w:tcW w:w="1240" w:type="dxa"/>
            <w:vAlign w:val="bottom"/>
            <w:gridSpan w:val="4"/>
            <w:vMerge w:val="restart"/>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70</w:t>
              </w:r>
            </w:hyperlink>
          </w:p>
        </w:tc>
        <w:tc>
          <w:tcPr>
            <w:tcW w:w="400" w:type="dxa"/>
            <w:vAlign w:val="bottom"/>
            <w:vMerge w:val="restart"/>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w:anchor="page178">
              <w:r>
                <w:rPr>
                  <w:rFonts w:ascii="Arial" w:cs="Arial" w:eastAsia="Arial" w:hAnsi="Arial"/>
                  <w:sz w:val="16"/>
                  <w:szCs w:val="16"/>
                  <w:color w:val="0000FF"/>
                </w:rPr>
                <w:t>CONSEQUENCES TO NON-U.S. HOLDERS</w:t>
              </w:r>
            </w:hyperlink>
          </w:p>
        </w:tc>
        <w:tc>
          <w:tcPr>
            <w:tcW w:w="140" w:type="dxa"/>
            <w:vAlign w:val="bottom"/>
            <w:vMerge w:val="restart"/>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580" w:type="dxa"/>
            <w:vAlign w:val="bottom"/>
            <w:tcBorders>
              <w:bottom w:val="single" w:sz="8" w:color="0000FF"/>
            </w:tcBorders>
            <w:gridSpan w:val="7"/>
            <w:vMerge w:val="continue"/>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200" w:type="dxa"/>
            <w:vAlign w:val="bottom"/>
            <w:tcBorders>
              <w:bottom w:val="single" w:sz="8" w:color="0000FF"/>
            </w:tcBorders>
            <w:gridSpan w:val="2"/>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spacing w:after="0" w:line="196" w:lineRule="exact"/>
              <w:rPr>
                <w:rFonts w:ascii="Arial" w:cs="Arial" w:eastAsia="Arial" w:hAnsi="Arial"/>
                <w:sz w:val="18"/>
                <w:szCs w:val="18"/>
                <w:color w:val="0000FF"/>
                <w:w w:val="98"/>
              </w:rPr>
            </w:pPr>
            <w:hyperlink w:anchor="page182">
              <w:r>
                <w:rPr>
                  <w:rFonts w:ascii="Arial" w:cs="Arial" w:eastAsia="Arial" w:hAnsi="Arial"/>
                  <w:sz w:val="18"/>
                  <w:szCs w:val="18"/>
                  <w:color w:val="0000FF"/>
                  <w:w w:val="98"/>
                </w:rPr>
                <w:t>UNDERWRITING</w:t>
              </w:r>
            </w:hyperlink>
          </w:p>
        </w:tc>
        <w:tc>
          <w:tcPr>
            <w:tcW w:w="6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60" w:type="dxa"/>
            <w:vAlign w:val="bottom"/>
            <w:vMerge w:val="restart"/>
          </w:tcPr>
          <w:p>
            <w:pPr>
              <w:spacing w:after="0" w:line="196" w:lineRule="exact"/>
              <w:rPr>
                <w:rFonts w:ascii="Arial" w:cs="Arial" w:eastAsia="Arial" w:hAnsi="Arial"/>
                <w:sz w:val="18"/>
                <w:szCs w:val="18"/>
                <w:color w:val="0000FF"/>
                <w:w w:val="79"/>
              </w:rPr>
            </w:pPr>
            <w:hyperlink w:anchor="page182">
              <w:r>
                <w:rPr>
                  <w:rFonts w:ascii="Arial" w:cs="Arial" w:eastAsia="Arial" w:hAnsi="Arial"/>
                  <w:sz w:val="18"/>
                  <w:szCs w:val="18"/>
                  <w:color w:val="0000FF"/>
                  <w:w w:val="79"/>
                </w:rPr>
                <w:t>170</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gridSpan w:val="11"/>
            <w:vMerge w:val="restart"/>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DILUTION</w:t>
              </w:r>
            </w:hyperlink>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83">
              <w:r>
                <w:rPr>
                  <w:rFonts w:ascii="Arial" w:cs="Arial" w:eastAsia="Arial" w:hAnsi="Arial"/>
                  <w:sz w:val="18"/>
                  <w:szCs w:val="18"/>
                  <w:color w:val="0000FF"/>
                </w:rPr>
                <w:t>71</w:t>
              </w:r>
            </w:hyperlink>
          </w:p>
        </w:tc>
        <w:tc>
          <w:tcPr>
            <w:tcW w:w="400" w:type="dxa"/>
            <w:vAlign w:val="bottom"/>
            <w:vMerge w:val="restart"/>
          </w:tcPr>
          <w:p>
            <w:pPr>
              <w:spacing w:after="0"/>
              <w:rPr>
                <w:sz w:val="13"/>
                <w:szCs w:val="13"/>
                <w:color w:val="auto"/>
              </w:rPr>
            </w:pPr>
          </w:p>
        </w:tc>
        <w:tc>
          <w:tcPr>
            <w:tcW w:w="1420" w:type="dxa"/>
            <w:vAlign w:val="bottom"/>
            <w:tcBorders>
              <w:bottom w:val="single" w:sz="8" w:color="0000FF"/>
            </w:tcBorders>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4"/>
            <w:vMerge w:val="restart"/>
          </w:tcPr>
          <w:p>
            <w:pPr>
              <w:spacing w:after="0"/>
              <w:rPr>
                <w:sz w:val="13"/>
                <w:szCs w:val="13"/>
                <w:color w:val="auto"/>
              </w:rPr>
            </w:pPr>
          </w:p>
        </w:tc>
        <w:tc>
          <w:tcPr>
            <w:tcW w:w="580" w:type="dxa"/>
            <w:vAlign w:val="bottom"/>
            <w:gridSpan w:val="3"/>
            <w:vMerge w:val="restart"/>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420" w:type="dxa"/>
            <w:vAlign w:val="bottom"/>
            <w:vMerge w:val="restart"/>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20" w:type="dxa"/>
            <w:vAlign w:val="bottom"/>
            <w:gridSpan w:val="11"/>
            <w:vMerge w:val="continue"/>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5"/>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80" w:type="dxa"/>
            <w:vAlign w:val="bottom"/>
            <w:gridSpan w:val="5"/>
            <w:vMerge w:val="restart"/>
          </w:tcPr>
          <w:p>
            <w:pPr>
              <w:spacing w:after="0" w:line="196" w:lineRule="exact"/>
              <w:rPr>
                <w:rFonts w:ascii="Arial" w:cs="Arial" w:eastAsia="Arial" w:hAnsi="Arial"/>
                <w:sz w:val="18"/>
                <w:szCs w:val="18"/>
                <w:color w:val="0000FF"/>
                <w:w w:val="97"/>
              </w:rPr>
            </w:pPr>
            <w:hyperlink w:anchor="page193">
              <w:r>
                <w:rPr>
                  <w:rFonts w:ascii="Arial" w:cs="Arial" w:eastAsia="Arial" w:hAnsi="Arial"/>
                  <w:sz w:val="18"/>
                  <w:szCs w:val="18"/>
                  <w:color w:val="0000FF"/>
                  <w:w w:val="97"/>
                </w:rPr>
                <w:t>LEGAL MATTERS</w:t>
              </w:r>
            </w:hyperlink>
          </w:p>
        </w:tc>
        <w:tc>
          <w:tcPr>
            <w:tcW w:w="1840" w:type="dxa"/>
            <w:vAlign w:val="bottom"/>
            <w:gridSpan w:val="4"/>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60" w:type="dxa"/>
            <w:vAlign w:val="bottom"/>
            <w:vMerge w:val="restart"/>
          </w:tcPr>
          <w:p>
            <w:pPr>
              <w:spacing w:after="0" w:line="196" w:lineRule="exact"/>
              <w:rPr>
                <w:rFonts w:ascii="Arial" w:cs="Arial" w:eastAsia="Arial" w:hAnsi="Arial"/>
                <w:sz w:val="18"/>
                <w:szCs w:val="18"/>
                <w:color w:val="0000FF"/>
                <w:w w:val="79"/>
              </w:rPr>
            </w:pPr>
            <w:hyperlink w:anchor="page193">
              <w:r>
                <w:rPr>
                  <w:rFonts w:ascii="Arial" w:cs="Arial" w:eastAsia="Arial" w:hAnsi="Arial"/>
                  <w:sz w:val="18"/>
                  <w:szCs w:val="18"/>
                  <w:color w:val="0000FF"/>
                  <w:w w:val="79"/>
                </w:rPr>
                <w:t>181</w:t>
              </w:r>
            </w:hyperlink>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1840" w:type="dxa"/>
            <w:vAlign w:val="bottom"/>
            <w:gridSpan w:val="4"/>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16"/>
            <w:vMerge w:val="restart"/>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SELECTED CONSOLIDATED FINANCIAL AND</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80" w:type="dxa"/>
            <w:vAlign w:val="bottom"/>
            <w:tcBorders>
              <w:bottom w:val="single" w:sz="8" w:color="0000FF"/>
            </w:tcBorders>
            <w:gridSpan w:val="5"/>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80" w:type="dxa"/>
            <w:vAlign w:val="bottom"/>
            <w:gridSpan w:val="16"/>
            <w:vMerge w:val="continue"/>
          </w:tcPr>
          <w:p>
            <w:pPr>
              <w:spacing w:after="0"/>
              <w:rPr>
                <w:sz w:val="2"/>
                <w:szCs w:val="2"/>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85">
              <w:r>
                <w:rPr>
                  <w:rFonts w:ascii="Arial" w:cs="Arial" w:eastAsia="Arial" w:hAnsi="Arial"/>
                  <w:sz w:val="18"/>
                  <w:szCs w:val="18"/>
                  <w:color w:val="0000FF"/>
                </w:rPr>
                <w:t>73</w:t>
              </w:r>
            </w:hyperlink>
          </w:p>
        </w:tc>
        <w:tc>
          <w:tcPr>
            <w:tcW w:w="4860" w:type="dxa"/>
            <w:vAlign w:val="bottom"/>
            <w:gridSpan w:val="15"/>
            <w:vMerge w:val="restart"/>
          </w:tcPr>
          <w:p>
            <w:pPr>
              <w:ind w:left="400"/>
              <w:spacing w:after="0"/>
              <w:rPr>
                <w:rFonts w:ascii="Arial" w:cs="Arial" w:eastAsia="Arial" w:hAnsi="Arial"/>
                <w:sz w:val="18"/>
                <w:szCs w:val="18"/>
                <w:color w:val="0000FF"/>
              </w:rPr>
            </w:pPr>
            <w:hyperlink w:anchor="page194">
              <w:r>
                <w:rPr>
                  <w:rFonts w:ascii="Arial" w:cs="Arial" w:eastAsia="Arial" w:hAnsi="Arial"/>
                  <w:sz w:val="18"/>
                  <w:szCs w:val="18"/>
                  <w:color w:val="0000FF"/>
                </w:rPr>
                <w:t>EXPERTS</w:t>
              </w:r>
            </w:hyperlink>
          </w:p>
        </w:tc>
        <w:tc>
          <w:tcPr>
            <w:tcW w:w="680" w:type="dxa"/>
            <w:vAlign w:val="bottom"/>
            <w:gridSpan w:val="2"/>
            <w:vMerge w:val="restart"/>
          </w:tcPr>
          <w:p>
            <w:pPr>
              <w:ind w:left="380"/>
              <w:spacing w:after="0"/>
              <w:rPr>
                <w:rFonts w:ascii="Arial" w:cs="Arial" w:eastAsia="Arial" w:hAnsi="Arial"/>
                <w:sz w:val="18"/>
                <w:szCs w:val="18"/>
                <w:color w:val="0000FF"/>
                <w:w w:val="93"/>
              </w:rPr>
            </w:pPr>
            <w:hyperlink w:anchor="page194">
              <w:r>
                <w:rPr>
                  <w:rFonts w:ascii="Arial" w:cs="Arial" w:eastAsia="Arial" w:hAnsi="Arial"/>
                  <w:sz w:val="18"/>
                  <w:szCs w:val="18"/>
                  <w:color w:val="0000FF"/>
                  <w:w w:val="93"/>
                </w:rPr>
                <w:t>181</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5">
              <w:r>
                <w:rPr>
                  <w:rFonts w:ascii="Arial" w:cs="Arial" w:eastAsia="Arial" w:hAnsi="Arial"/>
                  <w:sz w:val="18"/>
                  <w:szCs w:val="18"/>
                  <w:color w:val="0000FF"/>
                </w:rPr>
                <w:t>OTHER DATA</w:t>
              </w:r>
            </w:hyperlink>
          </w:p>
        </w:tc>
        <w:tc>
          <w:tcPr>
            <w:tcW w:w="10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4860" w:type="dxa"/>
            <w:vAlign w:val="bottom"/>
            <w:gridSpan w:val="15"/>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MANAGEMENT’S DISCUSSION AND ANALYSIS</w:t>
              </w:r>
            </w:hyperlink>
          </w:p>
        </w:tc>
        <w:tc>
          <w:tcPr>
            <w:tcW w:w="4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94">
              <w:r>
                <w:rPr>
                  <w:rFonts w:ascii="Arial" w:cs="Arial" w:eastAsia="Arial" w:hAnsi="Arial"/>
                  <w:sz w:val="18"/>
                  <w:szCs w:val="18"/>
                  <w:color w:val="0000FF"/>
                  <w:w w:val="99"/>
                </w:rPr>
                <w:t>WHERE YOU CAN FIND MORE INFORMATION</w:t>
              </w:r>
            </w:hyperlink>
          </w:p>
        </w:tc>
        <w:tc>
          <w:tcPr>
            <w:tcW w:w="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79"/>
              </w:rPr>
            </w:pPr>
            <w:hyperlink w:anchor="page194">
              <w:r>
                <w:rPr>
                  <w:rFonts w:ascii="Arial" w:cs="Arial" w:eastAsia="Arial" w:hAnsi="Arial"/>
                  <w:sz w:val="18"/>
                  <w:szCs w:val="18"/>
                  <w:color w:val="0000FF"/>
                  <w:w w:val="79"/>
                </w:rPr>
                <w:t>181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00" w:type="dxa"/>
            <w:vAlign w:val="bottom"/>
            <w:tcBorders>
              <w:bottom w:val="single" w:sz="8" w:color="0000FF"/>
            </w:tcBorders>
            <w:gridSpan w:val="14"/>
          </w:tcPr>
          <w:p>
            <w:pPr>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OF FINANCIAL CONDITION AND RESULTS OF</w:t>
              </w:r>
            </w:hyperlink>
          </w:p>
        </w:tc>
        <w:tc>
          <w:tcPr>
            <w:tcW w:w="3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60" w:type="dxa"/>
            <w:vAlign w:val="bottom"/>
            <w:gridSpan w:val="15"/>
            <w:vMerge w:val="restart"/>
          </w:tcPr>
          <w:p>
            <w:pPr>
              <w:ind w:left="400"/>
              <w:spacing w:after="0"/>
              <w:rPr>
                <w:rFonts w:ascii="Arial" w:cs="Arial" w:eastAsia="Arial" w:hAnsi="Arial"/>
                <w:sz w:val="18"/>
                <w:szCs w:val="18"/>
                <w:color w:val="0000FF"/>
              </w:rPr>
            </w:pPr>
            <w:hyperlink w:anchor="page194">
              <w:r>
                <w:rPr>
                  <w:rFonts w:ascii="Arial" w:cs="Arial" w:eastAsia="Arial" w:hAnsi="Arial"/>
                  <w:sz w:val="18"/>
                  <w:szCs w:val="18"/>
                  <w:color w:val="0000FF"/>
                </w:rPr>
                <w:t>INDEX TO CONSOLIDATED FINANCIAL</w:t>
              </w:r>
            </w:hyperlink>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4"/>
            <w:vMerge w:val="restart"/>
          </w:tcPr>
          <w:p>
            <w:pPr>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OPERATIONS</w:t>
              </w:r>
            </w:hyperlink>
          </w:p>
        </w:tc>
        <w:tc>
          <w:tcPr>
            <w:tcW w:w="2720" w:type="dxa"/>
            <w:vAlign w:val="bottom"/>
            <w:gridSpan w:val="10"/>
          </w:tcPr>
          <w:p>
            <w:pPr>
              <w:spacing w:after="0"/>
              <w:rPr>
                <w:sz w:val="2"/>
                <w:szCs w:val="2"/>
                <w:color w:val="auto"/>
              </w:rPr>
            </w:pPr>
          </w:p>
        </w:tc>
        <w:tc>
          <w:tcPr>
            <w:tcW w:w="3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vMerge w:val="restart"/>
          </w:tcPr>
          <w:p>
            <w:pPr>
              <w:jc w:val="right"/>
              <w:spacing w:after="0" w:line="142" w:lineRule="exact"/>
              <w:rPr>
                <w:rFonts w:ascii="Arial" w:cs="Arial" w:eastAsia="Arial" w:hAnsi="Arial"/>
                <w:sz w:val="16"/>
                <w:szCs w:val="16"/>
                <w:color w:val="0000FF"/>
              </w:rPr>
            </w:pPr>
            <w:hyperlink w:anchor="page91">
              <w:r>
                <w:rPr>
                  <w:rFonts w:ascii="Arial" w:cs="Arial" w:eastAsia="Arial" w:hAnsi="Arial"/>
                  <w:sz w:val="16"/>
                  <w:szCs w:val="16"/>
                  <w:color w:val="0000FF"/>
                </w:rPr>
                <w:t>79</w:t>
              </w:r>
            </w:hyperlink>
          </w:p>
        </w:tc>
        <w:tc>
          <w:tcPr>
            <w:tcW w:w="400" w:type="dxa"/>
            <w:vAlign w:val="bottom"/>
          </w:tcPr>
          <w:p>
            <w:pPr>
              <w:spacing w:after="0"/>
              <w:rPr>
                <w:sz w:val="2"/>
                <w:szCs w:val="2"/>
                <w:color w:val="auto"/>
              </w:rPr>
            </w:pPr>
          </w:p>
        </w:tc>
        <w:tc>
          <w:tcPr>
            <w:tcW w:w="4860" w:type="dxa"/>
            <w:vAlign w:val="bottom"/>
            <w:gridSpan w:val="15"/>
            <w:vMerge w:val="continu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gridSpan w:val="2"/>
            <w:vMerge w:val="restart"/>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bottom w:val="single" w:sz="8" w:color="0000FF"/>
            </w:tcBorders>
            <w:gridSpan w:val="4"/>
            <w:vMerge w:val="continue"/>
          </w:tcPr>
          <w:p>
            <w:pPr>
              <w:spacing w:after="0"/>
              <w:rPr>
                <w:sz w:val="8"/>
                <w:szCs w:val="8"/>
                <w:color w:val="auto"/>
              </w:rPr>
            </w:pPr>
          </w:p>
        </w:tc>
        <w:tc>
          <w:tcPr>
            <w:tcW w:w="1480" w:type="dxa"/>
            <w:vAlign w:val="bottom"/>
            <w:gridSpan w:val="6"/>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0000FF"/>
            </w:tcBorders>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60" w:type="dxa"/>
            <w:vAlign w:val="bottom"/>
            <w:tcBorders>
              <w:top w:val="single" w:sz="8" w:color="0000FF"/>
              <w:bottom w:val="single" w:sz="8" w:color="0000FF"/>
            </w:tcBorders>
            <w:vMerge w:val="restart"/>
          </w:tcPr>
          <w:p>
            <w:pPr>
              <w:spacing w:after="0"/>
              <w:rPr>
                <w:sz w:val="8"/>
                <w:szCs w:val="8"/>
                <w:color w:val="auto"/>
              </w:rPr>
            </w:pPr>
          </w:p>
        </w:tc>
        <w:tc>
          <w:tcPr>
            <w:tcW w:w="3160" w:type="dxa"/>
            <w:vAlign w:val="bottom"/>
            <w:tcBorders>
              <w:top w:val="single" w:sz="8" w:color="0000FF"/>
              <w:bottom w:val="single" w:sz="8" w:color="0000FF"/>
            </w:tcBorders>
            <w:gridSpan w:val="8"/>
            <w:vMerge w:val="restart"/>
          </w:tcPr>
          <w:p>
            <w:pPr>
              <w:spacing w:after="0" w:line="156" w:lineRule="exact"/>
              <w:rPr>
                <w:rFonts w:ascii="Arial" w:cs="Arial" w:eastAsia="Arial" w:hAnsi="Arial"/>
                <w:sz w:val="18"/>
                <w:szCs w:val="18"/>
                <w:color w:val="0000FF"/>
              </w:rPr>
            </w:pPr>
            <w:hyperlink w:anchor="page194">
              <w:r>
                <w:rPr>
                  <w:rFonts w:ascii="Arial" w:cs="Arial" w:eastAsia="Arial" w:hAnsi="Arial"/>
                  <w:sz w:val="18"/>
                  <w:szCs w:val="18"/>
                  <w:color w:val="0000FF"/>
                </w:rPr>
                <w:t>STATEMENTS</w:t>
              </w:r>
            </w:hyperlink>
          </w:p>
        </w:tc>
        <w:tc>
          <w:tcPr>
            <w:tcW w:w="1140" w:type="dxa"/>
            <w:vAlign w:val="bottom"/>
            <w:gridSpan w:val="5"/>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20" w:type="dxa"/>
            <w:vAlign w:val="bottom"/>
            <w:gridSpan w:val="3"/>
            <w:vMerge w:val="restart"/>
          </w:tcPr>
          <w:p>
            <w:pPr>
              <w:spacing w:after="0"/>
              <w:rPr>
                <w:rFonts w:ascii="Arial" w:cs="Arial" w:eastAsia="Arial" w:hAnsi="Arial"/>
                <w:sz w:val="18"/>
                <w:szCs w:val="18"/>
                <w:color w:val="0000FF"/>
                <w:w w:val="98"/>
              </w:rPr>
            </w:pPr>
            <w:hyperlink w:anchor="page114">
              <w:r>
                <w:rPr>
                  <w:rFonts w:ascii="Arial" w:cs="Arial" w:eastAsia="Arial" w:hAnsi="Arial"/>
                  <w:sz w:val="18"/>
                  <w:szCs w:val="18"/>
                  <w:color w:val="0000FF"/>
                  <w:w w:val="98"/>
                </w:rPr>
                <w:t>BUSINESS</w:t>
              </w:r>
            </w:hyperlink>
          </w:p>
        </w:tc>
        <w:tc>
          <w:tcPr>
            <w:tcW w:w="1900" w:type="dxa"/>
            <w:vAlign w:val="bottom"/>
            <w:gridSpan w:val="8"/>
            <w:vMerge w:val="restart"/>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700" w:type="dxa"/>
            <w:vAlign w:val="bottom"/>
            <w:gridSpan w:val="4"/>
            <w:vMerge w:val="restart"/>
          </w:tcPr>
          <w:p>
            <w:pPr>
              <w:jc w:val="right"/>
              <w:ind w:right="400"/>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102</w:t>
              </w:r>
            </w:hyperlink>
          </w:p>
        </w:tc>
        <w:tc>
          <w:tcPr>
            <w:tcW w:w="4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160" w:type="dxa"/>
            <w:vAlign w:val="bottom"/>
            <w:gridSpan w:val="8"/>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900" w:type="dxa"/>
            <w:vAlign w:val="bottom"/>
            <w:gridSpan w:val="8"/>
            <w:vMerge w:val="continue"/>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0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00" w:type="dxa"/>
            <w:vAlign w:val="bottom"/>
            <w:gridSpan w:val="4"/>
          </w:tcPr>
          <w:p>
            <w:pPr>
              <w:spacing w:after="0"/>
              <w:rPr>
                <w:rFonts w:ascii="Arial" w:cs="Arial" w:eastAsia="Arial" w:hAnsi="Arial"/>
                <w:sz w:val="18"/>
                <w:szCs w:val="18"/>
                <w:color w:val="0000FF"/>
                <w:w w:val="97"/>
              </w:rPr>
            </w:pPr>
            <w:hyperlink w:anchor="page144">
              <w:r>
                <w:rPr>
                  <w:rFonts w:ascii="Arial" w:cs="Arial" w:eastAsia="Arial" w:hAnsi="Arial"/>
                  <w:sz w:val="18"/>
                  <w:szCs w:val="18"/>
                  <w:color w:val="0000FF"/>
                  <w:w w:val="97"/>
                </w:rPr>
                <w:t>MANAGEMENT</w:t>
              </w:r>
            </w:hyperlink>
          </w:p>
        </w:tc>
        <w:tc>
          <w:tcPr>
            <w:tcW w:w="1520" w:type="dxa"/>
            <w:vAlign w:val="bottom"/>
            <w:gridSpan w:val="7"/>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4"/>
          </w:tcPr>
          <w:p>
            <w:pPr>
              <w:jc w:val="right"/>
              <w:ind w:right="400"/>
              <w:spacing w:after="0"/>
              <w:rPr>
                <w:rFonts w:ascii="Arial" w:cs="Arial" w:eastAsia="Arial" w:hAnsi="Arial"/>
                <w:sz w:val="18"/>
                <w:szCs w:val="18"/>
                <w:color w:val="0000FF"/>
                <w:w w:val="93"/>
              </w:rPr>
            </w:pPr>
            <w:hyperlink w:anchor="page144">
              <w:r>
                <w:rPr>
                  <w:rFonts w:ascii="Arial" w:cs="Arial" w:eastAsia="Arial" w:hAnsi="Arial"/>
                  <w:sz w:val="18"/>
                  <w:szCs w:val="18"/>
                  <w:color w:val="0000FF"/>
                  <w:w w:val="93"/>
                </w:rPr>
                <w:t>132</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8"/>
          </w:tcPr>
          <w:p>
            <w:pPr>
              <w:ind w:left="320"/>
              <w:spacing w:after="0"/>
              <w:rPr>
                <w:sz w:val="20"/>
                <w:szCs w:val="20"/>
                <w:color w:val="auto"/>
              </w:rPr>
            </w:pPr>
            <w:r>
              <w:rPr>
                <w:rFonts w:ascii="Arial" w:cs="Arial" w:eastAsia="Arial" w:hAnsi="Arial"/>
                <w:sz w:val="18"/>
                <w:szCs w:val="18"/>
                <w:color w:val="auto"/>
              </w:rPr>
              <w:t>__________________</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40" w:type="dxa"/>
            <w:vAlign w:val="bottom"/>
            <w:gridSpan w:val="12"/>
          </w:tcPr>
          <w:p>
            <w:pPr>
              <w:spacing w:after="0"/>
              <w:rPr>
                <w:sz w:val="20"/>
                <w:szCs w:val="20"/>
                <w:color w:val="auto"/>
              </w:rPr>
            </w:pPr>
            <w:r>
              <w:rPr>
                <w:rFonts w:ascii="Arial" w:cs="Arial" w:eastAsia="Arial" w:hAnsi="Arial"/>
                <w:sz w:val="18"/>
                <w:szCs w:val="18"/>
                <w:b w:val="1"/>
                <w:bCs w:val="1"/>
                <w:color w:val="auto"/>
              </w:rPr>
              <w:t>Through and including</w:t>
            </w:r>
          </w:p>
        </w:tc>
        <w:tc>
          <w:tcPr>
            <w:tcW w:w="8300" w:type="dxa"/>
            <w:vAlign w:val="bottom"/>
            <w:gridSpan w:val="28"/>
          </w:tcPr>
          <w:p>
            <w:pPr>
              <w:ind w:left="160"/>
              <w:spacing w:after="0"/>
              <w:rPr>
                <w:sz w:val="20"/>
                <w:szCs w:val="20"/>
                <w:color w:val="auto"/>
              </w:rPr>
            </w:pPr>
            <w:r>
              <w:rPr>
                <w:rFonts w:ascii="Arial" w:cs="Arial" w:eastAsia="Arial" w:hAnsi="Arial"/>
                <w:sz w:val="18"/>
                <w:szCs w:val="18"/>
                <w:b w:val="1"/>
                <w:bCs w:val="1"/>
                <w:color w:val="auto"/>
                <w:w w:val="99"/>
              </w:rPr>
              <w:t>, 2021 (the 25th day after the date of this prospectus), all dealers effecting transactions in these</w:t>
            </w:r>
          </w:p>
        </w:tc>
        <w:tc>
          <w:tcPr>
            <w:tcW w:w="0" w:type="dxa"/>
            <w:vAlign w:val="bottom"/>
          </w:tcPr>
          <w:p>
            <w:pPr>
              <w:spacing w:after="0"/>
              <w:rPr>
                <w:sz w:val="1"/>
                <w:szCs w:val="1"/>
                <w:color w:val="auto"/>
              </w:rPr>
            </w:pPr>
          </w:p>
        </w:tc>
      </w:tr>
    </w:tbl>
    <w:p>
      <w:pPr>
        <w:ind w:right="340"/>
        <w:spacing w:after="0" w:line="265"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ind w:left="4720"/>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1440"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56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3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43" w:lineRule="exact"/>
        <w:rPr>
          <w:sz w:val="20"/>
          <w:szCs w:val="20"/>
          <w:color w:val="auto"/>
        </w:rPr>
      </w:pPr>
    </w:p>
    <w:p>
      <w:pPr>
        <w:ind w:left="6" w:right="40"/>
        <w:spacing w:after="0" w:line="251"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in recent periods. Our revenue was $80.5 million and $88.1 million in the years ended December 31, 2019 and 2020, respectively. Our net income (loss) was $1.2 million and $(1.7) million in the years ended December 31, 2019 and 2020, respectively. Our adjusted EBITDA was $ 7.6 million and $ 26.8 million in the years ended December 31, 2019 and 2020, respectively. For the three months ended March 31, 2020 and 2021, our revenue was $21.9 million and $29.7 million, respectively. Our net income was $ 3.3 million and $ 8.0 million in the three months ended March 31, 2020 and 2021, respectively. Our adjusted EBITDA was $6.7 million and $13.4 million in the three months ended March 31, 2020 and 2021, respectively. See the section titled “Management’s discussion and analysis of financial condition and results of operations” for additional information on our non-GAAP metrics.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80" w:lineRule="exact"/>
        <w:rPr>
          <w:sz w:val="20"/>
          <w:szCs w:val="20"/>
          <w:color w:val="auto"/>
        </w:rPr>
      </w:pPr>
    </w:p>
    <w:p>
      <w:pPr>
        <w:jc w:val="both"/>
        <w:ind w:left="6" w:right="140"/>
        <w:spacing w:after="0" w:line="256" w:lineRule="auto"/>
        <w:rPr>
          <w:sz w:val="20"/>
          <w:szCs w:val="20"/>
          <w:color w:val="auto"/>
        </w:rPr>
      </w:pPr>
      <w:r>
        <w:rPr>
          <w:rFonts w:ascii="Arial" w:cs="Arial" w:eastAsia="Arial" w:hAnsi="Arial"/>
          <w:sz w:val="18"/>
          <w:szCs w:val="18"/>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21" w:lineRule="exact"/>
        <w:rPr>
          <w:sz w:val="20"/>
          <w:szCs w:val="20"/>
          <w:color w:val="auto"/>
        </w:rPr>
      </w:pPr>
    </w:p>
    <w:p>
      <w:pPr>
        <w:ind w:left="6" w:right="60"/>
        <w:spacing w:after="0" w:line="256"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12" w:lineRule="exact"/>
        <w:rPr>
          <w:sz w:val="20"/>
          <w:szCs w:val="20"/>
          <w:color w:val="auto"/>
        </w:rPr>
      </w:pPr>
    </w:p>
    <w:p>
      <w:pPr>
        <w:ind w:left="326" w:right="680"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discover. </w:t>
      </w:r>
      <w:r>
        <w:rPr>
          <w:rFonts w:ascii="Arial" w:cs="Arial" w:eastAsia="Arial" w:hAnsi="Arial"/>
          <w:sz w:val="18"/>
          <w:szCs w:val="18"/>
          <w:color w:val="auto"/>
        </w:rPr>
        <w:t>SMBs increasingly rely on online channels for finding new technologies and heavily consider</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from experts, friends and colleagues.</w:t>
      </w:r>
    </w:p>
    <w:p>
      <w:pPr>
        <w:spacing w:after="0" w:line="85" w:lineRule="exact"/>
        <w:rPr>
          <w:rFonts w:ascii="Arial" w:cs="Arial" w:eastAsia="Arial" w:hAnsi="Arial"/>
          <w:sz w:val="18"/>
          <w:szCs w:val="18"/>
          <w:color w:val="auto"/>
        </w:rPr>
      </w:pPr>
    </w:p>
    <w:p>
      <w:pPr>
        <w:ind w:left="326" w:right="28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implement. </w:t>
      </w:r>
      <w:r>
        <w:rPr>
          <w:rFonts w:ascii="Arial" w:cs="Arial" w:eastAsia="Arial" w:hAnsi="Arial"/>
          <w:sz w:val="18"/>
          <w:szCs w:val="18"/>
          <w:color w:val="auto"/>
        </w:rPr>
        <w:t>IT departments within SMBs are often one person or the business owner themselves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incapable of taking time away from their business to support cumbersome implementation, maintenance and training requirements.</w:t>
      </w:r>
    </w:p>
    <w:p>
      <w:pPr>
        <w:spacing w:after="0" w:line="89" w:lineRule="exact"/>
        <w:rPr>
          <w:rFonts w:ascii="Arial" w:cs="Arial" w:eastAsia="Arial" w:hAnsi="Arial"/>
          <w:sz w:val="18"/>
          <w:szCs w:val="18"/>
          <w:color w:val="auto"/>
        </w:rPr>
      </w:pPr>
    </w:p>
    <w:p>
      <w:pPr>
        <w:jc w:val="both"/>
        <w:ind w:left="326" w:right="42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purchase. </w:t>
      </w:r>
      <w:r>
        <w:rPr>
          <w:rFonts w:ascii="Arial" w:cs="Arial" w:eastAsia="Arial" w:hAnsi="Arial"/>
          <w:sz w:val="18"/>
          <w:szCs w:val="18"/>
          <w:color w:val="auto"/>
        </w:rPr>
        <w:t>With no procurement department and limited resources, the individuals making the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at SMBs often prefer vendors with transparent, self-service monthly subscription plans that can be paid by credit card.</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manage. </w:t>
      </w:r>
      <w:r>
        <w:rPr>
          <w:rFonts w:ascii="Arial" w:cs="Arial" w:eastAsia="Arial" w:hAnsi="Arial"/>
          <w:sz w:val="18"/>
          <w:szCs w:val="18"/>
          <w:color w:val="auto"/>
        </w:rPr>
        <w:t>SMBs prefer a single, comprehensive platform from one provider that can solve multiple pain points.</w:t>
      </w:r>
    </w:p>
    <w:p>
      <w:pPr>
        <w:spacing w:after="0" w:line="157" w:lineRule="exact"/>
        <w:rPr>
          <w:rFonts w:ascii="Arial" w:cs="Arial" w:eastAsia="Arial" w:hAnsi="Arial"/>
          <w:sz w:val="18"/>
          <w:szCs w:val="18"/>
          <w:color w:val="auto"/>
        </w:rPr>
      </w:pPr>
    </w:p>
    <w:p>
      <w:pPr>
        <w:ind w:left="326" w:right="320"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use. </w:t>
      </w:r>
      <w:r>
        <w:rPr>
          <w:rFonts w:ascii="Arial" w:cs="Arial" w:eastAsia="Arial" w:hAnsi="Arial"/>
          <w:sz w:val="18"/>
          <w:szCs w:val="18"/>
          <w:color w:val="auto"/>
        </w:rPr>
        <w:t>Many SMBs prioritize ease of use and convenience over cost and seek solutions with elegant, intuitive</w:t>
      </w:r>
      <w:r>
        <w:rPr>
          <w:rFonts w:ascii="Arial" w:cs="Arial" w:eastAsia="Arial" w:hAnsi="Arial"/>
          <w:sz w:val="18"/>
          <w:szCs w:val="18"/>
          <w:b w:val="1"/>
          <w:bCs w:val="1"/>
          <w:color w:val="auto"/>
        </w:rPr>
        <w:t xml:space="preserve"> </w:t>
      </w:r>
      <w:r>
        <w:rPr>
          <w:rFonts w:ascii="Arial" w:cs="Arial" w:eastAsia="Arial" w:hAnsi="Arial"/>
          <w:sz w:val="18"/>
          <w:szCs w:val="18"/>
          <w:color w:val="auto"/>
        </w:rPr>
        <w:t>user experiences that require no training or expertise to operate.</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66"/>
          </w:cols>
          <w:pgMar w:left="994" w:top="1440" w:right="10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47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476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ind w:left="6" w:right="20"/>
        <w:spacing w:after="0" w:line="253"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Despite the mission criticality of these 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80" w:lineRule="exact"/>
        <w:rPr>
          <w:sz w:val="20"/>
          <w:szCs w:val="20"/>
          <w:color w:val="auto"/>
        </w:rPr>
      </w:pPr>
    </w:p>
    <w:p>
      <w:pPr>
        <w:ind w:left="6" w:right="20"/>
        <w:spacing w:after="0" w:line="252"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66"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70" w:lineRule="exact"/>
        <w:rPr>
          <w:sz w:val="20"/>
          <w:szCs w:val="20"/>
          <w:color w:val="auto"/>
        </w:rPr>
      </w:pPr>
    </w:p>
    <w:p>
      <w:pPr>
        <w:ind w:left="6" w:right="32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5"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80"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39" w:lineRule="exact"/>
        <w:rPr>
          <w:sz w:val="20"/>
          <w:szCs w:val="20"/>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designed for the employee;</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disparate product lines for different features;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receipt scanning;</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purposeful automation;</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integration with key systems and applications; and</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Partitioned database design.</w:t>
      </w:r>
    </w:p>
    <w:p>
      <w:pPr>
        <w:sectPr>
          <w:pgSz w:w="11900" w:h="16838" w:orient="portrait"/>
          <w:cols w:equalWidth="0" w:num="1">
            <w:col w:w="9766"/>
          </w:cols>
          <w:pgMar w:left="994"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66"/>
          </w:cols>
          <w:pgMar w:left="994" w:top="1440" w:right="11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6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8651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left="6" w:right="100"/>
        <w:spacing w:after="0" w:line="254"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101" w:lineRule="exact"/>
        <w:rPr>
          <w:sz w:val="20"/>
          <w:szCs w:val="20"/>
          <w:color w:val="auto"/>
        </w:rPr>
      </w:pPr>
    </w:p>
    <w:p>
      <w:pPr>
        <w:ind w:left="326" w:hanging="326"/>
        <w:spacing w:after="0" w:line="287"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makers, requiring an ever-increasing pipeline of sales talent.</w:t>
      </w:r>
    </w:p>
    <w:p>
      <w:pPr>
        <w:spacing w:after="0" w:line="85" w:lineRule="exact"/>
        <w:rPr>
          <w:rFonts w:ascii="Arial" w:cs="Arial" w:eastAsia="Arial" w:hAnsi="Arial"/>
          <w:sz w:val="18"/>
          <w:szCs w:val="18"/>
          <w:color w:val="auto"/>
        </w:rPr>
      </w:pPr>
    </w:p>
    <w:p>
      <w:pPr>
        <w:ind w:left="326" w:right="120" w:hanging="326"/>
        <w:spacing w:after="0" w:line="26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Discovering and buying software is typically not the core job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for anyone at most SMBs, and software providers leveraging a top-down approach struggle to identify, engage with and sell to key decision makers at SMBs.</w:t>
      </w:r>
    </w:p>
    <w:p>
      <w:pPr>
        <w:spacing w:after="0" w:line="103" w:lineRule="exact"/>
        <w:rPr>
          <w:rFonts w:ascii="Arial" w:cs="Arial" w:eastAsia="Arial" w:hAnsi="Arial"/>
          <w:sz w:val="18"/>
          <w:szCs w:val="18"/>
          <w:color w:val="auto"/>
        </w:rPr>
      </w:pPr>
    </w:p>
    <w:p>
      <w:pPr>
        <w:ind w:left="326" w:right="120" w:hanging="326"/>
        <w:spacing w:after="0" w:line="287"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 procurement processes, which emphasize pricing and control features over the user experience.</w:t>
      </w:r>
    </w:p>
    <w:p>
      <w:pPr>
        <w:spacing w:after="0" w:line="71" w:lineRule="exact"/>
        <w:rPr>
          <w:rFonts w:ascii="Arial" w:cs="Arial" w:eastAsia="Arial" w:hAnsi="Arial"/>
          <w:sz w:val="18"/>
          <w:szCs w:val="18"/>
          <w:color w:val="auto"/>
        </w:rPr>
      </w:pPr>
    </w:p>
    <w:p>
      <w:pPr>
        <w:ind w:left="326" w:right="180" w:hanging="326"/>
        <w:spacing w:after="0" w:line="26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by the company. This company-centric legal approach acts as an impediment to viral employee adoption within and across organizations.</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market opportunity</w:t>
      </w:r>
    </w:p>
    <w:p>
      <w:pPr>
        <w:spacing w:after="0" w:line="170" w:lineRule="exact"/>
        <w:rPr>
          <w:sz w:val="20"/>
          <w:szCs w:val="20"/>
          <w:color w:val="auto"/>
        </w:rPr>
      </w:pPr>
    </w:p>
    <w:p>
      <w:pPr>
        <w:ind w:left="6" w:right="100"/>
        <w:spacing w:after="0" w:line="251" w:lineRule="auto"/>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 estimate our total addressable market (“TAM”) was approximately $14.3 billion in the United States and $19.3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March 31, 2021. Given our focus on SMBs, this excludes the U.S. market opportunity for companies with greater than 1,000 employees, which we estimate to be $5.2 billion using the same methodology described above.</w:t>
      </w:r>
    </w:p>
    <w:p>
      <w:pPr>
        <w:spacing w:after="0" w:line="130" w:lineRule="exact"/>
        <w:rPr>
          <w:sz w:val="20"/>
          <w:szCs w:val="20"/>
          <w:color w:val="auto"/>
        </w:rPr>
      </w:pPr>
    </w:p>
    <w:p>
      <w:pPr>
        <w:ind w:left="6" w:right="40"/>
        <w:spacing w:after="0" w:line="251" w:lineRule="auto"/>
        <w:rPr>
          <w:sz w:val="20"/>
          <w:szCs w:val="20"/>
          <w:color w:val="auto"/>
        </w:rPr>
      </w:pPr>
      <w:r>
        <w:rPr>
          <w:rFonts w:ascii="Arial" w:cs="Arial" w:eastAsia="Arial" w:hAnsi="Arial"/>
          <w:sz w:val="18"/>
          <w:szCs w:val="18"/>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March 31,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44" w:lineRule="exact"/>
        <w:rPr>
          <w:sz w:val="20"/>
          <w:szCs w:val="20"/>
          <w:color w:val="auto"/>
        </w:rPr>
      </w:pPr>
    </w:p>
    <w:p>
      <w:pPr>
        <w:ind w:left="6" w:right="380"/>
        <w:spacing w:after="0" w:line="254" w:lineRule="auto"/>
        <w:rPr>
          <w:sz w:val="20"/>
          <w:szCs w:val="20"/>
          <w:color w:val="auto"/>
        </w:rPr>
      </w:pPr>
      <w:r>
        <w:rPr>
          <w:rFonts w:ascii="Arial" w:cs="Arial" w:eastAsia="Arial" w:hAnsi="Arial"/>
          <w:sz w:val="18"/>
          <w:szCs w:val="18"/>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36"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22" w:lineRule="exact"/>
        <w:rPr>
          <w:sz w:val="20"/>
          <w:szCs w:val="20"/>
          <w:color w:val="auto"/>
        </w:rPr>
      </w:pPr>
    </w:p>
    <w:p>
      <w:pPr>
        <w:ind w:left="326" w:right="320" w:hanging="326"/>
        <w:spacing w:after="0" w:line="28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late 2019 and then launched fully in early 2020. We estimate that the</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86"/>
          </w:cols>
          <w:pgMar w:left="994"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342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342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326" w:right="100"/>
        <w:spacing w:after="0" w:line="256" w:lineRule="auto"/>
        <w:rPr>
          <w:sz w:val="20"/>
          <w:szCs w:val="20"/>
          <w:color w:val="auto"/>
        </w:rPr>
      </w:pPr>
      <w:r>
        <w:rPr>
          <w:rFonts w:ascii="Arial" w:cs="Arial" w:eastAsia="Arial" w:hAnsi="Arial"/>
          <w:sz w:val="18"/>
          <w:szCs w:val="18"/>
          <w:color w:val="auto"/>
        </w:rPr>
        <w:t>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112" w:lineRule="exact"/>
        <w:rPr>
          <w:sz w:val="20"/>
          <w:szCs w:val="20"/>
          <w:color w:val="auto"/>
        </w:rPr>
      </w:pPr>
    </w:p>
    <w:p>
      <w:pPr>
        <w:ind w:left="326" w:hanging="326"/>
        <w:spacing w:after="0" w:line="262"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expansion. </w:t>
      </w:r>
      <w:r>
        <w:rPr>
          <w:rFonts w:ascii="Arial" w:cs="Arial" w:eastAsia="Arial" w:hAnsi="Arial"/>
          <w:sz w:val="18"/>
          <w:szCs w:val="18"/>
          <w:color w:val="auto"/>
        </w:rPr>
        <w:t>While expense management tends to touch the majority of company employees at least once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5" w:lineRule="exact"/>
        <w:rPr>
          <w:rFonts w:ascii="Arial" w:cs="Arial" w:eastAsia="Arial" w:hAnsi="Arial"/>
          <w:sz w:val="18"/>
          <w:szCs w:val="18"/>
          <w:color w:val="auto"/>
        </w:rPr>
      </w:pPr>
    </w:p>
    <w:p>
      <w:pPr>
        <w:ind w:left="326" w:right="1020" w:hanging="326"/>
        <w:spacing w:after="0" w:line="28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geographies.</w:t>
      </w:r>
    </w:p>
    <w:p>
      <w:pPr>
        <w:spacing w:after="0" w:line="8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22" w:lineRule="exact"/>
        <w:rPr>
          <w:sz w:val="20"/>
          <w:szCs w:val="20"/>
          <w:color w:val="auto"/>
        </w:rPr>
      </w:pPr>
    </w:p>
    <w:p>
      <w:pPr>
        <w:ind w:left="326" w:right="440" w:hanging="326"/>
        <w:spacing w:after="0" w:line="28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single employee within an organization, not just decision makers or managers.</w:t>
      </w:r>
    </w:p>
    <w:p>
      <w:pPr>
        <w:spacing w:after="0" w:line="85" w:lineRule="exact"/>
        <w:rPr>
          <w:rFonts w:ascii="Arial" w:cs="Arial" w:eastAsia="Arial" w:hAnsi="Arial"/>
          <w:sz w:val="18"/>
          <w:szCs w:val="18"/>
          <w:color w:val="auto"/>
        </w:rPr>
      </w:pPr>
    </w:p>
    <w:p>
      <w:pPr>
        <w:ind w:left="326" w:right="100" w:hanging="326"/>
        <w:spacing w:after="0" w:line="259"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111" w:lineRule="exact"/>
        <w:rPr>
          <w:rFonts w:ascii="Arial" w:cs="Arial" w:eastAsia="Arial" w:hAnsi="Arial"/>
          <w:sz w:val="18"/>
          <w:szCs w:val="18"/>
          <w:color w:val="auto"/>
        </w:rPr>
      </w:pPr>
    </w:p>
    <w:p>
      <w:pPr>
        <w:ind w:left="326" w:right="20" w:hanging="326"/>
        <w:spacing w:after="0" w:line="259"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best form of 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w:t>
      </w:r>
    </w:p>
    <w:p>
      <w:pPr>
        <w:spacing w:after="0" w:line="98" w:lineRule="exact"/>
        <w:rPr>
          <w:rFonts w:ascii="Arial" w:cs="Arial" w:eastAsia="Arial" w:hAnsi="Arial"/>
          <w:sz w:val="18"/>
          <w:szCs w:val="18"/>
          <w:color w:val="auto"/>
        </w:rPr>
      </w:pPr>
    </w:p>
    <w:p>
      <w:pPr>
        <w:ind w:left="326" w:right="100" w:hanging="326"/>
        <w:spacing w:after="0" w:line="28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unique company culture and intense focus on the long-term happiness of our employees.</w:t>
      </w:r>
    </w:p>
    <w:p>
      <w:pPr>
        <w:spacing w:after="0" w:line="107" w:lineRule="exact"/>
        <w:rPr>
          <w:sz w:val="20"/>
          <w:szCs w:val="20"/>
          <w:color w:val="auto"/>
        </w:rPr>
      </w:pPr>
    </w:p>
    <w:p>
      <w:pPr>
        <w:ind w:left="6" w:right="10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platform strategy</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platform strategy centers around the following key concepts:</w:t>
      </w:r>
    </w:p>
    <w:p>
      <w:pPr>
        <w:spacing w:after="0" w:line="136" w:lineRule="exact"/>
        <w:rPr>
          <w:sz w:val="20"/>
          <w:szCs w:val="20"/>
          <w:color w:val="auto"/>
        </w:rPr>
      </w:pPr>
    </w:p>
    <w:p>
      <w:pPr>
        <w:ind w:left="326" w:right="40" w:hanging="326"/>
        <w:spacing w:after="0" w:line="268"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finance department. We believe that the more intuitive and simple Expensify is, the more employees and administrators will want to use it.</w:t>
      </w:r>
    </w:p>
    <w:p>
      <w:pPr>
        <w:spacing w:after="0" w:line="103" w:lineRule="exact"/>
        <w:rPr>
          <w:rFonts w:ascii="Arial" w:cs="Arial" w:eastAsia="Arial" w:hAnsi="Arial"/>
          <w:sz w:val="18"/>
          <w:szCs w:val="18"/>
          <w:color w:val="auto"/>
        </w:rPr>
      </w:pPr>
    </w:p>
    <w:p>
      <w:pPr>
        <w:ind w:left="326" w:right="460" w:hanging="326"/>
        <w:spacing w:after="0" w:line="287"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believe that by making our platform easily accessible, simple to set up and easily configurable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attracts more members to download and try Expensify.</w:t>
      </w:r>
    </w:p>
    <w:p>
      <w:pPr>
        <w:spacing w:after="0" w:line="71" w:lineRule="exact"/>
        <w:rPr>
          <w:rFonts w:ascii="Arial" w:cs="Arial" w:eastAsia="Arial" w:hAnsi="Arial"/>
          <w:sz w:val="18"/>
          <w:szCs w:val="18"/>
          <w:color w:val="auto"/>
        </w:rPr>
      </w:pPr>
    </w:p>
    <w:p>
      <w:pPr>
        <w:ind w:left="326" w:right="40" w:hanging="326"/>
        <w:spacing w:after="0" w:line="268"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believe that always having the pain points of our members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center of every technology decision and feature we develop enables us to consistently deliver an improved experience for every employee in an organization.</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66"/>
          </w:cols>
          <w:pgMar w:left="994" w:top="1440" w:right="10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707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7075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6" w:right="340" w:hanging="326"/>
        <w:spacing w:after="0" w:line="268"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from expense management to bill payment. Our features are just different configurations of the same underlying tool, and are not different products in some kind of combined suite.</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w:t>
      </w:r>
    </w:p>
    <w:p>
      <w:pPr>
        <w:spacing w:after="0" w:line="166" w:lineRule="exact"/>
        <w:rPr>
          <w:sz w:val="20"/>
          <w:szCs w:val="20"/>
          <w:color w:val="auto"/>
        </w:rPr>
      </w:pPr>
    </w:p>
    <w:p>
      <w:pPr>
        <w:ind w:left="6" w:right="2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27" w:lineRule="exact"/>
        <w:rPr>
          <w:sz w:val="20"/>
          <w:szCs w:val="20"/>
          <w:color w:val="auto"/>
        </w:rPr>
      </w:pPr>
    </w:p>
    <w:p>
      <w:pPr>
        <w:ind w:left="6" w:right="360"/>
        <w:spacing w:after="0" w:line="254"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In the quarter ended March 31, 2021, 94%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36" w:lineRule="exact"/>
        <w:rPr>
          <w:sz w:val="20"/>
          <w:szCs w:val="20"/>
          <w:color w:val="auto"/>
        </w:rPr>
      </w:pPr>
    </w:p>
    <w:p>
      <w:pPr>
        <w:ind w:left="6" w:right="220"/>
        <w:spacing w:after="0" w:line="256"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134" w:lineRule="exact"/>
        <w:rPr>
          <w:sz w:val="20"/>
          <w:szCs w:val="20"/>
          <w:color w:val="auto"/>
        </w:rPr>
      </w:pPr>
    </w:p>
    <w:p>
      <w:pPr>
        <w:ind w:left="6" w:right="320"/>
        <w:spacing w:after="0" w:line="278" w:lineRule="auto"/>
        <w:rPr>
          <w:sz w:val="20"/>
          <w:szCs w:val="20"/>
          <w:color w:val="auto"/>
        </w:rPr>
      </w:pPr>
      <w:r>
        <w:rPr>
          <w:rFonts w:ascii="Arial" w:cs="Arial" w:eastAsia="Arial" w:hAnsi="Arial"/>
          <w:sz w:val="17"/>
          <w:szCs w:val="17"/>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culture</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At Expensify, our culture is deeply embedded in everything we do.</w:t>
      </w:r>
    </w:p>
    <w:p>
      <w:pPr>
        <w:spacing w:after="0" w:line="158" w:lineRule="exact"/>
        <w:rPr>
          <w:sz w:val="20"/>
          <w:szCs w:val="20"/>
          <w:color w:val="auto"/>
        </w:rPr>
      </w:pPr>
    </w:p>
    <w:p>
      <w:pPr>
        <w:ind w:left="6" w:right="380"/>
        <w:spacing w:after="0" w:line="261" w:lineRule="auto"/>
        <w:rPr>
          <w:sz w:val="20"/>
          <w:szCs w:val="20"/>
          <w:color w:val="auto"/>
        </w:rPr>
      </w:pPr>
      <w:r>
        <w:rPr>
          <w:rFonts w:ascii="Arial" w:cs="Arial" w:eastAsia="Arial" w:hAnsi="Arial"/>
          <w:sz w:val="18"/>
          <w:szCs w:val="18"/>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8"/>
          <w:szCs w:val="18"/>
          <w:b w:val="1"/>
          <w:bCs w:val="1"/>
          <w:i w:val="1"/>
          <w:iCs w:val="1"/>
          <w:color w:val="auto"/>
        </w:rPr>
        <w:t>Live Rich, Have Fun</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 The World.</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 xml:space="preserve">Talent, Ambition </w:t>
      </w:r>
      <w:r>
        <w:rPr>
          <w:rFonts w:ascii="Arial" w:cs="Arial" w:eastAsia="Arial" w:hAnsi="Arial"/>
          <w:sz w:val="18"/>
          <w:szCs w:val="18"/>
          <w:i w:val="1"/>
          <w:iCs w:val="1"/>
          <w:color w:val="auto"/>
        </w:rPr>
        <w:t>and</w:t>
      </w:r>
      <w:r>
        <w:rPr>
          <w:rFonts w:ascii="Arial" w:cs="Arial" w:eastAsia="Arial" w:hAnsi="Arial"/>
          <w:sz w:val="18"/>
          <w:szCs w:val="18"/>
          <w:b w:val="1"/>
          <w:bCs w:val="1"/>
          <w:i w:val="1"/>
          <w:iCs w:val="1"/>
          <w:color w:val="auto"/>
        </w:rPr>
        <w:t xml:space="preserve"> Humility</w:t>
      </w:r>
    </w:p>
    <w:p>
      <w:pPr>
        <w:spacing w:after="0" w:line="136" w:lineRule="exact"/>
        <w:rPr>
          <w:sz w:val="20"/>
          <w:szCs w:val="20"/>
          <w:color w:val="auto"/>
        </w:rPr>
      </w:pPr>
    </w:p>
    <w:p>
      <w:pPr>
        <w:ind w:left="6" w:right="40"/>
        <w:spacing w:after="0" w:line="287" w:lineRule="auto"/>
        <w:rPr>
          <w:sz w:val="20"/>
          <w:szCs w:val="20"/>
          <w:color w:val="auto"/>
        </w:rPr>
      </w:pPr>
      <w:r>
        <w:rPr>
          <w:rFonts w:ascii="Arial" w:cs="Arial" w:eastAsia="Arial" w:hAnsi="Arial"/>
          <w:sz w:val="18"/>
          <w:szCs w:val="18"/>
          <w:color w:val="auto"/>
        </w:rPr>
        <w:t xml:space="preserve">Finally, our long-term commitment to our three life goals is guided by two simple rules: </w:t>
      </w:r>
      <w:r>
        <w:rPr>
          <w:rFonts w:ascii="Arial" w:cs="Arial" w:eastAsia="Arial" w:hAnsi="Arial"/>
          <w:sz w:val="18"/>
          <w:szCs w:val="18"/>
          <w:b w:val="1"/>
          <w:bCs w:val="1"/>
          <w:i w:val="1"/>
          <w:iCs w:val="1"/>
          <w:color w:val="auto"/>
        </w:rPr>
        <w:t>Get Shit Done</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Don’t Ruin It for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Everyone Else.</w:t>
      </w:r>
    </w:p>
    <w:p>
      <w:pPr>
        <w:spacing w:after="0" w:line="107" w:lineRule="exact"/>
        <w:rPr>
          <w:sz w:val="20"/>
          <w:szCs w:val="20"/>
          <w:color w:val="auto"/>
        </w:rPr>
      </w:pPr>
    </w:p>
    <w:p>
      <w:pPr>
        <w:ind w:left="6" w:right="560"/>
        <w:spacing w:after="0" w:line="261"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86"/>
          </w:cols>
          <w:pgMar w:left="994" w:top="1440" w:right="10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9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competitive strengths</w:t>
      </w:r>
    </w:p>
    <w:p>
      <w:pPr>
        <w:spacing w:after="0" w:line="170" w:lineRule="exact"/>
        <w:rPr>
          <w:sz w:val="20"/>
          <w:szCs w:val="20"/>
          <w:color w:val="auto"/>
        </w:rPr>
      </w:pPr>
    </w:p>
    <w:p>
      <w:pPr>
        <w:ind w:left="6" w:right="340"/>
        <w:spacing w:after="0" w:line="256"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9" w:lineRule="exact"/>
        <w:rPr>
          <w:sz w:val="20"/>
          <w:szCs w:val="20"/>
          <w:color w:val="auto"/>
        </w:rPr>
      </w:pPr>
    </w:p>
    <w:p>
      <w:pPr>
        <w:jc w:val="both"/>
        <w:ind w:left="326" w:hanging="326"/>
        <w:spacing w:after="0" w:line="268"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Hyper-focus on an improved experience for our members. </w:t>
      </w:r>
      <w:r>
        <w:rPr>
          <w:rFonts w:ascii="Arial" w:cs="Arial" w:eastAsia="Arial" w:hAnsi="Arial"/>
          <w:sz w:val="18"/>
          <w:szCs w:val="18"/>
          <w:color w:val="auto"/>
        </w:rPr>
        <w:t>Since our inception, our principal goal has been to offer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intuitive and powerful platform with features designed for the actual end users of expense management software: everyday employees.</w:t>
      </w:r>
    </w:p>
    <w:p>
      <w:pPr>
        <w:spacing w:after="0" w:line="103" w:lineRule="exact"/>
        <w:rPr>
          <w:rFonts w:ascii="Arial" w:cs="Arial" w:eastAsia="Arial" w:hAnsi="Arial"/>
          <w:sz w:val="18"/>
          <w:szCs w:val="18"/>
          <w:color w:val="auto"/>
        </w:rPr>
      </w:pPr>
    </w:p>
    <w:p>
      <w:pPr>
        <w:ind w:left="326" w:right="80" w:hanging="326"/>
        <w:spacing w:after="0" w:line="28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Viral, bottom-up business model. </w:t>
      </w:r>
      <w:r>
        <w:rPr>
          <w:rFonts w:ascii="Arial" w:cs="Arial" w:eastAsia="Arial" w:hAnsi="Arial"/>
          <w:sz w:val="18"/>
          <w:szCs w:val="18"/>
          <w:color w:val="auto"/>
        </w:rPr>
        <w:t>We leverage an efficient, self-service business model driven by the viral, bottom-up</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our platform by employees.</w:t>
      </w:r>
    </w:p>
    <w:p>
      <w:pPr>
        <w:spacing w:after="0" w:line="85" w:lineRule="exact"/>
        <w:rPr>
          <w:rFonts w:ascii="Arial" w:cs="Arial" w:eastAsia="Arial" w:hAnsi="Arial"/>
          <w:sz w:val="18"/>
          <w:szCs w:val="18"/>
          <w:color w:val="auto"/>
        </w:rPr>
      </w:pPr>
    </w:p>
    <w:p>
      <w:pPr>
        <w:ind w:left="326" w:right="80" w:hanging="326"/>
        <w:spacing w:after="0" w:line="268"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Recognized market consensus and efficient word-of-mouth. </w:t>
      </w:r>
      <w:r>
        <w:rPr>
          <w:rFonts w:ascii="Arial" w:cs="Arial" w:eastAsia="Arial" w:hAnsi="Arial"/>
          <w:sz w:val="18"/>
          <w:szCs w:val="18"/>
          <w:color w:val="auto"/>
        </w:rPr>
        <w:t>Our members drive the adoption and expansion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Expensify within organizations, and our platform and business model are intensely focused on improving their everyday experience.</w:t>
      </w:r>
    </w:p>
    <w:p>
      <w:pPr>
        <w:spacing w:after="0" w:line="89" w:lineRule="exact"/>
        <w:rPr>
          <w:rFonts w:ascii="Arial" w:cs="Arial" w:eastAsia="Arial" w:hAnsi="Arial"/>
          <w:sz w:val="18"/>
          <w:szCs w:val="18"/>
          <w:color w:val="auto"/>
        </w:rPr>
      </w:pPr>
    </w:p>
    <w:p>
      <w:pPr>
        <w:ind w:left="326" w:right="280" w:hanging="326"/>
        <w:spacing w:after="0" w:line="262"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Employee-centric legal structure and database design. </w:t>
      </w:r>
      <w:r>
        <w:rPr>
          <w:rFonts w:ascii="Arial" w:cs="Arial" w:eastAsia="Arial" w:hAnsi="Arial"/>
          <w:sz w:val="18"/>
          <w:szCs w:val="18"/>
          <w:color w:val="auto"/>
        </w:rPr>
        <w:t>Our platform is built on Bedrock, a proprietary and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108" w:lineRule="exact"/>
        <w:rPr>
          <w:rFonts w:ascii="Arial" w:cs="Arial" w:eastAsia="Arial" w:hAnsi="Arial"/>
          <w:sz w:val="18"/>
          <w:szCs w:val="18"/>
          <w:color w:val="auto"/>
        </w:rPr>
      </w:pPr>
    </w:p>
    <w:p>
      <w:pPr>
        <w:ind w:left="326" w:hanging="326"/>
        <w:spacing w:after="0" w:line="262"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w:t>
      </w:r>
      <w:r>
        <w:rPr>
          <w:rFonts w:ascii="Arial" w:cs="Arial" w:eastAsia="Arial" w:hAnsi="Arial"/>
          <w:sz w:val="18"/>
          <w:szCs w:val="18"/>
          <w:b w:val="1"/>
          <w:bCs w:val="1"/>
          <w:color w:val="auto"/>
        </w:rPr>
        <w:t xml:space="preserve"> </w:t>
      </w:r>
      <w:r>
        <w:rPr>
          <w:rFonts w:ascii="Arial" w:cs="Arial" w:eastAsia="Arial" w:hAnsi="Arial"/>
          <w:sz w:val="18"/>
          <w:szCs w:val="18"/>
          <w:color w:val="auto"/>
        </w:rPr>
        <w:t>our resources to attract, retain and inspire a vastly more talent-dense team than our competition. We have achieved impressive levels of retention, which provides the necessary corporate patience and ambition to execute a truly massive, long-term vision.</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growth strategies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58" w:lineRule="exact"/>
        <w:rPr>
          <w:sz w:val="20"/>
          <w:szCs w:val="20"/>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new features that create additional value for existing members;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new features that attract new members beyond employees who submit expenses;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viral loops into our member experience that increase adoption by new customers;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monetize transaction volume from existing and new customers;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Promote Expensify’s culture and values;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strengthen our market consensus;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integrations and strengthen partnerships;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internationally.</w:t>
      </w:r>
    </w:p>
    <w:p>
      <w:pPr>
        <w:spacing w:after="0" w:line="13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Expensify.org</w:t>
      </w:r>
    </w:p>
    <w:p>
      <w:pPr>
        <w:spacing w:after="0" w:line="170" w:lineRule="exact"/>
        <w:rPr>
          <w:sz w:val="20"/>
          <w:szCs w:val="20"/>
          <w:color w:val="auto"/>
        </w:rPr>
      </w:pPr>
    </w:p>
    <w:p>
      <w:pPr>
        <w:jc w:val="both"/>
        <w:ind w:left="6" w:right="80"/>
        <w:spacing w:after="0" w:line="253"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86"/>
          </w:cols>
          <w:pgMar w:left="994" w:top="1440" w:right="10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53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Risk factor summary</w:t>
      </w:r>
    </w:p>
    <w:p>
      <w:pPr>
        <w:spacing w:after="0" w:line="170" w:lineRule="exact"/>
        <w:rPr>
          <w:sz w:val="20"/>
          <w:szCs w:val="20"/>
          <w:color w:val="auto"/>
        </w:rPr>
      </w:pPr>
    </w:p>
    <w:p>
      <w:pPr>
        <w:jc w:val="both"/>
        <w:ind w:left="6" w:right="260"/>
        <w:spacing w:after="0" w:line="256"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21" w:lineRule="exact"/>
        <w:rPr>
          <w:sz w:val="20"/>
          <w:szCs w:val="20"/>
          <w:color w:val="auto"/>
        </w:rPr>
      </w:pPr>
    </w:p>
    <w:p>
      <w:pPr>
        <w:ind w:left="326" w:right="26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and annual results of operations have fluctuated in the past and may fluctuate significantly in the future and may not meet our expectations or those of investors or securities analysts.</w:t>
      </w:r>
    </w:p>
    <w:p>
      <w:pPr>
        <w:spacing w:after="0" w:line="130" w:lineRule="exact"/>
        <w:rPr>
          <w:rFonts w:ascii="Arial" w:cs="Arial" w:eastAsia="Arial" w:hAnsi="Arial"/>
          <w:sz w:val="18"/>
          <w:szCs w:val="18"/>
          <w:color w:val="auto"/>
        </w:rPr>
      </w:pPr>
    </w:p>
    <w:p>
      <w:pPr>
        <w:ind w:left="326" w:right="32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experienced rapid growth in recent periods prior to the COVID-19 pandemic, and those growth rates may not be indicative of our future growth, and we may not be able to maintain profitability.</w:t>
      </w:r>
    </w:p>
    <w:p>
      <w:pPr>
        <w:spacing w:after="0" w:line="130" w:lineRule="exact"/>
        <w:rPr>
          <w:rFonts w:ascii="Arial" w:cs="Arial" w:eastAsia="Arial" w:hAnsi="Arial"/>
          <w:sz w:val="18"/>
          <w:szCs w:val="18"/>
          <w:color w:val="auto"/>
        </w:rPr>
      </w:pPr>
    </w:p>
    <w:p>
      <w:pPr>
        <w:ind w:left="326" w:right="380" w:hanging="326"/>
        <w:spacing w:after="0" w:line="254"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 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and financial condition and growth prospects.</w:t>
      </w:r>
    </w:p>
    <w:p>
      <w:pPr>
        <w:spacing w:after="0" w:line="122" w:lineRule="exact"/>
        <w:rPr>
          <w:rFonts w:ascii="Arial" w:cs="Arial" w:eastAsia="Arial" w:hAnsi="Arial"/>
          <w:sz w:val="18"/>
          <w:szCs w:val="18"/>
          <w:color w:val="auto"/>
        </w:rPr>
      </w:pPr>
    </w:p>
    <w:p>
      <w:pPr>
        <w:ind w:left="326" w:right="48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34" w:lineRule="exact"/>
        <w:rPr>
          <w:rFonts w:ascii="Arial" w:cs="Arial" w:eastAsia="Arial" w:hAnsi="Arial"/>
          <w:sz w:val="18"/>
          <w:szCs w:val="18"/>
          <w:color w:val="auto"/>
        </w:rPr>
      </w:pPr>
    </w:p>
    <w:p>
      <w:pPr>
        <w:ind w:left="326" w:right="40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130" w:lineRule="exact"/>
        <w:rPr>
          <w:rFonts w:ascii="Arial" w:cs="Arial" w:eastAsia="Arial" w:hAnsi="Arial"/>
          <w:sz w:val="18"/>
          <w:szCs w:val="18"/>
          <w:color w:val="auto"/>
        </w:rPr>
      </w:pPr>
    </w:p>
    <w:p>
      <w:pPr>
        <w:ind w:left="326"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20" w:lineRule="exact"/>
        <w:rPr>
          <w:rFonts w:ascii="Arial" w:cs="Arial" w:eastAsia="Arial" w:hAnsi="Arial"/>
          <w:sz w:val="18"/>
          <w:szCs w:val="18"/>
          <w:color w:val="auto"/>
        </w:rPr>
      </w:pPr>
    </w:p>
    <w:p>
      <w:pPr>
        <w:ind w:left="326" w:right="50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accurately predict the optimal pricing strategies necessary to attract new customers, retain existing customers and respond to changing market conditions.</w:t>
      </w:r>
    </w:p>
    <w:p>
      <w:pPr>
        <w:spacing w:after="0" w:line="130" w:lineRule="exact"/>
        <w:rPr>
          <w:rFonts w:ascii="Arial" w:cs="Arial" w:eastAsia="Arial" w:hAnsi="Arial"/>
          <w:sz w:val="18"/>
          <w:szCs w:val="18"/>
          <w:color w:val="auto"/>
        </w:rPr>
      </w:pPr>
    </w:p>
    <w:p>
      <w:pPr>
        <w:ind w:left="326" w:right="12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34" w:lineRule="exact"/>
        <w:rPr>
          <w:rFonts w:ascii="Arial" w:cs="Arial" w:eastAsia="Arial" w:hAnsi="Arial"/>
          <w:sz w:val="18"/>
          <w:szCs w:val="18"/>
          <w:color w:val="auto"/>
        </w:rPr>
      </w:pPr>
    </w:p>
    <w:p>
      <w:pPr>
        <w:ind w:left="326"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the market in which we operate is rapidly evolving, and if we do not compete effectively, our results of operations and financial condition could be harmed.</w:t>
      </w:r>
    </w:p>
    <w:p>
      <w:pPr>
        <w:spacing w:after="0" w:line="116" w:lineRule="exact"/>
        <w:rPr>
          <w:rFonts w:ascii="Arial" w:cs="Arial" w:eastAsia="Arial" w:hAnsi="Arial"/>
          <w:sz w:val="18"/>
          <w:szCs w:val="18"/>
          <w:color w:val="auto"/>
        </w:rPr>
      </w:pPr>
    </w:p>
    <w:p>
      <w:pPr>
        <w:ind w:left="326" w:right="16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34" w:lineRule="exact"/>
        <w:rPr>
          <w:rFonts w:ascii="Arial" w:cs="Arial" w:eastAsia="Arial" w:hAnsi="Arial"/>
          <w:sz w:val="18"/>
          <w:szCs w:val="18"/>
          <w:color w:val="auto"/>
        </w:rPr>
      </w:pPr>
    </w:p>
    <w:p>
      <w:pPr>
        <w:ind w:left="326" w:right="26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34" w:lineRule="exact"/>
        <w:rPr>
          <w:rFonts w:ascii="Arial" w:cs="Arial" w:eastAsia="Arial" w:hAnsi="Arial"/>
          <w:sz w:val="18"/>
          <w:szCs w:val="18"/>
          <w:color w:val="auto"/>
        </w:rPr>
      </w:pPr>
    </w:p>
    <w:p>
      <w:pPr>
        <w:ind w:left="326" w:right="4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20" w:lineRule="exact"/>
        <w:rPr>
          <w:rFonts w:ascii="Arial" w:cs="Arial" w:eastAsia="Arial" w:hAnsi="Arial"/>
          <w:sz w:val="18"/>
          <w:szCs w:val="18"/>
          <w:color w:val="auto"/>
        </w:rPr>
      </w:pPr>
    </w:p>
    <w:p>
      <w:pPr>
        <w:ind w:left="326" w:right="54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ectPr>
          <w:pgSz w:w="11900" w:h="16838" w:orient="portrait"/>
          <w:cols w:equalWidth="0" w:num="1">
            <w:col w:w="9846"/>
          </w:cols>
          <w:pgMar w:left="99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46"/>
          </w:cols>
          <w:pgMar w:left="994" w:top="1440" w:right="10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16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61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right="26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30" w:lineRule="exact"/>
        <w:rPr>
          <w:rFonts w:ascii="Arial" w:cs="Arial" w:eastAsia="Arial" w:hAnsi="Arial"/>
          <w:sz w:val="18"/>
          <w:szCs w:val="18"/>
          <w:color w:val="auto"/>
        </w:rPr>
      </w:pPr>
    </w:p>
    <w:p>
      <w:pPr>
        <w:ind w:left="326" w:right="98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to customers outside the United States and our international operations expose us to risks inherent in international sales and operations.</w:t>
      </w:r>
    </w:p>
    <w:p>
      <w:pPr>
        <w:spacing w:after="0" w:line="116" w:lineRule="exact"/>
        <w:rPr>
          <w:rFonts w:ascii="Arial" w:cs="Arial" w:eastAsia="Arial" w:hAnsi="Arial"/>
          <w:sz w:val="18"/>
          <w:szCs w:val="18"/>
          <w:color w:val="auto"/>
        </w:rPr>
      </w:pPr>
    </w:p>
    <w:p>
      <w:pPr>
        <w:ind w:left="326" w:right="22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34" w:lineRule="exact"/>
        <w:rPr>
          <w:rFonts w:ascii="Arial" w:cs="Arial" w:eastAsia="Arial" w:hAnsi="Arial"/>
          <w:sz w:val="18"/>
          <w:szCs w:val="18"/>
          <w:color w:val="auto"/>
        </w:rPr>
      </w:pPr>
    </w:p>
    <w:p>
      <w:pPr>
        <w:ind w:left="326"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30" w:lineRule="exact"/>
        <w:rPr>
          <w:rFonts w:ascii="Arial" w:cs="Arial" w:eastAsia="Arial" w:hAnsi="Arial"/>
          <w:sz w:val="18"/>
          <w:szCs w:val="18"/>
          <w:color w:val="auto"/>
        </w:rPr>
      </w:pPr>
    </w:p>
    <w:p>
      <w:pPr>
        <w:ind w:left="326" w:right="20" w:hanging="326"/>
        <w:spacing w:after="0" w:line="253"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corporate information</w:t>
      </w:r>
    </w:p>
    <w:p>
      <w:pPr>
        <w:spacing w:after="0" w:line="160" w:lineRule="exact"/>
        <w:rPr>
          <w:sz w:val="20"/>
          <w:szCs w:val="20"/>
          <w:color w:val="auto"/>
        </w:rPr>
      </w:pPr>
    </w:p>
    <w:p>
      <w:pPr>
        <w:ind w:left="6" w:right="220"/>
        <w:spacing w:after="0" w:line="253" w:lineRule="auto"/>
        <w:rPr>
          <w:sz w:val="20"/>
          <w:szCs w:val="20"/>
          <w:color w:val="auto"/>
        </w:rPr>
      </w:pPr>
      <w:r>
        <w:rPr>
          <w:rFonts w:ascii="Arial" w:cs="Arial" w:eastAsia="Arial" w:hAnsi="Arial"/>
          <w:sz w:val="17"/>
          <w:szCs w:val="17"/>
          <w:color w:val="auto"/>
        </w:rPr>
        <w:t>Our corporate headquarters are located at 401 SW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Ave, Portland, Oregon 97204. Our telephone number is (971) 365-3939. Our principal website address is www.expensify.com.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38" w:lineRule="exact"/>
        <w:rPr>
          <w:sz w:val="20"/>
          <w:szCs w:val="20"/>
          <w:color w:val="auto"/>
        </w:rPr>
      </w:pPr>
    </w:p>
    <w:p>
      <w:pPr>
        <w:ind w:left="6" w:right="160"/>
        <w:spacing w:after="0" w:line="237" w:lineRule="auto"/>
        <w:rPr>
          <w:sz w:val="20"/>
          <w:szCs w:val="20"/>
          <w:color w:val="auto"/>
        </w:rPr>
      </w:pPr>
      <w:r>
        <w:rPr>
          <w:rFonts w:ascii="Arial" w:cs="Arial" w:eastAsia="Arial" w:hAnsi="Arial"/>
          <w:sz w:val="18"/>
          <w:szCs w:val="18"/>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70" w:lineRule="exact"/>
        <w:rPr>
          <w:sz w:val="20"/>
          <w:szCs w:val="20"/>
          <w:color w:val="auto"/>
        </w:rPr>
      </w:pPr>
    </w:p>
    <w:p>
      <w:pPr>
        <w:ind w:left="6" w:right="120"/>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34" w:lineRule="exact"/>
        <w:rPr>
          <w:sz w:val="20"/>
          <w:szCs w:val="20"/>
          <w:color w:val="auto"/>
        </w:rPr>
      </w:pPr>
    </w:p>
    <w:p>
      <w:pPr>
        <w:ind w:left="326" w:right="540" w:hanging="326"/>
        <w:spacing w:after="0" w:line="261"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required to present only two years of audited financial statements and two years of related Management’s Discussion and Analysis of Financial Condition and Results of Operations disclosure;</w:t>
      </w:r>
    </w:p>
    <w:p>
      <w:pPr>
        <w:spacing w:after="0" w:line="116" w:lineRule="exact"/>
        <w:rPr>
          <w:rFonts w:ascii="Arial" w:cs="Arial" w:eastAsia="Arial" w:hAnsi="Arial"/>
          <w:sz w:val="18"/>
          <w:szCs w:val="18"/>
          <w:color w:val="auto"/>
        </w:rPr>
      </w:pPr>
    </w:p>
    <w:p>
      <w:pPr>
        <w:ind w:left="326" w:right="940" w:hanging="326"/>
        <w:spacing w:after="0" w:line="261"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130" w:lineRule="exact"/>
        <w:rPr>
          <w:rFonts w:ascii="Arial" w:cs="Arial" w:eastAsia="Arial" w:hAnsi="Arial"/>
          <w:sz w:val="18"/>
          <w:szCs w:val="18"/>
          <w:color w:val="auto"/>
        </w:rPr>
      </w:pPr>
    </w:p>
    <w:p>
      <w:pPr>
        <w:ind w:left="326" w:right="80" w:hanging="326"/>
        <w:spacing w:after="0" w:line="256"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34" w:lineRule="exact"/>
        <w:rPr>
          <w:rFonts w:ascii="Arial" w:cs="Arial" w:eastAsia="Arial" w:hAnsi="Arial"/>
          <w:sz w:val="18"/>
          <w:szCs w:val="18"/>
          <w:color w:val="auto"/>
        </w:rPr>
      </w:pPr>
    </w:p>
    <w:p>
      <w:pPr>
        <w:ind w:left="326" w:right="180" w:hanging="326"/>
        <w:spacing w:after="0" w:line="261"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16" w:lineRule="exact"/>
        <w:rPr>
          <w:rFonts w:ascii="Arial" w:cs="Arial" w:eastAsia="Arial" w:hAnsi="Arial"/>
          <w:sz w:val="18"/>
          <w:szCs w:val="18"/>
          <w:color w:val="auto"/>
        </w:rPr>
      </w:pPr>
    </w:p>
    <w:p>
      <w:pPr>
        <w:ind w:left="326" w:right="440" w:hanging="326"/>
        <w:spacing w:after="0" w:line="261" w:lineRule="auto"/>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certain disclosure requirements related to executive compensation, such as the requirement to disclose the correlation between executive compensation</w:t>
      </w:r>
    </w:p>
    <w:p>
      <w:pPr>
        <w:sectPr>
          <w:pgSz w:w="11900" w:h="16838" w:orient="portrait"/>
          <w:cols w:equalWidth="0" w:num="1">
            <w:col w:w="9846"/>
          </w:cols>
          <w:pgMar w:left="99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846"/>
          </w:cols>
          <w:pgMar w:left="994" w:top="1440" w:right="10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3724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372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right="380"/>
        <w:spacing w:after="0" w:line="261" w:lineRule="auto"/>
        <w:rPr>
          <w:sz w:val="20"/>
          <w:szCs w:val="20"/>
          <w:color w:val="auto"/>
        </w:rPr>
      </w:pPr>
      <w:r>
        <w:rPr>
          <w:rFonts w:ascii="Arial" w:cs="Arial" w:eastAsia="Arial" w:hAnsi="Arial"/>
          <w:sz w:val="18"/>
          <w:szCs w:val="18"/>
          <w:color w:val="auto"/>
        </w:rPr>
        <w:t>and performance and the requirement to present a comparison of our Chief Executive Officer’s compensation to our median employee compensation.</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00"/>
          </w:cols>
          <w:pgMar w:left="1000"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39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offering</w:t>
      </w:r>
    </w:p>
    <w:p>
      <w:pPr>
        <w:sectPr>
          <w:pgSz w:w="11900" w:h="16838" w:orient="portrait"/>
          <w:cols w:equalWidth="0" w:num="1">
            <w:col w:w="9880"/>
          </w:cols>
          <w:pgMar w:left="1000" w:top="1440" w:right="1019" w:bottom="1440" w:gutter="0" w:footer="0" w:header="0"/>
        </w:sect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20" w:right="280"/>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67" w:lineRule="exact"/>
        <w:rPr>
          <w:sz w:val="20"/>
          <w:szCs w:val="20"/>
          <w:color w:val="auto"/>
        </w:rPr>
      </w:pPr>
    </w:p>
    <w:p>
      <w:pPr>
        <w:ind w:left="180" w:hanging="161"/>
        <w:spacing w:after="0" w:line="227" w:lineRule="auto"/>
        <w:rPr>
          <w:sz w:val="20"/>
          <w:szCs w:val="20"/>
          <w:color w:val="auto"/>
        </w:rPr>
      </w:pPr>
      <w:r>
        <w:rPr>
          <w:rFonts w:ascii="Arial" w:cs="Arial" w:eastAsia="Arial" w:hAnsi="Arial"/>
          <w:sz w:val="18"/>
          <w:szCs w:val="18"/>
          <w:color w:val="auto"/>
        </w:rPr>
        <w:t>Option to purchase additional shares of Class A common stock offered by us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an option for a period of 30 days to</w:t>
      </w:r>
    </w:p>
    <w:p>
      <w:pPr>
        <w:spacing w:after="0"/>
        <w:tabs>
          <w:tab w:leader="none" w:pos="1660" w:val="left"/>
        </w:tabs>
        <w:rPr>
          <w:sz w:val="20"/>
          <w:szCs w:val="20"/>
          <w:color w:val="auto"/>
        </w:rPr>
      </w:pPr>
      <w:r>
        <w:rPr>
          <w:rFonts w:ascii="Arial" w:cs="Arial" w:eastAsia="Arial" w:hAnsi="Arial"/>
          <w:sz w:val="18"/>
          <w:szCs w:val="18"/>
          <w:color w:val="auto"/>
        </w:rPr>
        <w:t>purchase up to</w:t>
      </w:r>
      <w:r>
        <w:rPr>
          <w:sz w:val="20"/>
          <w:szCs w:val="20"/>
          <w:color w:val="auto"/>
        </w:rPr>
        <w:tab/>
      </w:r>
      <w:r>
        <w:rPr>
          <w:rFonts w:ascii="Arial" w:cs="Arial" w:eastAsia="Arial" w:hAnsi="Arial"/>
          <w:sz w:val="17"/>
          <w:szCs w:val="17"/>
          <w:color w:val="auto"/>
        </w:rPr>
        <w:t>additional shares of our Class A common stock.</w:t>
      </w:r>
    </w:p>
    <w:p>
      <w:pPr>
        <w:spacing w:after="0" w:line="45" w:lineRule="exact"/>
        <w:rPr>
          <w:sz w:val="20"/>
          <w:szCs w:val="20"/>
          <w:color w:val="auto"/>
        </w:rPr>
      </w:pPr>
    </w:p>
    <w:p>
      <w:pPr>
        <w:sectPr>
          <w:pgSz w:w="11900" w:h="16838" w:orient="portrait"/>
          <w:cols w:equalWidth="0" w:num="2">
            <w:col w:w="3820" w:space="380"/>
            <w:col w:w="5680"/>
          </w:cols>
          <w:pgMar w:left="1000" w:top="1440" w:right="1019" w:bottom="1440" w:gutter="0" w:footer="0" w:header="0"/>
          <w:type w:val="continuous"/>
        </w:sectPr>
      </w:pPr>
    </w:p>
    <w:p>
      <w:pPr>
        <w:ind w:left="20"/>
        <w:spacing w:after="0"/>
        <w:tabs>
          <w:tab w:leader="none" w:pos="4180" w:val="left"/>
        </w:tabs>
        <w:rPr>
          <w:sz w:val="20"/>
          <w:szCs w:val="20"/>
          <w:color w:val="auto"/>
        </w:rPr>
      </w:pPr>
      <w:r>
        <w:rPr>
          <w:rFonts w:ascii="Arial" w:cs="Arial" w:eastAsia="Arial" w:hAnsi="Arial"/>
          <w:sz w:val="18"/>
          <w:szCs w:val="18"/>
          <w:color w:val="auto"/>
        </w:rPr>
        <w:t>Option to purchase additional shares of Class A</w:t>
      </w:r>
      <w:r>
        <w:rPr>
          <w:sz w:val="20"/>
          <w:szCs w:val="20"/>
          <w:color w:val="auto"/>
        </w:rPr>
        <w:tab/>
      </w:r>
      <w:r>
        <w:rPr>
          <w:rFonts w:ascii="Arial" w:cs="Arial" w:eastAsia="Arial" w:hAnsi="Arial"/>
          <w:sz w:val="17"/>
          <w:szCs w:val="17"/>
          <w:color w:val="auto"/>
        </w:rPr>
        <w:t>The selling stockholders have granted the underwriters an option for a</w:t>
      </w:r>
    </w:p>
    <w:p>
      <w:pPr>
        <w:ind w:left="4200" w:right="400" w:hanging="4022"/>
        <w:spacing w:after="0"/>
        <w:rPr>
          <w:sz w:val="20"/>
          <w:szCs w:val="20"/>
          <w:color w:val="auto"/>
        </w:rPr>
      </w:pPr>
      <w:r>
        <w:rPr>
          <w:rFonts w:ascii="Arial" w:cs="Arial" w:eastAsia="Arial" w:hAnsi="Arial"/>
          <w:sz w:val="18"/>
          <w:szCs w:val="18"/>
          <w:color w:val="auto"/>
        </w:rPr>
        <w:t>common stock offered by the selling stockholders period of 30 days to purchase up to</w:t>
      </w:r>
      <w:r>
        <w:rPr>
          <w:sz w:val="20"/>
          <w:szCs w:val="20"/>
          <w:color w:val="auto"/>
        </w:rPr>
        <w:t xml:space="preserve"> </w:t>
      </w:r>
      <w:r>
        <w:rPr>
          <w:rFonts w:ascii="Arial" w:cs="Arial" w:eastAsia="Arial" w:hAnsi="Arial"/>
          <w:sz w:val="18"/>
          <w:szCs w:val="18"/>
          <w:color w:val="auto"/>
        </w:rPr>
        <w:t>additional shares of our Class A common stock.</w:t>
      </w:r>
    </w:p>
    <w:p>
      <w:pPr>
        <w:sectPr>
          <w:pgSz w:w="11900" w:h="16838" w:orient="portrait"/>
          <w:cols w:equalWidth="0" w:num="1">
            <w:col w:w="9880"/>
          </w:cols>
          <w:pgMar w:left="1000" w:top="1440" w:right="1019" w:bottom="1440" w:gutter="0" w:footer="0" w:header="0"/>
          <w:type w:val="continuous"/>
        </w:sectPr>
      </w:pPr>
    </w:p>
    <w:p>
      <w:pPr>
        <w:spacing w:after="0" w:line="242" w:lineRule="exact"/>
        <w:rPr>
          <w:sz w:val="20"/>
          <w:szCs w:val="20"/>
          <w:color w:val="auto"/>
        </w:rPr>
      </w:pPr>
    </w:p>
    <w:p>
      <w:pPr>
        <w:ind w:left="180" w:right="500" w:hanging="161"/>
        <w:spacing w:after="0" w:line="227" w:lineRule="auto"/>
        <w:rPr>
          <w:sz w:val="20"/>
          <w:szCs w:val="20"/>
          <w:color w:val="auto"/>
        </w:rPr>
      </w:pPr>
      <w:r>
        <w:rPr>
          <w:rFonts w:ascii="Arial" w:cs="Arial" w:eastAsia="Arial" w:hAnsi="Arial"/>
          <w:sz w:val="18"/>
          <w:szCs w:val="18"/>
          <w:color w:val="auto"/>
        </w:rPr>
        <w:t>Class A common stock to be outstanding immediately after this offering</w:t>
      </w:r>
    </w:p>
    <w:p>
      <w:pPr>
        <w:spacing w:after="0" w:line="67"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LT10 common stock to be outstanding after this offering</w:t>
      </w:r>
    </w:p>
    <w:p>
      <w:pPr>
        <w:spacing w:after="0" w:line="67"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LT50 common stock to be outstanding after this offering</w:t>
      </w:r>
    </w:p>
    <w:p>
      <w:pPr>
        <w:spacing w:after="0" w:line="67"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Total common stock to be outstanding after this offering</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 underwriters exercise their</w:t>
      </w:r>
    </w:p>
    <w:p>
      <w:pPr>
        <w:spacing w:after="0"/>
        <w:rPr>
          <w:sz w:val="20"/>
          <w:szCs w:val="20"/>
          <w:color w:val="auto"/>
        </w:rPr>
      </w:pPr>
      <w:r>
        <w:rPr>
          <w:rFonts w:ascii="Arial" w:cs="Arial" w:eastAsia="Arial" w:hAnsi="Arial"/>
          <w:sz w:val="18"/>
          <w:szCs w:val="18"/>
          <w:color w:val="auto"/>
        </w:rPr>
        <w:t>option to purchase additional shares in full).</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w:t>
      </w:r>
    </w:p>
    <w:p>
      <w:pPr>
        <w:spacing w:after="0" w:line="45"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 underwriters exercise their</w:t>
      </w:r>
    </w:p>
    <w:p>
      <w:pPr>
        <w:spacing w:after="0"/>
        <w:rPr>
          <w:sz w:val="20"/>
          <w:szCs w:val="20"/>
          <w:color w:val="auto"/>
        </w:rPr>
      </w:pPr>
      <w:r>
        <w:rPr>
          <w:rFonts w:ascii="Arial" w:cs="Arial" w:eastAsia="Arial" w:hAnsi="Arial"/>
          <w:sz w:val="18"/>
          <w:szCs w:val="18"/>
          <w:color w:val="auto"/>
        </w:rPr>
        <w:t>option to purchase additional shares in full).</w:t>
      </w:r>
    </w:p>
    <w:p>
      <w:pPr>
        <w:spacing w:after="0" w:line="77"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We have three series of common stock, Class A, LT10 and LT50 common stock. The rights of holders of Class A, LT10 and LT50 common stock are identical, except for voting, transfer and conversion rights. Each share of Class A common stock is entitled to one vote. Each share of LT10 common stock and LT50 common stock is entitled to 10 and 50 votes, respectively, and is convertible into one share of Class A common stock only upon satisfaction of certain notice and other requirements, including the applicable restricted period.</w:t>
      </w:r>
    </w:p>
    <w:p>
      <w:pPr>
        <w:spacing w:after="0" w:line="124" w:lineRule="exact"/>
        <w:rPr>
          <w:sz w:val="20"/>
          <w:szCs w:val="20"/>
          <w:color w:val="auto"/>
        </w:rPr>
      </w:pPr>
    </w:p>
    <w:p>
      <w:pPr>
        <w:jc w:val="both"/>
        <w:ind w:right="20"/>
        <w:spacing w:after="0" w:line="203" w:lineRule="auto"/>
        <w:rPr>
          <w:sz w:val="20"/>
          <w:szCs w:val="20"/>
          <w:color w:val="auto"/>
        </w:rPr>
      </w:pPr>
      <w:r>
        <w:rPr>
          <w:rFonts w:ascii="Arial" w:cs="Arial" w:eastAsia="Arial" w:hAnsi="Arial"/>
          <w:sz w:val="18"/>
          <w:szCs w:val="18"/>
          <w:color w:val="auto"/>
        </w:rPr>
        <w:t>Prior to the completion of this offering, all of our outstanding shares of LT10 common stock and LT50 common stock, representing</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approximately % of the combined voting power and of the economic interest in us immediately following the completion of this offering, will be 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Class A,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See “Description of capital stock.”</w:t>
      </w:r>
    </w:p>
    <w:p>
      <w:pPr>
        <w:spacing w:after="0" w:line="200" w:lineRule="exact"/>
        <w:rPr>
          <w:sz w:val="20"/>
          <w:szCs w:val="20"/>
          <w:color w:val="auto"/>
        </w:rPr>
      </w:pPr>
    </w:p>
    <w:p>
      <w:pPr>
        <w:sectPr>
          <w:pgSz w:w="11900" w:h="16838" w:orient="portrait"/>
          <w:cols w:equalWidth="0" w:num="2">
            <w:col w:w="3780" w:space="420"/>
            <w:col w:w="568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880"/>
          </w:cols>
          <w:pgMar w:left="1000" w:top="1440" w:right="101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359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6"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tcPr>
          <w:p>
            <w:pPr>
              <w:ind w:left="880"/>
              <w:spacing w:after="0"/>
              <w:rPr>
                <w:sz w:val="20"/>
                <w:szCs w:val="20"/>
                <w:color w:val="auto"/>
              </w:rPr>
            </w:pPr>
            <w:r>
              <w:rPr>
                <w:rFonts w:ascii="Arial" w:cs="Arial" w:eastAsia="Arial" w:hAnsi="Arial"/>
                <w:sz w:val="18"/>
                <w:szCs w:val="18"/>
                <w:color w:val="auto"/>
              </w:rPr>
              <w:t>approximately $</w:t>
            </w:r>
          </w:p>
        </w:tc>
        <w:tc>
          <w:tcPr>
            <w:tcW w:w="1860" w:type="dxa"/>
            <w:vAlign w:val="bottom"/>
          </w:tcPr>
          <w:p>
            <w:pPr>
              <w:ind w:left="360"/>
              <w:spacing w:after="0"/>
              <w:rPr>
                <w:sz w:val="20"/>
                <w:szCs w:val="20"/>
                <w:color w:val="auto"/>
              </w:rPr>
            </w:pPr>
            <w:r>
              <w:rPr>
                <w:rFonts w:ascii="Arial" w:cs="Arial" w:eastAsia="Arial" w:hAnsi="Arial"/>
                <w:sz w:val="18"/>
                <w:szCs w:val="18"/>
                <w:color w:val="auto"/>
              </w:rPr>
              <w:t>million, or $</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million if the underwriters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exercise their option to purchase additional shares of Class A common</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stock in full, assuming an initial public offering price of $</w:t>
            </w:r>
          </w:p>
        </w:tc>
        <w:tc>
          <w:tcPr>
            <w:tcW w:w="680" w:type="dxa"/>
            <w:vAlign w:val="bottom"/>
          </w:tcPr>
          <w:p>
            <w:pPr>
              <w:jc w:val="right"/>
              <w:spacing w:after="0"/>
              <w:rPr>
                <w:sz w:val="20"/>
                <w:szCs w:val="20"/>
                <w:color w:val="auto"/>
              </w:rPr>
            </w:pPr>
            <w:r>
              <w:rPr>
                <w:rFonts w:ascii="Arial" w:cs="Arial" w:eastAsia="Arial" w:hAnsi="Arial"/>
                <w:sz w:val="18"/>
                <w:szCs w:val="18"/>
                <w:color w:val="auto"/>
              </w:rPr>
              <w:t>per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share, which is the midpoint of the price range set forth on the cover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page of this prospectus, and after deducting underwriting discounts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and commissions and estimated offering expenses payable by us. We</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will not receive any proceeds from the sale of Class A common stock</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by the selling stockholders in this offering.</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64"/>
        </w:trPr>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We currently intend to use the net proceeds from this offering for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general  corporate  purposes,  including  working  capital,  operating</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expenses and capital expenditures. We will have broad discretion in</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the way that we use the net proceeds of this offering. See the section</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titled “Use of proceeds” for additional information.</w:t>
            </w:r>
          </w:p>
        </w:tc>
        <w:tc>
          <w:tcPr>
            <w:tcW w:w="680" w:type="dxa"/>
            <w:vAlign w:val="bottom"/>
          </w:tcPr>
          <w:p>
            <w:pPr>
              <w:spacing w:after="0"/>
              <w:rPr>
                <w:sz w:val="18"/>
                <w:szCs w:val="18"/>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rPr>
              <w:t>Risk factors</w:t>
            </w:r>
          </w:p>
        </w:tc>
        <w:tc>
          <w:tcPr>
            <w:tcW w:w="2200" w:type="dxa"/>
            <w:vAlign w:val="bottom"/>
          </w:tcPr>
          <w:p>
            <w:pPr>
              <w:spacing w:after="0"/>
              <w:rPr>
                <w:sz w:val="24"/>
                <w:szCs w:val="24"/>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See “Risk factors” and the other information included in this prospectus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for  a  discussion  of  factors  you  should  carefully  consider  before</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deciding to invest in shares of our Class A common stock.</w:t>
            </w:r>
          </w:p>
        </w:tc>
        <w:tc>
          <w:tcPr>
            <w:tcW w:w="680" w:type="dxa"/>
            <w:vAlign w:val="bottom"/>
          </w:tcPr>
          <w:p>
            <w:pPr>
              <w:spacing w:after="0"/>
              <w:rPr>
                <w:sz w:val="18"/>
                <w:szCs w:val="18"/>
                <w:color w:val="auto"/>
              </w:rPr>
            </w:pPr>
          </w:p>
        </w:tc>
      </w:tr>
      <w:tr>
        <w:trPr>
          <w:trHeight w:val="472"/>
        </w:trPr>
        <w:tc>
          <w:tcPr>
            <w:tcW w:w="1100" w:type="dxa"/>
            <w:vAlign w:val="bottom"/>
          </w:tcPr>
          <w:p>
            <w:pPr>
              <w:spacing w:after="0"/>
              <w:rPr>
                <w:sz w:val="20"/>
                <w:szCs w:val="20"/>
                <w:color w:val="auto"/>
              </w:rPr>
            </w:pPr>
            <w:r>
              <w:rPr>
                <w:rFonts w:ascii="Arial" w:cs="Arial" w:eastAsia="Arial" w:hAnsi="Arial"/>
                <w:sz w:val="18"/>
                <w:szCs w:val="18"/>
                <w:color w:val="auto"/>
              </w:rPr>
              <w:t>Proposed</w:t>
            </w:r>
          </w:p>
        </w:tc>
        <w:tc>
          <w:tcPr>
            <w:tcW w:w="2200" w:type="dxa"/>
            <w:vAlign w:val="bottom"/>
          </w:tcPr>
          <w:p>
            <w:pPr>
              <w:ind w:left="160"/>
              <w:spacing w:after="0"/>
              <w:rPr>
                <w:sz w:val="20"/>
                <w:szCs w:val="20"/>
                <w:color w:val="auto"/>
              </w:rPr>
            </w:pPr>
            <w:r>
              <w:rPr>
                <w:rFonts w:ascii="Arial" w:cs="Arial" w:eastAsia="Arial" w:hAnsi="Arial"/>
                <w:sz w:val="18"/>
                <w:szCs w:val="18"/>
                <w:color w:val="auto"/>
              </w:rPr>
              <w:t>trading symbol</w:t>
            </w:r>
          </w:p>
        </w:tc>
        <w:tc>
          <w:tcPr>
            <w:tcW w:w="2520" w:type="dxa"/>
            <w:vAlign w:val="bottom"/>
          </w:tcPr>
          <w:p>
            <w:pPr>
              <w:ind w:left="880"/>
              <w:spacing w:after="0"/>
              <w:rPr>
                <w:sz w:val="20"/>
                <w:szCs w:val="20"/>
                <w:color w:val="auto"/>
              </w:rPr>
            </w:pPr>
            <w:r>
              <w:rPr>
                <w:rFonts w:ascii="Arial" w:cs="Arial" w:eastAsia="Arial" w:hAnsi="Arial"/>
                <w:sz w:val="18"/>
                <w:szCs w:val="18"/>
                <w:color w:val="auto"/>
              </w:rPr>
              <w:t>“EXFY”</w:t>
            </w: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6" w:right="780"/>
        <w:spacing w:after="0" w:line="265" w:lineRule="auto"/>
        <w:rPr>
          <w:sz w:val="20"/>
          <w:szCs w:val="20"/>
          <w:color w:val="auto"/>
        </w:rPr>
      </w:pPr>
      <w:r>
        <w:rPr>
          <w:rFonts w:ascii="Arial" w:cs="Arial" w:eastAsia="Arial" w:hAnsi="Arial"/>
          <w:sz w:val="17"/>
          <w:szCs w:val="17"/>
          <w:color w:val="auto"/>
        </w:rPr>
        <w:t>The number of shares of our common stock that will be outstanding immediately after this offering is based on shares of Class A common stock (including all shares of our convertible preferred stock on an as-converted basis),</w:t>
      </w:r>
    </w:p>
    <w:p>
      <w:pPr>
        <w:ind w:left="6"/>
        <w:spacing w:after="0"/>
        <w:tabs>
          <w:tab w:leader="none" w:pos="3426" w:val="left"/>
          <w:tab w:leader="none" w:pos="7946" w:val="left"/>
        </w:tabs>
        <w:rPr>
          <w:sz w:val="20"/>
          <w:szCs w:val="20"/>
          <w:color w:val="auto"/>
        </w:rPr>
      </w:pPr>
      <w:r>
        <w:rPr>
          <w:rFonts w:ascii="Arial" w:cs="Arial" w:eastAsia="Arial" w:hAnsi="Arial"/>
          <w:sz w:val="18"/>
          <w:szCs w:val="18"/>
          <w:color w:val="auto"/>
        </w:rPr>
        <w:t>shares of LT10 common stock and</w:t>
      </w:r>
      <w:r>
        <w:rPr>
          <w:sz w:val="20"/>
          <w:szCs w:val="20"/>
          <w:color w:val="auto"/>
        </w:rPr>
        <w:tab/>
      </w:r>
      <w:r>
        <w:rPr>
          <w:rFonts w:ascii="Arial" w:cs="Arial" w:eastAsia="Arial" w:hAnsi="Arial"/>
          <w:sz w:val="18"/>
          <w:szCs w:val="18"/>
          <w:color w:val="auto"/>
        </w:rPr>
        <w:t>shares of LT50 common stock outstanding as of</w:t>
      </w:r>
      <w:r>
        <w:rPr>
          <w:sz w:val="20"/>
          <w:szCs w:val="20"/>
          <w:color w:val="auto"/>
        </w:rPr>
        <w:tab/>
      </w:r>
      <w:r>
        <w:rPr>
          <w:rFonts w:ascii="Arial" w:cs="Arial" w:eastAsia="Arial" w:hAnsi="Arial"/>
          <w:sz w:val="17"/>
          <w:szCs w:val="17"/>
          <w:color w:val="auto"/>
        </w:rPr>
        <w:t>, 2021 and excludes:</w:t>
      </w:r>
    </w:p>
    <w:p>
      <w:pPr>
        <w:spacing w:after="0" w:line="158" w:lineRule="exact"/>
        <w:rPr>
          <w:sz w:val="20"/>
          <w:szCs w:val="20"/>
          <w:color w:val="auto"/>
        </w:rPr>
      </w:pPr>
    </w:p>
    <w:p>
      <w:pPr>
        <w:ind w:left="326" w:hanging="326"/>
        <w:spacing w:after="0" w:line="254"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36" w:lineRule="exact"/>
        <w:rPr>
          <w:sz w:val="20"/>
          <w:szCs w:val="20"/>
          <w:color w:val="auto"/>
        </w:rPr>
      </w:pPr>
    </w:p>
    <w:p>
      <w:pPr>
        <w:ind w:left="6"/>
        <w:spacing w:after="0"/>
        <w:tabs>
          <w:tab w:leader="none" w:pos="1006" w:val="left"/>
          <w:tab w:leader="none" w:pos="2446" w:val="left"/>
          <w:tab w:leader="none" w:pos="874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w:t>
      </w:r>
      <w:r>
        <w:rPr>
          <w:sz w:val="20"/>
          <w:szCs w:val="20"/>
          <w:color w:val="auto"/>
        </w:rPr>
        <w:tab/>
      </w:r>
      <w:r>
        <w:rPr>
          <w:rFonts w:ascii="Arial" w:cs="Arial" w:eastAsia="Arial" w:hAnsi="Arial"/>
          <w:sz w:val="18"/>
          <w:szCs w:val="18"/>
          <w:color w:val="auto"/>
        </w:rPr>
        <w:t>common stock issuable upon exercise of stock options outstanding as of</w:t>
      </w:r>
      <w:r>
        <w:rPr>
          <w:sz w:val="20"/>
          <w:szCs w:val="20"/>
          <w:color w:val="auto"/>
        </w:rPr>
        <w:tab/>
      </w:r>
      <w:r>
        <w:rPr>
          <w:rFonts w:ascii="Arial" w:cs="Arial" w:eastAsia="Arial" w:hAnsi="Arial"/>
          <w:sz w:val="17"/>
          <w:szCs w:val="17"/>
          <w:color w:val="auto"/>
        </w:rPr>
        <w:t>, 2021</w:t>
      </w:r>
    </w:p>
    <w:p>
      <w:pPr>
        <w:spacing w:after="0" w:line="9" w:lineRule="exact"/>
        <w:rPr>
          <w:sz w:val="20"/>
          <w:szCs w:val="20"/>
          <w:color w:val="auto"/>
        </w:rPr>
      </w:pPr>
    </w:p>
    <w:p>
      <w:pPr>
        <w:ind w:left="326"/>
        <w:spacing w:after="0"/>
        <w:tabs>
          <w:tab w:leader="none" w:pos="2426" w:val="left"/>
          <w:tab w:leader="none" w:pos="7106" w:val="left"/>
        </w:tabs>
        <w:rPr>
          <w:sz w:val="20"/>
          <w:szCs w:val="20"/>
          <w:color w:val="auto"/>
        </w:rPr>
      </w:pPr>
      <w:r>
        <w:rPr>
          <w:rFonts w:ascii="Arial" w:cs="Arial" w:eastAsia="Arial" w:hAnsi="Arial"/>
          <w:sz w:val="18"/>
          <w:szCs w:val="18"/>
          <w:color w:val="auto"/>
        </w:rPr>
        <w:t>granted under our</w:t>
      </w:r>
      <w:r>
        <w:rPr>
          <w:sz w:val="20"/>
          <w:szCs w:val="20"/>
          <w:color w:val="auto"/>
        </w:rPr>
        <w:tab/>
      </w:r>
      <w:r>
        <w:rPr>
          <w:rFonts w:ascii="Arial" w:cs="Arial" w:eastAsia="Arial" w:hAnsi="Arial"/>
          <w:sz w:val="18"/>
          <w:szCs w:val="18"/>
          <w:color w:val="auto"/>
        </w:rPr>
        <w:t>Plan, with a weighted-average exercise price of $</w:t>
      </w:r>
      <w:r>
        <w:rPr>
          <w:sz w:val="20"/>
          <w:szCs w:val="20"/>
          <w:color w:val="auto"/>
        </w:rPr>
        <w:tab/>
      </w:r>
      <w:r>
        <w:rPr>
          <w:rFonts w:ascii="Arial" w:cs="Arial" w:eastAsia="Arial" w:hAnsi="Arial"/>
          <w:sz w:val="17"/>
          <w:szCs w:val="17"/>
          <w:color w:val="auto"/>
        </w:rPr>
        <w:t>per share;</w:t>
      </w:r>
    </w:p>
    <w:p>
      <w:pPr>
        <w:spacing w:after="0" w:line="144" w:lineRule="exact"/>
        <w:rPr>
          <w:sz w:val="20"/>
          <w:szCs w:val="20"/>
          <w:color w:val="auto"/>
        </w:rPr>
      </w:pPr>
    </w:p>
    <w:p>
      <w:pPr>
        <w:ind w:left="6"/>
        <w:spacing w:after="0"/>
        <w:tabs>
          <w:tab w:leader="none" w:pos="1006" w:val="left"/>
          <w:tab w:leader="none" w:pos="7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reserved for future issuance under our</w:t>
      </w:r>
      <w:r>
        <w:rPr>
          <w:sz w:val="20"/>
          <w:szCs w:val="20"/>
          <w:color w:val="auto"/>
        </w:rPr>
        <w:tab/>
      </w:r>
      <w:r>
        <w:rPr>
          <w:rFonts w:ascii="Arial" w:cs="Arial" w:eastAsia="Arial" w:hAnsi="Arial"/>
          <w:sz w:val="17"/>
          <w:szCs w:val="17"/>
          <w:color w:val="auto"/>
        </w:rPr>
        <w:t>Plan; and</w:t>
      </w:r>
    </w:p>
    <w:p>
      <w:pPr>
        <w:spacing w:after="0" w:line="158" w:lineRule="exact"/>
        <w:rPr>
          <w:sz w:val="20"/>
          <w:szCs w:val="20"/>
          <w:color w:val="auto"/>
        </w:rPr>
      </w:pPr>
    </w:p>
    <w:p>
      <w:pPr>
        <w:ind w:left="6"/>
        <w:spacing w:after="0"/>
        <w:tabs>
          <w:tab w:leader="none" w:pos="1006" w:val="left"/>
          <w:tab w:leader="none" w:pos="1746" w:val="left"/>
          <w:tab w:leader="none" w:pos="274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shares of Class A, LT10 and LT50 common stock, respectively, issuable upon the vesting</w:t>
      </w:r>
    </w:p>
    <w:p>
      <w:pPr>
        <w:spacing w:after="0" w:line="9" w:lineRule="exact"/>
        <w:rPr>
          <w:sz w:val="20"/>
          <w:szCs w:val="20"/>
          <w:color w:val="auto"/>
        </w:rPr>
      </w:pPr>
    </w:p>
    <w:p>
      <w:pPr>
        <w:ind w:left="326"/>
        <w:spacing w:after="0"/>
        <w:tabs>
          <w:tab w:leader="none" w:pos="5086" w:val="left"/>
        </w:tabs>
        <w:rPr>
          <w:sz w:val="20"/>
          <w:szCs w:val="20"/>
          <w:color w:val="auto"/>
        </w:rPr>
      </w:pPr>
      <w:r>
        <w:rPr>
          <w:rFonts w:ascii="Arial" w:cs="Arial" w:eastAsia="Arial" w:hAnsi="Arial"/>
          <w:sz w:val="18"/>
          <w:szCs w:val="18"/>
          <w:color w:val="auto"/>
        </w:rPr>
        <w:t>of restricted stock units, or RSUs, outstanding as of</w:t>
      </w:r>
      <w:r>
        <w:rPr>
          <w:sz w:val="20"/>
          <w:szCs w:val="20"/>
          <w:color w:val="auto"/>
        </w:rPr>
        <w:tab/>
      </w:r>
      <w:r>
        <w:rPr>
          <w:rFonts w:ascii="Arial" w:cs="Arial" w:eastAsia="Arial" w:hAnsi="Arial"/>
          <w:sz w:val="18"/>
          <w:szCs w:val="18"/>
          <w:color w:val="auto"/>
        </w:rPr>
        <w:t>, 2021.</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44" w:lineRule="exact"/>
        <w:rPr>
          <w:sz w:val="20"/>
          <w:szCs w:val="20"/>
          <w:color w:val="auto"/>
        </w:rPr>
      </w:pPr>
    </w:p>
    <w:p>
      <w:pPr>
        <w:ind w:left="326" w:right="280" w:hanging="326"/>
        <w:spacing w:after="0" w:line="261"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30" w:lineRule="exact"/>
        <w:rPr>
          <w:sz w:val="20"/>
          <w:szCs w:val="20"/>
          <w:color w:val="auto"/>
        </w:rPr>
      </w:pPr>
    </w:p>
    <w:p>
      <w:pPr>
        <w:ind w:left="6"/>
        <w:spacing w:after="0"/>
        <w:tabs>
          <w:tab w:leader="none" w:pos="306" w:val="left"/>
          <w:tab w:leader="none" w:pos="6966" w:val="left"/>
        </w:tabs>
        <w:rPr>
          <w:sz w:val="20"/>
          <w:szCs w:val="20"/>
          <w:color w:val="auto"/>
        </w:rPr>
      </w:pPr>
      <w:r>
        <w:rPr>
          <w:rFonts w:ascii="Arial" w:cs="Arial" w:eastAsia="Arial" w:hAnsi="Arial"/>
          <w:sz w:val="18"/>
          <w:szCs w:val="18"/>
          <w:color w:val="auto"/>
        </w:rPr>
        <w:t>•</w:t>
        <w:tab/>
        <w:t>the reclassification of all outstanding shares of our common stock, of which</w:t>
      </w:r>
      <w:r>
        <w:rPr>
          <w:sz w:val="20"/>
          <w:szCs w:val="20"/>
          <w:color w:val="auto"/>
        </w:rPr>
        <w:tab/>
      </w:r>
      <w:r>
        <w:rPr>
          <w:rFonts w:ascii="Arial" w:cs="Arial" w:eastAsia="Arial" w:hAnsi="Arial"/>
          <w:sz w:val="17"/>
          <w:szCs w:val="17"/>
          <w:color w:val="auto"/>
        </w:rPr>
        <w:t>shares were outstanding as of</w:t>
      </w:r>
    </w:p>
    <w:p>
      <w:pPr>
        <w:spacing w:after="0" w:line="9" w:lineRule="exact"/>
        <w:rPr>
          <w:sz w:val="20"/>
          <w:szCs w:val="20"/>
          <w:color w:val="auto"/>
        </w:rPr>
      </w:pPr>
    </w:p>
    <w:p>
      <w:pPr>
        <w:ind w:left="326" w:right="240" w:firstLine="648"/>
        <w:spacing w:after="0" w:line="256" w:lineRule="auto"/>
        <w:tabs>
          <w:tab w:leader="none" w:pos="10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886"/>
          </w:cols>
          <w:pgMar w:left="994"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3312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31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hanging="326"/>
        <w:spacing w:after="0"/>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of an exchange offer open to all of our employees and other service providers, whereby participants in</w:t>
      </w:r>
    </w:p>
    <w:p>
      <w:pPr>
        <w:spacing w:after="0" w:line="9"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7640" w:type="dxa"/>
            <w:vAlign w:val="bottom"/>
            <w:gridSpan w:val="7"/>
          </w:tcPr>
          <w:p>
            <w:pPr>
              <w:ind w:left="140"/>
              <w:spacing w:after="0"/>
              <w:rPr>
                <w:sz w:val="20"/>
                <w:szCs w:val="20"/>
                <w:color w:val="auto"/>
              </w:rPr>
            </w:pPr>
            <w:r>
              <w:rPr>
                <w:rFonts w:ascii="Arial" w:cs="Arial" w:eastAsia="Arial" w:hAnsi="Arial"/>
                <w:sz w:val="18"/>
                <w:szCs w:val="18"/>
                <w:color w:val="auto"/>
              </w:rPr>
              <w:t>the exchange offer have elected to exchange, on a one-for-one basis, an aggregate of</w:t>
            </w:r>
          </w:p>
        </w:tc>
        <w:tc>
          <w:tcPr>
            <w:tcW w:w="1960" w:type="dxa"/>
            <w:vAlign w:val="bottom"/>
          </w:tcPr>
          <w:p>
            <w:pPr>
              <w:ind w:left="40"/>
              <w:spacing w:after="0"/>
              <w:rPr>
                <w:sz w:val="20"/>
                <w:szCs w:val="20"/>
                <w:color w:val="auto"/>
              </w:rPr>
            </w:pPr>
            <w:r>
              <w:rPr>
                <w:rFonts w:ascii="Arial" w:cs="Arial" w:eastAsia="Arial" w:hAnsi="Arial"/>
                <w:sz w:val="18"/>
                <w:szCs w:val="18"/>
                <w:color w:val="auto"/>
              </w:rPr>
              <w:t>shares of our Class A</w:t>
            </w:r>
          </w:p>
        </w:tc>
      </w:tr>
      <w:tr>
        <w:trPr>
          <w:trHeight w:val="216"/>
        </w:trPr>
        <w:tc>
          <w:tcPr>
            <w:tcW w:w="18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color w:val="auto"/>
              </w:rPr>
              <w:t>common stock for</w:t>
            </w: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shares of our LT10 common stock and</w:t>
            </w: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shares of our LT50 common stock (the</w:t>
            </w:r>
          </w:p>
        </w:tc>
      </w:tr>
      <w:tr>
        <w:trPr>
          <w:trHeight w:val="216"/>
        </w:trPr>
        <w:tc>
          <w:tcPr>
            <w:tcW w:w="180" w:type="dxa"/>
            <w:vAlign w:val="bottom"/>
          </w:tcPr>
          <w:p>
            <w:pPr>
              <w:spacing w:after="0"/>
              <w:rPr>
                <w:sz w:val="18"/>
                <w:szCs w:val="18"/>
                <w:color w:val="auto"/>
              </w:rPr>
            </w:pPr>
          </w:p>
        </w:tc>
        <w:tc>
          <w:tcPr>
            <w:tcW w:w="9600" w:type="dxa"/>
            <w:vAlign w:val="bottom"/>
            <w:gridSpan w:val="8"/>
          </w:tcPr>
          <w:p>
            <w:pPr>
              <w:ind w:left="140"/>
              <w:spacing w:after="0"/>
              <w:rPr>
                <w:sz w:val="20"/>
                <w:szCs w:val="20"/>
                <w:color w:val="auto"/>
              </w:rPr>
            </w:pPr>
            <w:r>
              <w:rPr>
                <w:rFonts w:ascii="Arial" w:cs="Arial" w:eastAsia="Arial" w:hAnsi="Arial"/>
                <w:sz w:val="18"/>
                <w:szCs w:val="18"/>
                <w:color w:val="auto"/>
              </w:rPr>
              <w:t>“Exchange Offer”), which will occur immediately prior to the effectiveness of the registration statement on Form S-1, of</w:t>
            </w:r>
          </w:p>
        </w:tc>
      </w:tr>
      <w:tr>
        <w:trPr>
          <w:trHeight w:val="217"/>
        </w:trPr>
        <w:tc>
          <w:tcPr>
            <w:tcW w:w="180" w:type="dxa"/>
            <w:vAlign w:val="bottom"/>
          </w:tcPr>
          <w:p>
            <w:pPr>
              <w:spacing w:after="0"/>
              <w:rPr>
                <w:sz w:val="18"/>
                <w:szCs w:val="18"/>
                <w:color w:val="auto"/>
              </w:rPr>
            </w:pPr>
          </w:p>
        </w:tc>
        <w:tc>
          <w:tcPr>
            <w:tcW w:w="4700" w:type="dxa"/>
            <w:vAlign w:val="bottom"/>
            <w:gridSpan w:val="4"/>
          </w:tcPr>
          <w:p>
            <w:pPr>
              <w:ind w:left="140"/>
              <w:spacing w:after="0"/>
              <w:rPr>
                <w:sz w:val="20"/>
                <w:szCs w:val="20"/>
                <w:color w:val="auto"/>
              </w:rPr>
            </w:pPr>
            <w:r>
              <w:rPr>
                <w:rFonts w:ascii="Arial" w:cs="Arial" w:eastAsia="Arial" w:hAnsi="Arial"/>
                <w:sz w:val="18"/>
                <w:szCs w:val="18"/>
                <w:color w:val="auto"/>
              </w:rPr>
              <w:t>which this prospectus is a part;</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640" w:type="dxa"/>
            <w:vAlign w:val="bottom"/>
            <w:gridSpan w:val="7"/>
          </w:tcPr>
          <w:p>
            <w:pPr>
              <w:ind w:left="140"/>
              <w:spacing w:after="0"/>
              <w:rPr>
                <w:sz w:val="20"/>
                <w:szCs w:val="20"/>
                <w:color w:val="auto"/>
              </w:rPr>
            </w:pPr>
            <w:r>
              <w:rPr>
                <w:rFonts w:ascii="Arial" w:cs="Arial" w:eastAsia="Arial" w:hAnsi="Arial"/>
                <w:sz w:val="18"/>
                <w:szCs w:val="18"/>
                <w:color w:val="auto"/>
              </w:rPr>
              <w:t>the automatic conversion of all outstanding shares of our convertible preferred stock, of which</w:t>
            </w:r>
          </w:p>
        </w:tc>
        <w:tc>
          <w:tcPr>
            <w:tcW w:w="1960" w:type="dxa"/>
            <w:vAlign w:val="bottom"/>
          </w:tcPr>
          <w:p>
            <w:pPr>
              <w:ind w:left="640"/>
              <w:spacing w:after="0"/>
              <w:rPr>
                <w:sz w:val="20"/>
                <w:szCs w:val="20"/>
                <w:color w:val="auto"/>
              </w:rPr>
            </w:pPr>
            <w:r>
              <w:rPr>
                <w:rFonts w:ascii="Arial" w:cs="Arial" w:eastAsia="Arial" w:hAnsi="Arial"/>
                <w:sz w:val="18"/>
                <w:szCs w:val="18"/>
                <w:color w:val="auto"/>
              </w:rPr>
              <w:t>shares were</w:t>
            </w:r>
          </w:p>
        </w:tc>
      </w:tr>
      <w:tr>
        <w:trPr>
          <w:trHeight w:val="216"/>
        </w:trPr>
        <w:tc>
          <w:tcPr>
            <w:tcW w:w="18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color w:val="auto"/>
              </w:rPr>
              <w:t>outstanding as of</w:t>
            </w:r>
          </w:p>
        </w:tc>
        <w:tc>
          <w:tcPr>
            <w:tcW w:w="2840" w:type="dxa"/>
            <w:vAlign w:val="bottom"/>
          </w:tcPr>
          <w:p>
            <w:pPr>
              <w:ind w:left="300"/>
              <w:spacing w:after="0"/>
              <w:rPr>
                <w:sz w:val="20"/>
                <w:szCs w:val="20"/>
                <w:color w:val="auto"/>
              </w:rPr>
            </w:pPr>
            <w:r>
              <w:rPr>
                <w:rFonts w:ascii="Arial" w:cs="Arial" w:eastAsia="Arial" w:hAnsi="Arial"/>
                <w:sz w:val="18"/>
                <w:szCs w:val="18"/>
                <w:color w:val="auto"/>
              </w:rPr>
              <w:t>, 2021, into an aggregate of</w:t>
            </w:r>
          </w:p>
        </w:tc>
        <w:tc>
          <w:tcPr>
            <w:tcW w:w="4900" w:type="dxa"/>
            <w:vAlign w:val="bottom"/>
            <w:gridSpan w:val="4"/>
          </w:tcPr>
          <w:p>
            <w:pPr>
              <w:ind w:left="360"/>
              <w:spacing w:after="0"/>
              <w:rPr>
                <w:sz w:val="20"/>
                <w:szCs w:val="20"/>
                <w:color w:val="auto"/>
              </w:rPr>
            </w:pPr>
            <w:r>
              <w:rPr>
                <w:rFonts w:ascii="Arial" w:cs="Arial" w:eastAsia="Arial" w:hAnsi="Arial"/>
                <w:sz w:val="18"/>
                <w:szCs w:val="18"/>
                <w:color w:val="auto"/>
                <w:w w:val="99"/>
              </w:rPr>
              <w:t>shares of Class A common stock immediately prior to the</w:t>
            </w:r>
          </w:p>
        </w:tc>
      </w:tr>
      <w:tr>
        <w:trPr>
          <w:trHeight w:val="217"/>
        </w:trPr>
        <w:tc>
          <w:tcPr>
            <w:tcW w:w="180" w:type="dxa"/>
            <w:vAlign w:val="bottom"/>
          </w:tcPr>
          <w:p>
            <w:pPr>
              <w:spacing w:after="0"/>
              <w:rPr>
                <w:sz w:val="18"/>
                <w:szCs w:val="18"/>
                <w:color w:val="auto"/>
              </w:rPr>
            </w:pPr>
          </w:p>
        </w:tc>
        <w:tc>
          <w:tcPr>
            <w:tcW w:w="4700" w:type="dxa"/>
            <w:vAlign w:val="bottom"/>
            <w:gridSpan w:val="4"/>
          </w:tcPr>
          <w:p>
            <w:pPr>
              <w:ind w:left="140"/>
              <w:spacing w:after="0"/>
              <w:rPr>
                <w:sz w:val="20"/>
                <w:szCs w:val="20"/>
                <w:color w:val="auto"/>
              </w:rPr>
            </w:pPr>
            <w:r>
              <w:rPr>
                <w:rFonts w:ascii="Arial" w:cs="Arial" w:eastAsia="Arial" w:hAnsi="Arial"/>
                <w:sz w:val="18"/>
                <w:szCs w:val="18"/>
                <w:color w:val="auto"/>
              </w:rPr>
              <w:t>completion of this offering;</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600" w:type="dxa"/>
            <w:vAlign w:val="bottom"/>
          </w:tcPr>
          <w:p>
            <w:pPr>
              <w:ind w:left="220"/>
              <w:spacing w:after="0"/>
              <w:rPr>
                <w:sz w:val="20"/>
                <w:szCs w:val="20"/>
                <w:color w:val="auto"/>
              </w:rPr>
            </w:pPr>
            <w:r>
              <w:rPr>
                <w:rFonts w:ascii="Arial" w:cs="Arial" w:eastAsia="Arial" w:hAnsi="Arial"/>
                <w:sz w:val="18"/>
                <w:szCs w:val="18"/>
                <w:color w:val="auto"/>
              </w:rPr>
              <w:t>for</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split of our common stock, which was effected on</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 2021;</w:t>
            </w:r>
          </w:p>
        </w:tc>
        <w:tc>
          <w:tcPr>
            <w:tcW w:w="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660" w:type="dxa"/>
            <w:vAlign w:val="bottom"/>
            <w:gridSpan w:val="6"/>
          </w:tcPr>
          <w:p>
            <w:pPr>
              <w:ind w:left="140"/>
              <w:spacing w:after="0"/>
              <w:rPr>
                <w:sz w:val="20"/>
                <w:szCs w:val="20"/>
                <w:color w:val="auto"/>
              </w:rPr>
            </w:pPr>
            <w:r>
              <w:rPr>
                <w:rFonts w:ascii="Arial" w:cs="Arial" w:eastAsia="Arial" w:hAnsi="Arial"/>
                <w:sz w:val="18"/>
                <w:szCs w:val="18"/>
                <w:color w:val="auto"/>
              </w:rPr>
              <w:t>the exercise by our employees and other service providers of an aggregate of</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outstanding options to purchase</w:t>
            </w:r>
          </w:p>
        </w:tc>
      </w:tr>
      <w:tr>
        <w:trPr>
          <w:trHeight w:val="217"/>
        </w:trPr>
        <w:tc>
          <w:tcPr>
            <w:tcW w:w="180" w:type="dxa"/>
            <w:vAlign w:val="bottom"/>
          </w:tcPr>
          <w:p>
            <w:pPr>
              <w:spacing w:after="0"/>
              <w:rPr>
                <w:sz w:val="18"/>
                <w:szCs w:val="18"/>
                <w:color w:val="auto"/>
              </w:rPr>
            </w:pPr>
          </w:p>
        </w:tc>
        <w:tc>
          <w:tcPr>
            <w:tcW w:w="9600" w:type="dxa"/>
            <w:vAlign w:val="bottom"/>
            <w:gridSpan w:val="8"/>
          </w:tcPr>
          <w:p>
            <w:pPr>
              <w:ind w:left="140"/>
              <w:spacing w:after="0"/>
              <w:rPr>
                <w:sz w:val="20"/>
                <w:szCs w:val="20"/>
                <w:color w:val="auto"/>
              </w:rPr>
            </w:pPr>
            <w:r>
              <w:rPr>
                <w:rFonts w:ascii="Arial" w:cs="Arial" w:eastAsia="Arial" w:hAnsi="Arial"/>
                <w:sz w:val="18"/>
                <w:szCs w:val="18"/>
                <w:color w:val="auto"/>
              </w:rPr>
              <w:t>shares of our common stock (the "Option Exercise"), which will occur prior to the completion of the Exchange Offer;</w:t>
            </w:r>
          </w:p>
        </w:tc>
      </w:tr>
    </w:tbl>
    <w:p>
      <w:pPr>
        <w:spacing w:after="0" w:line="148" w:lineRule="exact"/>
        <w:rPr>
          <w:sz w:val="20"/>
          <w:szCs w:val="20"/>
          <w:color w:val="auto"/>
        </w:rPr>
      </w:pPr>
    </w:p>
    <w:p>
      <w:pPr>
        <w:ind w:left="326" w:hanging="326"/>
        <w:spacing w:after="0"/>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of any other outstanding options or warrants or settlement of outstanding RSUs referred to above; and</w:t>
      </w:r>
    </w:p>
    <w:p>
      <w:pPr>
        <w:sectPr>
          <w:pgSz w:w="11900" w:h="16838" w:orient="portrait"/>
          <w:cols w:equalWidth="0" w:num="1">
            <w:col w:w="9786"/>
          </w:cols>
          <w:pgMar w:left="994" w:top="1440" w:right="1119" w:bottom="1440" w:gutter="0" w:footer="0" w:header="0"/>
        </w:sectPr>
      </w:pPr>
    </w:p>
    <w:p>
      <w:pPr>
        <w:spacing w:after="0" w:line="14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no exercise by the underwriters of their option to purchase from us and the selling stockholders up to shares of our Class A common stock.</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additional</w:t>
      </w:r>
    </w:p>
    <w:p>
      <w:pPr>
        <w:spacing w:after="0" w:line="454" w:lineRule="exact"/>
        <w:rPr>
          <w:sz w:val="20"/>
          <w:szCs w:val="20"/>
          <w:color w:val="auto"/>
        </w:rPr>
      </w:pPr>
    </w:p>
    <w:p>
      <w:pPr>
        <w:sectPr>
          <w:pgSz w:w="11900" w:h="16838" w:orient="portrait"/>
          <w:cols w:equalWidth="0" w:num="3">
            <w:col w:w="66" w:space="260"/>
            <w:col w:w="8000" w:space="600"/>
            <w:col w:w="860"/>
          </w:cols>
          <w:pgMar w:left="994" w:top="1440"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786"/>
          </w:cols>
          <w:pgMar w:left="994" w:top="1440" w:right="11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3115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31159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consolidated financial and other data</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three months ended March 31, 2020 and 2021 and our summary consolidated balance sheet data as of March 31,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three months ended March 31,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760"/>
          </w:cols>
          <w:pgMar w:left="1000" w:top="1440" w:right="11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79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4460" w:type="dxa"/>
            <w:vAlign w:val="bottom"/>
            <w:gridSpan w:val="9"/>
          </w:tcPr>
          <w:p>
            <w:pPr>
              <w:jc w:val="right"/>
              <w:ind w:right="13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40"/>
              <w:spacing w:after="0" w:line="168" w:lineRule="exact"/>
              <w:rPr>
                <w:sz w:val="20"/>
                <w:szCs w:val="20"/>
                <w:color w:val="auto"/>
              </w:rPr>
            </w:pPr>
            <w:r>
              <w:rPr>
                <w:rFonts w:ascii="Arial" w:cs="Arial" w:eastAsia="Arial" w:hAnsi="Arial"/>
                <w:sz w:val="18"/>
                <w:szCs w:val="18"/>
                <w:color w:val="auto"/>
              </w:rPr>
              <w:t>Net income (loss) attributable to common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rPr>
              <w:t>stockholders</w:t>
            </w:r>
          </w:p>
        </w:tc>
        <w:tc>
          <w:tcPr>
            <w:tcW w:w="3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Arial" w:cs="Arial" w:eastAsia="Arial" w:hAnsi="Arial"/>
                <w:sz w:val="18"/>
                <w:szCs w:val="18"/>
                <w:color w:val="auto"/>
              </w:rPr>
              <w:t>Net income (loss) per share attributable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ind w:left="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4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Weighted-average shares of common stock used</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to compute net income (loss) per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attributable to common stockholders: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2,661,851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2,952,241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4,057,634</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(loss) attributable to common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78"/>
        </w:trPr>
        <w:tc>
          <w:tcPr>
            <w:tcW w:w="4040" w:type="dxa"/>
            <w:vAlign w:val="bottom"/>
          </w:tcPr>
          <w:p>
            <w:pPr>
              <w:ind w:left="40"/>
              <w:spacing w:after="0" w:line="178" w:lineRule="exact"/>
              <w:rPr>
                <w:sz w:val="20"/>
                <w:szCs w:val="20"/>
                <w:color w:val="auto"/>
              </w:rPr>
            </w:pPr>
            <w:r>
              <w:rPr>
                <w:rFonts w:ascii="Arial" w:cs="Arial" w:eastAsia="Arial" w:hAnsi="Arial"/>
                <w:sz w:val="18"/>
                <w:szCs w:val="18"/>
                <w:color w:val="auto"/>
              </w:rPr>
              <w:t>Pro forma adjustment on undistributed income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360"/>
              <w:spacing w:after="0" w:line="228" w:lineRule="exact"/>
              <w:rPr>
                <w:sz w:val="20"/>
                <w:szCs w:val="20"/>
                <w:color w:val="auto"/>
              </w:rPr>
            </w:pPr>
            <w:r>
              <w:rPr>
                <w:rFonts w:ascii="Arial" w:cs="Arial" w:eastAsia="Arial" w:hAnsi="Arial"/>
                <w:sz w:val="18"/>
                <w:szCs w:val="18"/>
                <w:color w:val="auto"/>
              </w:rPr>
              <w:t>allocated to participating securities</w:t>
            </w:r>
            <w:r>
              <w:rPr>
                <w:rFonts w:ascii="Arial" w:cs="Arial" w:eastAsia="Arial" w:hAnsi="Arial"/>
                <w:sz w:val="23"/>
                <w:szCs w:val="23"/>
                <w:color w:val="auto"/>
                <w:vertAlign w:val="superscript"/>
              </w:rPr>
              <w:t>(1)</w:t>
            </w: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40"/>
              <w:spacing w:after="0" w:line="168" w:lineRule="exact"/>
              <w:rPr>
                <w:sz w:val="20"/>
                <w:szCs w:val="20"/>
                <w:color w:val="auto"/>
              </w:rPr>
            </w:pPr>
            <w:r>
              <w:rPr>
                <w:rFonts w:ascii="Arial" w:cs="Arial" w:eastAsia="Arial" w:hAnsi="Arial"/>
                <w:sz w:val="18"/>
                <w:szCs w:val="18"/>
                <w:color w:val="auto"/>
              </w:rPr>
              <w:t>Pro forma net income (loss) attributable to</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common stockholders, basic and diluted</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Arial" w:cs="Arial" w:eastAsia="Arial" w:hAnsi="Arial"/>
                <w:sz w:val="18"/>
                <w:szCs w:val="18"/>
                <w:color w:val="auto"/>
              </w:rPr>
              <w:t>Pro forma net income (loss) per share attributable</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360"/>
              <w:spacing w:after="0"/>
              <w:rPr>
                <w:sz w:val="20"/>
                <w:szCs w:val="20"/>
                <w:color w:val="auto"/>
              </w:rPr>
            </w:pPr>
            <w:r>
              <w:rPr>
                <w:rFonts w:ascii="Arial" w:cs="Arial" w:eastAsia="Arial" w:hAnsi="Arial"/>
                <w:sz w:val="18"/>
                <w:szCs w:val="18"/>
                <w:color w:val="auto"/>
              </w:rPr>
              <w:t>to common stockholders: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ind w:left="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4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Weighted-average shares of common stock used</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to compute pro forma net income (loss) per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attributable to common stockholders: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6,945,587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7,155,380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8,260,773</w:t>
            </w:r>
          </w:p>
        </w:tc>
        <w:tc>
          <w:tcPr>
            <w:tcW w:w="0" w:type="dxa"/>
            <w:vAlign w:val="bottom"/>
          </w:tcPr>
          <w:p>
            <w:pPr>
              <w:spacing w:after="0"/>
              <w:rPr>
                <w:sz w:val="1"/>
                <w:szCs w:val="1"/>
                <w:color w:val="auto"/>
              </w:rPr>
            </w:pPr>
          </w:p>
        </w:tc>
      </w:tr>
      <w:tr>
        <w:trPr>
          <w:trHeight w:val="54"/>
        </w:trPr>
        <w:tc>
          <w:tcPr>
            <w:tcW w:w="4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right="100" w:hanging="6"/>
        <w:spacing w:after="0" w:line="280" w:lineRule="auto"/>
        <w:tabs>
          <w:tab w:leader="none" w:pos="6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93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100"/>
        <w:spacing w:after="0" w:line="280" w:lineRule="auto"/>
        <w:rPr>
          <w:sz w:val="20"/>
          <w:szCs w:val="20"/>
          <w:color w:val="auto"/>
        </w:rPr>
      </w:pPr>
      <w:r>
        <w:rPr>
          <w:rFonts w:ascii="Arial" w:cs="Arial" w:eastAsia="Arial" w:hAnsi="Arial"/>
          <w:sz w:val="13"/>
          <w:szCs w:val="13"/>
          <w:color w:val="auto"/>
        </w:rPr>
        <w:t>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rPr>
              <w:t>As of March 31, 2021</w:t>
            </w:r>
          </w:p>
        </w:tc>
        <w:tc>
          <w:tcPr>
            <w:tcW w:w="13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2"/>
                <w:szCs w:val="12"/>
                <w:color w:val="auto"/>
              </w:rPr>
            </w:pPr>
          </w:p>
        </w:tc>
        <w:tc>
          <w:tcPr>
            <w:tcW w:w="142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18"/>
                <w:szCs w:val="18"/>
                <w:b w:val="1"/>
                <w:bCs w:val="1"/>
                <w:color w:val="auto"/>
                <w:w w:val="98"/>
                <w:vertAlign w:val="superscript"/>
              </w:rPr>
              <w:t>(1)</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253"/>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92"/>
              <w:spacing w:after="0"/>
              <w:rPr>
                <w:sz w:val="20"/>
                <w:szCs w:val="20"/>
                <w:color w:val="auto"/>
              </w:rPr>
            </w:pPr>
            <w:r>
              <w:rPr>
                <w:rFonts w:ascii="Arial" w:cs="Arial" w:eastAsia="Arial" w:hAnsi="Arial"/>
                <w:sz w:val="18"/>
                <w:szCs w:val="18"/>
                <w:color w:val="auto"/>
                <w:w w:val="98"/>
              </w:rPr>
              <w:t>41,926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41,926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8"/>
              </w:rPr>
              <w:t>33,064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33,064</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120" w:type="dxa"/>
            <w:vAlign w:val="bottom"/>
          </w:tcPr>
          <w:p>
            <w:pPr>
              <w:jc w:val="center"/>
              <w:ind w:left="292"/>
              <w:spacing w:after="0"/>
              <w:rPr>
                <w:sz w:val="20"/>
                <w:szCs w:val="20"/>
                <w:color w:val="auto"/>
              </w:rPr>
            </w:pPr>
            <w:r>
              <w:rPr>
                <w:rFonts w:ascii="Arial" w:cs="Arial" w:eastAsia="Arial" w:hAnsi="Arial"/>
                <w:sz w:val="18"/>
                <w:szCs w:val="18"/>
                <w:color w:val="auto"/>
                <w:w w:val="98"/>
              </w:rPr>
              <w:t>74,870</w:t>
            </w:r>
          </w:p>
        </w:tc>
        <w:tc>
          <w:tcPr>
            <w:tcW w:w="22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74,870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8"/>
              </w:rPr>
              <w:t>98,536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98,536</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120" w:type="dxa"/>
            <w:vAlign w:val="bottom"/>
          </w:tcPr>
          <w:p>
            <w:pPr>
              <w:jc w:val="center"/>
              <w:ind w:left="292"/>
              <w:spacing w:after="0"/>
              <w:rPr>
                <w:sz w:val="20"/>
                <w:szCs w:val="20"/>
                <w:color w:val="auto"/>
              </w:rPr>
            </w:pPr>
            <w:r>
              <w:rPr>
                <w:rFonts w:ascii="Arial" w:cs="Arial" w:eastAsia="Arial" w:hAnsi="Arial"/>
                <w:sz w:val="18"/>
                <w:szCs w:val="18"/>
                <w:color w:val="auto"/>
                <w:w w:val="98"/>
              </w:rPr>
              <w:t>41,806</w:t>
            </w:r>
          </w:p>
        </w:tc>
        <w:tc>
          <w:tcPr>
            <w:tcW w:w="22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41,806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8"/>
              </w:rPr>
              <w:t>75,589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75,589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540" w:type="dxa"/>
            <w:vAlign w:val="bottom"/>
          </w:tcPr>
          <w:p>
            <w:pPr>
              <w:ind w:left="40"/>
              <w:spacing w:after="0" w:line="189" w:lineRule="exact"/>
              <w:rPr>
                <w:sz w:val="20"/>
                <w:szCs w:val="20"/>
                <w:color w:val="auto"/>
              </w:rPr>
            </w:pPr>
            <w:r>
              <w:rPr>
                <w:rFonts w:ascii="Arial" w:cs="Arial" w:eastAsia="Arial" w:hAnsi="Arial"/>
                <w:sz w:val="18"/>
                <w:szCs w:val="18"/>
                <w:color w:val="auto"/>
              </w:rPr>
              <w:t>Convertible preferred stock, par value $0.0001; 4,203,139 shares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authorized, issued and outstanding at December 31, 2019 and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200"/>
              <w:spacing w:after="0" w:line="176" w:lineRule="exact"/>
              <w:rPr>
                <w:sz w:val="20"/>
                <w:szCs w:val="20"/>
                <w:color w:val="auto"/>
              </w:rPr>
            </w:pPr>
            <w:r>
              <w:rPr>
                <w:rFonts w:ascii="Arial" w:cs="Arial" w:eastAsia="Arial" w:hAnsi="Arial"/>
                <w:sz w:val="18"/>
                <w:szCs w:val="18"/>
                <w:color w:val="auto"/>
              </w:rPr>
              <w:t>2020 (aggregate liquidation preference of $24,929,457 at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200"/>
              <w:spacing w:after="0"/>
              <w:rPr>
                <w:sz w:val="20"/>
                <w:szCs w:val="20"/>
                <w:color w:val="auto"/>
              </w:rPr>
            </w:pPr>
            <w:r>
              <w:rPr>
                <w:rFonts w:ascii="Arial" w:cs="Arial" w:eastAsia="Arial" w:hAnsi="Arial"/>
                <w:sz w:val="18"/>
                <w:szCs w:val="18"/>
                <w:color w:val="auto"/>
              </w:rPr>
              <w:t>December 31, 2019 and 2020)</w:t>
            </w:r>
          </w:p>
        </w:tc>
        <w:tc>
          <w:tcPr>
            <w:tcW w:w="300" w:type="dxa"/>
            <w:vAlign w:val="bottom"/>
          </w:tcPr>
          <w:p>
            <w:pPr>
              <w:spacing w:after="0"/>
              <w:rPr>
                <w:sz w:val="18"/>
                <w:szCs w:val="18"/>
                <w:color w:val="auto"/>
              </w:rPr>
            </w:pPr>
          </w:p>
        </w:tc>
        <w:tc>
          <w:tcPr>
            <w:tcW w:w="1120" w:type="dxa"/>
            <w:vAlign w:val="bottom"/>
          </w:tcPr>
          <w:p>
            <w:pPr>
              <w:jc w:val="center"/>
              <w:ind w:left="292"/>
              <w:spacing w:after="0"/>
              <w:rPr>
                <w:sz w:val="20"/>
                <w:szCs w:val="20"/>
                <w:color w:val="auto"/>
              </w:rPr>
            </w:pPr>
            <w:r>
              <w:rPr>
                <w:rFonts w:ascii="Arial" w:cs="Arial" w:eastAsia="Arial" w:hAnsi="Arial"/>
                <w:sz w:val="18"/>
                <w:szCs w:val="18"/>
                <w:color w:val="auto"/>
                <w:w w:val="98"/>
              </w:rPr>
              <w:t>45,105</w:t>
            </w:r>
          </w:p>
        </w:tc>
        <w:tc>
          <w:tcPr>
            <w:tcW w:w="22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rPr>
              <w:t>(44,305)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(44,305)</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19"/>
                <w:szCs w:val="19"/>
                <w:color w:val="auto"/>
              </w:rPr>
            </w:pPr>
          </w:p>
        </w:tc>
        <w:tc>
          <w:tcPr>
            <w:tcW w:w="1120" w:type="dxa"/>
            <w:vAlign w:val="bottom"/>
          </w:tcPr>
          <w:p>
            <w:pPr>
              <w:jc w:val="center"/>
              <w:ind w:left="272"/>
              <w:spacing w:after="0"/>
              <w:rPr>
                <w:sz w:val="20"/>
                <w:szCs w:val="20"/>
                <w:color w:val="auto"/>
              </w:rPr>
            </w:pPr>
            <w:r>
              <w:rPr>
                <w:rFonts w:ascii="Arial" w:cs="Arial" w:eastAsia="Arial" w:hAnsi="Arial"/>
                <w:sz w:val="18"/>
                <w:szCs w:val="18"/>
                <w:color w:val="auto"/>
              </w:rPr>
              <w:t>(22,158)</w:t>
            </w:r>
          </w:p>
        </w:tc>
        <w:tc>
          <w:tcPr>
            <w:tcW w:w="22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22,947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 w:right="60" w:hanging="6"/>
        <w:spacing w:after="0" w:line="260" w:lineRule="auto"/>
        <w:tabs>
          <w:tab w:leader="none" w:pos="657"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 forma column reflects: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our amended and restated certificate of incorporation immediately prior to the effectiveness of the registration statement on Form S-1, of which this prospectus is a part; (iii) the completion of the Exchange</w:t>
      </w:r>
    </w:p>
    <w:p>
      <w:pPr>
        <w:ind w:left="20"/>
        <w:spacing w:after="0"/>
        <w:tabs>
          <w:tab w:leader="none" w:pos="2820" w:val="left"/>
          <w:tab w:leader="none" w:pos="6720" w:val="left"/>
          <w:tab w:leader="none" w:pos="7400" w:val="left"/>
        </w:tabs>
        <w:rPr>
          <w:sz w:val="20"/>
          <w:szCs w:val="20"/>
          <w:color w:val="auto"/>
        </w:rPr>
      </w:pPr>
      <w:r>
        <w:rPr>
          <w:rFonts w:ascii="Arial" w:cs="Arial" w:eastAsia="Arial" w:hAnsi="Arial"/>
          <w:sz w:val="13"/>
          <w:szCs w:val="13"/>
          <w:color w:val="auto"/>
        </w:rPr>
        <w:t>Offer, pursuant to which an aggregate of</w:t>
      </w:r>
      <w:r>
        <w:rPr>
          <w:sz w:val="20"/>
          <w:szCs w:val="20"/>
          <w:color w:val="auto"/>
        </w:rPr>
        <w:tab/>
      </w:r>
      <w:r>
        <w:rPr>
          <w:rFonts w:ascii="Arial" w:cs="Arial" w:eastAsia="Arial" w:hAnsi="Arial"/>
          <w:sz w:val="13"/>
          <w:szCs w:val="13"/>
          <w:color w:val="auto"/>
        </w:rPr>
        <w:t>shares of our Class A common stock will be exchanged for</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newly issued shares of our LT10 and</w:t>
      </w:r>
    </w:p>
    <w:p>
      <w:pPr>
        <w:spacing w:after="0" w:line="13" w:lineRule="exact"/>
        <w:rPr>
          <w:sz w:val="20"/>
          <w:szCs w:val="20"/>
          <w:color w:val="auto"/>
        </w:rPr>
      </w:pPr>
    </w:p>
    <w:p>
      <w:pPr>
        <w:ind w:left="20"/>
        <w:spacing w:after="0"/>
        <w:tabs>
          <w:tab w:leader="none" w:pos="3540" w:val="left"/>
        </w:tabs>
        <w:rPr>
          <w:sz w:val="20"/>
          <w:szCs w:val="20"/>
          <w:color w:val="auto"/>
        </w:rPr>
      </w:pPr>
      <w:r>
        <w:rPr>
          <w:rFonts w:ascii="Arial" w:cs="Arial" w:eastAsia="Arial" w:hAnsi="Arial"/>
          <w:sz w:val="13"/>
          <w:szCs w:val="13"/>
          <w:color w:val="auto"/>
        </w:rPr>
        <w:t>LT50 common stock, respectively; (iv) the exercise of</w:t>
      </w:r>
      <w:r>
        <w:rPr>
          <w:sz w:val="20"/>
          <w:szCs w:val="20"/>
          <w:color w:val="auto"/>
        </w:rPr>
        <w:tab/>
      </w:r>
      <w:r>
        <w:rPr>
          <w:rFonts w:ascii="Arial" w:cs="Arial" w:eastAsia="Arial" w:hAnsi="Arial"/>
          <w:sz w:val="13"/>
          <w:szCs w:val="13"/>
          <w:color w:val="auto"/>
        </w:rPr>
        <w:t>outstanding stock options pursuant to the Option Exercise, which will occur prior to the completion of the</w:t>
      </w:r>
    </w:p>
    <w:p>
      <w:pPr>
        <w:spacing w:after="0" w:line="13" w:lineRule="exact"/>
        <w:rPr>
          <w:sz w:val="20"/>
          <w:szCs w:val="20"/>
          <w:color w:val="auto"/>
        </w:rPr>
      </w:pPr>
    </w:p>
    <w:p>
      <w:pPr>
        <w:ind w:left="20" w:right="140"/>
        <w:spacing w:after="0" w:line="260" w:lineRule="auto"/>
        <w:rPr>
          <w:sz w:val="20"/>
          <w:szCs w:val="20"/>
          <w:color w:val="auto"/>
        </w:rPr>
      </w:pPr>
      <w:r>
        <w:rPr>
          <w:rFonts w:ascii="Arial" w:cs="Arial" w:eastAsia="Arial" w:hAnsi="Arial"/>
          <w:sz w:val="13"/>
          <w:szCs w:val="13"/>
          <w:color w:val="auto"/>
        </w:rPr>
        <w:t>Exchange Offer; and (v) the filing and effectiveness of our amended and restated certificate of incorporation immediately prior to the effectiveness of the registration statement on Form S-1, of which this prospectus is a part.</w:t>
      </w:r>
    </w:p>
    <w:p>
      <w:pPr>
        <w:ind w:left="20"/>
        <w:spacing w:after="0"/>
        <w:tabs>
          <w:tab w:leader="none" w:pos="640" w:val="left"/>
          <w:tab w:leader="none" w:pos="87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3"/>
          <w:szCs w:val="13"/>
          <w:color w:val="auto"/>
        </w:rPr>
        <w:t>The pro forma as adjusted column reflects: (i) the pro forma adjustments described above and (ii) the issuance and sale by us of</w:t>
      </w:r>
      <w:r>
        <w:rPr>
          <w:sz w:val="20"/>
          <w:szCs w:val="20"/>
          <w:color w:val="auto"/>
        </w:rPr>
        <w:tab/>
      </w:r>
      <w:r>
        <w:rPr>
          <w:rFonts w:ascii="Arial" w:cs="Arial" w:eastAsia="Arial" w:hAnsi="Arial"/>
          <w:sz w:val="13"/>
          <w:szCs w:val="13"/>
          <w:color w:val="auto"/>
        </w:rPr>
        <w:t>shares of Class A</w:t>
      </w:r>
    </w:p>
    <w:p>
      <w:pPr>
        <w:spacing w:after="0" w:line="13"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3"/>
          <w:szCs w:val="13"/>
          <w:color w:val="auto"/>
        </w:rPr>
        <w:t>common stock in this offering at an assumed initial public offering price of $</w:t>
      </w:r>
      <w:r>
        <w:rPr>
          <w:sz w:val="20"/>
          <w:szCs w:val="20"/>
          <w:color w:val="auto"/>
        </w:rPr>
        <w:tab/>
      </w:r>
      <w:r>
        <w:rPr>
          <w:rFonts w:ascii="Arial" w:cs="Arial" w:eastAsia="Arial" w:hAnsi="Arial"/>
          <w:sz w:val="13"/>
          <w:szCs w:val="13"/>
          <w:color w:val="auto"/>
        </w:rPr>
        <w:t>per share, which is the midpoint of the price range set forth on the cover page of</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this prospectus, after deducting the underwriting discounts and commissions and estimated offering expenses payable by us.</w:t>
      </w:r>
    </w:p>
    <w:p>
      <w:pPr>
        <w:spacing w:after="0" w:line="13" w:lineRule="exact"/>
        <w:rPr>
          <w:sz w:val="20"/>
          <w:szCs w:val="20"/>
          <w:color w:val="auto"/>
        </w:rPr>
      </w:pPr>
    </w:p>
    <w:p>
      <w:pPr>
        <w:ind w:left="20"/>
        <w:spacing w:after="0"/>
        <w:tabs>
          <w:tab w:leader="none" w:pos="640" w:val="left"/>
          <w:tab w:leader="none" w:pos="640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3"/>
          <w:szCs w:val="13"/>
          <w:color w:val="auto"/>
        </w:rPr>
        <w:t>Each $1.00 increase or decrease in the assumed initial public offering price per share of $</w:t>
      </w:r>
      <w:r>
        <w:rPr>
          <w:sz w:val="20"/>
          <w:szCs w:val="20"/>
          <w:color w:val="auto"/>
        </w:rPr>
        <w:tab/>
      </w:r>
      <w:r>
        <w:rPr>
          <w:rFonts w:ascii="Arial" w:cs="Arial" w:eastAsia="Arial" w:hAnsi="Arial"/>
          <w:sz w:val="13"/>
          <w:szCs w:val="13"/>
          <w:color w:val="auto"/>
        </w:rPr>
        <w:t>, which is the midpoint of the price range set forth on the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cover page of this prospectus, would increase or decrease, as applicable, each of cash and cash equivalents, working capital, total assets and total stockholders’</w:t>
      </w:r>
    </w:p>
    <w:p>
      <w:pPr>
        <w:spacing w:after="0" w:line="13" w:lineRule="exact"/>
        <w:rPr>
          <w:sz w:val="20"/>
          <w:szCs w:val="20"/>
          <w:color w:val="auto"/>
        </w:rPr>
      </w:pPr>
    </w:p>
    <w:p>
      <w:pPr>
        <w:ind w:left="20" w:right="140"/>
        <w:spacing w:after="0" w:line="260" w:lineRule="auto"/>
        <w:rPr>
          <w:sz w:val="20"/>
          <w:szCs w:val="20"/>
          <w:color w:val="auto"/>
        </w:rPr>
      </w:pPr>
      <w:r>
        <w:rPr>
          <w:rFonts w:ascii="Arial" w:cs="Arial" w:eastAsia="Arial" w:hAnsi="Arial"/>
          <w:sz w:val="13"/>
          <w:szCs w:val="13"/>
          <w:color w:val="auto"/>
        </w:rPr>
        <w:t>deficit on a pro 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 equivalents, working capital,</w:t>
      </w:r>
    </w:p>
    <w:p>
      <w:pPr>
        <w:ind w:left="20"/>
        <w:spacing w:after="0"/>
        <w:tabs>
          <w:tab w:leader="none" w:pos="5980" w:val="left"/>
        </w:tabs>
        <w:rPr>
          <w:sz w:val="20"/>
          <w:szCs w:val="20"/>
          <w:color w:val="auto"/>
        </w:rPr>
      </w:pPr>
      <w:r>
        <w:rPr>
          <w:rFonts w:ascii="Arial" w:cs="Arial" w:eastAsia="Arial" w:hAnsi="Arial"/>
          <w:sz w:val="13"/>
          <w:szCs w:val="13"/>
          <w:color w:val="auto"/>
        </w:rPr>
        <w:t>total assets and total stockholders’ deficit on a pro forma as adjusted basis by approximately $</w:t>
      </w:r>
      <w:r>
        <w:rPr>
          <w:sz w:val="20"/>
          <w:szCs w:val="20"/>
          <w:color w:val="auto"/>
        </w:rPr>
        <w:tab/>
      </w:r>
      <w:r>
        <w:rPr>
          <w:rFonts w:ascii="Arial" w:cs="Arial" w:eastAsia="Arial" w:hAnsi="Arial"/>
          <w:sz w:val="13"/>
          <w:szCs w:val="13"/>
          <w:color w:val="auto"/>
        </w:rPr>
        <w:t>million, assuming that the initial public offering price per share</w:t>
      </w:r>
    </w:p>
    <w:p>
      <w:pPr>
        <w:spacing w:after="0" w:line="1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3"/>
          <w:szCs w:val="13"/>
          <w:color w:val="auto"/>
        </w:rPr>
        <w:t>remains at $</w:t>
      </w:r>
      <w:r>
        <w:rPr>
          <w:sz w:val="20"/>
          <w:szCs w:val="20"/>
          <w:color w:val="auto"/>
        </w:rPr>
        <w:tab/>
      </w:r>
      <w:r>
        <w:rPr>
          <w:rFonts w:ascii="Arial" w:cs="Arial" w:eastAsia="Arial" w:hAnsi="Arial"/>
          <w:sz w:val="13"/>
          <w:szCs w:val="13"/>
          <w:color w:val="auto"/>
        </w:rPr>
        <w:t>, which is the midpoint of the price range set forth on the cover page of this prospectus, and after deducting underwriting discounts and</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commissions and estimated offering expenses payable by us.</w:t>
      </w:r>
    </w:p>
    <w:p>
      <w:pPr>
        <w:spacing w:after="0" w:line="13" w:lineRule="exact"/>
        <w:rPr>
          <w:sz w:val="20"/>
          <w:szCs w:val="20"/>
          <w:color w:val="auto"/>
        </w:rPr>
      </w:pPr>
    </w:p>
    <w:p>
      <w:pPr>
        <w:ind w:left="20" w:right="40" w:hanging="6"/>
        <w:spacing w:after="0" w:line="280" w:lineRule="auto"/>
        <w:tabs>
          <w:tab w:leader="none" w:pos="657"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70"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00"/>
          </w:cols>
          <w:pgMar w:left="980" w:top="1440" w:right="101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985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left="20" w:right="220"/>
        <w:spacing w:after="0" w:line="261" w:lineRule="auto"/>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135"/>
        </w:trPr>
        <w:tc>
          <w:tcPr>
            <w:tcW w:w="8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members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75"/>
        </w:trPr>
        <w:tc>
          <w:tcPr>
            <w:tcW w:w="85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13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13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June 30,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right="180" w:hanging="6"/>
        <w:spacing w:after="0" w:line="280" w:lineRule="auto"/>
        <w:tabs>
          <w:tab w:leader="none" w:pos="657"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66" w:lineRule="exact"/>
        <w:rPr>
          <w:sz w:val="20"/>
          <w:szCs w:val="20"/>
          <w:color w:val="auto"/>
        </w:rPr>
      </w:pPr>
    </w:p>
    <w:p>
      <w:pPr>
        <w:ind w:left="20" w:right="120"/>
        <w:spacing w:after="0" w:line="256" w:lineRule="auto"/>
        <w:rPr>
          <w:sz w:val="20"/>
          <w:szCs w:val="20"/>
          <w:color w:val="auto"/>
        </w:rPr>
      </w:pPr>
      <w:r>
        <w:rPr>
          <w:rFonts w:ascii="Arial" w:cs="Arial" w:eastAsia="Arial" w:hAnsi="Arial"/>
          <w:sz w:val="18"/>
          <w:szCs w:val="18"/>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cost of revenue, net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4,541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 allocation</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7"/>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3,286</w:t>
            </w:r>
          </w:p>
        </w:tc>
        <w:tc>
          <w:tcPr>
            <w:tcW w:w="40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Net income (loss) margin</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314"/>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217"/>
              <w:spacing w:after="0"/>
              <w:rPr>
                <w:sz w:val="20"/>
                <w:szCs w:val="20"/>
                <w:color w:val="auto"/>
              </w:rPr>
            </w:pPr>
            <w:r>
              <w:rPr>
                <w:rFonts w:ascii="Arial" w:cs="Arial" w:eastAsia="Arial" w:hAnsi="Arial"/>
                <w:sz w:val="18"/>
                <w:szCs w:val="18"/>
                <w:color w:val="auto"/>
              </w:rPr>
              <w:t>7,579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24"/>
                <w:szCs w:val="2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6,712</w:t>
            </w:r>
          </w:p>
        </w:tc>
        <w:tc>
          <w:tcPr>
            <w:tcW w:w="400" w:type="dxa"/>
            <w:vAlign w:val="bottom"/>
            <w:gridSpan w:val="2"/>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104"/>
        </w:trPr>
        <w:tc>
          <w:tcPr>
            <w:tcW w:w="370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400" w:type="dxa"/>
            <w:vAlign w:val="bottom"/>
            <w:gridSpan w:val="2"/>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3700" w:type="dxa"/>
            <w:vAlign w:val="bottom"/>
          </w:tcPr>
          <w:p>
            <w:pPr>
              <w:ind w:left="4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vMerge w:val="restart"/>
          </w:tcPr>
          <w:p>
            <w:pPr>
              <w:ind w:left="660"/>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 w:right="240" w:hanging="6"/>
        <w:spacing w:after="0" w:line="280" w:lineRule="auto"/>
        <w:tabs>
          <w:tab w:leader="none" w:pos="657"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123" w:lineRule="exact"/>
        <w:rPr>
          <w:sz w:val="20"/>
          <w:szCs w:val="20"/>
          <w:color w:val="auto"/>
        </w:rPr>
      </w:pPr>
    </w:p>
    <w:p>
      <w:pPr>
        <w:ind w:left="20" w:right="260"/>
        <w:spacing w:after="0" w:line="261" w:lineRule="auto"/>
        <w:rPr>
          <w:sz w:val="20"/>
          <w:szCs w:val="20"/>
          <w:color w:val="auto"/>
        </w:rPr>
      </w:pPr>
      <w:r>
        <w:rPr>
          <w:rFonts w:ascii="Arial" w:cs="Arial" w:eastAsia="Arial" w:hAnsi="Arial"/>
          <w:sz w:val="18"/>
          <w:szCs w:val="18"/>
          <w:color w:val="auto"/>
        </w:rPr>
        <w:t>For additional information about our key business metrics and non-GAAP financial measures, including a reconciliation to the most directly comparable GAAP measure, please see the section titled</w:t>
      </w:r>
    </w:p>
    <w:p>
      <w:pPr>
        <w:sectPr>
          <w:pgSz w:w="11900" w:h="16838" w:orient="portrait"/>
          <w:cols w:equalWidth="0" w:num="1">
            <w:col w:w="9900"/>
          </w:cols>
          <w:pgMar w:left="980" w:top="1440" w:right="1019" w:bottom="9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0"/>
          </w:cols>
          <w:pgMar w:left="980" w:top="1440" w:right="1019" w:bottom="995"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1212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520"/>
          </w:cols>
          <w:pgMar w:left="1000" w:top="1440" w:right="1379" w:bottom="1440" w:gutter="0" w:footer="0" w:header="0"/>
        </w:sectPr>
      </w:pPr>
    </w:p>
    <w:bookmarkStart w:id="31" w:name="page32"/>
    <w:bookmarkEnd w:id="31"/>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3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44" w:lineRule="exact"/>
        <w:rPr>
          <w:rFonts w:ascii="Arial" w:cs="Arial" w:eastAsia="Arial" w:hAnsi="Arial"/>
          <w:sz w:val="18"/>
          <w:szCs w:val="18"/>
          <w:color w:val="auto"/>
        </w:rPr>
      </w:pPr>
    </w:p>
    <w:p>
      <w:pPr>
        <w:ind w:left="340" w:right="440" w:hanging="332"/>
        <w:spacing w:after="0" w:line="254"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grow or maintain our gross logo retention rate and net seat retention rate (each as described under the section titled "Management's discussion and analysis of financial condition and results of operations—Key factors affecting our performance— Retaining existing customers"), expand usage within organizations, retain and increase sales to existing customers and attract new members and customers;</w:t>
      </w:r>
    </w:p>
    <w:p>
      <w:pPr>
        <w:spacing w:after="0" w:line="136"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44"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340" w:right="62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44"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44" w:lineRule="exact"/>
        <w:rPr>
          <w:sz w:val="20"/>
          <w:szCs w:val="20"/>
          <w:color w:val="auto"/>
        </w:rPr>
      </w:pPr>
    </w:p>
    <w:p>
      <w:pPr>
        <w:ind w:left="340" w:right="44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57"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44"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 epidemics,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11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0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10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40" w:right="379" w:bottom="1440" w:gutter="0" w:footer="0" w:header="0"/>
        </w:sectPr>
      </w:pPr>
    </w:p>
    <w:bookmarkStart w:id="33" w:name="page34"/>
    <w:bookmarkEnd w:id="33"/>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2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 or maintain our gross logo retention rate and net seat retention rate, and expand usage within organizations;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 of mouth exposure to new potential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the impact of the COVID-19 pandemic and the end of the COVID-19 pandemic on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1440" w:right="459" w:bottom="1440" w:gutter="0" w:footer="0" w:header="0"/>
        </w:sectPr>
      </w:pPr>
    </w:p>
    <w:bookmarkStart w:id="34" w:name="page35"/>
    <w:bookmarkEnd w:id="34"/>
    <w:p>
      <w:pPr>
        <w:spacing w:after="0" w:line="14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144"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number of paid members on our platform declined 14% from 748,000 in the quarter ended March 31, 2020 to 641,000 in the quarter ended June 30, 2020 and has remained near this level through the quarter ended March 31,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 us. Further, our customers may change their company policies to limit expense reimbursement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2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1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subscriptions, and customers are not obligated to and may not renew their subscriptions after their existing subscriptions expire.</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1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successfully and effectively compete with current or future competitors could cause us to lose business and harm our revenue growth, business, results of operations and financial condition.</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1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30" w:lineRule="exact"/>
        <w:rPr>
          <w:sz w:val="20"/>
          <w:szCs w:val="20"/>
          <w:color w:val="auto"/>
        </w:rPr>
      </w:pPr>
    </w:p>
    <w:p>
      <w:pPr>
        <w:ind w:left="340" w:right="84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or entities;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due diligence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44"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interest earned on customer funds, transaction fees, and revenue derived from foreign exchange;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originated in a country to be invested in that country or held in trust until paid;</w:t>
      </w:r>
    </w:p>
    <w:p>
      <w:pPr>
        <w:spacing w:after="0" w:line="144" w:lineRule="exact"/>
        <w:rPr>
          <w:rFonts w:ascii="Arial" w:cs="Arial" w:eastAsia="Arial" w:hAnsi="Arial"/>
          <w:sz w:val="18"/>
          <w:szCs w:val="18"/>
          <w:color w:val="auto"/>
        </w:rPr>
      </w:pPr>
    </w:p>
    <w:p>
      <w:pPr>
        <w:ind w:left="340" w:right="70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340" w:right="200" w:hanging="332"/>
        <w:spacing w:after="0" w:line="261"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other requirements in furtherance of their missions.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2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three months ended March 31, 2021, consideration from this vendor representing monetized Expensify Card activities reduced our cost of revenue by more than $1.0 million and $0.5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2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breaches, including notifying affected subscribers and responding to any resulting litigation, which in turn, diverts resources from the growth and expansion of our business.</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3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operations across multiple geographies;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320" w:top="1440" w:right="419" w:bottom="1440" w:gutter="0" w:footer="0" w:header="0"/>
        </w:sectPr>
      </w:pPr>
    </w:p>
    <w:bookmarkStart w:id="45" w:name="page46"/>
    <w:bookmarkEnd w:id="45"/>
    <w:p>
      <w:pPr>
        <w:spacing w:after="0" w:line="14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Android, web and desktop. There can be no assurance that this direction will achieve customer acceptance or that we will realize the anticipated return on our investment.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11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10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being a public company, we will need to maintain our culture among a larger number of employees dispersed in various geographic regions.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preserve our culture could negatively affect our future success, including our ability to retain and recruit personnel.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results of operations could be harmed.</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three months ended March 31, 2020 and March 31, 2021, our revenue has grown from $ 21.9 million to $29.7 million, respectively, but our headcount has remained consistent, with 131 employees as of March 31, 2020 and 133 employees as of March 31,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33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10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2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fiscal 2019, $7.6 million, or 9%, of our revenue, for the three months ended March 31, 2020, $ 2.2 million, or 10%, of our revenue, for fiscal 2020, $9.0 million, or 10%, of our revenue, and for the three months ended March 31, 2021, $3.3 million, or 11%, of our revenue, was generated from customers outside the United States, and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40" w:lineRule="exact"/>
        <w:rPr>
          <w:sz w:val="20"/>
          <w:szCs w:val="20"/>
          <w:color w:val="auto"/>
        </w:rPr>
      </w:pPr>
    </w:p>
    <w:p>
      <w:pPr>
        <w:ind w:left="340" w:right="56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130"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157"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0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such violation could materially adversely affect our reputation, business, financial condition and results of operations.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2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4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0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4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recovery plan may not be sufficient to address all aspects or any unanticipated consequence or incidents, and our insurance may not be sufficient to compensate us for the losses that could occur.</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10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1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 -party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2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1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2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2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22"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24, 2018, we entered into a loan and security agreement, which was subsequently amended, with CIBC pursuant to which CIBC agreed to provide us a $14.0 million amortizing term loan and a $11.0 million non-amortizing term loan, each with a maturity date of November 16, 2023, and a revolving credit facility of up to $ 15.0 million with a maturity date of October 31, 2022.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11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2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continue to 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taxable income or reduce our taxes may be limited.</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taxes or remit such taxes directly to states could result in substantial tax liabilities for past sales and additional administrative expenses, which could seriously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40" w:right="20" w:hanging="332"/>
        <w:spacing w:after="0" w:line="261"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480" w:hanging="332"/>
        <w:spacing w:after="0" w:line="291" w:lineRule="auto"/>
        <w:tabs>
          <w:tab w:leader="none" w:pos="3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multiple class structure of our common stock and the Voting Trust Agreement</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34"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w:t>
      </w:r>
    </w:p>
    <w:p>
      <w:pPr>
        <w:ind w:right="80"/>
        <w:spacing w:after="0" w:line="250" w:lineRule="auto"/>
        <w:rPr>
          <w:sz w:val="20"/>
          <w:szCs w:val="20"/>
          <w:color w:val="auto"/>
        </w:rPr>
      </w:pPr>
      <w:r>
        <w:rPr>
          <w:rFonts w:ascii="Arial" w:cs="Arial" w:eastAsia="Arial" w:hAnsi="Arial"/>
          <w:sz w:val="18"/>
          <w:szCs w:val="18"/>
          <w:color w:val="auto"/>
        </w:rPr>
        <w:t>Trust is expected to hold approximately and shares of LT10 and LT50 common stock, respectively, representing approximately % of the economic interest and % of the voting power of outstanding capital stock following the completion of this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offering. The Voting Trust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rules of . The members of the Executive Committee are expected to be directors who may also our employees, and the Executive Committee will initially consist of , , , and . See “Management—Committees of our board of directors”.</w:t>
      </w:r>
    </w:p>
    <w:p>
      <w:pPr>
        <w:spacing w:after="0" w:line="3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3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After this offering, the Voting Trust will control a majority of the voting power of our outstanding common stock. As a result, we will qualify as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“controlled company” within the meaning of the corporate governance standards of .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38"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w:t>
      </w:r>
    </w:p>
    <w:p>
      <w:pPr>
        <w:spacing w:after="0"/>
        <w:tabs>
          <w:tab w:leader="none" w:pos="10060" w:val="left"/>
        </w:tabs>
        <w:rPr>
          <w:sz w:val="20"/>
          <w:szCs w:val="20"/>
          <w:color w:val="auto"/>
        </w:rPr>
      </w:pPr>
      <w:r>
        <w:rPr>
          <w:rFonts w:ascii="Arial" w:cs="Arial" w:eastAsia="Arial" w:hAnsi="Arial"/>
          <w:sz w:val="18"/>
          <w:szCs w:val="18"/>
          <w:color w:val="auto"/>
        </w:rPr>
        <w:t>protections afforded to stockholders of companies that are subject to all of the corporate governance requirements of</w:t>
      </w:r>
      <w:r>
        <w:rPr>
          <w:sz w:val="20"/>
          <w:szCs w:val="20"/>
          <w:color w:val="auto"/>
        </w:rPr>
        <w:tab/>
      </w:r>
      <w:r>
        <w:rPr>
          <w:rFonts w:ascii="Arial" w:cs="Arial" w:eastAsia="Arial" w:hAnsi="Arial"/>
          <w:sz w:val="18"/>
          <w:szCs w:val="18"/>
          <w:color w:val="auto"/>
        </w:rPr>
        <w:t>.</w:t>
      </w:r>
    </w:p>
    <w:p>
      <w:pPr>
        <w:spacing w:after="0" w:line="136"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Class A common stock if no such Class A stockholder is identified. As a result, shares of our LT10 and LT50 common stock may convert into shares of Class A common stock at a slower rate.</w:t>
      </w:r>
    </w:p>
    <w:p>
      <w:pPr>
        <w:spacing w:after="0" w:line="9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Class A common stock</w:t>
      </w:r>
    </w:p>
    <w:p>
      <w:pPr>
        <w:spacing w:after="0" w:line="13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trading market may not develop or be sustained following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Prior to this offering, there has been no public market for our Class A common stock. Although we have applied to have our Class A common</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stock listed on the ,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30"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COVID-19 pandemic and the end of the COVID-19 pandemic;</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57"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7" w:lineRule="exact"/>
        <w:rPr>
          <w:rFonts w:ascii="Arial" w:cs="Arial" w:eastAsia="Arial" w:hAnsi="Arial"/>
          <w:sz w:val="18"/>
          <w:szCs w:val="18"/>
          <w:color w:val="auto"/>
        </w:rPr>
      </w:pPr>
    </w:p>
    <w:p>
      <w:pPr>
        <w:ind w:left="340" w:right="600" w:hanging="332"/>
        <w:spacing w:after="0" w:line="261"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5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the</w:t>
      </w:r>
    </w:p>
    <w:p>
      <w:pPr>
        <w:spacing w:after="0" w:line="2" w:lineRule="exact"/>
        <w:rPr>
          <w:sz w:val="20"/>
          <w:szCs w:val="20"/>
          <w:color w:val="auto"/>
        </w:rPr>
      </w:pPr>
    </w:p>
    <w:p>
      <w:pPr>
        <w:ind w:right="140" w:firstLine="800"/>
        <w:spacing w:after="0" w:line="254" w:lineRule="auto"/>
        <w:rPr>
          <w:sz w:val="20"/>
          <w:szCs w:val="20"/>
          <w:color w:val="auto"/>
        </w:rPr>
      </w:pPr>
      <w:r>
        <w:rPr>
          <w:rFonts w:ascii="Arial" w:cs="Arial" w:eastAsia="Arial" w:hAnsi="Arial"/>
          <w:sz w:val="18"/>
          <w:szCs w:val="18"/>
          <w:color w:val="auto"/>
        </w:rPr>
        <w:t>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80"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w:t>
      </w:r>
    </w:p>
    <w:p>
      <w:pPr>
        <w:spacing w:after="0" w:line="261" w:lineRule="auto"/>
        <w:rPr>
          <w:sz w:val="20"/>
          <w:szCs w:val="20"/>
          <w:color w:val="auto"/>
        </w:rPr>
      </w:pPr>
      <w:r>
        <w:rPr>
          <w:rFonts w:ascii="Arial" w:cs="Arial" w:eastAsia="Arial" w:hAnsi="Arial"/>
          <w:sz w:val="18"/>
          <w:szCs w:val="18"/>
          <w:color w:val="auto"/>
        </w:rPr>
        <w:t>raise capital through the sale of additional equity securities. Upon the completion of this offering, we will have shares of Class A common stock outstanding, approximately shares of LT10 common stock outstanding and approximately shares of LT50 common stock outstanding.</w:t>
      </w:r>
    </w:p>
    <w:p>
      <w:pPr>
        <w:spacing w:after="0" w:line="34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All of our directors and officers and the holders of of our capital stock and securities convertible into our capital stock are subject to lock-up agreements that restrict their ability to transfer shares of our capital stock for days from the date of this prospectus. These lock-up agreements limit the number of shares of capital stock that may be sold immediately following this offering. Subject to certain limitations, approximately shares of Class A common stock will become eligible for sale upon expiration of the -day lock-up</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period.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320" w:top="1440" w:right="419" w:bottom="1440" w:gutter="0" w:footer="0" w:header="0"/>
        </w:sectPr>
      </w:pPr>
    </w:p>
    <w:bookmarkStart w:id="71" w:name="page72"/>
    <w:bookmarkEnd w:id="71"/>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21"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In addition, there were</w:t>
      </w:r>
      <w:r>
        <w:rPr>
          <w:sz w:val="20"/>
          <w:szCs w:val="20"/>
          <w:color w:val="auto"/>
        </w:rPr>
        <w:tab/>
      </w:r>
      <w:r>
        <w:rPr>
          <w:rFonts w:ascii="Arial" w:cs="Arial" w:eastAsia="Arial" w:hAnsi="Arial"/>
          <w:sz w:val="17"/>
          <w:szCs w:val="17"/>
          <w:color w:val="auto"/>
        </w:rPr>
        <w:t>shares of Class A common stock issuable upon the exercise of options and RSUs outstanding as of</w:t>
      </w:r>
    </w:p>
    <w:p>
      <w:pPr>
        <w:spacing w:after="0" w:line="9" w:lineRule="exact"/>
        <w:rPr>
          <w:sz w:val="20"/>
          <w:szCs w:val="20"/>
          <w:color w:val="auto"/>
        </w:rPr>
      </w:pPr>
    </w:p>
    <w:p>
      <w:pPr>
        <w:ind w:right="280" w:firstLine="708"/>
        <w:spacing w:after="0" w:line="254"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3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6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11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us from this offering and may not use the net proceeds effectively.</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offering price of our Class A common stock is substantially higher than the net tangible book value per share of our Class A common</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stock, which was $ per share of our Class A common stock as of ,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12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04" w:lineRule="exact"/>
        <w:rPr>
          <w:sz w:val="20"/>
          <w:szCs w:val="20"/>
          <w:color w:val="auto"/>
        </w:rPr>
      </w:pPr>
    </w:p>
    <w:p>
      <w:pPr>
        <w:ind w:left="660" w:right="48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130"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eliminating the ability of our stockholders to take action by consent in lieu of a meeting following the date on which the Voting Trust holds less than a majority of the voting power of our outstanding capital stock;</w:t>
      </w:r>
    </w:p>
    <w:p>
      <w:pPr>
        <w:spacing w:after="0" w:line="130"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16"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maintaining our current multi-class structure;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Claims for indemnification by our directors and officers may reduce our available funds to satisfy successful third-party claims against us and may reduce the amount of money available to us.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4" w:lineRule="exact"/>
        <w:rPr>
          <w:sz w:val="20"/>
          <w:szCs w:val="20"/>
          <w:color w:val="auto"/>
        </w:rPr>
      </w:pPr>
    </w:p>
    <w:p>
      <w:pPr>
        <w:ind w:left="340" w:right="180" w:hanging="332"/>
        <w:spacing w:after="0" w:line="254"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2"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7" w:lineRule="exact"/>
        <w:rPr>
          <w:rFonts w:ascii="Arial" w:cs="Arial" w:eastAsia="Arial" w:hAnsi="Arial"/>
          <w:sz w:val="18"/>
          <w:szCs w:val="18"/>
          <w:color w:val="auto"/>
        </w:rPr>
      </w:pPr>
    </w:p>
    <w:p>
      <w:pPr>
        <w:ind w:left="340" w:right="260" w:hanging="332"/>
        <w:spacing w:after="0" w:line="256"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4" w:lineRule="exact"/>
        <w:rPr>
          <w:rFonts w:ascii="Arial" w:cs="Arial" w:eastAsia="Arial" w:hAnsi="Arial"/>
          <w:sz w:val="18"/>
          <w:szCs w:val="18"/>
          <w:color w:val="auto"/>
        </w:rPr>
      </w:pPr>
    </w:p>
    <w:p>
      <w:pPr>
        <w:ind w:left="340" w:right="880" w:hanging="332"/>
        <w:spacing w:after="0" w:line="291" w:lineRule="auto"/>
        <w:tabs>
          <w:tab w:leader="none" w:pos="3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92" w:lineRule="exact"/>
        <w:rPr>
          <w:rFonts w:ascii="Arial" w:cs="Arial" w:eastAsia="Arial" w:hAnsi="Arial"/>
          <w:sz w:val="17"/>
          <w:szCs w:val="17"/>
          <w:color w:val="auto"/>
        </w:rPr>
      </w:pPr>
    </w:p>
    <w:p>
      <w:pPr>
        <w:ind w:left="340" w:right="580" w:hanging="332"/>
        <w:spacing w:after="0" w:line="261"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4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which</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could be as long as five years following the completion of our listing on the ,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31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Cautionary note regarding forward-looking statements</w:t>
      </w:r>
    </w:p>
    <w:p>
      <w:pPr>
        <w:spacing w:after="0" w:line="3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9" w:lineRule="exact"/>
        <w:rPr>
          <w:sz w:val="20"/>
          <w:szCs w:val="20"/>
          <w:color w:val="auto"/>
        </w:rPr>
      </w:pPr>
    </w:p>
    <w:p>
      <w:pPr>
        <w:ind w:left="340" w:right="54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the COVID-19 pandemic and the end of the COVID-19 pandemic on our business, results of operations and financial condition, and the global economy generally;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30"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and industry data</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320" w:top="1440" w:right="419" w:bottom="1440" w:gutter="0" w:footer="0" w:header="0"/>
        </w:sectPr>
      </w:pPr>
    </w:p>
    <w:bookmarkStart w:id="79" w:name="page80"/>
    <w:bookmarkEnd w:id="79"/>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27"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We estimate that the net proceeds to us from this offering will be approximately $ , or $ if the underwriters exercise their option to purchase additional shares of Class A common stock in full, based upon an assumed initial public offering price of $ per</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 which is the midpoint of the 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3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Each $1.00 increase or decrease in the assumed initial public offering price per share of $ , which is the midpoint of the price range set forth on the cover page of this prospectus, would increase or decrease, as applicable, the net proceeds to us from this offering by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approximately $ million, 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offering would increase or decrease the net proceeds to us from this offering by approximately $ million, assuming that the initial public offering price per share remains at $ , which is the midpoint of the price range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after deducting underwriting discounts and commissions and estimated offering expenses payable by us.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common stock.</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10"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320" w:top="1440" w:right="399" w:bottom="1440" w:gutter="0" w:footer="0" w:header="0"/>
        </w:sectPr>
      </w:pPr>
    </w:p>
    <w:bookmarkStart w:id="80" w:name="page81"/>
    <w:bookmarkEnd w:id="80"/>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58"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outstanding shares of our convertible preferred stock into an aggregate of 4,203,139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effectiveness of the registration statement on Form S-1, of which this prospectus is a part; (iii) the completion of</w:t>
      </w:r>
    </w:p>
    <w:p>
      <w:pPr>
        <w:sectPr>
          <w:pgSz w:w="11900" w:h="16838" w:orient="portrait"/>
          <w:cols w:equalWidth="0" w:num="1">
            <w:col w:w="11240"/>
          </w:cols>
          <w:pgMar w:left="320" w:top="1440" w:right="339" w:bottom="1440" w:gutter="0" w:footer="0" w:header="0"/>
        </w:sectPr>
      </w:pPr>
    </w:p>
    <w:p>
      <w:pPr>
        <w:spacing w:after="0" w:line="10" w:lineRule="exact"/>
        <w:rPr>
          <w:sz w:val="20"/>
          <w:szCs w:val="20"/>
          <w:color w:val="auto"/>
        </w:rPr>
      </w:pPr>
    </w:p>
    <w:p>
      <w:pPr>
        <w:ind w:left="1040" w:right="80" w:hanging="699"/>
        <w:spacing w:after="0" w:line="250" w:lineRule="auto"/>
        <w:rPr>
          <w:sz w:val="20"/>
          <w:szCs w:val="20"/>
          <w:color w:val="auto"/>
        </w:rPr>
      </w:pPr>
      <w:r>
        <w:rPr>
          <w:rFonts w:ascii="Arial" w:cs="Arial" w:eastAsia="Arial" w:hAnsi="Arial"/>
          <w:sz w:val="18"/>
          <w:szCs w:val="18"/>
          <w:color w:val="auto"/>
        </w:rPr>
        <w:t>the Exchange Offer, pursuant to which an aggregate of</w:t>
      </w:r>
      <w:r>
        <w:rPr>
          <w:sz w:val="20"/>
          <w:szCs w:val="20"/>
          <w:color w:val="auto"/>
        </w:rPr>
        <w:t xml:space="preserve"> </w:t>
      </w:r>
      <w:r>
        <w:rPr>
          <w:rFonts w:ascii="Arial" w:cs="Arial" w:eastAsia="Arial" w:hAnsi="Arial"/>
          <w:sz w:val="18"/>
          <w:szCs w:val="18"/>
          <w:color w:val="auto"/>
        </w:rPr>
        <w:t>shares of our Class A common stock will be exchanged for and newly issued shares of our LT10 and LT50 common stock, respectively; (iv) the exercise of outstanding stock options</w:t>
      </w:r>
    </w:p>
    <w:p>
      <w:pPr>
        <w:sectPr>
          <w:pgSz w:w="11900" w:h="16838" w:orient="portrait"/>
          <w:cols w:equalWidth="0" w:num="1">
            <w:col w:w="11240"/>
          </w:cols>
          <w:pgMar w:left="320" w:top="1440" w:right="339" w:bottom="1440" w:gutter="0" w:footer="0" w:header="0"/>
          <w:type w:val="continuous"/>
        </w:sectPr>
      </w:pPr>
    </w:p>
    <w:p>
      <w:pPr>
        <w:spacing w:after="0" w:line="1" w:lineRule="exact"/>
        <w:rPr>
          <w:sz w:val="20"/>
          <w:szCs w:val="20"/>
          <w:color w:val="auto"/>
        </w:rPr>
      </w:pPr>
    </w:p>
    <w:p>
      <w:pPr>
        <w:ind w:left="340" w:right="80"/>
        <w:spacing w:after="0" w:line="260" w:lineRule="auto"/>
        <w:rPr>
          <w:sz w:val="20"/>
          <w:szCs w:val="20"/>
          <w:color w:val="auto"/>
        </w:rPr>
      </w:pPr>
      <w:r>
        <w:rPr>
          <w:rFonts w:ascii="Arial" w:cs="Arial" w:eastAsia="Arial" w:hAnsi="Arial"/>
          <w:sz w:val="18"/>
          <w:szCs w:val="18"/>
          <w:color w:val="auto"/>
        </w:rPr>
        <w:t>pursuant to the Option Exercise, which will occur prior to the completion of the Exchange Offer; and (v) the filing and effectiveness of our amended and restated certificate of incorporation immediately prior to the completion of this offering; and</w:t>
      </w:r>
    </w:p>
    <w:p>
      <w:pPr>
        <w:spacing w:after="0" w:line="13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described above and (ii) the issuance and sale by us of</w:t>
      </w:r>
    </w:p>
    <w:p>
      <w:pPr>
        <w:spacing w:after="0" w:line="9" w:lineRule="exact"/>
        <w:rPr>
          <w:sz w:val="20"/>
          <w:szCs w:val="20"/>
          <w:color w:val="auto"/>
        </w:rPr>
      </w:pPr>
    </w:p>
    <w:p>
      <w:pPr>
        <w:ind w:left="340" w:right="260" w:firstLine="700"/>
        <w:spacing w:after="0" w:line="256"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As of March 31, 2021</w:t>
            </w:r>
          </w:p>
        </w:tc>
        <w:tc>
          <w:tcPr>
            <w:tcW w:w="16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Pro forma</w:t>
            </w: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4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0"/>
        </w:trPr>
        <w:tc>
          <w:tcPr>
            <w:tcW w:w="4340" w:type="dxa"/>
            <w:vAlign w:val="bottom"/>
            <w:gridSpan w:val="4"/>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debt</w:t>
            </w:r>
          </w:p>
        </w:tc>
        <w:tc>
          <w:tcPr>
            <w:tcW w:w="9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96"/>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1442"/>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preferred stock, $0.0001 par value;</w:t>
            </w:r>
          </w:p>
        </w:tc>
        <w:tc>
          <w:tcPr>
            <w:tcW w:w="4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shares authorized,</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40" w:type="dxa"/>
            <w:vAlign w:val="bottom"/>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shares issued and outstanding, actual; no shares authorized,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issued, and outstanding, pro forma and pro forma as adjusted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no shares authorized, issued and</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outstanding, actual;</w:t>
            </w:r>
          </w:p>
        </w:tc>
        <w:tc>
          <w:tcPr>
            <w:tcW w:w="40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shares authorized, no shares issued and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outstanding, pro forma and pro forma as adjusted</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Class A common stock, $0.0001 par value;</w:t>
            </w:r>
          </w:p>
        </w:tc>
        <w:tc>
          <w:tcPr>
            <w:tcW w:w="2520" w:type="dxa"/>
            <w:vAlign w:val="bottom"/>
            <w:gridSpan w:val="3"/>
          </w:tcPr>
          <w:p>
            <w:pPr>
              <w:jc w:val="right"/>
              <w:ind w:right="920"/>
              <w:spacing w:after="0" w:line="189" w:lineRule="exact"/>
              <w:rPr>
                <w:sz w:val="20"/>
                <w:szCs w:val="20"/>
                <w:color w:val="auto"/>
              </w:rPr>
            </w:pPr>
            <w:r>
              <w:rPr>
                <w:rFonts w:ascii="Arial" w:cs="Arial" w:eastAsia="Arial" w:hAnsi="Arial"/>
                <w:sz w:val="18"/>
                <w:szCs w:val="18"/>
                <w:color w:val="auto"/>
              </w:rPr>
              <w:t>shares authorized,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gridSpan w:val="3"/>
          </w:tcPr>
          <w:p>
            <w:pPr>
              <w:ind w:left="740"/>
              <w:spacing w:after="0" w:line="176" w:lineRule="exact"/>
              <w:rPr>
                <w:sz w:val="20"/>
                <w:szCs w:val="20"/>
                <w:color w:val="auto"/>
              </w:rPr>
            </w:pPr>
            <w:r>
              <w:rPr>
                <w:rFonts w:ascii="Arial" w:cs="Arial" w:eastAsia="Arial" w:hAnsi="Arial"/>
                <w:sz w:val="18"/>
                <w:szCs w:val="18"/>
                <w:color w:val="auto"/>
              </w:rPr>
              <w:t>shares issued and outstanding, actual;</w:t>
            </w:r>
          </w:p>
        </w:tc>
        <w:tc>
          <w:tcPr>
            <w:tcW w:w="420" w:type="dxa"/>
            <w:vAlign w:val="bottom"/>
          </w:tcPr>
          <w:p>
            <w:pPr>
              <w:spacing w:after="0"/>
              <w:rPr>
                <w:sz w:val="15"/>
                <w:szCs w:val="15"/>
                <w:color w:val="auto"/>
              </w:rPr>
            </w:pPr>
          </w:p>
        </w:tc>
        <w:tc>
          <w:tcPr>
            <w:tcW w:w="2100" w:type="dxa"/>
            <w:vAlign w:val="bottom"/>
            <w:gridSpan w:val="2"/>
          </w:tcPr>
          <w:p>
            <w:pPr>
              <w:jc w:val="right"/>
              <w:ind w:right="560"/>
              <w:spacing w:after="0" w:line="176" w:lineRule="exact"/>
              <w:rPr>
                <w:sz w:val="20"/>
                <w:szCs w:val="20"/>
                <w:color w:val="auto"/>
              </w:rPr>
            </w:pPr>
            <w:r>
              <w:rPr>
                <w:rFonts w:ascii="Arial" w:cs="Arial" w:eastAsia="Arial" w:hAnsi="Arial"/>
                <w:sz w:val="18"/>
                <w:szCs w:val="18"/>
                <w:color w:val="auto"/>
              </w:rPr>
              <w:t>shares authorized,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gridSpan w:val="4"/>
          </w:tcPr>
          <w:p>
            <w:pPr>
              <w:ind w:left="740"/>
              <w:spacing w:after="0" w:line="176" w:lineRule="exact"/>
              <w:rPr>
                <w:sz w:val="20"/>
                <w:szCs w:val="20"/>
                <w:color w:val="auto"/>
              </w:rPr>
            </w:pPr>
            <w:r>
              <w:rPr>
                <w:rFonts w:ascii="Arial" w:cs="Arial" w:eastAsia="Arial" w:hAnsi="Arial"/>
                <w:sz w:val="18"/>
                <w:szCs w:val="18"/>
                <w:color w:val="auto"/>
              </w:rPr>
              <w:t>shares issued and outstanding, pro forma;</w:t>
            </w:r>
          </w:p>
        </w:tc>
        <w:tc>
          <w:tcPr>
            <w:tcW w:w="2100" w:type="dxa"/>
            <w:vAlign w:val="bottom"/>
            <w:gridSpan w:val="2"/>
          </w:tcPr>
          <w:p>
            <w:pPr>
              <w:jc w:val="right"/>
              <w:ind w:right="1200"/>
              <w:spacing w:after="0" w:line="176" w:lineRule="exact"/>
              <w:rPr>
                <w:sz w:val="20"/>
                <w:szCs w:val="20"/>
                <w:color w:val="auto"/>
              </w:rPr>
            </w:pPr>
            <w:r>
              <w:rPr>
                <w:rFonts w:ascii="Arial" w:cs="Arial" w:eastAsia="Arial" w:hAnsi="Arial"/>
                <w:sz w:val="18"/>
                <w:szCs w:val="18"/>
                <w:color w:val="auto"/>
              </w:rPr>
              <w:t>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4980" w:type="dxa"/>
            <w:vAlign w:val="bottom"/>
            <w:gridSpan w:val="5"/>
          </w:tcPr>
          <w:p>
            <w:pPr>
              <w:jc w:val="right"/>
              <w:ind w:right="480"/>
              <w:spacing w:after="0"/>
              <w:rPr>
                <w:sz w:val="20"/>
                <w:szCs w:val="20"/>
                <w:color w:val="auto"/>
              </w:rPr>
            </w:pPr>
            <w:r>
              <w:rPr>
                <w:rFonts w:ascii="Arial" w:cs="Arial" w:eastAsia="Arial" w:hAnsi="Arial"/>
                <w:sz w:val="18"/>
                <w:szCs w:val="18"/>
                <w:color w:val="auto"/>
              </w:rPr>
              <w:t>shares issued and outstanding, pro forma as adjusted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LT10 common stock, $0.0001 par value;</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authorized,</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76"/>
        </w:trPr>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issued and outstanding, actual;</w:t>
            </w:r>
          </w:p>
        </w:tc>
        <w:tc>
          <w:tcPr>
            <w:tcW w:w="26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shares authorized,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5"/>
        </w:trPr>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issued and outstanding, pro forma;</w:t>
            </w:r>
          </w:p>
        </w:tc>
        <w:tc>
          <w:tcPr>
            <w:tcW w:w="266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shares authorized,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88"/>
        </w:trPr>
        <w:tc>
          <w:tcPr>
            <w:tcW w:w="36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LT50 common stock, $0.0001 par value;</w:t>
            </w:r>
          </w:p>
        </w:tc>
        <w:tc>
          <w:tcPr>
            <w:tcW w:w="266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shares authorized,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6"/>
        </w:trPr>
        <w:tc>
          <w:tcPr>
            <w:tcW w:w="180" w:type="dxa"/>
            <w:vAlign w:val="bottom"/>
          </w:tcPr>
          <w:p>
            <w:pPr>
              <w:spacing w:after="0"/>
              <w:rPr>
                <w:sz w:val="15"/>
                <w:szCs w:val="15"/>
                <w:color w:val="auto"/>
              </w:rPr>
            </w:pPr>
          </w:p>
        </w:tc>
        <w:tc>
          <w:tcPr>
            <w:tcW w:w="3500" w:type="dxa"/>
            <w:vAlign w:val="bottom"/>
          </w:tcPr>
          <w:p>
            <w:pPr>
              <w:spacing w:after="0" w:line="176" w:lineRule="exact"/>
              <w:rPr>
                <w:sz w:val="20"/>
                <w:szCs w:val="20"/>
                <w:color w:val="auto"/>
              </w:rPr>
            </w:pPr>
            <w:r>
              <w:rPr>
                <w:rFonts w:ascii="Arial" w:cs="Arial" w:eastAsia="Arial" w:hAnsi="Arial"/>
                <w:sz w:val="18"/>
                <w:szCs w:val="18"/>
                <w:color w:val="auto"/>
              </w:rPr>
              <w:t>shares issued and outstanding, actual;</w:t>
            </w:r>
          </w:p>
        </w:tc>
        <w:tc>
          <w:tcPr>
            <w:tcW w:w="26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shares authorized,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180" w:type="dxa"/>
            <w:vAlign w:val="bottom"/>
          </w:tcPr>
          <w:p>
            <w:pPr>
              <w:spacing w:after="0"/>
              <w:rPr>
                <w:sz w:val="15"/>
                <w:szCs w:val="15"/>
                <w:color w:val="auto"/>
              </w:rPr>
            </w:pPr>
          </w:p>
        </w:tc>
        <w:tc>
          <w:tcPr>
            <w:tcW w:w="3500" w:type="dxa"/>
            <w:vAlign w:val="bottom"/>
          </w:tcPr>
          <w:p>
            <w:pPr>
              <w:spacing w:after="0" w:line="176" w:lineRule="exact"/>
              <w:rPr>
                <w:sz w:val="20"/>
                <w:szCs w:val="20"/>
                <w:color w:val="auto"/>
              </w:rPr>
            </w:pPr>
            <w:r>
              <w:rPr>
                <w:rFonts w:ascii="Arial" w:cs="Arial" w:eastAsia="Arial" w:hAnsi="Arial"/>
                <w:sz w:val="18"/>
                <w:szCs w:val="18"/>
                <w:color w:val="auto"/>
              </w:rPr>
              <w:t>shares issued and outstanding, pro forma;</w:t>
            </w:r>
          </w:p>
        </w:tc>
        <w:tc>
          <w:tcPr>
            <w:tcW w:w="2660" w:type="dxa"/>
            <w:vAlign w:val="bottom"/>
            <w:gridSpan w:val="2"/>
          </w:tcPr>
          <w:p>
            <w:pPr>
              <w:ind w:left="520"/>
              <w:spacing w:after="0" w:line="176" w:lineRule="exact"/>
              <w:rPr>
                <w:sz w:val="20"/>
                <w:szCs w:val="20"/>
                <w:color w:val="auto"/>
              </w:rPr>
            </w:pPr>
            <w:r>
              <w:rPr>
                <w:rFonts w:ascii="Arial" w:cs="Arial" w:eastAsia="Arial" w:hAnsi="Arial"/>
                <w:sz w:val="18"/>
                <w:szCs w:val="18"/>
                <w:color w:val="auto"/>
              </w:rPr>
              <w:t>shares authorized,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17"/>
        </w:trPr>
        <w:tc>
          <w:tcPr>
            <w:tcW w:w="180" w:type="dxa"/>
            <w:vAlign w:val="bottom"/>
          </w:tcPr>
          <w:p>
            <w:pPr>
              <w:spacing w:after="0"/>
              <w:rPr>
                <w:sz w:val="18"/>
                <w:szCs w:val="18"/>
                <w:color w:val="auto"/>
              </w:rPr>
            </w:pPr>
          </w:p>
        </w:tc>
        <w:tc>
          <w:tcPr>
            <w:tcW w:w="6160" w:type="dxa"/>
            <w:vAlign w:val="bottom"/>
            <w:gridSpan w:val="3"/>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860" w:type="dxa"/>
            <w:vAlign w:val="bottom"/>
            <w:gridSpan w:val="3"/>
          </w:tcPr>
          <w:p>
            <w:pPr>
              <w:jc w:val="right"/>
              <w:ind w:right="182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r>
      <w:tr>
        <w:trPr>
          <w:trHeight w:val="223"/>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stockholders’ equity (deficit)</w:t>
            </w:r>
          </w:p>
        </w:tc>
        <w:tc>
          <w:tcPr>
            <w:tcW w:w="2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2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6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60" w:type="dxa"/>
            <w:vAlign w:val="bottom"/>
            <w:gridSpan w:val="3"/>
            <w:shd w:val="clear" w:color="auto" w:fill="CCEEFF"/>
          </w:tcPr>
          <w:p>
            <w:pPr>
              <w:jc w:val="right"/>
              <w:ind w:right="1520"/>
              <w:spacing w:after="0"/>
              <w:rPr>
                <w:sz w:val="20"/>
                <w:szCs w:val="20"/>
                <w:color w:val="auto"/>
              </w:rPr>
            </w:pPr>
            <w:r>
              <w:rPr>
                <w:rFonts w:ascii="Arial" w:cs="Arial" w:eastAsia="Arial" w:hAnsi="Arial"/>
                <w:sz w:val="18"/>
                <w:szCs w:val="18"/>
                <w:color w:val="auto"/>
              </w:rPr>
              <w:t>$</w:t>
            </w:r>
          </w:p>
        </w:tc>
      </w:tr>
      <w:tr>
        <w:trPr>
          <w:trHeight w:val="34"/>
        </w:trPr>
        <w:tc>
          <w:tcPr>
            <w:tcW w:w="1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r>
      <w:tr>
        <w:trPr>
          <w:trHeight w:val="236"/>
        </w:trPr>
        <w:tc>
          <w:tcPr>
            <w:tcW w:w="180" w:type="dxa"/>
            <w:vAlign w:val="bottom"/>
          </w:tcPr>
          <w:p>
            <w:pPr>
              <w:spacing w:after="0"/>
              <w:rPr>
                <w:sz w:val="20"/>
                <w:szCs w:val="20"/>
                <w:color w:val="auto"/>
              </w:rPr>
            </w:pPr>
            <w:r>
              <w:rPr>
                <w:rFonts w:ascii="Arial" w:cs="Arial" w:eastAsia="Arial" w:hAnsi="Arial"/>
                <w:sz w:val="13"/>
                <w:szCs w:val="13"/>
                <w:color w:val="auto"/>
              </w:rPr>
              <w:t>(1)</w:t>
            </w:r>
          </w:p>
        </w:tc>
        <w:tc>
          <w:tcPr>
            <w:tcW w:w="6160" w:type="dxa"/>
            <w:vAlign w:val="bottom"/>
            <w:gridSpan w:val="3"/>
          </w:tcPr>
          <w:p>
            <w:pPr>
              <w:ind w:left="460"/>
              <w:spacing w:after="0"/>
              <w:rPr>
                <w:sz w:val="20"/>
                <w:szCs w:val="20"/>
                <w:color w:val="auto"/>
              </w:rPr>
            </w:pPr>
            <w:r>
              <w:rPr>
                <w:rFonts w:ascii="Arial" w:cs="Arial" w:eastAsia="Arial" w:hAnsi="Arial"/>
                <w:sz w:val="13"/>
                <w:szCs w:val="13"/>
                <w:color w:val="auto"/>
              </w:rPr>
              <w:t>Each $1.00 increase or decrease in the assumed initial public offering price per share of $</w:t>
            </w:r>
          </w:p>
        </w:tc>
        <w:tc>
          <w:tcPr>
            <w:tcW w:w="4900" w:type="dxa"/>
            <w:vAlign w:val="bottom"/>
            <w:gridSpan w:val="6"/>
          </w:tcPr>
          <w:p>
            <w:pPr>
              <w:jc w:val="right"/>
              <w:ind w:right="300"/>
              <w:spacing w:after="0"/>
              <w:rPr>
                <w:sz w:val="20"/>
                <w:szCs w:val="20"/>
                <w:color w:val="auto"/>
              </w:rPr>
            </w:pPr>
            <w:r>
              <w:rPr>
                <w:rFonts w:ascii="Arial" w:cs="Arial" w:eastAsia="Arial" w:hAnsi="Arial"/>
                <w:sz w:val="13"/>
                <w:szCs w:val="13"/>
                <w:color w:val="auto"/>
              </w:rPr>
              <w:t>, which is the midpoint of the price range set forth on the cover page of this</w:t>
            </w:r>
          </w:p>
        </w:tc>
      </w:tr>
    </w:tbl>
    <w:p>
      <w:pPr>
        <w:spacing w:after="0"/>
        <w:rPr>
          <w:sz w:val="20"/>
          <w:szCs w:val="20"/>
          <w:color w:val="auto"/>
        </w:rPr>
      </w:pPr>
      <w:r>
        <w:rPr>
          <w:rFonts w:ascii="Arial" w:cs="Arial" w:eastAsia="Arial" w:hAnsi="Arial"/>
          <w:sz w:val="13"/>
          <w:szCs w:val="13"/>
          <w:color w:val="auto"/>
        </w:rPr>
        <w:t>prospectus, would increase or decrease, as applicable, each of cash and cash equivalents, additional paid-in capital, total stockholders’ equity (deficit) and total capitalization on a pro</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 equivalents, additional paid-in capital, total stockholders’ equity (deficit) and total capitalization on a pro forma as</w:t>
      </w:r>
    </w:p>
    <w:p>
      <w:pPr>
        <w:ind w:right="160"/>
        <w:spacing w:after="0" w:line="280" w:lineRule="auto"/>
        <w:rPr>
          <w:sz w:val="20"/>
          <w:szCs w:val="20"/>
          <w:color w:val="auto"/>
        </w:rPr>
      </w:pPr>
      <w:r>
        <w:rPr>
          <w:rFonts w:ascii="Arial" w:cs="Arial" w:eastAsia="Arial" w:hAnsi="Arial"/>
          <w:sz w:val="13"/>
          <w:szCs w:val="13"/>
          <w:color w:val="auto"/>
        </w:rPr>
        <w:t>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w:t>
      </w:r>
    </w:p>
    <w:p>
      <w:pPr>
        <w:spacing w:after="0" w:line="9" w:lineRule="exact"/>
        <w:rPr>
          <w:sz w:val="20"/>
          <w:szCs w:val="20"/>
          <w:color w:val="auto"/>
        </w:rPr>
      </w:pPr>
    </w:p>
    <w:p>
      <w:pPr>
        <w:ind w:left="560"/>
        <w:spacing w:after="0"/>
        <w:tabs>
          <w:tab w:leader="none" w:pos="10320" w:val="left"/>
        </w:tabs>
        <w:rPr>
          <w:sz w:val="20"/>
          <w:szCs w:val="20"/>
          <w:color w:val="auto"/>
        </w:rPr>
      </w:pPr>
      <w:r>
        <w:rPr>
          <w:rFonts w:ascii="Arial" w:cs="Arial" w:eastAsia="Arial" w:hAnsi="Arial"/>
          <w:sz w:val="18"/>
          <w:szCs w:val="18"/>
          <w:color w:val="auto"/>
        </w:rPr>
        <w:t>shares of Class A Common Stock (including all shares of our convertible preferred stock on an as-converted basis),</w:t>
      </w:r>
      <w:r>
        <w:rPr>
          <w:sz w:val="20"/>
          <w:szCs w:val="20"/>
          <w:color w:val="auto"/>
        </w:rPr>
        <w:tab/>
      </w:r>
      <w:r>
        <w:rPr>
          <w:rFonts w:ascii="Arial" w:cs="Arial" w:eastAsia="Arial" w:hAnsi="Arial"/>
          <w:sz w:val="17"/>
          <w:szCs w:val="17"/>
          <w:color w:val="auto"/>
        </w:rPr>
        <w:t>shares of</w:t>
      </w:r>
    </w:p>
    <w:p>
      <w:pPr>
        <w:spacing w:after="0" w:line="9" w:lineRule="exact"/>
        <w:rPr>
          <w:sz w:val="20"/>
          <w:szCs w:val="20"/>
          <w:color w:val="auto"/>
        </w:rPr>
      </w:pPr>
    </w:p>
    <w:p>
      <w:pPr>
        <w:spacing w:after="0"/>
        <w:tabs>
          <w:tab w:leader="none" w:pos="2540" w:val="left"/>
          <w:tab w:leader="none" w:pos="5980" w:val="left"/>
        </w:tabs>
        <w:rPr>
          <w:sz w:val="20"/>
          <w:szCs w:val="20"/>
          <w:color w:val="auto"/>
        </w:rPr>
      </w:pPr>
      <w:r>
        <w:rPr>
          <w:rFonts w:ascii="Arial" w:cs="Arial" w:eastAsia="Arial" w:hAnsi="Arial"/>
          <w:sz w:val="18"/>
          <w:szCs w:val="18"/>
          <w:color w:val="auto"/>
        </w:rPr>
        <w:t>LT10 common stock and</w:t>
      </w:r>
      <w:r>
        <w:rPr>
          <w:sz w:val="20"/>
          <w:szCs w:val="20"/>
          <w:color w:val="auto"/>
        </w:rPr>
        <w:tab/>
      </w:r>
      <w:r>
        <w:rPr>
          <w:rFonts w:ascii="Arial" w:cs="Arial" w:eastAsia="Arial" w:hAnsi="Arial"/>
          <w:sz w:val="18"/>
          <w:szCs w:val="18"/>
          <w:color w:val="auto"/>
        </w:rPr>
        <w:t>shares of LT50 common stock as of</w:t>
      </w:r>
      <w:r>
        <w:rPr>
          <w:sz w:val="20"/>
          <w:szCs w:val="20"/>
          <w:color w:val="auto"/>
        </w:rPr>
        <w:tab/>
      </w:r>
      <w:r>
        <w:rPr>
          <w:rFonts w:ascii="Arial" w:cs="Arial" w:eastAsia="Arial" w:hAnsi="Arial"/>
          <w:sz w:val="18"/>
          <w:szCs w:val="18"/>
          <w:color w:val="auto"/>
        </w:rPr>
        <w:t>, 2021, and excludes:</w:t>
      </w:r>
    </w:p>
    <w:p>
      <w:pPr>
        <w:spacing w:after="0" w:line="158" w:lineRule="exact"/>
        <w:rPr>
          <w:sz w:val="20"/>
          <w:szCs w:val="20"/>
          <w:color w:val="auto"/>
        </w:rPr>
      </w:pPr>
    </w:p>
    <w:p>
      <w:pPr>
        <w:ind w:left="340" w:right="20" w:hanging="332"/>
        <w:spacing w:after="0" w:line="256"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595"/>
        <w:spacing w:after="0" w:line="261" w:lineRule="auto"/>
        <w:rPr>
          <w:sz w:val="20"/>
          <w:szCs w:val="20"/>
          <w:color w:val="auto"/>
        </w:rPr>
      </w:pPr>
      <w:r>
        <w:rPr>
          <w:rFonts w:ascii="Arial" w:cs="Arial" w:eastAsia="Arial" w:hAnsi="Arial"/>
          <w:sz w:val="18"/>
          <w:szCs w:val="18"/>
          <w:color w:val="auto"/>
        </w:rPr>
        <w:t>shares of common stock issuable upon exercise of outstanding stock options granted under our weighted-average exercise price of $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Plan, with a</w:t>
      </w:r>
    </w:p>
    <w:p>
      <w:pPr>
        <w:spacing w:after="0" w:line="373" w:lineRule="exact"/>
        <w:rPr>
          <w:sz w:val="20"/>
          <w:szCs w:val="20"/>
          <w:color w:val="auto"/>
        </w:rPr>
      </w:pPr>
    </w:p>
    <w:p>
      <w:pPr>
        <w:sectPr>
          <w:pgSz w:w="11900" w:h="16838" w:orient="portrait"/>
          <w:cols w:equalWidth="0" w:num="3">
            <w:col w:w="80" w:space="260"/>
            <w:col w:w="8720" w:space="700"/>
            <w:col w:w="14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Plan; and</w:t>
      </w:r>
    </w:p>
    <w:p>
      <w:pPr>
        <w:spacing w:after="0" w:line="169" w:lineRule="exact"/>
        <w:rPr>
          <w:sz w:val="20"/>
          <w:szCs w:val="20"/>
          <w:color w:val="auto"/>
        </w:rPr>
      </w:pPr>
    </w:p>
    <w:p>
      <w:pPr>
        <w:sectPr>
          <w:pgSz w:w="11900" w:h="16838" w:orient="portrait"/>
          <w:cols w:equalWidth="0" w:num="3">
            <w:col w:w="200" w:space="720"/>
            <w:col w:w="5720" w:space="700"/>
            <w:col w:w="39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firstLine="595"/>
        <w:spacing w:after="0" w:line="261" w:lineRule="auto"/>
        <w:rPr>
          <w:sz w:val="20"/>
          <w:szCs w:val="20"/>
          <w:color w:val="auto"/>
        </w:rPr>
      </w:pPr>
      <w:r>
        <w:rPr>
          <w:rFonts w:ascii="Arial" w:cs="Arial" w:eastAsia="Arial" w:hAnsi="Arial"/>
          <w:sz w:val="18"/>
          <w:szCs w:val="18"/>
          <w:color w:val="auto"/>
        </w:rPr>
        <w:t>, and outstanding as of</w:t>
      </w:r>
    </w:p>
    <w:p>
      <w:pPr>
        <w:spacing w:after="0" w:line="20" w:lineRule="exact"/>
        <w:rPr>
          <w:sz w:val="20"/>
          <w:szCs w:val="20"/>
          <w:color w:val="auto"/>
        </w:rPr>
      </w:pPr>
      <w:r>
        <w:rPr>
          <w:sz w:val="20"/>
          <w:szCs w:val="20"/>
          <w:color w:val="auto"/>
        </w:rPr>
        <w:br w:type="column"/>
      </w:r>
    </w:p>
    <w:p>
      <w:pPr>
        <w:ind w:right="960" w:firstLine="174"/>
        <w:spacing w:after="0" w:line="261" w:lineRule="auto"/>
        <w:rPr>
          <w:sz w:val="20"/>
          <w:szCs w:val="20"/>
          <w:color w:val="auto"/>
        </w:rPr>
      </w:pPr>
      <w:r>
        <w:rPr>
          <w:rFonts w:ascii="Arial" w:cs="Arial" w:eastAsia="Arial" w:hAnsi="Arial"/>
          <w:sz w:val="18"/>
          <w:szCs w:val="18"/>
          <w:color w:val="auto"/>
        </w:rPr>
        <w:t>shares of Class A, LT10 and LT50 common stock, respectively, issuable upon the vesting of RSUs , 2021.</w:t>
      </w:r>
    </w:p>
    <w:p>
      <w:pPr>
        <w:spacing w:after="0" w:line="200" w:lineRule="exact"/>
        <w:rPr>
          <w:sz w:val="20"/>
          <w:szCs w:val="20"/>
          <w:color w:val="auto"/>
        </w:rPr>
      </w:pPr>
    </w:p>
    <w:p>
      <w:pPr>
        <w:sectPr>
          <w:pgSz w:w="11900" w:h="16838" w:orient="portrait"/>
          <w:cols w:equalWidth="0" w:num="3">
            <w:col w:w="80" w:space="260"/>
            <w:col w:w="1540" w:space="420"/>
            <w:col w:w="89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1440" w:right="439" w:bottom="1440" w:gutter="0" w:footer="0" w:header="0"/>
        </w:sectPr>
      </w:pPr>
    </w:p>
    <w:bookmarkStart w:id="83" w:name="page84"/>
    <w:bookmarkEnd w:id="83"/>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3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historical net tangible book value as of December 31, 2020 was $ , or $ per share. Net tangible book value per share is determined by dividing our total tangible assets less our total liabilities by the number of shares of common stock outstanding.</w:t>
      </w:r>
    </w:p>
    <w:p>
      <w:pPr>
        <w:spacing w:after="0" w:line="117" w:lineRule="exact"/>
        <w:rPr>
          <w:sz w:val="20"/>
          <w:szCs w:val="20"/>
          <w:color w:val="auto"/>
        </w:rPr>
      </w:pPr>
    </w:p>
    <w:p>
      <w:pPr>
        <w:spacing w:after="0"/>
        <w:tabs>
          <w:tab w:leader="none" w:pos="6040" w:val="left"/>
          <w:tab w:leader="none" w:pos="7460" w:val="left"/>
        </w:tabs>
        <w:rPr>
          <w:sz w:val="20"/>
          <w:szCs w:val="20"/>
          <w:color w:val="auto"/>
        </w:rPr>
      </w:pPr>
      <w:r>
        <w:rPr>
          <w:rFonts w:ascii="Arial" w:cs="Arial" w:eastAsia="Arial" w:hAnsi="Arial"/>
          <w:sz w:val="18"/>
          <w:szCs w:val="18"/>
          <w:color w:val="auto"/>
        </w:rPr>
        <w:t>Our pro forma net tangible book value as of December 31, 2020 was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Pro forma net tangible book value</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per share is 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pro forma as adjusted net tangible book value as of December 31, 2020, after giving effect to this offering would have been $</w:t>
      </w:r>
    </w:p>
    <w:p>
      <w:pPr>
        <w:spacing w:after="0" w:line="9"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per share of common stock. This amount represents an immediate increase in pro forma as adjusted net tangible book</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8"/>
          <w:szCs w:val="18"/>
          <w:color w:val="auto"/>
        </w:rPr>
        <w:t>per share to our existing stockholders and an immediate dilution in pro forma as adjusted net tangible book value of $</w:t>
      </w:r>
    </w:p>
    <w:p>
      <w:pPr>
        <w:spacing w:after="0" w:line="9" w:lineRule="exact"/>
        <w:rPr>
          <w:sz w:val="20"/>
          <w:szCs w:val="20"/>
          <w:color w:val="auto"/>
        </w:rPr>
      </w:pPr>
    </w:p>
    <w:p>
      <w:pPr>
        <w:ind w:right="180" w:firstLine="50"/>
        <w:spacing w:after="0" w:line="256" w:lineRule="auto"/>
        <w:rPr>
          <w:sz w:val="20"/>
          <w:szCs w:val="20"/>
          <w:color w:val="auto"/>
        </w:rPr>
      </w:pPr>
      <w:r>
        <w:rPr>
          <w:rFonts w:ascii="Arial" w:cs="Arial" w:eastAsia="Arial" w:hAnsi="Arial"/>
          <w:sz w:val="18"/>
          <w:szCs w:val="18"/>
          <w:color w:val="auto"/>
        </w:rPr>
        <w:t>per share to new investors purchasing shares of Class A 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9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242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r>
      <w:tr>
        <w:trPr>
          <w:trHeight w:val="392"/>
        </w:trPr>
        <w:tc>
          <w:tcPr>
            <w:tcW w:w="784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91"/>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net tangible book value per share as of December 31, 2020</w:t>
            </w:r>
          </w:p>
        </w:tc>
        <w:tc>
          <w:tcPr>
            <w:tcW w:w="9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r>
      <w:tr>
        <w:trPr>
          <w:trHeight w:val="188"/>
        </w:trPr>
        <w:tc>
          <w:tcPr>
            <w:tcW w:w="7840" w:type="dxa"/>
            <w:vAlign w:val="bottom"/>
          </w:tcPr>
          <w:p>
            <w:pPr>
              <w:ind w:left="360"/>
              <w:spacing w:after="0" w:line="189" w:lineRule="exact"/>
              <w:rPr>
                <w:sz w:val="20"/>
                <w:szCs w:val="20"/>
                <w:color w:val="auto"/>
              </w:rPr>
            </w:pPr>
            <w:r>
              <w:rPr>
                <w:rFonts w:ascii="Arial" w:cs="Arial" w:eastAsia="Arial" w:hAnsi="Arial"/>
                <w:sz w:val="18"/>
                <w:szCs w:val="18"/>
                <w:color w:val="auto"/>
              </w:rPr>
              <w:t>Pro forma net tangible book value per share of December 31, 2020 Increase in pro forma net</w:t>
            </w: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75"/>
        </w:trPr>
        <w:tc>
          <w:tcPr>
            <w:tcW w:w="7840" w:type="dxa"/>
            <w:vAlign w:val="bottom"/>
          </w:tcPr>
          <w:p>
            <w:pPr>
              <w:ind w:left="520"/>
              <w:spacing w:after="0" w:line="176" w:lineRule="exact"/>
              <w:rPr>
                <w:sz w:val="20"/>
                <w:szCs w:val="20"/>
                <w:color w:val="auto"/>
              </w:rPr>
            </w:pPr>
            <w:r>
              <w:rPr>
                <w:rFonts w:ascii="Arial" w:cs="Arial" w:eastAsia="Arial" w:hAnsi="Arial"/>
                <w:sz w:val="18"/>
                <w:szCs w:val="18"/>
                <w:color w:val="auto"/>
              </w:rPr>
              <w:t>tangible book value per share attributable to investors purchasing shares of Class A</w:t>
            </w:r>
          </w:p>
        </w:tc>
        <w:tc>
          <w:tcPr>
            <w:tcW w:w="98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17"/>
        </w:trPr>
        <w:tc>
          <w:tcPr>
            <w:tcW w:w="7840" w:type="dxa"/>
            <w:vAlign w:val="bottom"/>
          </w:tcPr>
          <w:p>
            <w:pPr>
              <w:ind w:left="520"/>
              <w:spacing w:after="0"/>
              <w:rPr>
                <w:sz w:val="20"/>
                <w:szCs w:val="20"/>
                <w:color w:val="auto"/>
              </w:rPr>
            </w:pPr>
            <w:r>
              <w:rPr>
                <w:rFonts w:ascii="Arial" w:cs="Arial" w:eastAsia="Arial" w:hAnsi="Arial"/>
                <w:sz w:val="18"/>
                <w:szCs w:val="18"/>
                <w:color w:val="auto"/>
              </w:rPr>
              <w:t>common stock in this offering</w:t>
            </w: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as adjusted net tangible book value per share</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450"/>
              <w:spacing w:after="0"/>
              <w:rPr>
                <w:sz w:val="20"/>
                <w:szCs w:val="20"/>
                <w:color w:val="auto"/>
              </w:rPr>
            </w:pPr>
            <w:r>
              <w:rPr>
                <w:rFonts w:ascii="Arial" w:cs="Arial" w:eastAsia="Arial" w:hAnsi="Arial"/>
                <w:sz w:val="18"/>
                <w:szCs w:val="18"/>
                <w:color w:val="auto"/>
              </w:rPr>
              <w:t>$</w:t>
            </w:r>
          </w:p>
        </w:tc>
      </w:tr>
      <w:tr>
        <w:trPr>
          <w:trHeight w:val="54"/>
        </w:trPr>
        <w:tc>
          <w:tcPr>
            <w:tcW w:w="78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 $1.00 increase or decrease in the assumed initial public offering price of $ per share, which is the midpoint of the price range listed on the cover page of this prospectus, would increase or decrease, as applicable, the pro forma as adjusted net tangible book value per share</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after this offering by approximately $</w:t>
      </w:r>
      <w:r>
        <w:rPr>
          <w:sz w:val="20"/>
          <w:szCs w:val="20"/>
          <w:color w:val="auto"/>
        </w:rPr>
        <w:tab/>
      </w:r>
      <w:r>
        <w:rPr>
          <w:rFonts w:ascii="Arial" w:cs="Arial" w:eastAsia="Arial" w:hAnsi="Arial"/>
          <w:sz w:val="17"/>
          <w:szCs w:val="17"/>
          <w:color w:val="auto"/>
        </w:rPr>
        <w:t>, and dilution in pro forma as adjusted net tangible book value per share to new investors by</w:t>
      </w:r>
    </w:p>
    <w:p>
      <w:pPr>
        <w:spacing w:after="0" w:line="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approximately $ , assuming that the number of shares offered by us, as set forth on the cover page of this prospectus, remains the same and after deducting underwriting discounts and commissions and estimated offering expenses payable by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in full their option to purchase additional shares of our Class A common stock, the pro forma as adjusted net</w:t>
      </w:r>
    </w:p>
    <w:p>
      <w:pPr>
        <w:spacing w:after="0" w:line="9"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tangible book value after the offering would be $</w:t>
      </w:r>
      <w:r>
        <w:rPr>
          <w:sz w:val="20"/>
          <w:szCs w:val="20"/>
          <w:color w:val="auto"/>
        </w:rPr>
        <w:tab/>
      </w:r>
      <w:r>
        <w:rPr>
          <w:rFonts w:ascii="Arial" w:cs="Arial" w:eastAsia="Arial" w:hAnsi="Arial"/>
          <w:sz w:val="17"/>
          <w:szCs w:val="17"/>
          <w:color w:val="auto"/>
        </w:rPr>
        <w:t>per share, the increase in pro forma as adjusted net tangible book value per share to</w:t>
      </w:r>
    </w:p>
    <w:p>
      <w:pPr>
        <w:spacing w:after="0" w:line="9"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color w:val="auto"/>
        </w:rPr>
        <w:t>existing stockholders would be $</w:t>
      </w:r>
      <w:r>
        <w:rPr>
          <w:sz w:val="20"/>
          <w:szCs w:val="20"/>
          <w:color w:val="auto"/>
        </w:rPr>
        <w:tab/>
      </w:r>
      <w:r>
        <w:rPr>
          <w:rFonts w:ascii="Arial" w:cs="Arial" w:eastAsia="Arial" w:hAnsi="Arial"/>
          <w:sz w:val="18"/>
          <w:szCs w:val="18"/>
          <w:color w:val="auto"/>
        </w:rPr>
        <w:t>per share and the dilution in pro forma as adjusted net tangible book value to new investors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be $ per share, in each case assuming an initial public offering price of $ on the cover page of this prospectus.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per share, which is the midpoint of the price range listed</w:t>
      </w:r>
    </w:p>
    <w:p>
      <w:pPr>
        <w:spacing w:after="0" w:line="371" w:lineRule="exact"/>
        <w:rPr>
          <w:sz w:val="20"/>
          <w:szCs w:val="20"/>
          <w:color w:val="auto"/>
        </w:rPr>
      </w:pPr>
    </w:p>
    <w:p>
      <w:pPr>
        <w:sectPr>
          <w:pgSz w:w="11900" w:h="16838" w:orient="portrait"/>
          <w:cols w:equalWidth="0" w:num="2">
            <w:col w:w="6220" w:space="500"/>
            <w:col w:w="4520"/>
          </w:cols>
          <w:pgMar w:left="320" w:top="1440" w:right="339" w:bottom="1440" w:gutter="0" w:footer="0" w:header="0"/>
        </w:sectPr>
      </w:pPr>
    </w:p>
    <w:p>
      <w:pPr>
        <w:spacing w:after="0" w:line="250" w:lineRule="auto"/>
        <w:rPr>
          <w:sz w:val="20"/>
          <w:szCs w:val="20"/>
          <w:color w:val="auto"/>
        </w:rPr>
      </w:pPr>
      <w:r>
        <w:rPr>
          <w:rFonts w:ascii="Arial" w:cs="Arial" w:eastAsia="Arial" w:hAnsi="Arial"/>
          <w:sz w:val="18"/>
          <w:szCs w:val="18"/>
          <w:color w:val="auto"/>
        </w:rPr>
        <w:t>The following table presents, as of December 31, 2020,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average price per share paid or to be paid to us at the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26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Weighted-average price</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58"/>
        </w:trPr>
        <w:tc>
          <w:tcPr>
            <w:tcW w:w="28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Existing stockholders before this</w:t>
            </w: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400" w:type="dxa"/>
            <w:vAlign w:val="bottom"/>
            <w:gridSpan w:val="3"/>
            <w:shd w:val="clear" w:color="auto" w:fill="CCEEFF"/>
          </w:tcPr>
          <w:p>
            <w:pPr>
              <w:ind w:left="180"/>
              <w:spacing w:after="0" w:line="228" w:lineRule="exact"/>
              <w:rPr>
                <w:sz w:val="20"/>
                <w:szCs w:val="20"/>
                <w:color w:val="auto"/>
              </w:rPr>
            </w:pPr>
            <w:r>
              <w:rPr>
                <w:rFonts w:ascii="Arial" w:cs="Arial" w:eastAsia="Arial" w:hAnsi="Arial"/>
                <w:sz w:val="18"/>
                <w:szCs w:val="18"/>
                <w:color w:val="auto"/>
              </w:rPr>
              <w:t>offering</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8"/>
        </w:trPr>
        <w:tc>
          <w:tcPr>
            <w:tcW w:w="44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New investors purchasing shares</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this offering</w:t>
            </w: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presentation in this table regarding ownership by existing stockholders does not give effect to any purchases that existing stockholders may make in this offering.</w:t>
      </w:r>
    </w:p>
    <w:p>
      <w:pPr>
        <w:spacing w:after="0" w:line="16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the total consideration paid by new investors and the total consideration paid by all stockholders by $ million, assuming the number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offered by us remains the same and after deducting underwriting discounts and commissions but before estimated offering expenses.</w:t>
      </w:r>
    </w:p>
    <w:p>
      <w:pPr>
        <w:spacing w:after="0" w:line="15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our Class A common stock.</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shares of Class A common stock (including all shares of our convertible preferred stock on an as-converted basis), shares of LT10 common stock and shares of LT50 common stock outstanding as of , 2021 and excludes:</w:t>
      </w:r>
    </w:p>
    <w:p>
      <w:pPr>
        <w:spacing w:after="0" w:line="134" w:lineRule="exact"/>
        <w:rPr>
          <w:sz w:val="20"/>
          <w:szCs w:val="20"/>
          <w:color w:val="auto"/>
        </w:rPr>
      </w:pPr>
    </w:p>
    <w:p>
      <w:pPr>
        <w:ind w:left="340" w:right="20" w:hanging="332"/>
        <w:spacing w:after="0" w:line="256"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ectPr>
          <w:pgSz w:w="11900" w:h="16838" w:orient="portrait"/>
          <w:cols w:equalWidth="0" w:num="1">
            <w:col w:w="11240"/>
          </w:cols>
          <w:pgMar w:left="320" w:top="1440" w:right="3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firstLine="495"/>
        <w:spacing w:after="0" w:line="261" w:lineRule="auto"/>
        <w:rPr>
          <w:sz w:val="20"/>
          <w:szCs w:val="20"/>
          <w:color w:val="auto"/>
        </w:rPr>
      </w:pPr>
      <w:r>
        <w:rPr>
          <w:rFonts w:ascii="Arial" w:cs="Arial" w:eastAsia="Arial" w:hAnsi="Arial"/>
          <w:sz w:val="18"/>
          <w:szCs w:val="18"/>
          <w:color w:val="auto"/>
        </w:rPr>
        <w:t>shares of common stock issuable upon exercise of outstanding stock options granted under our weighted-average exercise price of $ per share;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Plan, with a</w:t>
      </w:r>
    </w:p>
    <w:p>
      <w:pPr>
        <w:spacing w:after="0" w:line="360" w:lineRule="exact"/>
        <w:rPr>
          <w:sz w:val="20"/>
          <w:szCs w:val="20"/>
          <w:color w:val="auto"/>
        </w:rPr>
      </w:pPr>
    </w:p>
    <w:p>
      <w:pPr>
        <w:sectPr>
          <w:pgSz w:w="11900" w:h="16838" w:orient="portrait"/>
          <w:cols w:equalWidth="0" w:num="3">
            <w:col w:w="80" w:space="260"/>
            <w:col w:w="8520" w:space="700"/>
            <w:col w:w="16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Plan; and</w:t>
      </w:r>
    </w:p>
    <w:p>
      <w:pPr>
        <w:spacing w:after="0" w:line="169" w:lineRule="exact"/>
        <w:rPr>
          <w:sz w:val="20"/>
          <w:szCs w:val="20"/>
          <w:color w:val="auto"/>
        </w:rPr>
      </w:pPr>
    </w:p>
    <w:p>
      <w:pPr>
        <w:sectPr>
          <w:pgSz w:w="11900" w:h="16838" w:orient="portrait"/>
          <w:cols w:equalWidth="0" w:num="3">
            <w:col w:w="100" w:space="720"/>
            <w:col w:w="5720" w:space="700"/>
            <w:col w:w="40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jc w:val="center"/>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p>
    <w:p>
      <w:pPr>
        <w:spacing w:after="0" w:line="9"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Class A, LT10 and LT50 common stock, respectively, issuable upon the vesting of RSUs outstanding as</w:t>
      </w:r>
    </w:p>
    <w:p>
      <w:pPr>
        <w:spacing w:after="0" w:line="385" w:lineRule="exact"/>
        <w:rPr>
          <w:sz w:val="20"/>
          <w:szCs w:val="20"/>
          <w:color w:val="auto"/>
        </w:rPr>
      </w:pPr>
    </w:p>
    <w:p>
      <w:pPr>
        <w:sectPr>
          <w:pgSz w:w="11900" w:h="16838" w:orient="portrait"/>
          <w:cols w:equalWidth="0" w:num="4">
            <w:col w:w="80" w:space="260"/>
            <w:col w:w="140" w:space="340"/>
            <w:col w:w="860" w:space="500"/>
            <w:col w:w="9060"/>
          </w:cols>
          <w:pgMar w:left="320" w:top="1440" w:right="339" w:bottom="1440" w:gutter="0" w:footer="0" w:header="0"/>
          <w:type w:val="continuous"/>
        </w:sectPr>
      </w:pPr>
    </w:p>
    <w:p>
      <w:pPr>
        <w:ind w:right="80"/>
        <w:spacing w:after="0" w:line="256" w:lineRule="auto"/>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consolidated financial and other data</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three months ended March 31, 2020 and 2021 and the selected consolidated balance sheet data as of March 31,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three months ended March 31,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1440" w:right="399" w:bottom="1440" w:gutter="0" w:footer="0" w:header="0"/>
        </w:sectPr>
      </w:pPr>
    </w:p>
    <w:bookmarkStart w:id="86" w:name="page87"/>
    <w:bookmarkEnd w:id="86"/>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2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Net income (loss)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36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44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2,661,851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2,952,241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4,057,634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78"/>
        </w:trPr>
        <w:tc>
          <w:tcPr>
            <w:tcW w:w="4680" w:type="dxa"/>
            <w:vAlign w:val="bottom"/>
          </w:tcPr>
          <w:p>
            <w:pPr>
              <w:ind w:left="20"/>
              <w:spacing w:after="0" w:line="178" w:lineRule="exact"/>
              <w:rPr>
                <w:sz w:val="20"/>
                <w:szCs w:val="20"/>
                <w:color w:val="auto"/>
              </w:rPr>
            </w:pPr>
            <w:r>
              <w:rPr>
                <w:rFonts w:ascii="Arial" w:cs="Arial" w:eastAsia="Arial" w:hAnsi="Arial"/>
                <w:sz w:val="18"/>
                <w:szCs w:val="18"/>
                <w:color w:val="auto"/>
              </w:rPr>
              <w:t>Pro forma adjustment on undistributed income allocated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680" w:type="dxa"/>
            <w:vAlign w:val="bottom"/>
            <w:tcBorders>
              <w:bottom w:val="single" w:sz="8" w:color="CCEEFF"/>
            </w:tcBorders>
          </w:tcPr>
          <w:p>
            <w:pPr>
              <w:ind w:left="360"/>
              <w:spacing w:after="0" w:line="228" w:lineRule="exact"/>
              <w:rPr>
                <w:sz w:val="20"/>
                <w:szCs w:val="20"/>
                <w:color w:val="auto"/>
              </w:rPr>
            </w:pPr>
            <w:r>
              <w:rPr>
                <w:rFonts w:ascii="Arial" w:cs="Arial" w:eastAsia="Arial" w:hAnsi="Arial"/>
                <w:sz w:val="18"/>
                <w:szCs w:val="18"/>
                <w:color w:val="auto"/>
              </w:rPr>
              <w:t>to participating securities</w:t>
            </w:r>
            <w:r>
              <w:rPr>
                <w:rFonts w:ascii="Arial" w:cs="Arial" w:eastAsia="Arial" w:hAnsi="Arial"/>
                <w:sz w:val="23"/>
                <w:szCs w:val="23"/>
                <w:color w:val="auto"/>
                <w:vertAlign w:val="superscript"/>
              </w:rPr>
              <w:t>(1)</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8"/>
        </w:trPr>
        <w:tc>
          <w:tcPr>
            <w:tcW w:w="46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Pro forma net income (loss) attributable to common</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rPr>
              <w:t>stockholders, basic and diluted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Pro forma net income (loss) per share attributable to</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compute pro forma net income (loss) per share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6,945,587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7,155,380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8,260,773</w:t>
            </w:r>
          </w:p>
        </w:tc>
        <w:tc>
          <w:tcPr>
            <w:tcW w:w="0" w:type="dxa"/>
            <w:vAlign w:val="bottom"/>
          </w:tcPr>
          <w:p>
            <w:pPr>
              <w:spacing w:after="0"/>
              <w:rPr>
                <w:sz w:val="1"/>
                <w:szCs w:val="1"/>
                <w:color w:val="auto"/>
              </w:rPr>
            </w:pPr>
          </w:p>
        </w:tc>
      </w:tr>
      <w:tr>
        <w:trPr>
          <w:trHeight w:val="54"/>
        </w:trPr>
        <w:tc>
          <w:tcPr>
            <w:tcW w:w="4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80" w:firstLine="8"/>
        <w:spacing w:after="0" w:line="280" w:lineRule="auto"/>
        <w:tabs>
          <w:tab w:leader="none" w:pos="637"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right="260"/>
        <w:spacing w:after="0" w:line="280" w:lineRule="auto"/>
        <w:rPr>
          <w:sz w:val="20"/>
          <w:szCs w:val="20"/>
          <w:color w:val="auto"/>
        </w:rPr>
      </w:pPr>
      <w:r>
        <w:rPr>
          <w:rFonts w:ascii="Arial" w:cs="Arial" w:eastAsia="Arial" w:hAnsi="Arial"/>
          <w:sz w:val="13"/>
          <w:szCs w:val="13"/>
          <w:color w:val="auto"/>
        </w:rPr>
        <w:t>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3"/>
        </w:trPr>
        <w:tc>
          <w:tcPr>
            <w:tcW w:w="6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9,990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8"/>
              </w:rPr>
              <w:t>34,401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8"/>
              </w:rPr>
              <w:t>41,926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5,905</w:t>
            </w:r>
          </w:p>
        </w:tc>
        <w:tc>
          <w:tcPr>
            <w:tcW w:w="260" w:type="dxa"/>
            <w:vAlign w:val="bottom"/>
          </w:tcPr>
          <w:p>
            <w:pPr>
              <w:spacing w:after="0"/>
              <w:rPr>
                <w:sz w:val="19"/>
                <w:szCs w:val="19"/>
                <w:color w:val="auto"/>
              </w:rPr>
            </w:pPr>
          </w:p>
        </w:tc>
        <w:tc>
          <w:tcPr>
            <w:tcW w:w="1360" w:type="dxa"/>
            <w:vAlign w:val="bottom"/>
          </w:tcPr>
          <w:p>
            <w:pPr>
              <w:jc w:val="center"/>
              <w:ind w:left="574"/>
              <w:spacing w:after="0"/>
              <w:rPr>
                <w:sz w:val="20"/>
                <w:szCs w:val="20"/>
                <w:color w:val="auto"/>
              </w:rPr>
            </w:pPr>
            <w:r>
              <w:rPr>
                <w:rFonts w:ascii="Arial" w:cs="Arial" w:eastAsia="Arial" w:hAnsi="Arial"/>
                <w:sz w:val="18"/>
                <w:szCs w:val="18"/>
                <w:color w:val="auto"/>
                <w:w w:val="98"/>
              </w:rPr>
              <w:t>24,464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left="634"/>
              <w:spacing w:after="0"/>
              <w:rPr>
                <w:sz w:val="20"/>
                <w:szCs w:val="20"/>
                <w:color w:val="auto"/>
              </w:rPr>
            </w:pPr>
            <w:r>
              <w:rPr>
                <w:rFonts w:ascii="Arial" w:cs="Arial" w:eastAsia="Arial" w:hAnsi="Arial"/>
                <w:sz w:val="18"/>
                <w:szCs w:val="18"/>
                <w:color w:val="auto"/>
                <w:w w:val="98"/>
              </w:rPr>
              <w:t>33,064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76,596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8"/>
              </w:rPr>
              <w:t>87,733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8"/>
              </w:rPr>
              <w:t>98,536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79,955</w:t>
            </w:r>
          </w:p>
        </w:tc>
        <w:tc>
          <w:tcPr>
            <w:tcW w:w="260" w:type="dxa"/>
            <w:vAlign w:val="bottom"/>
          </w:tcPr>
          <w:p>
            <w:pPr>
              <w:spacing w:after="0"/>
              <w:rPr>
                <w:sz w:val="19"/>
                <w:szCs w:val="19"/>
                <w:color w:val="auto"/>
              </w:rPr>
            </w:pPr>
          </w:p>
        </w:tc>
        <w:tc>
          <w:tcPr>
            <w:tcW w:w="1360" w:type="dxa"/>
            <w:vAlign w:val="bottom"/>
          </w:tcPr>
          <w:p>
            <w:pPr>
              <w:jc w:val="center"/>
              <w:ind w:left="574"/>
              <w:spacing w:after="0"/>
              <w:rPr>
                <w:sz w:val="20"/>
                <w:szCs w:val="20"/>
                <w:color w:val="auto"/>
              </w:rPr>
            </w:pPr>
            <w:r>
              <w:rPr>
                <w:rFonts w:ascii="Arial" w:cs="Arial" w:eastAsia="Arial" w:hAnsi="Arial"/>
                <w:sz w:val="18"/>
                <w:szCs w:val="18"/>
                <w:color w:val="auto"/>
                <w:w w:val="98"/>
              </w:rPr>
              <w:t>73,664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left="634"/>
              <w:spacing w:after="0"/>
              <w:rPr>
                <w:sz w:val="20"/>
                <w:szCs w:val="20"/>
                <w:color w:val="auto"/>
              </w:rPr>
            </w:pPr>
            <w:r>
              <w:rPr>
                <w:rFonts w:ascii="Arial" w:cs="Arial" w:eastAsia="Arial" w:hAnsi="Arial"/>
                <w:sz w:val="18"/>
                <w:szCs w:val="18"/>
                <w:color w:val="auto"/>
                <w:w w:val="98"/>
              </w:rPr>
              <w:t>75,589</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Convertible preferred stock, par value $.0001; 4,203,139 shares authorized,</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issued and outstanding at December 31, 2019 and 2020 (aggregate</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preference of $24,929,457 at December 31, 2019 and 2020)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45,105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8"/>
              </w:rPr>
              <w:t>45,105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8"/>
              </w:rPr>
              <w:t>45,105</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(50,638)</w:t>
            </w:r>
          </w:p>
        </w:tc>
        <w:tc>
          <w:tcPr>
            <w:tcW w:w="260" w:type="dxa"/>
            <w:vAlign w:val="bottom"/>
          </w:tcPr>
          <w:p>
            <w:pPr>
              <w:spacing w:after="0"/>
              <w:rPr>
                <w:sz w:val="19"/>
                <w:szCs w:val="19"/>
                <w:color w:val="auto"/>
              </w:rPr>
            </w:pPr>
          </w:p>
        </w:tc>
        <w:tc>
          <w:tcPr>
            <w:tcW w:w="1360" w:type="dxa"/>
            <w:vAlign w:val="bottom"/>
          </w:tcPr>
          <w:p>
            <w:pPr>
              <w:jc w:val="center"/>
              <w:ind w:left="554"/>
              <w:spacing w:after="0"/>
              <w:rPr>
                <w:sz w:val="20"/>
                <w:szCs w:val="20"/>
                <w:color w:val="auto"/>
              </w:rPr>
            </w:pPr>
            <w:r>
              <w:rPr>
                <w:rFonts w:ascii="Arial" w:cs="Arial" w:eastAsia="Arial" w:hAnsi="Arial"/>
                <w:sz w:val="18"/>
                <w:szCs w:val="18"/>
                <w:color w:val="auto"/>
              </w:rPr>
              <w:t>(52,348)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left="614"/>
              <w:spacing w:after="0"/>
              <w:rPr>
                <w:sz w:val="20"/>
                <w:szCs w:val="20"/>
                <w:color w:val="auto"/>
              </w:rPr>
            </w:pPr>
            <w:r>
              <w:rPr>
                <w:rFonts w:ascii="Arial" w:cs="Arial" w:eastAsia="Arial" w:hAnsi="Arial"/>
                <w:sz w:val="18"/>
                <w:szCs w:val="18"/>
                <w:color w:val="auto"/>
              </w:rPr>
              <w:t>(44,305)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rPr>
              <w:t>(31,036)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rPr>
              <w:t>(22,158)</w:t>
            </w:r>
          </w:p>
        </w:tc>
        <w:tc>
          <w:tcPr>
            <w:tcW w:w="0" w:type="dxa"/>
            <w:vAlign w:val="bottom"/>
          </w:tcPr>
          <w:p>
            <w:pPr>
              <w:spacing w:after="0"/>
              <w:rPr>
                <w:sz w:val="1"/>
                <w:szCs w:val="1"/>
                <w:color w:val="auto"/>
              </w:rPr>
            </w:pPr>
          </w:p>
        </w:tc>
      </w:tr>
      <w:tr>
        <w:trPr>
          <w:trHeight w:val="54"/>
        </w:trPr>
        <w:tc>
          <w:tcPr>
            <w:tcW w:w="6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8"/>
        <w:spacing w:after="0" w:line="280" w:lineRule="auto"/>
        <w:tabs>
          <w:tab w:leader="none" w:pos="637"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5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6"/>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cost of revenue</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GAAP 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 Expensify employee costs are excluded from GAAP cost of revenue because prior to June 2020, we did not have a system in place that accurately tracked employee time spent supporting customers.</w:t>
      </w:r>
    </w:p>
    <w:p>
      <w:pPr>
        <w:spacing w:after="0" w:line="14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Concierge, our proprietary customer support AI engine, to respond to members and help resolve their questions. The majority of customer and member questions are addressed by outsourced agents. The cost associated with our outsourced agents is reported in GAAP cost of revenue, net. When customer inquiries reach a complexity or criticality that merits the attention of a full-time employee, it is escalated accordingly. These full time Expensify employees do not spend all or even most of their time supporting these customers, but have other responsibilities often including product management and operations. We believe that this approach to customer support allows us to stay close to our members and understand unanticipated, real world complexities in our application. Due to the employees' mixed roles, we allocate employee costs between customer support and other functions to arrive at a Non-GAAP cost of revenue.</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Non-GAAP cost of revenue includes allocated proportions of employee compensation, which includes cash and stock-based compensation, based on our estimate of the hours spent by full time employees on customer support. After introducing our First Responder tier for Concierge in 2018, our operational efficiency improved through June 2020 as we became more efficient at supporting our customers. From June 2020 onwards, we have accurate data on the hours spent by full time employees in Concierge answering customer queries. To arrive at Non-GAAP cost of revenue, we start by estimating that all Expensify employees involved in customer support spent all of their workweek on customer support in January 2019, when the system was relatively inefficient. From there onwards, we interpolate on a straight-line basis, month over month to reach their recorded percentage of time spent on customer support as of June 2020. We consider Non-GAAP cost of revenue to be an important measure because it more accurately reflects the operating costs associated with growing our business than GAAP cost of revenue, net. We have relatively few employees compared to our peers of similar revenue size,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requires us to efficiently manage our resource allocation and employee time and focus. Non-GAAP cost of revenue is how we track our success in those efforts.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cost of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19,615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7,579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6,712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13,422</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9 %</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31 %</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54"/>
        </w:trPr>
        <w:tc>
          <w:tcPr>
            <w:tcW w:w="4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cost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cost of revenue,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allocation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cost of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8,043</w:t>
            </w: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2,762</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737</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1,170</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710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26,755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13,422</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04" w:lineRule="exact"/>
        <w:rPr>
          <w:sz w:val="20"/>
          <w:szCs w:val="20"/>
          <w:color w:val="auto"/>
        </w:rPr>
      </w:pPr>
    </w:p>
    <w:p>
      <w:pPr>
        <w:ind w:right="880"/>
        <w:spacing w:after="0" w:line="27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07"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In 2020, 59% of our revenue can be attributed to an instance where an employee used our application before the purchaser, and recommended it to their manager. Most of the remaining 41%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we train and support accountants who then encourage their customers to use Expensify.</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subscriptions for individuals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 These subscriptions are billed monthly, irrespective of activity:</w:t>
      </w:r>
    </w:p>
    <w:p>
      <w:pPr>
        <w:spacing w:after="0" w:line="136" w:lineRule="exact"/>
        <w:rPr>
          <w:sz w:val="20"/>
          <w:szCs w:val="20"/>
          <w:color w:val="auto"/>
        </w:rPr>
      </w:pPr>
    </w:p>
    <w:p>
      <w:pPr>
        <w:ind w:left="340" w:right="620" w:hanging="332"/>
        <w:spacing w:after="0" w:line="28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Track</w:t>
      </w:r>
      <w:r>
        <w:rPr>
          <w:rFonts w:ascii="Arial" w:cs="Arial" w:eastAsia="Arial" w:hAnsi="Arial"/>
          <w:sz w:val="18"/>
          <w:szCs w:val="18"/>
          <w:color w:val="auto"/>
        </w:rPr>
        <w:t>. 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comes with our SmartScan receipt scanning functionality and is used primarily by individuals and sole-proprietors to streamline their receipt and mileage tracking.</w:t>
      </w:r>
    </w:p>
    <w:p>
      <w:pPr>
        <w:spacing w:after="0" w:line="85"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Submit</w:t>
      </w:r>
      <w:r>
        <w:rPr>
          <w:rFonts w:ascii="Arial" w:cs="Arial" w:eastAsia="Arial" w:hAnsi="Arial"/>
          <w:sz w:val="18"/>
          <w:szCs w:val="18"/>
          <w:color w:val="auto"/>
        </w:rPr>
        <w:t>. 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Submit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includes the same functionality in Track, and also adds the ability to automatically submit expense reports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anyone for reimbursement.</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can be purchased by teams, organizations and companies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lower rates if they spend on the Expensify Card:</w:t>
      </w:r>
    </w:p>
    <w:p>
      <w:pPr>
        <w:spacing w:after="0" w:line="112" w:lineRule="exact"/>
        <w:rPr>
          <w:sz w:val="20"/>
          <w:szCs w:val="20"/>
          <w:color w:val="auto"/>
        </w:rPr>
      </w:pPr>
    </w:p>
    <w:p>
      <w:pPr>
        <w:ind w:left="340" w:right="160" w:hanging="332"/>
        <w:spacing w:after="0" w:line="28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Collect</w:t>
      </w:r>
      <w:r>
        <w:rPr>
          <w:rFonts w:ascii="Arial" w:cs="Arial" w:eastAsia="Arial" w:hAnsi="Arial"/>
          <w:sz w:val="18"/>
          <w:szCs w:val="18"/>
          <w:color w:val="auto"/>
        </w:rPr>
        <w:t>.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approval workflows, as well as reimburse employees, contractors and volunteers via Direct Deposit ACH.</w:t>
      </w:r>
    </w:p>
    <w:p>
      <w:pPr>
        <w:spacing w:after="0" w:line="85" w:lineRule="exact"/>
        <w:rPr>
          <w:rFonts w:ascii="Arial" w:cs="Arial" w:eastAsia="Arial" w:hAnsi="Arial"/>
          <w:sz w:val="18"/>
          <w:szCs w:val="18"/>
          <w:color w:val="auto"/>
        </w:rPr>
      </w:pPr>
    </w:p>
    <w:p>
      <w:pPr>
        <w:ind w:left="340" w:right="300" w:hanging="332"/>
        <w:spacing w:after="0" w:line="268"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Control</w:t>
      </w:r>
      <w:r>
        <w:rPr>
          <w:rFonts w:ascii="Arial" w:cs="Arial" w:eastAsia="Arial" w:hAnsi="Arial"/>
          <w:sz w:val="18"/>
          <w:szCs w:val="18"/>
          <w:color w:val="auto"/>
        </w:rPr>
        <w:t>.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 rules-based approval workflows, and integrate with financial, travel, HR and other internal systems commonly used by mid-market and enterprise companies.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performance will depend on many factors, including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Product-Led Growth</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In 2020, 59% of our revenue can be attributed to an instance where an employee used our application first and recommended it to their manager. While we had over 660,000 monthly paid members in the month ended March 31, 2021, we believe we have significant greenfield opportunities. In order to continue to grow, we believe we must continue prioritizing investments in our platform to delight our members and drive viral expansion.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to Convert Freemium to Paid Members</w:t>
      </w:r>
    </w:p>
    <w:p>
      <w:pPr>
        <w:spacing w:after="0" w:line="176"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to Maintain Market Consensus</w:t>
      </w:r>
    </w:p>
    <w:p>
      <w:pPr>
        <w:spacing w:after="0" w:line="16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Retaining Existing Customers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 back usage of our platform as their business travel and other expenses declined. Our growth will depend on our ability to continue to retain existing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Introducing Features to Expand Our Relationship with Existing Customers</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would be submitted via an expense report on a monthly basis. As we add additional features that are used by all employers, we have the potential to monetize the segment of our customers’ employees that are not submitting expense reports.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(see figure below), the number of paid members on our platform declined 14% from 748,000 in the quarter ended March 31, 2020 to 641,000 in the quarter ended June 30, 2020 and has remained near this level through the quarter ended March 31,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we believe that use of our platform will increase as economies reopen and business travel resumes.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“Risk factors” for further discussion of the possible impact of the COVID-19 pandemic on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70"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3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5"/>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cost of revenue</w:t>
      </w:r>
    </w:p>
    <w:p>
      <w:pPr>
        <w:spacing w:after="0" w:line="18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GAAP cost of revenue, net primarily consists of expenses related to hosting the Company's services,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 Expensify employee costs are excluded from GAAP cost of revenue because prior to June 2020, we did not have a system in place that accurately tracked employee time spent supporting customers.</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use Concierge, our proprietary customer support AI engine, to respond to members and help resolve their questions. The majority of customer and member questions are addressed by outsourced agents. The cost associated with our outsourced agents is reported in GAAP cost of revenue, net. When customer inquiries reach a complexity or criticality that merits the attention of a full-time employee,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escalated accordingly. These full time Expensify employees do not spend all or even most of their time supporting these customers, but have other responsibilities often including product management and operations. We believe that this approach to customer support allows us to stay close to our members and understand unanticipated, real world complexities in our application. Due to the employees' mixed roles, we allocate employee costs between customer support and other functions to arrive at a Non-GAAP cost of revenue.</w:t>
      </w:r>
    </w:p>
    <w:p>
      <w:pPr>
        <w:spacing w:after="0" w:line="1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cost of revenue includes allocated proportions of employee compensation, which includes cash and stock-based compensation, based on our estimate of the hours spent by full time employees on customer support. After introducing our First Responder tier for Concierge in 2018, our operational efficiency improved through June 2020 as we became more efficient at supporting our customers. From June 2020 onwards, we have accurate data on the hours spent by full time employees in Concierge answering customer queries. To arrive at Non-GAAP cost of revenue, we start by estimating that all Expensify employees involved in customer support spent all of their workweek on customer support in January 2019, when the system was relatively inefficient. From there onwards, we interpolate on a straight-line basis, month over month to reach their recorded percentage of time spent on customer support as of June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cost of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19,615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26,755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6,712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13,422</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cost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5"/>
          </w:tcPr>
          <w:p>
            <w:pPr>
              <w:jc w:val="center"/>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cost of revenue, net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allocation</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cost of revenue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4"/>
        </w:trPr>
        <w:tc>
          <w:tcPr>
            <w:tcW w:w="4340" w:type="dxa"/>
            <w:vAlign w:val="bottom"/>
          </w:tcPr>
          <w:p>
            <w:pPr>
              <w:spacing w:after="0"/>
              <w:rPr>
                <w:sz w:val="20"/>
                <w:szCs w:val="20"/>
                <w:color w:val="auto"/>
              </w:rPr>
            </w:pPr>
            <w:r>
              <w:rPr>
                <w:rFonts w:ascii="Arial" w:cs="Arial" w:eastAsia="Arial" w:hAnsi="Arial"/>
                <w:sz w:val="18"/>
                <w:szCs w:val="18"/>
                <w:i w:val="1"/>
                <w:iCs w:val="1"/>
                <w:color w:val="auto"/>
              </w:rPr>
              <w:t>Adjusted EBITDA and adjusted EBITDA margin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4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spacing w:after="0"/>
              <w:rPr>
                <w:sz w:val="14"/>
                <w:szCs w:val="14"/>
                <w:color w:val="auto"/>
              </w:rPr>
            </w:pPr>
          </w:p>
        </w:tc>
      </w:tr>
      <w:tr>
        <w:trPr>
          <w:trHeight w:val="189"/>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60" w:type="dxa"/>
            <w:vAlign w:val="bottom"/>
            <w:gridSpan w:val="5"/>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8,043</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2,762</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737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1,170</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710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26,755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13,422</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 related</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Employee and employee related expenses include contractor costs, employee salary and wages, stock-based compensation and travel and other employee-related costs. Contractor costs included in employee and employee related expenses generally consist of salary and wages for individual contractors that are considered employees of the Company but receive payments outside of the Company's standard operating payroll system due to its limitations in processing payments for individuals that work and reside in certain foreign countries. We expect employee and employee related costs to increase as we continue to expand our business and become a publicly traded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Sales and marketing expenses primarily consist of advertising expenses, branding and public relations expenses and referral fees for strategic partners and other benefits that we provide to our referral and affiliate partners. Sales and marketing excludes all Expensify employee costs, including employee costs related to sales and marketing. We expect sales and marketing expenses will increase as we expand our sales efforts to pursue our market opportunity.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General and administrative expenses primarily consist of professional service provider costs, including accounting, auditing, legal and tax professional service fees, as well as our office and facilities expenses and related unallocated overhead. General and administrative excludes all Expensify employee costs, including employee costs related to accounting, auditing, legal and tax. We expect that general and administrative expenses will continue to increase as we scale our business and as we incur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being a publicly traded company, including legal, audit, business insurance and consulting fees.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Net income (loss)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2,661,851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2,952,241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4,057,634</w:t>
            </w:r>
          </w:p>
        </w:tc>
        <w:tc>
          <w:tcPr>
            <w:tcW w:w="0" w:type="dxa"/>
            <w:vAlign w:val="bottom"/>
          </w:tcPr>
          <w:p>
            <w:pPr>
              <w:spacing w:after="0"/>
              <w:rPr>
                <w:sz w:val="1"/>
                <w:szCs w:val="1"/>
                <w:color w:val="auto"/>
              </w:rPr>
            </w:pPr>
          </w:p>
        </w:tc>
      </w:tr>
      <w:tr>
        <w:trPr>
          <w:trHeight w:val="54"/>
        </w:trPr>
        <w:tc>
          <w:tcPr>
            <w:tcW w:w="4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21,888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29,720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7,832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increased $7.8 million, or 36%, for the three months ended March 31,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for the three months ended March 31, 2020 was adversely affected by the COVID-19 pandemic, particularly due to the decrease in business travel, which is a significant use case for our platform.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 related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employee related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7,355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7,664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309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Employee and employee related expenses increased by $0.3 million, or 4%, for the three months ended March 31, 2021 compared to the same period in 2020, primarily driven by an increase in employee salaries, partially offset by a decrease in expenses related to employee events and travel due to the COVID-19 pandemic.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4,541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4,486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(55)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Cost of revenue, net decreased by $ 0.1 million, or 1%, for the three months ended March 31, 2021 compared to the same period in 2020. Cost of revenue, net decreased as a percentage of revenue primarily due to reduced SmartScan costs as receipts scanned by members decreased due to lower travel and business spending during the COVID-19 pandemic. In addition, consideration from a vendor, which represents monetizing Expensify Card activities, reduced cost of revenue by $0.2 million and $0.5 million for the three months ended March 31, 2020 and March 31, 2021, respectively. This increase in reduction was driven primarily by increased adoption and spend captured from members on the Expensify Card.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10"/>
        </w:trPr>
        <w:tc>
          <w:tcPr>
            <w:tcW w:w="46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(190)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Sales and marketing expenses remained relatively flat, decreasing by only $0.2 million, or 8%, for the three months ended March 31, 2021 compared to the same period in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0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1,500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54"/>
        </w:trPr>
        <w:tc>
          <w:tcPr>
            <w:tcW w:w="4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General and administrative expenses increased $1.5 million, or 64%, for the three months ended March 31, 2021 compared to the same period in 2020, primarily due to higher professional service costs for accounting, auditing and legal services related to our annual financial statement audits.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and other expenses, net remained relatively flat, decreasing by only $ 0.03 million, or 4%, for the three months ended March 31, 2021 compared to the same period in 2020. We had decreased interest expense in the three months ended March 31, 2021 as compared to the same period in 2020 due to the decrease in the interest payable on borrowings under our amortizing term loan with CIBC.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(1,224)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(1,538)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recorded a $2.8 million provision for income taxes in the three months ended March 31, 2021 compared to a $1.2 million provision for income taxes in the three months ended March 31,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effective tax rate was 27.1% and 25.6% for the three months ended March 31, 2020 and 2021, respectively. The tax rate differed from the statutory tax rate of 21.0% for both the three months ended March 31, 2020 and 2021, respectively, primarily as a result of stock-based compensation resulting from ISOs and state taxes as well as state tax credits for 2020.</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tax provisions were affected primarily by federal and state taxes in the three months ended March 31, 2020 and March 31, 2021, respectively. In the three months ended March 31,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80,460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88,072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7,612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Revenue increased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 related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employee related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30,194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46,379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16,185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Employee and employee related expenses increased by $16.2 million, or 54%, in 2020 compared to 2019, primarily driven by a $15.3 million stock-based compensation expense in the fourth quarter of 2020 resulting from a secondary market sale of our equity by 42 of our employees, as well as an increase in employee salaries, partially offset by a decrease in expenses related to employee events and travel due to the COVID-19 pandemic. We recorded all secondary market sale proceeds paid to employees in excess of fair value as employee compensation. There was no cash impact to us related to this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18,682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17,122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(1,560)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revenue, net decreased $1.6 million, or 8%, in 2020 compared to 2019. Our SmartScan costs decreased, primarily driven by a decrease in receipts scanned by members due to lower travel and business spending during the COVID-19 pandemic. This decrease was partially offset by increased costs for outsourced support and onboarding agents as we ramped up these outsourced teams to provide for faster and higher levels of customer support. We also began to use outsourced engineering resources to speed up our development cycles in 2020, unlike in prior periods. In addition, consideration from a vendor, which represents monetizing Expensify Card activities, reduced cost of revenue by $0.03 million and $1.0 million for the years ended December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r>
      <w:tr>
        <w:trPr>
          <w:trHeight w:val="209"/>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9"/>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21,752</w:t>
            </w:r>
          </w:p>
        </w:tc>
        <w:tc>
          <w:tcPr>
            <w:tcW w:w="10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rPr>
              <w:t>(15,881)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Sales and marketing expenses decreased $15.9 million, or 73%, in 2020 compared to 2019 primarily due to reduced advertising expenses. In 2019, we ran our first Super Bowl commercial, which we did not repeat in 2020. Following an Expensify Card launch advertising campaign in the first half of 2020, we aggressively reduced our advertising and other sales and marketing expenses due to the impact of the COVID-19 pandemic.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8,585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13,030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4,445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General and administrative expenses increased $4.4 million, or 52%, in 2020 compared to 2019, primarily due to higher professional service costs for accounting, auditing and legal services related to our initial public offering preparation efforts.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on borrowings under our amortizing term loan with CIBC.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8"/>
                <w:szCs w:val="18"/>
                <w:color w:val="auto"/>
              </w:rPr>
            </w:pPr>
          </w:p>
        </w:tc>
      </w:tr>
      <w:tr>
        <w:trPr>
          <w:trHeight w:val="183"/>
        </w:trPr>
        <w:tc>
          <w:tcPr>
            <w:tcW w:w="46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5"/>
                <w:szCs w:val="15"/>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(7,413)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54"/>
        </w:trPr>
        <w:tc>
          <w:tcPr>
            <w:tcW w:w="4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effective tax rate was 181.9% and 157.9% for the years ended December 31, 2019 and 2020, respectively. The tax rate differed from the statutory tax rate of 21.0% primarily as a result of a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allowance release and state taxes for 2019 and stock-based compensation resulting from a secondary market sale and ISOs and state taxes for 2020.</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4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2020, we had a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17"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color w:val="auto"/>
        </w:rPr>
        <w:t xml:space="preserve">In both 2019 and 2020, we benefited from the utilization of our U.S. federal and state net operating loss and credit carryforwards. </w:t>
      </w:r>
      <w:r>
        <w:rPr>
          <w:rFonts w:ascii="Arial" w:cs="Arial" w:eastAsia="Arial" w:hAnsi="Arial"/>
          <w:sz w:val="18"/>
          <w:szCs w:val="18"/>
          <w:b w:val="1"/>
          <w:bCs w:val="1"/>
          <w:color w:val="auto"/>
        </w:rPr>
        <w:t>Quarterly results of operations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tables present our unaudited consolidated statements of operations for each of the last nine quarters in the period ended March 31,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6"/>
          </w:tcPr>
          <w:p>
            <w:pPr>
              <w:jc w:val="center"/>
              <w:ind w:left="478"/>
              <w:spacing w:after="0"/>
              <w:rPr>
                <w:sz w:val="20"/>
                <w:szCs w:val="20"/>
                <w:color w:val="auto"/>
              </w:rPr>
            </w:pPr>
            <w:r>
              <w:rPr>
                <w:rFonts w:ascii="Arial" w:cs="Arial" w:eastAsia="Arial" w:hAnsi="Arial"/>
                <w:sz w:val="11"/>
                <w:szCs w:val="11"/>
                <w:b w:val="1"/>
                <w:bCs w:val="1"/>
                <w:color w:val="auto"/>
                <w:w w:val="97"/>
              </w:rPr>
              <w:t>Three months ended</w:t>
            </w: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March 31,</w:t>
            </w:r>
          </w:p>
        </w:tc>
        <w:tc>
          <w:tcPr>
            <w:tcW w:w="8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June 30, 2019</w:t>
            </w:r>
          </w:p>
        </w:tc>
        <w:tc>
          <w:tcPr>
            <w:tcW w:w="12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September 30, 2019</w:t>
            </w:r>
          </w:p>
        </w:tc>
        <w:tc>
          <w:tcPr>
            <w:tcW w:w="12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June 30, 2020</w:t>
            </w:r>
          </w:p>
        </w:tc>
        <w:tc>
          <w:tcPr>
            <w:tcW w:w="12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September 30, 2020</w:t>
            </w:r>
          </w:p>
        </w:tc>
        <w:tc>
          <w:tcPr>
            <w:tcW w:w="12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December 31, 2020</w:t>
            </w:r>
          </w:p>
        </w:tc>
        <w:tc>
          <w:tcPr>
            <w:tcW w:w="120" w:type="dxa"/>
            <w:vAlign w:val="bottom"/>
          </w:tcPr>
          <w:p>
            <w:pPr>
              <w:spacing w:after="0"/>
              <w:rPr>
                <w:sz w:val="8"/>
                <w:szCs w:val="8"/>
                <w:color w:val="auto"/>
              </w:rPr>
            </w:pPr>
          </w:p>
        </w:tc>
        <w:tc>
          <w:tcPr>
            <w:tcW w:w="680" w:type="dxa"/>
            <w:vAlign w:val="bottom"/>
          </w:tcPr>
          <w:p>
            <w:pPr>
              <w:jc w:val="right"/>
              <w:ind w:right="78"/>
              <w:spacing w:after="0" w:line="102"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5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1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7"/>
              </w:rPr>
              <w:t>(in thousands)</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29,720</w:t>
            </w: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20" w:type="dxa"/>
            <w:vAlign w:val="bottom"/>
            <w:shd w:val="clear" w:color="auto" w:fill="CCEEFF"/>
          </w:tcPr>
          <w:p>
            <w:pPr>
              <w:ind w:left="260"/>
              <w:spacing w:after="0" w:line="137" w:lineRule="exact"/>
              <w:rPr>
                <w:sz w:val="20"/>
                <w:szCs w:val="20"/>
                <w:color w:val="auto"/>
              </w:rPr>
            </w:pPr>
            <w:r>
              <w:rPr>
                <w:rFonts w:ascii="Arial" w:cs="Arial" w:eastAsia="Arial" w:hAnsi="Arial"/>
                <w:sz w:val="13"/>
                <w:szCs w:val="13"/>
                <w:color w:val="auto"/>
              </w:rPr>
              <w:t>Employee and employee</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6,595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6,955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7,783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8,861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7,355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7,510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19,666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7,664</w:t>
            </w:r>
          </w:p>
        </w:tc>
        <w:tc>
          <w:tcPr>
            <w:tcW w:w="0" w:type="dxa"/>
            <w:vAlign w:val="bottom"/>
          </w:tcPr>
          <w:p>
            <w:pPr>
              <w:spacing w:after="0"/>
              <w:rPr>
                <w:sz w:val="1"/>
                <w:szCs w:val="1"/>
                <w:color w:val="auto"/>
              </w:rPr>
            </w:pPr>
          </w:p>
        </w:tc>
      </w:tr>
      <w:tr>
        <w:trPr>
          <w:trHeight w:val="168"/>
        </w:trPr>
        <w:tc>
          <w:tcPr>
            <w:tcW w:w="20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related</w:t>
            </w: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40"/>
              <w:spacing w:after="0"/>
              <w:rPr>
                <w:sz w:val="20"/>
                <w:szCs w:val="20"/>
                <w:color w:val="auto"/>
              </w:rPr>
            </w:pPr>
            <w:r>
              <w:rPr>
                <w:rFonts w:ascii="Arial" w:cs="Arial" w:eastAsia="Arial" w:hAnsi="Arial"/>
                <w:sz w:val="13"/>
                <w:szCs w:val="13"/>
                <w:color w:val="auto"/>
              </w:rPr>
              <w:t>Cost of revenue, net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4,778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4,171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4,486</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Sales and marketing</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2,166</w:t>
            </w:r>
          </w:p>
        </w:tc>
        <w:tc>
          <w:tcPr>
            <w:tcW w:w="0" w:type="dxa"/>
            <w:vAlign w:val="bottom"/>
          </w:tcPr>
          <w:p>
            <w:pPr>
              <w:spacing w:after="0"/>
              <w:rPr>
                <w:sz w:val="1"/>
                <w:szCs w:val="1"/>
                <w:color w:val="auto"/>
              </w:rPr>
            </w:pPr>
          </w:p>
        </w:tc>
      </w:tr>
      <w:tr>
        <w:trPr>
          <w:trHeight w:val="175"/>
        </w:trPr>
        <w:tc>
          <w:tcPr>
            <w:tcW w:w="20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25,856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15,962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16,614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17,662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26,781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21,345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18,178</w:t>
            </w:r>
          </w:p>
        </w:tc>
        <w:tc>
          <w:tcPr>
            <w:tcW w:w="0" w:type="dxa"/>
            <w:vAlign w:val="bottom"/>
          </w:tcPr>
          <w:p>
            <w:pPr>
              <w:spacing w:after="0"/>
              <w:rPr>
                <w:sz w:val="1"/>
                <w:szCs w:val="1"/>
                <w:color w:val="auto"/>
              </w:rPr>
            </w:pPr>
          </w:p>
        </w:tc>
      </w:tr>
      <w:tr>
        <w:trPr>
          <w:trHeight w:val="161"/>
        </w:trPr>
        <w:tc>
          <w:tcPr>
            <w:tcW w:w="202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4,569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11,542</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and other expenses, net</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61"/>
        </w:trPr>
        <w:tc>
          <w:tcPr>
            <w:tcW w:w="2020" w:type="dxa"/>
            <w:vAlign w:val="bottom"/>
          </w:tcPr>
          <w:p>
            <w:pPr>
              <w:ind w:left="20"/>
              <w:spacing w:after="0"/>
              <w:rPr>
                <w:sz w:val="20"/>
                <w:szCs w:val="20"/>
                <w:color w:val="auto"/>
              </w:rPr>
            </w:pPr>
            <w:r>
              <w:rPr>
                <w:rFonts w:ascii="Arial" w:cs="Arial" w:eastAsia="Arial" w:hAnsi="Arial"/>
                <w:sz w:val="13"/>
                <w:szCs w:val="13"/>
                <w:color w:val="auto"/>
                <w:w w:val="97"/>
              </w:rPr>
              <w:t>(Loss) income before income taxes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10,805</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Benefit (provision) for income taxes</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(2,762)</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3,286</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revenue trends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operating expenses trends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employee and employee related expenses predominantly increased in each of the quarters presented primarily due to the increase in personnel-related costs, including stock-based compensation expense, salary increase for existing and new employees, offset by a decrease in travel and event spend due to the COVID-19 pandemic. The third and fourth quarters of 2020 increased at a higher rate due to stock-based compensation costs related to a secondary market sale of employee shares to the same outside investor facilitated by us.</w:t>
      </w:r>
    </w:p>
    <w:p>
      <w:pPr>
        <w:spacing w:after="0" w:line="1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w:t>
      </w:r>
    </w:p>
    <w:p>
      <w:pPr>
        <w:spacing w:after="0" w:line="13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in 2020 and 2021. Starting with the fourth quarter of 2019, our cost of revenue, net has been offset by increasing consideration received from a vendor for monetization of transactions from the Expensify Card.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interest and other expenses, net trends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three months ended March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March 31, 2021, we had $41.9 million in cash and cash equivalents. Since our inception, we have financed our operations primarily through our cash flow from operations, sales of our equity securities and borrowings under our credit facilities. As of March 31, 2021, we had $47.2 million in outstanding indebtedness.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as a public company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increase in cash, cash equivalents and restricted cash $</w:t>
            </w:r>
          </w:p>
        </w:tc>
        <w:tc>
          <w:tcPr>
            <w:tcW w:w="1200" w:type="dxa"/>
            <w:vAlign w:val="bottom"/>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7,873</w:t>
            </w:r>
          </w:p>
        </w:tc>
      </w:tr>
      <w:tr>
        <w:trPr>
          <w:trHeight w:val="21"/>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(used) by operating activities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three months ended March 31, 2021, cash provided by operating activities was $ 9.9 million, which consisted of net income of $8.0 million adjusted by non-cash charges of $2.1 million and net cash outflows from the change in assets and liabilities of $0.2 million. The non-cash charges primarily consisted of stock-based compensation expense of $0.7 million and depreciation and amortization expense of $1.2 million, which increased from the three months ended March 31, 2020 primarily due to increased property and equipment and capitalized software additions. The net cash outflows from the change in our assets and liabilities were driven by a $1.6 million increase in accounts receivable resulting from our increased revenue, a $1.6 million increase in prepaid expenses primarily from increased spending on sales and marketing as the business ramps up for future advertising with expected increased demand for business travel and a $1.0 million decrease in settlement liabilities from a decrease in expense reimbursements due to the last days of December historically having its timing for settlement delayed by the holidays and therefore, higher settlement liability balances as of December 31. The net cash outflows were partially offset by a $ 2.8 million increase in accrued expenses and other liabilities primarily resulting from expenses related to increases in payroll and income tax liabilities as well as timing of payment.</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2020, cash provided by operating activities was $7.6 million, which consisted of net loss of $ 1.7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three months ended March 31,2020, cash used in operating activities was $5.9 million, which consisted of net income of $3.3 million adjusted by non-cash charges of $3.4 million and net cash outflows from the change in assets and liabilities of $12.6 million. The non-cash charges primarily consisted of stock-based compensation expense of $0.6 million, $0.8 million for reduction of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lease right-of-use assets due to the termination of an office lease, $1.1 million related to our deferred tax asset in result of state net operating loss and tax credit carryforwards, and depreciation and amortization expense of $0.8 million related to property and equipment, capitalized software and finance lease right-of-use assets. The net cash outflows from the change in our assets and liabilities were driven by a $11.1 million decrease in settlement liabilities from a decrease in expense reimbursements due to the COVID-19 pandemic, $1.3 million decrease in accounts payable primarily due to timing of payments to our vendors and $0.8 million decrease in operating lease liabilities as a result of the termination of an office lease and amortization, partially offset by a $1.2 million decrease in settlement assets due to decreased use of our Expensify card during the period.</w:t>
      </w:r>
    </w:p>
    <w:p>
      <w:pPr>
        <w:spacing w:after="0" w:line="12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2019, cash provided by operating activities was $12.4 million, which consisted of net income of $ 1.2 million adjusted by non-cash charges of $ 3.0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three months ended March 31, 2021, cash used in investing activities was $1.0 million, primarily consisting of the purchase of property and equipment related to the build-out of our offices in Portland and San Francisco of $0.3 million and software development costs of $0.7 million.</w:t>
      </w:r>
    </w:p>
    <w:p>
      <w:pPr>
        <w:spacing w:after="0" w:line="1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three months ended March 31, 2020, cash used in investing activities was $1.7 million, primarily consisting of the purchase of property and equipment related to the build-out of our offices in Portland and San Francisco of $1.3 million and software development costs of $0.4 million.</w:t>
      </w:r>
    </w:p>
    <w:p>
      <w:pPr>
        <w:spacing w:after="0" w:line="13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2019, cash used in investing activities was $4.9 million, primarily consisting of the purchase of property and equipment related to our Portland office of $3.2 million and software development costs of $1.7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(used) by financing activities</w:t>
      </w:r>
    </w:p>
    <w:p>
      <w:pPr>
        <w:spacing w:after="0" w:line="18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During the three months ended March 31, 2021, cash used by financing activities was $ 1.1 million, which included $0.6 million principal payments on our amortizing term loan obligation, $0.2 million principal payments on our finance lease obligations and $0.4 million in payments related to deferred offering costs, partially offset by $0.1 million of proceeds from the exercise of stock options.</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21"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During the three months ended March 31, 2020, cash provided by financing activities was $ 8.4 million, which included $9.6 million of borrowings under our line of credit partially offset by a $1.0 million principal payment on our line of credit and $0.2 million of principal payments on our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14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March 31, 2021, the outstanding balance of the amortizing term mortgage was $8.1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8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November 2018, we entered into a line of credit agreement with CIBC that provides borrowings of the lesser of $15.0 million or 300% of monthly recurring revenue. Borrowings under the line of credit bear interest at the bank’s reference rate plus 1.00% (5.75% and 4.25% as of December 31, 2019 and 2020, respectively) and are secured by substantially all of our assets. As of December 31, 2019 and 2020, we had drawn $6.4 million and $15.0 million, respectively, under the line of credit. The line of credit expires on October 21, 2022. As of March 31, 2021, we had drawn $15.0 million under the line of credit. As of December 31, 2020 and March 31, 2021, we had no capacity available for borrowings under our line of credit.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Non-amortizing term loan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2018, we entered into a non-amortizing term loan agreement with CIBC, which was amended in November 2018, pursuant to which we borrowed $11.0 million. The term loan is an interest-only loan (fixed at 9.5% per year) for 60 months that becomes due and payable at the end of the note term on November 16, 2023. The borrowings are secured by substantially all our assets. As of December 31, 2019, December 31 2020 and March 31, 2021, the outstanding balance of the non-amortizing term loan was $11.0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loan</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November 2018, we entered into an amortizing term loan agreement with CIBC pursuant to which we borrowed $14.0 million. The amortizing term loan required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are secured by substantially all our assets. As of December 31, 2019 and 2020, the outstanding balance of the amortizing term loan was $14.0 million and $13.8 million, respectively. As of March 31, 2021, the outstanding balance of the amortizing term loan was $13.2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8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are subject to customary covenants under our revolving line of credit agreement, non-amortizing term loan agreement and amortizing term loan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EBITDA for the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were in compliance with all debt covenants.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3 years</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Interest payments on debt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commitments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ind w:right="1800"/>
        <w:spacing w:after="0" w:line="414" w:lineRule="auto"/>
        <w:rPr>
          <w:sz w:val="20"/>
          <w:szCs w:val="20"/>
          <w:color w:val="auto"/>
        </w:rPr>
      </w:pPr>
      <w:r>
        <w:rPr>
          <w:rFonts w:ascii="Arial" w:cs="Arial" w:eastAsia="Arial" w:hAnsi="Arial"/>
          <w:sz w:val="18"/>
          <w:szCs w:val="18"/>
          <w:color w:val="auto"/>
        </w:rPr>
        <w:t xml:space="preserve">a hypothetical 10% change in interest rates would not have a material impact on our consolidated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3 to our consolidated financial statements contained elsewhere herein for a description of our 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134"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We recognize revenue when control of the promised goods or services is transferred to customers, in an amount that reflects the consideration we expect to be entitled to in exchange for those goods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we determine the amount of revenue to be recognized through the following five-step framework:</w:t>
      </w:r>
    </w:p>
    <w:p>
      <w:pPr>
        <w:spacing w:after="0" w:line="144"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5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$1.0 million within Other current assets on our consolidated balance sheet as of March 31,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8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2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prices at which others have purchased our convertible preferred stock in arm’s-length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57"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 in connection with acquisitions.</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our initial public offering, it will not be necessary to determine the fair value of our common stock, as our shares will be traded in the public market.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 the expected life of the awards in effect at the time of grant. The expected dividend yield is assumed to be zero as we have not paid and do not expect to pay dividends.</w:t>
      </w:r>
    </w:p>
    <w:p>
      <w:pPr>
        <w:spacing w:after="0" w:line="11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during the years ended December 31, 2019 and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See Note 3 to our consolidated financial statements included elsewhere in this prospectus for recently adopted accounting pronouncements and recently issued accounting pronouncements not yet adopted as of the date of this prospectus.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4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3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three months ended March 31, 2020 and 2021, our revenue was $21.9 million and $29.7 million, respectively. Our net income was $3.3 million and $8.0 million in the three months ended March 31, 2020 and 2021, respectively. Our adjusted EBITDA was $6.7 million and $13.4 million in the three months ended March 31, 2020 and 2021, respectively. See the section titled “Management’s discussion and analysis of financial condition and results of operations” for additional information on our non-GAAP metrics.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08" w:lineRule="exact"/>
        <w:rPr>
          <w:sz w:val="20"/>
          <w:szCs w:val="20"/>
          <w:color w:val="auto"/>
        </w:rPr>
      </w:pPr>
    </w:p>
    <w:p>
      <w:pPr>
        <w:ind w:left="340" w:hanging="332"/>
        <w:spacing w:after="0" w:line="268"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discover. </w:t>
      </w:r>
      <w:r>
        <w:rPr>
          <w:rFonts w:ascii="Arial" w:cs="Arial" w:eastAsia="Arial" w:hAnsi="Arial"/>
          <w:sz w:val="18"/>
          <w:szCs w:val="18"/>
          <w:color w:val="auto"/>
        </w:rPr>
        <w:t>With job responsibilities spanning multiple functions, SMBs do not have the bandwidth and expertise to discover,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and evaluate several technology vendors. As such, SMBs increasingly rely on online channels for finding new technologies and heavily consider recommendations from experts, friends and colleagues.</w:t>
      </w:r>
    </w:p>
    <w:p>
      <w:pPr>
        <w:spacing w:after="0" w:line="89"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implement. </w:t>
      </w:r>
      <w:r>
        <w:rPr>
          <w:rFonts w:ascii="Arial" w:cs="Arial" w:eastAsia="Arial" w:hAnsi="Arial"/>
          <w:sz w:val="18"/>
          <w:szCs w:val="18"/>
          <w:color w:val="auto"/>
        </w:rPr>
        <w:t>IT departments within SMBs are often one person or the business owner themselves, and are incapable of taking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away from their business to support 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22" w:lineRule="exact"/>
        <w:rPr>
          <w:sz w:val="20"/>
          <w:szCs w:val="20"/>
          <w:color w:val="auto"/>
        </w:rPr>
      </w:pPr>
    </w:p>
    <w:p>
      <w:pPr>
        <w:ind w:left="340" w:right="400" w:hanging="332"/>
        <w:spacing w:after="0" w:line="28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purchase. </w:t>
      </w:r>
      <w:r>
        <w:rPr>
          <w:rFonts w:ascii="Arial" w:cs="Arial" w:eastAsia="Arial" w:hAnsi="Arial"/>
          <w:sz w:val="18"/>
          <w:szCs w:val="18"/>
          <w:color w:val="auto"/>
        </w:rPr>
        <w:t>With no procurement department and limited resources, the individuals making the purchasing decision at SMBs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prefer vendors with transparent, self-service monthly subscription plans that can be paid by credit card.</w:t>
      </w:r>
    </w:p>
    <w:p>
      <w:pPr>
        <w:spacing w:after="0" w:line="71"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manage. </w:t>
      </w:r>
      <w:r>
        <w:rPr>
          <w:rFonts w:ascii="Arial" w:cs="Arial" w:eastAsia="Arial" w:hAnsi="Arial"/>
          <w:sz w:val="18"/>
          <w:szCs w:val="18"/>
          <w:color w:val="auto"/>
        </w:rPr>
        <w:t>Unlike large enterprises, which often require multiple, customized point solutions for specialized business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SMBs prefer a single, comprehensive platform from one provider that can solve multiple pain points.</w:t>
      </w:r>
    </w:p>
    <w:p>
      <w:pPr>
        <w:spacing w:after="0" w:line="85"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Many SMBs prioritize ease of use and convenience over cost and seek solutions with elegant, intuitive user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require no training or expertise to operate.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short, SMBs look for “easy money”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18" w:lineRule="exact"/>
        <w:rPr>
          <w:sz w:val="20"/>
          <w:szCs w:val="20"/>
          <w:color w:val="auto"/>
        </w:rPr>
      </w:pPr>
    </w:p>
    <w:p>
      <w:pPr>
        <w:ind w:left="34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designed for the employee. </w:t>
      </w:r>
      <w:r>
        <w:rPr>
          <w:rFonts w:ascii="Arial" w:cs="Arial" w:eastAsia="Arial" w:hAnsi="Arial"/>
          <w:sz w:val="18"/>
          <w:szCs w:val="18"/>
          <w:color w:val="auto"/>
        </w:rPr>
        <w:t>Nearly every software provider designs its products around the needs of the buyer, and because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are 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108" w:lineRule="exact"/>
        <w:rPr>
          <w:rFonts w:ascii="Arial" w:cs="Arial" w:eastAsia="Arial" w:hAnsi="Arial"/>
          <w:sz w:val="18"/>
          <w:szCs w:val="18"/>
          <w:color w:val="auto"/>
        </w:rPr>
      </w:pPr>
    </w:p>
    <w:p>
      <w:pPr>
        <w:ind w:left="340" w:right="4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disparate product lines for different features. </w:t>
      </w:r>
      <w:r>
        <w:rPr>
          <w:rFonts w:ascii="Arial" w:cs="Arial" w:eastAsia="Arial" w:hAnsi="Arial"/>
          <w:sz w:val="18"/>
          <w:szCs w:val="18"/>
          <w:color w:val="auto"/>
        </w:rPr>
        <w:t>When adding new products or expanding functionality, traditional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vendors with 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95" w:lineRule="exact"/>
        <w:rPr>
          <w:rFonts w:ascii="Arial" w:cs="Arial" w:eastAsia="Arial" w:hAnsi="Arial"/>
          <w:sz w:val="18"/>
          <w:szCs w:val="18"/>
          <w:color w:val="auto"/>
        </w:rPr>
      </w:pPr>
    </w:p>
    <w:p>
      <w:pPr>
        <w:ind w:left="340" w:right="180" w:hanging="332"/>
        <w:spacing w:after="0" w:line="262"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Inaccurate receipt scanning. </w:t>
      </w:r>
      <w:r>
        <w:rPr>
          <w:rFonts w:ascii="Arial" w:cs="Arial" w:eastAsia="Arial" w:hAnsi="Arial"/>
          <w:sz w:val="18"/>
          <w:szCs w:val="18"/>
          <w:color w:val="auto"/>
        </w:rPr>
        <w:t>Existing solutions offer simple, digital-only receipt scanning that, while accurate some of the time, is still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often 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108"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purposeful automation. </w:t>
      </w:r>
      <w:r>
        <w:rPr>
          <w:rFonts w:ascii="Arial" w:cs="Arial" w:eastAsia="Arial" w:hAnsi="Arial"/>
          <w:sz w:val="18"/>
          <w:szCs w:val="18"/>
          <w:color w:val="auto"/>
        </w:rPr>
        <w:t>Existing solutions view automation as simply digitizing the same steps of the conventional paper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an equally manual approach that requires the same resources -- rather than creating a truly digital process that makes the process more efficient, continuously improves itself with artificial intelligence (AI) and requires substantially less manpower;</w:t>
      </w:r>
    </w:p>
    <w:p>
      <w:pPr>
        <w:spacing w:after="0" w:line="103"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integration with key systems and applications. </w:t>
      </w:r>
      <w:r>
        <w:rPr>
          <w:rFonts w:ascii="Arial" w:cs="Arial" w:eastAsia="Arial" w:hAnsi="Arial"/>
          <w:sz w:val="18"/>
          <w:szCs w:val="18"/>
          <w:color w:val="auto"/>
        </w:rPr>
        <w:t>Existing solutions are not designed to be easily interoperable with a broad array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back-office 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22" w:lineRule="exact"/>
        <w:rPr>
          <w:sz w:val="20"/>
          <w:szCs w:val="20"/>
          <w:color w:val="auto"/>
        </w:rPr>
      </w:pPr>
    </w:p>
    <w:p>
      <w:pPr>
        <w:jc w:val="both"/>
        <w:ind w:left="340" w:right="140" w:hanging="332"/>
        <w:spacing w:after="0" w:line="25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Partitioned database design. </w:t>
      </w:r>
      <w:r>
        <w:rPr>
          <w:rFonts w:ascii="Arial" w:cs="Arial" w:eastAsia="Arial" w:hAnsi="Arial"/>
          <w:sz w:val="18"/>
          <w:szCs w:val="18"/>
          <w:color w:val="auto"/>
        </w:rPr>
        <w:t>Existing solutions leverage the traditional database design for storing their customer’s data,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is 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14" w:lineRule="exact"/>
        <w:rPr>
          <w:sz w:val="20"/>
          <w:szCs w:val="20"/>
          <w:color w:val="auto"/>
        </w:rPr>
      </w:pPr>
    </w:p>
    <w:p>
      <w:pPr>
        <w:ind w:left="340" w:right="80" w:hanging="332"/>
        <w:spacing w:after="0" w:line="262"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 makers,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95" w:lineRule="exact"/>
        <w:rPr>
          <w:rFonts w:ascii="Arial" w:cs="Arial" w:eastAsia="Arial" w:hAnsi="Arial"/>
          <w:sz w:val="18"/>
          <w:szCs w:val="18"/>
          <w:color w:val="auto"/>
        </w:rPr>
      </w:pPr>
    </w:p>
    <w:p>
      <w:pPr>
        <w:ind w:left="340" w:right="80" w:hanging="332"/>
        <w:spacing w:after="0" w:line="255"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Relative to the massive number of SMBs across the world, there is a smaller,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13"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 long procurement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111"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 owned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This 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market opportunity</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 estimate our total addressable market (“TAM”) was approximately $14.3 billion in the United States and $19.3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March 31, 2021. Given our focus on SMBs, this excludes the U.S. market opportunity for companies with greater than 1,000 employees, which we estimate to be $5.2 billion using the same methodology described above.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March 31,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4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36" w:lineRule="exact"/>
        <w:rPr>
          <w:sz w:val="20"/>
          <w:szCs w:val="20"/>
          <w:color w:val="auto"/>
        </w:rPr>
      </w:pPr>
    </w:p>
    <w:p>
      <w:pPr>
        <w:ind w:left="340" w:hanging="332"/>
        <w:spacing w:after="0" w:line="257"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 customers in 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then 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114"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Platform expansion</w:t>
      </w:r>
      <w:r>
        <w:rPr>
          <w:rFonts w:ascii="Arial" w:cs="Arial" w:eastAsia="Arial" w:hAnsi="Arial"/>
          <w:sz w:val="18"/>
          <w:szCs w:val="18"/>
          <w:color w:val="auto"/>
        </w:rPr>
        <w:t>. We plan to introduce features that will increase our TAM. Our core features center around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typically 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101" w:lineRule="exact"/>
        <w:rPr>
          <w:rFonts w:ascii="Arial" w:cs="Arial" w:eastAsia="Arial" w:hAnsi="Arial"/>
          <w:sz w:val="18"/>
          <w:szCs w:val="18"/>
          <w:color w:val="auto"/>
        </w:rPr>
      </w:pPr>
    </w:p>
    <w:p>
      <w:pPr>
        <w:ind w:left="340" w:right="200" w:hanging="332"/>
        <w:spacing w:after="0" w:line="262"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 geographies,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We believe our platform and business model have us well-positioned to continue to address our core market and capture the multiple sources of TAM upside.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36" w:lineRule="exact"/>
        <w:rPr>
          <w:sz w:val="20"/>
          <w:szCs w:val="20"/>
          <w:color w:val="auto"/>
        </w:rPr>
      </w:pPr>
    </w:p>
    <w:p>
      <w:pPr>
        <w:ind w:left="340" w:right="100" w:hanging="332"/>
        <w:spacing w:after="0" w:line="25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 every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101" w:lineRule="exact"/>
        <w:rPr>
          <w:rFonts w:ascii="Arial" w:cs="Arial" w:eastAsia="Arial" w:hAnsi="Arial"/>
          <w:sz w:val="18"/>
          <w:szCs w:val="18"/>
          <w:color w:val="auto"/>
        </w:rPr>
      </w:pPr>
    </w:p>
    <w:p>
      <w:pPr>
        <w:ind w:left="340" w:hanging="332"/>
        <w:spacing w:after="0" w:line="25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 “bottom-up”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114" w:lineRule="exact"/>
        <w:rPr>
          <w:rFonts w:ascii="Arial" w:cs="Arial" w:eastAsia="Arial" w:hAnsi="Arial"/>
          <w:sz w:val="18"/>
          <w:szCs w:val="18"/>
          <w:color w:val="auto"/>
        </w:rPr>
      </w:pPr>
    </w:p>
    <w:p>
      <w:pPr>
        <w:ind w:left="340" w:right="160" w:hanging="332"/>
        <w:spacing w:after="0" w:line="25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 best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spacing w:after="0" w:line="114" w:lineRule="exact"/>
        <w:rPr>
          <w:rFonts w:ascii="Arial" w:cs="Arial" w:eastAsia="Arial" w:hAnsi="Arial"/>
          <w:sz w:val="18"/>
          <w:szCs w:val="18"/>
          <w:color w:val="auto"/>
        </w:rPr>
      </w:pPr>
    </w:p>
    <w:p>
      <w:pPr>
        <w:ind w:left="340" w:right="80" w:hanging="332"/>
        <w:spacing w:after="0" w:line="262"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 unique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1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 strategy</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05" w:lineRule="exact"/>
        <w:rPr>
          <w:sz w:val="20"/>
          <w:szCs w:val="20"/>
          <w:color w:val="auto"/>
        </w:rPr>
      </w:pPr>
    </w:p>
    <w:p>
      <w:pPr>
        <w:jc w:val="both"/>
        <w:ind w:left="340" w:right="240" w:hanging="332"/>
        <w:spacing w:after="0" w:line="268"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 to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We offer an intuitive, elegant user interface that everyday employees can easily understand and operate from any device. We deliver guided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4"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99" w:lineRule="exact"/>
        <w:rPr>
          <w:sz w:val="20"/>
          <w:szCs w:val="20"/>
          <w:color w:val="auto"/>
        </w:rPr>
      </w:pPr>
    </w:p>
    <w:p>
      <w:pPr>
        <w:ind w:left="340" w:right="100" w:hanging="332"/>
        <w:spacing w:after="0" w:line="257"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designed our platform to be easily implemented and configured without the need to speak with a sales person.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can 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114" w:lineRule="exact"/>
        <w:rPr>
          <w:rFonts w:ascii="Arial" w:cs="Arial" w:eastAsia="Arial" w:hAnsi="Arial"/>
          <w:sz w:val="18"/>
          <w:szCs w:val="18"/>
          <w:color w:val="auto"/>
        </w:rPr>
      </w:pPr>
    </w:p>
    <w:p>
      <w:pPr>
        <w:ind w:left="340" w:right="120" w:hanging="332"/>
        <w:spacing w:after="0" w:line="257"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designed our platform to leverage leading technology, such as our patented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114"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 platform,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98" w:lineRule="exact"/>
        <w:rPr>
          <w:rFonts w:ascii="Arial" w:cs="Arial" w:eastAsia="Arial" w:hAnsi="Arial"/>
          <w:sz w:val="18"/>
          <w:szCs w:val="18"/>
          <w:color w:val="auto"/>
        </w:rPr>
      </w:pPr>
    </w:p>
    <w:p>
      <w:pPr>
        <w:ind w:left="340" w:right="40" w:hanging="332"/>
        <w:spacing w:after="0" w:line="262"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 We offer over 40 pre-built integrations, 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In 2020, 59% of our revenue can be attributed to an instance where an employee used our application first and recommended it to their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In the quarter ended March 31, 2021, 94%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subscriptions for individuals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w:t>
      </w:r>
    </w:p>
    <w:p>
      <w:pPr>
        <w:spacing w:after="0" w:line="136" w:lineRule="exact"/>
        <w:rPr>
          <w:sz w:val="20"/>
          <w:szCs w:val="20"/>
          <w:color w:val="auto"/>
        </w:rPr>
      </w:pPr>
    </w:p>
    <w:p>
      <w:pPr>
        <w:ind w:left="340" w:right="620" w:hanging="332"/>
        <w:spacing w:after="0" w:line="287"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proprietors to streamline their receipt and mileage tracking.</w:t>
      </w:r>
    </w:p>
    <w:p>
      <w:pPr>
        <w:spacing w:after="0" w:line="85" w:lineRule="exact"/>
        <w:rPr>
          <w:rFonts w:ascii="Arial" w:cs="Arial" w:eastAsia="Arial" w:hAnsi="Arial"/>
          <w:sz w:val="18"/>
          <w:szCs w:val="18"/>
          <w:color w:val="auto"/>
        </w:rPr>
      </w:pPr>
    </w:p>
    <w:p>
      <w:pPr>
        <w:ind w:left="340" w:right="40" w:hanging="332"/>
        <w:spacing w:after="0" w:line="287"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 reports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anyone for reimbursement.</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can be purchased by teams, organizations and companies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additional discounts if they spend on the Expensify Card:</w:t>
      </w:r>
    </w:p>
    <w:p>
      <w:pPr>
        <w:spacing w:after="0" w:line="112" w:lineRule="exact"/>
        <w:rPr>
          <w:sz w:val="20"/>
          <w:szCs w:val="20"/>
          <w:color w:val="auto"/>
        </w:rPr>
      </w:pPr>
    </w:p>
    <w:p>
      <w:pPr>
        <w:ind w:left="340" w:right="100" w:hanging="332"/>
        <w:spacing w:after="0" w:line="28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approval workflows, as well as pay employees, contractors and volunteers via Direct Deposit ACH.</w:t>
      </w:r>
    </w:p>
    <w:p>
      <w:pPr>
        <w:spacing w:after="0" w:line="85" w:lineRule="exact"/>
        <w:rPr>
          <w:rFonts w:ascii="Arial" w:cs="Arial" w:eastAsia="Arial" w:hAnsi="Arial"/>
          <w:sz w:val="18"/>
          <w:szCs w:val="18"/>
          <w:color w:val="auto"/>
        </w:rPr>
      </w:pPr>
    </w:p>
    <w:p>
      <w:pPr>
        <w:ind w:left="340" w:right="140" w:hanging="332"/>
        <w:spacing w:after="0" w:line="268"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 rules-based approval workflows and integrate with financial, travel, HR, as well as other internal systems commonly used by mid-market and enterprise companies.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also leverage partnerships with accounting and bookkeeping firms, who provide validation of our platform and refer customers to us. We partner with strategic accounting software partners such as Intuit, 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trains and supports accountants to use our platform and encourages their customers to use Expensify.</w:t>
      </w:r>
      <w:r>
        <w:rPr>
          <w:rFonts w:ascii="Arial" w:cs="Arial" w:eastAsia="Arial" w:hAnsi="Arial"/>
          <w:sz w:val="18"/>
          <w:szCs w:val="18"/>
          <w:i w:val="1"/>
          <w:iCs w:val="1"/>
          <w:color w:val="auto"/>
        </w:rPr>
        <w:t xml:space="preserve"> </w:t>
      </w:r>
      <w:r>
        <w:rPr>
          <w:rFonts w:ascii="Arial" w:cs="Arial" w:eastAsia="Arial" w:hAnsi="Arial"/>
          <w:sz w:val="18"/>
          <w:szCs w:val="18"/>
          <w:color w:val="auto"/>
        </w:rPr>
        <w:t>We work hard to maintain top expense partner status with all partners to support our market consensus strategy. The strength of our alliances is highlighted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frequent distinction by our partners, including being named NetSuite’s Innovation Partner of the Year, Xero’s App Partner of the Year and one of the most reviewed “Popular Apps” on the Intuit Quickbooks platform.</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101" w:lineRule="exact"/>
        <w:rPr>
          <w:sz w:val="20"/>
          <w:szCs w:val="20"/>
          <w:color w:val="auto"/>
        </w:rPr>
      </w:pPr>
    </w:p>
    <w:p>
      <w:pPr>
        <w:ind w:left="340" w:right="200" w:hanging="332"/>
        <w:spacing w:after="0" w:line="262"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 Rich. </w:t>
      </w:r>
      <w:r>
        <w:rPr>
          <w:rFonts w:ascii="Arial" w:cs="Arial" w:eastAsia="Arial" w:hAnsi="Arial"/>
          <w:sz w:val="18"/>
          <w:szCs w:val="18"/>
          <w:color w:val="auto"/>
        </w:rPr>
        <w:t>This means we want to have ample means, and the time to enjoy it. We want to participate in a diverse, equitable, inclusive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108" w:lineRule="exact"/>
        <w:rPr>
          <w:rFonts w:ascii="Arial" w:cs="Arial" w:eastAsia="Arial" w:hAnsi="Arial"/>
          <w:sz w:val="18"/>
          <w:szCs w:val="18"/>
          <w:color w:val="auto"/>
        </w:rPr>
      </w:pPr>
    </w:p>
    <w:p>
      <w:pPr>
        <w:ind w:left="340" w:right="60" w:hanging="332"/>
        <w:spacing w:after="0" w:line="275"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Have Fun. </w:t>
      </w:r>
      <w:r>
        <w:rPr>
          <w:rFonts w:ascii="Arial" w:cs="Arial" w:eastAsia="Arial" w:hAnsi="Arial"/>
          <w:sz w:val="17"/>
          <w:szCs w:val="17"/>
          <w:color w:val="auto"/>
        </w:rPr>
        <w:t>Sometimes, we want to do stuff that is awesome just for the sake of awesomeness. Not too often, but often enough to remind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ourselves that 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100" w:lineRule="exact"/>
        <w:rPr>
          <w:rFonts w:ascii="Arial" w:cs="Arial" w:eastAsia="Arial" w:hAnsi="Arial"/>
          <w:sz w:val="17"/>
          <w:szCs w:val="17"/>
          <w:color w:val="auto"/>
        </w:rPr>
      </w:pPr>
    </w:p>
    <w:p>
      <w:pPr>
        <w:ind w:left="340" w:right="160" w:hanging="332"/>
        <w:spacing w:after="0" w:line="262"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Save The World. </w:t>
      </w:r>
      <w:r>
        <w:rPr>
          <w:rFonts w:ascii="Arial" w:cs="Arial" w:eastAsia="Arial" w:hAnsi="Arial"/>
          <w:sz w:val="18"/>
          <w:szCs w:val="18"/>
          <w:color w:val="auto"/>
        </w:rPr>
        <w:t>We like the phrasing of this goal precisely because it is bombastic. We want to play an active role in unwinding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 bias that 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136"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w:t>
      </w:r>
      <w:r>
        <w:rPr>
          <w:rFonts w:ascii="Arial" w:cs="Arial" w:eastAsia="Arial" w:hAnsi="Arial"/>
          <w:sz w:val="18"/>
          <w:szCs w:val="18"/>
          <w:color w:val="auto"/>
        </w:rPr>
        <w:t>Each of us can learn without being taught, and can teach whatever we’ve learned.</w:t>
      </w:r>
    </w:p>
    <w:p>
      <w:pPr>
        <w:spacing w:after="0" w:line="157"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Ambition. </w:t>
      </w:r>
      <w:r>
        <w:rPr>
          <w:rFonts w:ascii="Arial" w:cs="Arial" w:eastAsia="Arial" w:hAnsi="Arial"/>
          <w:sz w:val="18"/>
          <w:szCs w:val="18"/>
          <w:color w:val="auto"/>
        </w:rPr>
        <w:t>Each of us has a genuine desire to accomplish something meaningful to us individually, to create more than we consume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world.</w:t>
      </w:r>
    </w:p>
    <w:p>
      <w:pPr>
        <w:spacing w:after="0" w:line="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Humility. </w:t>
      </w:r>
      <w:r>
        <w:rPr>
          <w:rFonts w:ascii="Arial" w:cs="Arial" w:eastAsia="Arial" w:hAnsi="Arial"/>
          <w:sz w:val="18"/>
          <w:szCs w:val="18"/>
          <w:color w:val="auto"/>
        </w:rPr>
        <w:t>Each of us genuinely values the opinions and perspectives of others, and seeks above all to find the right solution to any given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 no matter who came up with 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Finally, our long-term commitment to our three life goals is guided by two simple rules:</w:t>
      </w:r>
    </w:p>
    <w:p>
      <w:pPr>
        <w:spacing w:after="0" w:line="136" w:lineRule="exact"/>
        <w:rPr>
          <w:sz w:val="20"/>
          <w:szCs w:val="20"/>
          <w:color w:val="auto"/>
        </w:rPr>
      </w:pPr>
    </w:p>
    <w:p>
      <w:pPr>
        <w:ind w:left="340" w:right="340" w:hanging="332"/>
        <w:spacing w:after="0" w:line="28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Get Shit Done. </w:t>
      </w:r>
      <w:r>
        <w:rPr>
          <w:rFonts w:ascii="Arial" w:cs="Arial" w:eastAsia="Arial" w:hAnsi="Arial"/>
          <w:sz w:val="18"/>
          <w:szCs w:val="18"/>
          <w:color w:val="auto"/>
        </w:rPr>
        <w:t>We have little-to-no internal hierarchy; nobody reports to anyone else. Everyone is responsible for their own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spend it in the way they feel will best advance their own goals, and the goals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22" w:lineRule="exact"/>
        <w:rPr>
          <w:sz w:val="20"/>
          <w:szCs w:val="20"/>
          <w:color w:val="auto"/>
        </w:rPr>
      </w:pPr>
    </w:p>
    <w:p>
      <w:pPr>
        <w:ind w:left="340" w:right="120" w:hanging="332"/>
        <w:spacing w:after="0" w:line="268"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Don’t Ruin It for Everyone Else. </w:t>
      </w:r>
      <w:r>
        <w:rPr>
          <w:rFonts w:ascii="Arial" w:cs="Arial" w:eastAsia="Arial" w:hAnsi="Arial"/>
          <w:sz w:val="18"/>
          <w:szCs w:val="18"/>
          <w:color w:val="auto"/>
        </w:rPr>
        <w:t>Whenever there is some complicated scenario with an unclear resolution, we always brainstorm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fairest possible solution -- and then put in the hard work to make that ideal solution our actual solution. Fairness rarely comes easy, and is typically far, far from the norm.</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 As of March 31, 2021, 66% of our 133 employees have a tenure of over 4 years, and our 10-person leadership team has an average tenure of 8.3 years. We dedicate significant time and resources to monitor and improve the happiness of our employees, including a monthly survey to measure our employees’ happiness. In 2020, this survey produced an average employee happiness score of 8.93 out of</w:t>
      </w:r>
    </w:p>
    <w:p>
      <w:pPr>
        <w:spacing w:after="0" w:line="2" w:lineRule="exact"/>
        <w:rPr>
          <w:sz w:val="20"/>
          <w:szCs w:val="20"/>
          <w:color w:val="auto"/>
        </w:rPr>
      </w:pPr>
    </w:p>
    <w:p>
      <w:pPr>
        <w:ind w:right="100" w:firstLine="8"/>
        <w:spacing w:after="0" w:line="261"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While we are extremely proud of our employee happiness, we remain relentlessly committed to reevaluating ourselves and continuing to foster a workplace environment that prioritizes the well-being of each and every Expensify employee.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5" w:lineRule="exact"/>
        <w:rPr>
          <w:sz w:val="20"/>
          <w:szCs w:val="20"/>
          <w:color w:val="auto"/>
        </w:rPr>
      </w:pPr>
    </w:p>
    <w:p>
      <w:pPr>
        <w:ind w:left="340" w:right="80" w:hanging="332"/>
        <w:spacing w:after="0" w:line="255"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Hyper-focus on an improved experience for our members. </w:t>
      </w:r>
      <w:r>
        <w:rPr>
          <w:rFonts w:ascii="Arial" w:cs="Arial" w:eastAsia="Arial" w:hAnsi="Arial"/>
          <w:sz w:val="18"/>
          <w:szCs w:val="18"/>
          <w:color w:val="auto"/>
        </w:rPr>
        <w:t>Since our inception, our principal goal has been to offer a single,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powerful platform with features designed 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117"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w:t>
      </w:r>
      <w:r>
        <w:rPr>
          <w:rFonts w:ascii="Arial" w:cs="Arial" w:eastAsia="Arial" w:hAnsi="Arial"/>
          <w:sz w:val="18"/>
          <w:szCs w:val="18"/>
          <w:color w:val="auto"/>
        </w:rPr>
        <w:t>We leverage an efficient, self-service business model driven by the viral, bottom-up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by 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114"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Recognized market consensus and efficient word-of-mouth. </w:t>
      </w:r>
      <w:r>
        <w:rPr>
          <w:rFonts w:ascii="Arial" w:cs="Arial" w:eastAsia="Arial" w:hAnsi="Arial"/>
          <w:sz w:val="18"/>
          <w:szCs w:val="18"/>
          <w:color w:val="auto"/>
        </w:rPr>
        <w:t>Our members drive the adoption and expansion of Expensify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and 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101" w:lineRule="exact"/>
        <w:rPr>
          <w:rFonts w:ascii="Arial" w:cs="Arial" w:eastAsia="Arial" w:hAnsi="Arial"/>
          <w:sz w:val="18"/>
          <w:szCs w:val="18"/>
          <w:color w:val="auto"/>
        </w:rPr>
      </w:pPr>
    </w:p>
    <w:p>
      <w:pPr>
        <w:ind w:left="340" w:hanging="332"/>
        <w:spacing w:after="0" w:line="25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Employee-centric legal structure and database design</w:t>
      </w:r>
      <w:r>
        <w:rPr>
          <w:rFonts w:ascii="Arial" w:cs="Arial" w:eastAsia="Arial" w:hAnsi="Arial"/>
          <w:sz w:val="18"/>
          <w:szCs w:val="18"/>
          <w:color w:val="auto"/>
        </w:rPr>
        <w:t>. Our platform is built on Bedrock, a proprietary and private distributed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 that we built 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44" w:lineRule="exact"/>
        <w:rPr>
          <w:sz w:val="20"/>
          <w:szCs w:val="20"/>
          <w:color w:val="auto"/>
        </w:rPr>
      </w:pPr>
    </w:p>
    <w:p>
      <w:pPr>
        <w:ind w:left="340" w:right="520"/>
        <w:spacing w:after="0" w:line="261" w:lineRule="auto"/>
        <w:rPr>
          <w:sz w:val="20"/>
          <w:szCs w:val="20"/>
          <w:color w:val="auto"/>
        </w:rPr>
      </w:pPr>
      <w:r>
        <w:rPr>
          <w:rFonts w:ascii="Arial" w:cs="Arial" w:eastAsia="Arial" w:hAnsi="Arial"/>
          <w:sz w:val="18"/>
          <w:szCs w:val="18"/>
          <w:color w:val="auto"/>
        </w:rPr>
        <w:t>with any other member, no matter where they are or what company employs them. We believe no other company can replicate our bottom-up adoption model without this defensible technical and legal foundation.</w:t>
      </w:r>
    </w:p>
    <w:p>
      <w:pPr>
        <w:spacing w:after="0" w:line="95" w:lineRule="exact"/>
        <w:rPr>
          <w:sz w:val="20"/>
          <w:szCs w:val="20"/>
          <w:color w:val="auto"/>
        </w:rPr>
      </w:pPr>
    </w:p>
    <w:p>
      <w:pPr>
        <w:ind w:left="340" w:right="60" w:hanging="332"/>
        <w:spacing w:after="0" w:line="255"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 our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attract, retain 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believe that these strengths set us apart from our competition and put us in a powerful position to maintain and expand our market leadership as we add new features and our industry grows.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36" w:lineRule="exact"/>
        <w:rPr>
          <w:sz w:val="20"/>
          <w:szCs w:val="20"/>
          <w:color w:val="auto"/>
        </w:rPr>
      </w:pPr>
    </w:p>
    <w:p>
      <w:pPr>
        <w:ind w:left="340" w:right="140" w:hanging="332"/>
        <w:spacing w:after="0" w:line="25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create additional value for existing members. </w:t>
      </w:r>
      <w:r>
        <w:rPr>
          <w:rFonts w:ascii="Arial" w:cs="Arial" w:eastAsia="Arial" w:hAnsi="Arial"/>
          <w:sz w:val="18"/>
          <w:szCs w:val="18"/>
          <w:color w:val="auto"/>
        </w:rPr>
        <w:t>Our word-of-mouth model works well because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March 2021, 60% of our team was involved in material aspects of research and development. By efficiently investing in new features that prioritize the needs of our members, we can continue to retain existing members and attract new members via word-of-mouth;</w:t>
      </w:r>
    </w:p>
    <w:p>
      <w:pPr>
        <w:spacing w:after="0" w:line="114" w:lineRule="exact"/>
        <w:rPr>
          <w:rFonts w:ascii="Arial" w:cs="Arial" w:eastAsia="Arial" w:hAnsi="Arial"/>
          <w:sz w:val="18"/>
          <w:szCs w:val="18"/>
          <w:color w:val="auto"/>
        </w:rPr>
      </w:pPr>
    </w:p>
    <w:p>
      <w:pPr>
        <w:ind w:left="340" w:right="240" w:hanging="332"/>
        <w:spacing w:after="0" w:line="259"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attract new members beyond employees who submit expenses. </w:t>
      </w:r>
      <w:r>
        <w:rPr>
          <w:rFonts w:ascii="Arial" w:cs="Arial" w:eastAsia="Arial" w:hAnsi="Arial"/>
          <w:sz w:val="18"/>
          <w:szCs w:val="18"/>
          <w:color w:val="auto"/>
        </w:rPr>
        <w:t>We have and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w:t>
      </w:r>
    </w:p>
    <w:p>
      <w:pPr>
        <w:spacing w:after="0" w:line="98" w:lineRule="exact"/>
        <w:rPr>
          <w:rFonts w:ascii="Arial" w:cs="Arial" w:eastAsia="Arial" w:hAnsi="Arial"/>
          <w:sz w:val="18"/>
          <w:szCs w:val="18"/>
          <w:color w:val="auto"/>
        </w:rPr>
      </w:pPr>
    </w:p>
    <w:p>
      <w:pPr>
        <w:ind w:left="340" w:hanging="332"/>
        <w:spacing w:after="0" w:line="254"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viral loops into our member experience that increase adoption by new customers. </w:t>
      </w:r>
      <w:r>
        <w:rPr>
          <w:rFonts w:ascii="Arial" w:cs="Arial" w:eastAsia="Arial" w:hAnsi="Arial"/>
          <w:sz w:val="18"/>
          <w:szCs w:val="18"/>
          <w:color w:val="auto"/>
        </w:rPr>
        <w:t>We design our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every new feature with the aim of frictionless adoption. As of March 31, 2021, approximately 59%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22" w:lineRule="exact"/>
        <w:rPr>
          <w:sz w:val="20"/>
          <w:szCs w:val="20"/>
          <w:color w:val="auto"/>
        </w:rPr>
      </w:pPr>
    </w:p>
    <w:p>
      <w:pPr>
        <w:ind w:left="340" w:right="140" w:hanging="332"/>
        <w:spacing w:after="0" w:line="282"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and monetize transaction volume from existing and new customers. </w:t>
      </w:r>
      <w:r>
        <w:rPr>
          <w:rFonts w:ascii="Arial" w:cs="Arial" w:eastAsia="Arial" w:hAnsi="Arial"/>
          <w:sz w:val="17"/>
          <w:szCs w:val="17"/>
          <w:color w:val="auto"/>
        </w:rPr>
        <w:t>We fully launched the Expensify Card in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despite pullback in 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80"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Promote Expensify’s culture and values</w:t>
      </w:r>
      <w:r>
        <w:rPr>
          <w:rFonts w:ascii="Arial" w:cs="Arial" w:eastAsia="Arial" w:hAnsi="Arial"/>
          <w:sz w:val="18"/>
          <w:szCs w:val="18"/>
          <w:color w:val="auto"/>
        </w:rPr>
        <w:t>. We believe that consumers are more likely to both use and recommend products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they admire. 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114" w:lineRule="exact"/>
        <w:rPr>
          <w:rFonts w:ascii="Arial" w:cs="Arial" w:eastAsia="Arial" w:hAnsi="Arial"/>
          <w:sz w:val="18"/>
          <w:szCs w:val="18"/>
          <w:color w:val="auto"/>
        </w:rPr>
      </w:pPr>
    </w:p>
    <w:p>
      <w:pPr>
        <w:ind w:left="340" w:right="140" w:hanging="332"/>
        <w:spacing w:after="0" w:line="278"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strengthen our market consensus. </w:t>
      </w:r>
      <w:r>
        <w:rPr>
          <w:rFonts w:ascii="Arial" w:cs="Arial" w:eastAsia="Arial" w:hAnsi="Arial"/>
          <w:sz w:val="17"/>
          <w:szCs w:val="17"/>
          <w:color w:val="auto"/>
        </w:rPr>
        <w:t>We have worked hard to establish and maintain Expensify as the dominant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integrations and strengthen partnerships. </w:t>
      </w:r>
      <w:r>
        <w:rPr>
          <w:rFonts w:ascii="Arial" w:cs="Arial" w:eastAsia="Arial" w:hAnsi="Arial"/>
          <w:sz w:val="18"/>
          <w:szCs w:val="18"/>
          <w:color w:val="auto"/>
        </w:rPr>
        <w:t>Expense management touches many functions across a company.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seamless experience for our customers, we integrate with the accounting, ERP and travel software used by SMBs and their employees every day. We also have frictionless integrations with many of the technology providers that generate the most receipts for our members, such as Uber and Lyft.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101"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For the year ended December 31, 2020 and three months ended March 31, 2021, we derived 10% and 11%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respectively, from customers outside 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believe that the combination of the strength of our platform, our scalable business model and our special company culture has us well-positioned to achieve these growth strategies.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3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4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held onto the concept for more than a decade until it became a reality with the launch of Expensify.org and its corporate-card-fueled donations called Karma Points.</w:t>
      </w:r>
    </w:p>
    <w:p>
      <w:pPr>
        <w:spacing w:after="0" w:line="11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3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 management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Capture</w:t>
      </w:r>
    </w:p>
    <w:p>
      <w:pPr>
        <w:spacing w:after="0" w:line="16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Most of today’s financial data still exists on paper. Expensify streamlines the capture and normalization of disparate financial data in the following ways:</w:t>
      </w:r>
    </w:p>
    <w:p>
      <w:pPr>
        <w:spacing w:after="0" w:line="108" w:lineRule="exact"/>
        <w:rPr>
          <w:sz w:val="20"/>
          <w:szCs w:val="20"/>
          <w:color w:val="auto"/>
        </w:rPr>
      </w:pPr>
    </w:p>
    <w:p>
      <w:pPr>
        <w:ind w:left="340" w:right="440" w:hanging="332"/>
        <w:spacing w:after="0" w:line="287"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SmartScan. </w:t>
      </w:r>
      <w:r>
        <w:rPr>
          <w:rFonts w:ascii="Arial" w:cs="Arial" w:eastAsia="Arial" w:hAnsi="Arial"/>
          <w:sz w:val="18"/>
          <w:szCs w:val="18"/>
          <w:color w:val="auto"/>
        </w:rPr>
        <w:t>Snap a photo of your receipt, forward receipts from email, or upload attachments directly in the application. SmartScan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optimizes for high-accuracy data extraction to support our “fire and forget” receipt capture.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22" w:lineRule="exact"/>
        <w:rPr>
          <w:sz w:val="20"/>
          <w:szCs w:val="20"/>
          <w:color w:val="auto"/>
        </w:rPr>
      </w:pPr>
    </w:p>
    <w:p>
      <w:pPr>
        <w:ind w:left="340" w:right="480" w:hanging="332"/>
        <w:spacing w:after="0" w:line="28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Credit card matching. </w:t>
      </w:r>
      <w:r>
        <w:rPr>
          <w:rFonts w:ascii="Arial" w:cs="Arial" w:eastAsia="Arial" w:hAnsi="Arial"/>
          <w:sz w:val="18"/>
          <w:szCs w:val="18"/>
          <w:color w:val="auto"/>
        </w:rPr>
        <w:t>Receipts and emails are automatically matched to incoming credit card transactions in real-time, preventing</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and reducing the need to manually reconcile credit card statements at month end.</w:t>
      </w:r>
    </w:p>
    <w:p>
      <w:pPr>
        <w:spacing w:after="0" w:line="71" w:lineRule="exact"/>
        <w:rPr>
          <w:rFonts w:ascii="Arial" w:cs="Arial" w:eastAsia="Arial" w:hAnsi="Arial"/>
          <w:sz w:val="18"/>
          <w:szCs w:val="18"/>
          <w:color w:val="auto"/>
        </w:rPr>
      </w:pPr>
    </w:p>
    <w:p>
      <w:pPr>
        <w:ind w:left="340" w:hanging="332"/>
        <w:spacing w:after="0" w:line="268"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Mobile expense capture. </w:t>
      </w:r>
      <w:r>
        <w:rPr>
          <w:rFonts w:ascii="Arial" w:cs="Arial" w:eastAsia="Arial" w:hAnsi="Arial"/>
          <w:sz w:val="18"/>
          <w:szCs w:val="18"/>
          <w:color w:val="auto"/>
        </w:rPr>
        <w:t>With mobile apps for Android and iOS, it’s possible to capture receipts, mileage expenses and per diems while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office or anywhere else in the world – online or offline. In addition, members can automatically import receipts from their favorite travel tools, including Uber, Lyft, Grab, Hotel Tonight, among others.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Approve</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95" w:lineRule="exact"/>
        <w:rPr>
          <w:sz w:val="20"/>
          <w:szCs w:val="20"/>
          <w:color w:val="auto"/>
        </w:rPr>
      </w:pPr>
    </w:p>
    <w:p>
      <w:pPr>
        <w:ind w:left="340" w:right="140" w:hanging="332"/>
        <w:spacing w:after="0" w:line="268"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Multi-level approval workflows. </w:t>
      </w:r>
      <w:r>
        <w:rPr>
          <w:rFonts w:ascii="Arial" w:cs="Arial" w:eastAsia="Arial" w:hAnsi="Arial"/>
          <w:sz w:val="18"/>
          <w:szCs w:val="18"/>
          <w:color w:val="auto"/>
        </w:rPr>
        <w:t>Customizable approval workflows help companies of all sizes tailor their approval hierarchies, route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expenses to budget or project owners and approve expenses through an intuitive “Guided Review” that highlights specific items requiring review.</w:t>
      </w:r>
    </w:p>
    <w:p>
      <w:pPr>
        <w:spacing w:after="0" w:line="103" w:lineRule="exact"/>
        <w:rPr>
          <w:rFonts w:ascii="Arial" w:cs="Arial" w:eastAsia="Arial" w:hAnsi="Arial"/>
          <w:sz w:val="18"/>
          <w:szCs w:val="18"/>
          <w:color w:val="auto"/>
        </w:rPr>
      </w:pPr>
    </w:p>
    <w:p>
      <w:pPr>
        <w:ind w:left="340" w:right="580" w:hanging="332"/>
        <w:spacing w:after="0" w:line="28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Intelligent auditing. </w:t>
      </w:r>
      <w:r>
        <w:rPr>
          <w:rFonts w:ascii="Arial" w:cs="Arial" w:eastAsia="Arial" w:hAnsi="Arial"/>
          <w:sz w:val="18"/>
          <w:szCs w:val="18"/>
          <w:color w:val="auto"/>
        </w:rPr>
        <w:t>Process data automatically or configure which types of transactions require review. Expensify detects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by default and automatically verifies that any manually-entered expenses match attached receipts.</w:t>
      </w:r>
    </w:p>
    <w:p>
      <w:pPr>
        <w:spacing w:after="0" w:line="85" w:lineRule="exact"/>
        <w:rPr>
          <w:rFonts w:ascii="Arial" w:cs="Arial" w:eastAsia="Arial" w:hAnsi="Arial"/>
          <w:sz w:val="18"/>
          <w:szCs w:val="18"/>
          <w:color w:val="auto"/>
        </w:rPr>
      </w:pPr>
    </w:p>
    <w:p>
      <w:pPr>
        <w:ind w:left="340" w:right="220" w:hanging="332"/>
        <w:spacing w:after="0" w:line="259"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Powerful integrations. </w:t>
      </w:r>
      <w:r>
        <w:rPr>
          <w:rFonts w:ascii="Arial" w:cs="Arial" w:eastAsia="Arial" w:hAnsi="Arial"/>
          <w:sz w:val="18"/>
          <w:szCs w:val="18"/>
          <w:color w:val="auto"/>
        </w:rPr>
        <w:t>Connect directly with leading cloud accounting and finance platforms such as QuickBooks, Xero,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Sage Intacct and FinancialForce, among others. A continuous real-time sync means that information is dynamically updated across all connected platforms. 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98"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visibility. </w:t>
      </w:r>
      <w:r>
        <w:rPr>
          <w:rFonts w:ascii="Arial" w:cs="Arial" w:eastAsia="Arial" w:hAnsi="Arial"/>
          <w:sz w:val="18"/>
          <w:szCs w:val="18"/>
          <w:color w:val="auto"/>
        </w:rPr>
        <w:t>Whether companies require visibility into transaction approvals, help with corporate credit card reconciliation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remittance, or insights into travel spend, financial data is visible throughout the platform.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95" w:lineRule="exact"/>
        <w:rPr>
          <w:sz w:val="20"/>
          <w:szCs w:val="20"/>
          <w:color w:val="auto"/>
        </w:rPr>
      </w:pPr>
    </w:p>
    <w:p>
      <w:pPr>
        <w:ind w:left="340" w:right="580" w:hanging="332"/>
        <w:spacing w:after="0" w:line="28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Next day ACH direct deposit. </w:t>
      </w:r>
      <w:r>
        <w:rPr>
          <w:rFonts w:ascii="Arial" w:cs="Arial" w:eastAsia="Arial" w:hAnsi="Arial"/>
          <w:sz w:val="18"/>
          <w:szCs w:val="18"/>
          <w:color w:val="auto"/>
        </w:rPr>
        <w:t>For companies that enable automatic processing and reimbursement, employees receive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in their bank account the following business day.</w:t>
      </w:r>
    </w:p>
    <w:p>
      <w:pPr>
        <w:spacing w:after="0" w:line="85" w:lineRule="exact"/>
        <w:rPr>
          <w:rFonts w:ascii="Arial" w:cs="Arial" w:eastAsia="Arial" w:hAnsi="Arial"/>
          <w:sz w:val="18"/>
          <w:szCs w:val="18"/>
          <w:color w:val="auto"/>
        </w:rPr>
      </w:pPr>
    </w:p>
    <w:p>
      <w:pPr>
        <w:ind w:left="340" w:right="620" w:hanging="332"/>
        <w:spacing w:after="0" w:line="28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Centralized travel procurement</w:t>
      </w:r>
      <w:r>
        <w:rPr>
          <w:rFonts w:ascii="Arial" w:cs="Arial" w:eastAsia="Arial" w:hAnsi="Arial"/>
          <w:sz w:val="18"/>
          <w:szCs w:val="18"/>
          <w:color w:val="auto"/>
        </w:rPr>
        <w:t>. Manage and centrally pay for travel bookings made with any Expensify Card, all while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company travel policies.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Corporate card remittance. </w:t>
      </w:r>
      <w:r>
        <w:rPr>
          <w:rFonts w:ascii="Arial" w:cs="Arial" w:eastAsia="Arial" w:hAnsi="Arial"/>
          <w:sz w:val="18"/>
          <w:szCs w:val="18"/>
          <w:color w:val="auto"/>
        </w:rPr>
        <w:t>Streamline the process of managing and remitting corporate card payments.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 card</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3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Expensify Card leverages our wealth of experience acquired by working directly with finance administrators. The feature is designed to fix the common pain points seen with traditional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cards, namely the lack of real-time receipt capture and transaction visibility, enhanced access to credit for small businesses and streamlined setup of corporate card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the Expensify Card include:</w:t>
      </w:r>
    </w:p>
    <w:p>
      <w:pPr>
        <w:spacing w:after="0" w:line="136" w:lineRule="exact"/>
        <w:rPr>
          <w:sz w:val="20"/>
          <w:szCs w:val="20"/>
          <w:color w:val="auto"/>
        </w:rPr>
      </w:pPr>
    </w:p>
    <w:p>
      <w:pPr>
        <w:ind w:left="340" w:right="460" w:hanging="332"/>
        <w:spacing w:after="0" w:line="28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Streamlined card application/setup. </w:t>
      </w:r>
      <w:r>
        <w:rPr>
          <w:rFonts w:ascii="Arial" w:cs="Arial" w:eastAsia="Arial" w:hAnsi="Arial"/>
          <w:sz w:val="18"/>
          <w:szCs w:val="18"/>
          <w:color w:val="auto"/>
        </w:rPr>
        <w:t>Companies receive an automated approval decision in seconds, and card provisioning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entire organization is possible in a few minutes. Every member receives a virtual card for immediate use.</w:t>
      </w:r>
    </w:p>
    <w:p>
      <w:pPr>
        <w:spacing w:after="0" w:line="85" w:lineRule="exact"/>
        <w:rPr>
          <w:rFonts w:ascii="Arial" w:cs="Arial" w:eastAsia="Arial" w:hAnsi="Arial"/>
          <w:sz w:val="18"/>
          <w:szCs w:val="18"/>
          <w:color w:val="auto"/>
        </w:rPr>
      </w:pPr>
    </w:p>
    <w:p>
      <w:pPr>
        <w:ind w:left="340" w:right="40" w:hanging="332"/>
        <w:spacing w:after="0" w:line="28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Continuous automatic reconciliation</w:t>
      </w:r>
      <w:r>
        <w:rPr>
          <w:rFonts w:ascii="Arial" w:cs="Arial" w:eastAsia="Arial" w:hAnsi="Arial"/>
          <w:sz w:val="18"/>
          <w:szCs w:val="18"/>
          <w:color w:val="auto"/>
        </w:rPr>
        <w:t>. Card transactions are synchronized in real-time between Expensify and a company’s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This removes the need for an arduous once-a-month statement reconciliation.</w:t>
      </w:r>
    </w:p>
    <w:p>
      <w:pPr>
        <w:spacing w:after="0" w:line="71"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Real-time compliance. </w:t>
      </w:r>
      <w:r>
        <w:rPr>
          <w:rFonts w:ascii="Arial" w:cs="Arial" w:eastAsia="Arial" w:hAnsi="Arial"/>
          <w:sz w:val="18"/>
          <w:szCs w:val="18"/>
          <w:color w:val="auto"/>
        </w:rPr>
        <w:t>Cardholders receive an immediate push notification when their card is charged, which helps protect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fraud. In addition, eReceipts mean that no receipt capture is required for nearly all purchases, though companies can stipulate their own receipt policy where preferred.</w:t>
      </w:r>
    </w:p>
    <w:p>
      <w:pPr>
        <w:spacing w:after="0" w:line="103"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Spend control with Smart Limits. </w:t>
      </w:r>
      <w:r>
        <w:rPr>
          <w:rFonts w:ascii="Arial" w:cs="Arial" w:eastAsia="Arial" w:hAnsi="Arial"/>
          <w:sz w:val="18"/>
          <w:szCs w:val="18"/>
          <w:color w:val="auto"/>
        </w:rPr>
        <w:t>Companies control the maximum exposure they will accept for each employee by stipulating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unapproved spend, which is another cash control feature. If a cardholder fails to submit their expenses in a timely fashion, card activity is suspended until historical card spend is approved.</w:t>
      </w:r>
    </w:p>
    <w:p>
      <w:pPr>
        <w:spacing w:after="0" w:line="103"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Karma Points</w:t>
      </w:r>
      <w:r>
        <w:rPr>
          <w:rFonts w:ascii="Arial" w:cs="Arial" w:eastAsia="Arial" w:hAnsi="Arial"/>
          <w:sz w:val="18"/>
          <w:szCs w:val="18"/>
          <w:color w:val="auto"/>
        </w:rPr>
        <w:t>. Every time a cardholder makes a purchase, Expensify donates 10% of our interchange amount to Expensify.org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one of its five funds – Hunger, Climate, Homes, Youth, Reentry.</w:t>
      </w:r>
    </w:p>
    <w:p>
      <w:pPr>
        <w:spacing w:after="0" w:line="71" w:lineRule="exact"/>
        <w:rPr>
          <w:rFonts w:ascii="Arial" w:cs="Arial" w:eastAsia="Arial" w:hAnsi="Arial"/>
          <w:sz w:val="18"/>
          <w:szCs w:val="18"/>
          <w:color w:val="auto"/>
        </w:rPr>
      </w:pPr>
    </w:p>
    <w:p>
      <w:pPr>
        <w:ind w:left="340" w:right="440" w:hanging="332"/>
        <w:spacing w:after="0" w:line="28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Daily settlement</w:t>
      </w:r>
      <w:r>
        <w:rPr>
          <w:rFonts w:ascii="Arial" w:cs="Arial" w:eastAsia="Arial" w:hAnsi="Arial"/>
          <w:sz w:val="18"/>
          <w:szCs w:val="18"/>
          <w:color w:val="auto"/>
        </w:rPr>
        <w:t>. Ensure that employees never overspend what a company is able to pay. Daily settlement also helps smooth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throughout the month, as opposed to one large, uncertain lump sum at month’s end.</w:t>
      </w:r>
    </w:p>
    <w:p>
      <w:pPr>
        <w:spacing w:after="0" w:line="85" w:lineRule="exact"/>
        <w:rPr>
          <w:rFonts w:ascii="Arial" w:cs="Arial" w:eastAsia="Arial" w:hAnsi="Arial"/>
          <w:sz w:val="18"/>
          <w:szCs w:val="18"/>
          <w:color w:val="auto"/>
        </w:rPr>
      </w:pPr>
    </w:p>
    <w:p>
      <w:pPr>
        <w:ind w:left="340" w:right="20" w:hanging="332"/>
        <w:spacing w:after="0" w:line="262"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Integrated travel booking</w:t>
      </w:r>
      <w:r>
        <w:rPr>
          <w:rFonts w:ascii="Arial" w:cs="Arial" w:eastAsia="Arial" w:hAnsi="Arial"/>
          <w:sz w:val="18"/>
          <w:szCs w:val="18"/>
          <w:color w:val="auto"/>
        </w:rPr>
        <w:t>. Offered at no additional cost for all cardholders, administrators can set flight class, hotel ratings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features</w:t>
      </w:r>
    </w:p>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Invoicing &amp; bill pay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our invoicing and bill payment features include:</w:t>
      </w:r>
    </w:p>
    <w:p>
      <w:pPr>
        <w:spacing w:after="0" w:line="136" w:lineRule="exact"/>
        <w:rPr>
          <w:sz w:val="20"/>
          <w:szCs w:val="20"/>
          <w:color w:val="auto"/>
        </w:rPr>
      </w:pPr>
    </w:p>
    <w:p>
      <w:pPr>
        <w:ind w:left="340" w:right="200" w:hanging="332"/>
        <w:spacing w:after="0" w:line="28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Payments made easy. </w:t>
      </w:r>
      <w:r>
        <w:rPr>
          <w:rFonts w:ascii="Arial" w:cs="Arial" w:eastAsia="Arial" w:hAnsi="Arial"/>
          <w:sz w:val="18"/>
          <w:szCs w:val="18"/>
          <w:color w:val="auto"/>
        </w:rPr>
        <w:t>With multiple payment options, including credit/debit card, ACH, check, Venmo and PayPal, customers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globe have access to quick, easy and frictionless payment options.</w:t>
      </w:r>
    </w:p>
    <w:p>
      <w:pPr>
        <w:spacing w:after="0" w:line="85" w:lineRule="exact"/>
        <w:rPr>
          <w:rFonts w:ascii="Arial" w:cs="Arial" w:eastAsia="Arial" w:hAnsi="Arial"/>
          <w:sz w:val="18"/>
          <w:szCs w:val="18"/>
          <w:color w:val="auto"/>
        </w:rPr>
      </w:pPr>
    </w:p>
    <w:p>
      <w:pPr>
        <w:ind w:left="340" w:right="420" w:hanging="332"/>
        <w:spacing w:after="0" w:line="28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Eliminate manual entry. </w:t>
      </w:r>
      <w:r>
        <w:rPr>
          <w:rFonts w:ascii="Arial" w:cs="Arial" w:eastAsia="Arial" w:hAnsi="Arial"/>
          <w:sz w:val="18"/>
          <w:szCs w:val="18"/>
          <w:color w:val="auto"/>
        </w:rPr>
        <w:t>Bills sent to a company’s @expensify.cash address are automatically SmartScanned, which captures key</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for easy review and processing.</w:t>
      </w:r>
    </w:p>
    <w:p>
      <w:pPr>
        <w:spacing w:after="0" w:line="71" w:lineRule="exact"/>
        <w:rPr>
          <w:rFonts w:ascii="Arial" w:cs="Arial" w:eastAsia="Arial" w:hAnsi="Arial"/>
          <w:sz w:val="18"/>
          <w:szCs w:val="18"/>
          <w:color w:val="auto"/>
        </w:rPr>
      </w:pPr>
    </w:p>
    <w:p>
      <w:pPr>
        <w:ind w:left="340" w:right="460" w:hanging="332"/>
        <w:spacing w:after="0" w:line="28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Real-time communication. </w:t>
      </w:r>
      <w:r>
        <w:rPr>
          <w:rFonts w:ascii="Arial" w:cs="Arial" w:eastAsia="Arial" w:hAnsi="Arial"/>
          <w:sz w:val="18"/>
          <w:szCs w:val="18"/>
          <w:color w:val="auto"/>
        </w:rPr>
        <w:t>Customers can leave comments or ask questions on the invoice and both parties can chat in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in Expensify, or receive an email instantly.</w:t>
      </w:r>
    </w:p>
    <w:p>
      <w:pPr>
        <w:spacing w:after="0" w:line="85" w:lineRule="exact"/>
        <w:rPr>
          <w:rFonts w:ascii="Arial" w:cs="Arial" w:eastAsia="Arial" w:hAnsi="Arial"/>
          <w:sz w:val="18"/>
          <w:szCs w:val="18"/>
          <w:color w:val="auto"/>
        </w:rPr>
      </w:pPr>
    </w:p>
    <w:p>
      <w:pPr>
        <w:jc w:val="both"/>
        <w:ind w:left="340" w:right="80" w:hanging="332"/>
        <w:spacing w:after="0" w:line="268"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Extensive integrations. </w:t>
      </w:r>
      <w:r>
        <w:rPr>
          <w:rFonts w:ascii="Arial" w:cs="Arial" w:eastAsia="Arial" w:hAnsi="Arial"/>
          <w:sz w:val="18"/>
          <w:szCs w:val="18"/>
          <w:color w:val="auto"/>
        </w:rPr>
        <w:t>Companies can save time by exporting invoices and bills to QuickBooks, Xero, Sage Intacct, Oracle NetSuite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more. Invoices are automatically linked to the corresponding customer and exported as a receivable in the accounting system. Bills are automatically linked to the corresponding vendor and exported as a payable.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early access features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 infrastructure and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foundation</w:t>
      </w:r>
    </w:p>
    <w:p>
      <w:pPr>
        <w:spacing w:after="0" w:line="18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own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60"/>
          </w:cols>
          <w:pgMar w:left="320" w:top="1440" w:right="419" w:bottom="1440" w:gutter="0" w:footer="0" w:header="0"/>
        </w:sectPr>
      </w:pPr>
    </w:p>
    <w:bookmarkStart w:id="131" w:name="page132"/>
    <w:bookmarkEnd w:id="131"/>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current load. This means we can significantly increase our customer count many times over without adding developers or incurring additional hardware expense to support them.</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approach the operational challenges of achieving profitable scale in a two pronged approach:</w:t>
      </w:r>
    </w:p>
    <w:p>
      <w:pPr>
        <w:spacing w:after="0" w:line="158"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Solve problems with automation, not headcount, wherever possible</w:t>
      </w:r>
    </w:p>
    <w:p>
      <w:pPr>
        <w:spacing w:after="0" w:line="157" w:lineRule="exact"/>
        <w:rPr>
          <w:rFonts w:ascii="Arial" w:cs="Arial" w:eastAsia="Arial" w:hAnsi="Arial"/>
          <w:sz w:val="18"/>
          <w:szCs w:val="18"/>
          <w:color w:val="auto"/>
        </w:rPr>
      </w:pPr>
    </w:p>
    <w:p>
      <w:pPr>
        <w:ind w:right="4380" w:firstLine="8"/>
        <w:spacing w:after="0" w:line="402" w:lineRule="auto"/>
        <w:tabs>
          <w:tab w:leader="none" w:pos="3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Smart manual intervention with on-demand, flexible, appropriately skilled humans SmartScan and Concierge are two examples of this approach working in practice.</w:t>
      </w: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SmartScan. </w:t>
      </w:r>
      <w:r>
        <w:rPr>
          <w:rFonts w:ascii="Arial" w:cs="Arial" w:eastAsia="Arial" w:hAnsi="Arial"/>
          <w:sz w:val="18"/>
          <w:szCs w:val="18"/>
          <w:color w:val="auto"/>
        </w:rPr>
        <w:t>SmartScan is designed for accuracy and optimized for speed and cost. To deliver on the promise of “fire and forget”,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results of the scan need to be more accurate than the user entering their own receipt by hand. To accomplish this:</w:t>
      </w:r>
    </w:p>
    <w:p>
      <w:pPr>
        <w:spacing w:after="0" w:line="107"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have a host of OCR-based, AI-powered software parsers that read and transcribe every receipt scanned (or forwarded) to them.</w:t>
      </w:r>
    </w:p>
    <w:p>
      <w:pPr>
        <w:spacing w:after="0" w:line="144" w:lineRule="exact"/>
        <w:rPr>
          <w:rFonts w:ascii="Arial" w:cs="Arial" w:eastAsia="Arial" w:hAnsi="Arial"/>
          <w:sz w:val="18"/>
          <w:szCs w:val="18"/>
          <w:color w:val="auto"/>
        </w:rPr>
      </w:pPr>
    </w:p>
    <w:p>
      <w:pPr>
        <w:ind w:left="340" w:right="220" w:hanging="332"/>
        <w:spacing w:after="0" w:line="256"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34"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Once a receipt has been processed, it is then matched with imported transaction feeds to validate the expense further.</w:t>
      </w:r>
    </w:p>
    <w:p>
      <w:pPr>
        <w:spacing w:after="0" w:line="13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Concierge. </w:t>
      </w:r>
      <w:r>
        <w:rPr>
          <w:rFonts w:ascii="Arial" w:cs="Arial" w:eastAsia="Arial" w:hAnsi="Arial"/>
          <w:sz w:val="18"/>
          <w:szCs w:val="18"/>
          <w:color w:val="auto"/>
        </w:rPr>
        <w:t>Concierge is our customer support engine. Concierge is designed for speed and accuracy and optimized for cost. Concierge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powered by AI and trained by customer support agents, with different levels of skill and training, spread out across the world.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respond to most customer queries in less than two minutes. It works like below:</w:t>
      </w:r>
    </w:p>
    <w:p>
      <w:pPr>
        <w:spacing w:after="0" w:line="158" w:lineRule="exact"/>
        <w:rPr>
          <w:sz w:val="20"/>
          <w:szCs w:val="20"/>
          <w:color w:val="auto"/>
        </w:rPr>
      </w:pPr>
    </w:p>
    <w:p>
      <w:pPr>
        <w:ind w:left="340" w:right="620" w:hanging="332"/>
        <w:spacing w:after="0" w:line="261"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Concierge uses natural language processing to break down a question into its component parts, organized into a "conversational hierarchy" that maps out the natural flow of real world conversations.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unable to answer with high confidence, Concierge will show that question to a "First Responder" along with suggested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1440" w:right="399" w:bottom="1440" w:gutter="0" w:footer="0" w:header="0"/>
        </w:sectPr>
      </w:pPr>
    </w:p>
    <w:bookmarkStart w:id="132" w:name="page133"/>
    <w:bookmarkEnd w:id="132"/>
    <w:p>
      <w:pPr>
        <w:spacing w:after="0" w:line="144" w:lineRule="exact"/>
        <w:rPr>
          <w:sz w:val="20"/>
          <w:szCs w:val="20"/>
          <w:color w:val="auto"/>
        </w:rPr>
      </w:pPr>
    </w:p>
    <w:p>
      <w:pPr>
        <w:ind w:left="340" w:right="80" w:hanging="332"/>
        <w:spacing w:after="0" w:line="261"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First Responders will escalate to a "Second Responder" if none of the suggested responses work.</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Success Coaches effectively resolve all questions directed to them.</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March 31, 2021, we increased our revenue 536% while only increasing headcount by 24%.</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underwriting and risk management</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compliance and data security</w:t>
      </w:r>
    </w:p>
    <w:p>
      <w:pPr>
        <w:spacing w:after="0" w:line="170"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and data security seriously and are in compliance with domestic and international data privacy regulations, which sometimes change faster than the wind.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data</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March 31,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members and customers</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think of the individuals that use one or all of our features of our platform as members. In the month of March, 2021, we served over 660 thousand paid members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 We had approximately 65,700 customers as of December 31, 2019, and approximately 54,600 as of December 31, 2020.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6% of our total revenue for the three months ending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337185</wp:posOffset>
            </wp:positionV>
            <wp:extent cx="6986270" cy="905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8627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337185</wp:posOffset>
            </wp:positionV>
            <wp:extent cx="6995160" cy="9043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w:t>
      </w:r>
    </w:p>
    <w:p>
      <w:pPr>
        <w:spacing w:after="0" w:line="1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3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In 2020, 59% of revenue can be attributed to bottom-up adoption where the first member was not a paying administrator (e.g. Controller, HR Manager) and the bottom-up member ultimately brought the paying administrator to our platform.</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4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end user at the center of every decision, investing substantial time, energy and resources to ensure we have a deep understanding of our members’ needs.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unique generalist culture makes research and development activities everyone’s responsibility. In March of 2021, approximately 60% of our team was involved in material aspects of research and development. In the same time period, we had a globally distributed team operating across 12 countries. This enables us to have around the clock development schedule and incorporate a diverse range of approaches to solving problems.</w:t>
      </w:r>
    </w:p>
    <w:p>
      <w:pPr>
        <w:spacing w:after="0" w:line="1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competition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that drive leadership in the markets we compete in include the following:</w:t>
      </w:r>
    </w:p>
    <w:p>
      <w:pPr>
        <w:spacing w:after="0" w:line="144"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End user design focus;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Ease of access, adoption, deployment and use;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Ability to purchase without a sales representative;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Viral, bottom-up business model supported by word-of-mouth adoption;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High interoperability with internal and third party systems and consumer applications;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Flexible, employee-centric legal terms regarding data ownership;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Brand reputation and market consensus around platform superiority;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believe we compete favorably with our competitors on the basis of the factors described above. However, many of our competitors have significantly greater financial, sales and marketing, and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www.expensify.org and expensify.cash.</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3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factors-Risks related to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 employees and human capital resources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 -term happiness of our employees. Expensify’s culture is centered on the belief that a life well lived is one that enables you to achieve our three life goals: live rich, have fun and save the world.</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2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of March 31, 2021, we had 134 full-time employees. A majority of our employees have a tenure of over four years, and our 10-person leadership team has an average tenure of 8.3 years. None of our employees are represented by a labor union or covered by collective bargaining agreements. We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144"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engage third-party vendors to supply on-demand workers as needed to support our operations. We have not experienced any work stoppages, and we believe that our employee relations are strong.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commitment to ESG principles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Managing systemic risks from technology disruptions: </w:t>
      </w:r>
      <w:r>
        <w:rPr>
          <w:rFonts w:ascii="Arial" w:cs="Arial" w:eastAsia="Arial" w:hAnsi="Arial"/>
          <w:sz w:val="18"/>
          <w:szCs w:val="18"/>
          <w:color w:val="auto"/>
        </w:rPr>
        <w:t>Expensify is an always-on, business-critical service, committed to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reliability. 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 issues, and conduct pre-scheduled maintenance without service interruptions. From March 31, 2020, to March 31, 2021, our average service uptime was over 99.9%, exceeding our target of three nines.</w:t>
      </w:r>
    </w:p>
    <w:p>
      <w:pPr>
        <w:spacing w:after="0" w:line="11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i w:val="1"/>
          <w:iCs w:val="1"/>
          <w:color w:val="auto"/>
        </w:rPr>
        <w:t xml:space="preserve">Ethics and conduct related to financial services products: </w:t>
      </w:r>
      <w:r>
        <w:rPr>
          <w:rFonts w:ascii="Arial" w:cs="Arial" w:eastAsia="Arial" w:hAnsi="Arial"/>
          <w:sz w:val="18"/>
          <w:szCs w:val="18"/>
          <w:color w:val="auto"/>
        </w:rPr>
        <w:t>At Expensify, we prioritize trust, and the safety and security of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products. Maintaining trust with our members is crucial for our brand reputation. We have robust internal controls to go over and above regulatory compliance and protect stockholder and customer value.</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Recruiting &amp; managing a global, diverse &amp; skilled workforce: </w:t>
      </w:r>
      <w:r>
        <w:rPr>
          <w:rFonts w:ascii="Arial" w:cs="Arial" w:eastAsia="Arial" w:hAnsi="Arial"/>
          <w:sz w:val="18"/>
          <w:szCs w:val="18"/>
          <w:color w:val="auto"/>
        </w:rPr>
        <w:t>Attracting and retaining a diverse and global workforce, with employees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Data privacy</w:t>
      </w:r>
      <w:r>
        <w:rPr>
          <w:rFonts w:ascii="Arial" w:cs="Arial" w:eastAsia="Arial" w:hAnsi="Arial"/>
          <w:sz w:val="18"/>
          <w:szCs w:val="18"/>
          <w:color w:val="auto"/>
        </w:rPr>
        <w:t>: Customer privacy and maintaining customer trust is fundamental to Expensify’s success. We prioritize strong data privacy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practices, 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Data security</w:t>
      </w:r>
      <w:r>
        <w:rPr>
          <w:rFonts w:ascii="Arial" w:cs="Arial" w:eastAsia="Arial" w:hAnsi="Arial"/>
          <w:sz w:val="18"/>
          <w:szCs w:val="18"/>
          <w:color w:val="auto"/>
        </w:rPr>
        <w:t>: Data security is essential to maintaining our members' trust, because we process and store sensitive financial and personally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identifiable 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Environmental footprint of hardware infrastructure and emissions</w:t>
      </w:r>
      <w:r>
        <w:rPr>
          <w:rFonts w:ascii="Arial" w:cs="Arial" w:eastAsia="Arial" w:hAnsi="Arial"/>
          <w:sz w:val="18"/>
          <w:szCs w:val="18"/>
          <w:color w:val="auto"/>
        </w:rPr>
        <w:t>: We recognize the environmental impacts of our business,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impacts to our business of potential risks related to emissions such as carbon taxes and climate change, and the possibility for damage to our reputation and brand if we do not take action related to emissions and other environmental impacts. Expensify expects to engage a third party to evaluate and model our GHG emissions as a baseline for reductions in 2021. In 2022, we aim to set goals for the environmental impacts of our hardware infrastructure and set targets for GHG emissions and offsets.</w:t>
      </w:r>
    </w:p>
    <w:p>
      <w:pPr>
        <w:spacing w:after="0" w:line="11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i w:val="1"/>
          <w:iCs w:val="1"/>
          <w:color w:val="auto"/>
        </w:rPr>
        <w:t xml:space="preserve">Climate risks: </w:t>
      </w:r>
      <w:r>
        <w:rPr>
          <w:rFonts w:ascii="Arial" w:cs="Arial" w:eastAsia="Arial" w:hAnsi="Arial"/>
          <w:sz w:val="18"/>
          <w:szCs w:val="18"/>
          <w:color w:val="auto"/>
        </w:rPr>
        <w:t>We recognize the risks posed by climate change to our operations and revenue, including risks associated with the transition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low-carbon economy and the physical 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facilities</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potential impacts of government regulations affecting our business, see “Risk factors—Risks related to our business”.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139"/>
          </w:cols>
          <w:pgMar w:left="320" w:top="1440" w:right="1440" w:bottom="1440" w:gutter="0" w:footer="0" w:header="0"/>
          <w:type w:val="continuous"/>
        </w:sectPr>
      </w:pPr>
    </w:p>
    <w:bookmarkStart w:id="144" w:name="page145"/>
    <w:bookmarkEnd w:id="144"/>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Age</w:t>
            </w:r>
          </w:p>
        </w:tc>
        <w:tc>
          <w:tcPr>
            <w:tcW w:w="80" w:type="dxa"/>
            <w:vAlign w:val="bottom"/>
            <w:tcBorders>
              <w:top w:val="single" w:sz="8" w:color="auto"/>
              <w:bottom w:val="single" w:sz="8" w:color="CCEEFF"/>
            </w:tcBorders>
          </w:tcPr>
          <w:p>
            <w:pPr>
              <w:spacing w:after="0"/>
              <w:rPr>
                <w:sz w:val="18"/>
                <w:szCs w:val="18"/>
                <w:color w:val="auto"/>
              </w:rPr>
            </w:pPr>
          </w:p>
        </w:tc>
        <w:tc>
          <w:tcPr>
            <w:tcW w:w="6580" w:type="dxa"/>
            <w:vAlign w:val="bottom"/>
            <w:tcBorders>
              <w:top w:val="single" w:sz="8" w:color="auto"/>
              <w:bottom w:val="single" w:sz="8" w:color="auto"/>
            </w:tcBorders>
          </w:tcPr>
          <w:p>
            <w:pPr>
              <w:ind w:left="2920"/>
              <w:spacing w:after="0"/>
              <w:rPr>
                <w:sz w:val="20"/>
                <w:szCs w:val="20"/>
                <w:color w:val="auto"/>
              </w:rPr>
            </w:pPr>
            <w:r>
              <w:rPr>
                <w:rFonts w:ascii="Arial" w:cs="Arial" w:eastAsia="Arial" w:hAnsi="Arial"/>
                <w:sz w:val="14"/>
                <w:szCs w:val="14"/>
                <w:b w:val="1"/>
                <w:bCs w:val="1"/>
                <w:color w:val="auto"/>
              </w:rPr>
              <w:t>Position(s)</w:t>
            </w:r>
          </w:p>
        </w:tc>
      </w:tr>
      <w:tr>
        <w:trPr>
          <w:trHeight w:val="22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45</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Founder, Chief Executive Officer, Director</w:t>
            </w: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860" w:type="dxa"/>
            <w:vAlign w:val="bottom"/>
          </w:tcPr>
          <w:p>
            <w:pPr>
              <w:jc w:val="right"/>
              <w:ind w:right="553"/>
              <w:spacing w:after="0"/>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Financial Officer, Director</w:t>
            </w: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38</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Blake Bartlett</w:t>
            </w:r>
          </w:p>
        </w:tc>
        <w:tc>
          <w:tcPr>
            <w:tcW w:w="860" w:type="dxa"/>
            <w:vAlign w:val="bottom"/>
          </w:tcPr>
          <w:p>
            <w:pPr>
              <w:jc w:val="right"/>
              <w:ind w:right="553"/>
              <w:spacing w:after="0"/>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Lent</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67</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54"/>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employee directors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Barrett </w:t>
      </w:r>
      <w:r>
        <w:rPr>
          <w:rFonts w:ascii="Arial" w:cs="Arial" w:eastAsia="Arial" w:hAnsi="Arial"/>
          <w:sz w:val="18"/>
          <w:szCs w:val="18"/>
          <w:color w:val="auto"/>
        </w:rPr>
        <w:t>founded Expensify and has served as our Chief Executive Officer and as a member of our board of directors since 2009.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Ryan Schaffer </w:t>
      </w:r>
      <w:r>
        <w:rPr>
          <w:rFonts w:ascii="Arial" w:cs="Arial" w:eastAsia="Arial" w:hAnsi="Arial"/>
          <w:sz w:val="18"/>
          <w:szCs w:val="18"/>
          <w:color w:val="auto"/>
        </w:rPr>
        <w:t>has served as our Chief Financial Officer and a member of our board of directors since 2017, and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Anu Muralidharan </w:t>
      </w:r>
      <w:r>
        <w:rPr>
          <w:rFonts w:ascii="Arial" w:cs="Arial" w:eastAsia="Arial" w:hAnsi="Arial"/>
          <w:sz w:val="18"/>
          <w:szCs w:val="18"/>
          <w:color w:val="auto"/>
        </w:rPr>
        <w:t>has served as our Chief Operating Officer since January 2021, and she previously served as our Director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Blake Bartlett </w:t>
      </w:r>
      <w:r>
        <w:rPr>
          <w:rFonts w:ascii="Arial" w:cs="Arial" w:eastAsia="Arial" w:hAnsi="Arial"/>
          <w:sz w:val="18"/>
          <w:szCs w:val="18"/>
          <w:color w:val="auto"/>
        </w:rPr>
        <w:t>has served as a member of our board of directors since January 2015. Mr. Bartlett has served as Partner of Openview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Partners, a 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Robert Lent </w:t>
      </w:r>
      <w:r>
        <w:rPr>
          <w:rFonts w:ascii="Arial" w:cs="Arial" w:eastAsia="Arial" w:hAnsi="Arial"/>
          <w:sz w:val="18"/>
          <w:szCs w:val="18"/>
          <w:color w:val="auto"/>
        </w:rPr>
        <w:t>has served as a member of our board of directors since February 2018, and was previously on our board of directors from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2015. Mr. 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that Mr. Lent is qualified to serve as a member of our board of directors due to his extensive experience as a board member of various high-growth software companies, his success as a founder and his knowledge of our industry.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four directors. Our amended and restated certificate of incorporation and amended and restated</w:t>
      </w:r>
    </w:p>
    <w:p>
      <w:pPr>
        <w:spacing w:after="0" w:line="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bylaws will provide that our board of directors may consist of up to directors.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carrying out that director’s responsibilities. Our board of directors has affirmatively determined that , and are each an “independent director,” as defined under the Exchange Act and the rules of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our board of directors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8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approved by the full board of directors, or (iv) as otherwise required by SEC rules and the rules of . Upon the completion of this offering, our Executive Committee will consist of , , ,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58"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57"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44"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30"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Upon the completion of this offering, our Audit Committee will consist of , and , with serving as chair. Rule 10A-3 of the Exchange Act and the rules require that our audit committee have at least one independent member upon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listing of our common stock, have a majority of independent members within 90 days of the date of this prospectus and be composed entirely</w:t>
      </w:r>
    </w:p>
    <w:p>
      <w:pPr>
        <w:spacing w:after="0" w:line="200" w:lineRule="exact"/>
        <w:rPr>
          <w:sz w:val="20"/>
          <w:szCs w:val="20"/>
          <w:color w:val="auto"/>
        </w:rPr>
      </w:pP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of independent members within one year of the date of this prospectus. Our board of directors has affirmatively determined that , and each meet the definition of “independent director” for purposes of serving on the audit committee under Rule 10A-3 and the rules. Each member of our audit committee meets the financial literacy requirements of listing standards. In addition, our board of directors has determined that will qualify as an “audit committee financial expert,” as such term is defined in Item 407(d)(5)</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Regulation S-K. Our board of directors will adopt a new written charter for the audit committee, which will be available on our principal corporate website at www.expensify.com substantially concurrently with the completion of this offering. The information on or accessed through our website is deemed not to be incorporated in this prospectus or to be part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5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conduct</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www.expensify.com. In addition, we intend to post on our website 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144"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disclosures related to material ESG issues and all 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2020 were as follows:</w:t>
      </w:r>
    </w:p>
    <w:p>
      <w:pPr>
        <w:spacing w:after="0" w:line="144"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Anuradha Muralidharan, our Chief Operating Officer.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top w:val="single" w:sz="8" w:color="auto"/>
            </w:tcBorders>
            <w:vMerge w:val="restart"/>
          </w:tcPr>
          <w:p>
            <w:pPr>
              <w:spacing w:after="0"/>
              <w:rPr>
                <w:sz w:val="15"/>
                <w:szCs w:val="15"/>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80" w:type="dxa"/>
            <w:vAlign w:val="bottom"/>
            <w:tcBorders>
              <w:top w:val="single" w:sz="8" w:color="auto"/>
            </w:tcBorders>
            <w:vMerge w:val="restart"/>
          </w:tcPr>
          <w:p>
            <w:pPr>
              <w:spacing w:after="0"/>
              <w:rPr>
                <w:sz w:val="15"/>
                <w:szCs w:val="15"/>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2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compensation ($)</w:t>
            </w:r>
            <w:r>
              <w:rPr>
                <w:rFonts w:ascii="Arial" w:cs="Arial" w:eastAsia="Arial" w:hAnsi="Arial"/>
                <w:sz w:val="18"/>
                <w:szCs w:val="18"/>
                <w:b w:val="1"/>
                <w:bCs w:val="1"/>
                <w:color w:val="auto"/>
                <w:w w:val="99"/>
                <w:vertAlign w:val="superscript"/>
              </w:rPr>
              <w:t>(3)</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David Barrett</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933,072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126,851</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1,059,924</w:t>
            </w:r>
          </w:p>
        </w:tc>
        <w:tc>
          <w:tcPr>
            <w:tcW w:w="0" w:type="dxa"/>
            <w:vAlign w:val="bottom"/>
          </w:tcPr>
          <w:p>
            <w:pPr>
              <w:spacing w:after="0"/>
              <w:rPr>
                <w:sz w:val="1"/>
                <w:szCs w:val="1"/>
                <w:color w:val="auto"/>
              </w:rPr>
            </w:pPr>
          </w:p>
        </w:tc>
      </w:tr>
      <w:tr>
        <w:trPr>
          <w:trHeight w:val="176"/>
        </w:trPr>
        <w:tc>
          <w:tcPr>
            <w:tcW w:w="3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Ryan Schaffer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677,006</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109,751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35,930</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37,461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860,148</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Anuradha Muralidharan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166,275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8,400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214,465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18,778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407,918</w:t>
            </w:r>
          </w:p>
        </w:tc>
        <w:tc>
          <w:tcPr>
            <w:tcW w:w="0" w:type="dxa"/>
            <w:vAlign w:val="bottom"/>
          </w:tcPr>
          <w:p>
            <w:pPr>
              <w:spacing w:after="0"/>
              <w:rPr>
                <w:sz w:val="1"/>
                <w:szCs w:val="1"/>
                <w:color w:val="auto"/>
              </w:rPr>
            </w:pPr>
          </w:p>
        </w:tc>
      </w:tr>
      <w:tr>
        <w:trPr>
          <w:trHeight w:val="54"/>
        </w:trPr>
        <w:tc>
          <w:tcPr>
            <w:tcW w:w="3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20" w:firstLine="8"/>
        <w:spacing w:after="0" w:line="260" w:lineRule="auto"/>
        <w:tabs>
          <w:tab w:leader="none" w:pos="637" w:val="left"/>
        </w:tabs>
        <w:numPr>
          <w:ilvl w:val="0"/>
          <w:numId w:val="91"/>
        </w:numPr>
        <w:rPr>
          <w:rFonts w:ascii="Arial" w:cs="Arial" w:eastAsia="Arial" w:hAnsi="Arial"/>
          <w:sz w:val="13"/>
          <w:szCs w:val="13"/>
          <w:color w:val="auto"/>
        </w:rPr>
      </w:pPr>
      <w:r>
        <w:rPr>
          <w:rFonts w:ascii="Arial" w:cs="Arial" w:eastAsia="Arial" w:hAnsi="Arial"/>
          <w:sz w:val="13"/>
          <w:szCs w:val="13"/>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eligiblity criteria by paying a one-time bonus equal to the exercise price of 10% of the employees’ vested stock options as of February 1, 2020.</w:t>
      </w:r>
    </w:p>
    <w:p>
      <w:pPr>
        <w:ind w:right="80" w:firstLine="8"/>
        <w:spacing w:after="0" w:line="260" w:lineRule="auto"/>
        <w:tabs>
          <w:tab w:leader="none" w:pos="637" w:val="left"/>
        </w:tabs>
        <w:numPr>
          <w:ilvl w:val="0"/>
          <w:numId w:val="91"/>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right="120" w:firstLine="8"/>
        <w:spacing w:after="0" w:line="280" w:lineRule="auto"/>
        <w:tabs>
          <w:tab w:leader="none" w:pos="637" w:val="left"/>
        </w:tabs>
        <w:numPr>
          <w:ilvl w:val="0"/>
          <w:numId w:val="91"/>
        </w:numPr>
        <w:rPr>
          <w:rFonts w:ascii="Arial" w:cs="Arial" w:eastAsia="Arial" w:hAnsi="Arial"/>
          <w:sz w:val="13"/>
          <w:szCs w:val="13"/>
          <w:color w:val="auto"/>
        </w:rPr>
      </w:pPr>
      <w:r>
        <w:rPr>
          <w:rFonts w:ascii="Arial" w:cs="Arial" w:eastAsia="Arial" w:hAnsi="Arial"/>
          <w:sz w:val="13"/>
          <w:szCs w:val="13"/>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total compensation and base salaries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March 2021, our board of directors increased the total compensation target of Mr. Schaffer and Ms. Muralidharan to $1,221,150 and $836,064,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executive committee may adjust base salaries from time to time in their discretion.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8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During 2020, Mr. Schaffer was eligible for a bonus under our graduate perk program that rewarded employees who met certain eligiblity criteria by paying a one-time bonus. The bonus earned by Mr. Schaffer equaled the exercise price of 10% of Mr. Schaffer’s vested stock options as of February 1, 2020.</w:t>
      </w:r>
    </w:p>
    <w:p>
      <w:pPr>
        <w:spacing w:after="0" w:line="12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Also during 2020, we paid Ms. Muralidharan a discretionary bonus that was intended to make her whole for exercise prices she paid in excess of the $15.97 fair market value for our common stock determined by our board of directors in June 2020. We also grossed up the bonus, as well as other taxes Ms. Muralidharan paid in connection with the exercise of her stock options.</w:t>
      </w:r>
    </w:p>
    <w:p>
      <w:pPr>
        <w:spacing w:after="0" w:line="13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 December 2020, we paid Mr. Schaffer a bonus equal to the aggregate exercise price paid by him to exercise stock options. We also provided gross up to Mr. Schaffer in connection with the bonus.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each bonus is set forth in the Summary Compensation Table above.</w:t>
      </w:r>
    </w:p>
    <w:p>
      <w:pPr>
        <w:spacing w:after="0" w:line="14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board of directors and executive committee may provide additional discretionary bonuses to our NEOs whenever it determines it is necessary or appropriate to incentivize them or reward them for past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2020, we granted Mr. Schaffer and Ms. Muralidharan an option to purchase 382 and 1,275 shares of our common stock, respectively. Each option had an exercise price equal to $32.88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$15.97 per share as described below.</w:t>
      </w:r>
    </w:p>
    <w:p>
      <w:pPr>
        <w:spacing w:after="0" w:line="12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In June 2020, we granted each of Messrs. Barrett and Schaffer and Ms. Muralidharan an option to purchase 4,155, 454 and 1,875 shares of our common stock, respectively, in each case, in accordance with the stated preference the NEO expressed for the portion of his or her total compensation to be taken in the form of stock options and determined using a formula determined appropriate by our board of directors.</w:t>
      </w:r>
    </w:p>
    <w:p>
      <w:pPr>
        <w:ind w:right="80"/>
        <w:spacing w:after="0" w:line="256" w:lineRule="auto"/>
        <w:rPr>
          <w:sz w:val="20"/>
          <w:szCs w:val="20"/>
          <w:color w:val="auto"/>
        </w:rPr>
      </w:pPr>
      <w:r>
        <w:rPr>
          <w:rFonts w:ascii="Arial" w:cs="Arial" w:eastAsia="Arial" w:hAnsi="Arial"/>
          <w:sz w:val="18"/>
          <w:szCs w:val="18"/>
          <w:color w:val="auto"/>
        </w:rPr>
        <w:t>Each option had an exercise price equal to $15.97 per share, which our board of directors determined equaled fair market value on the date of grant, and vests and becomes exercisable as to 1/48th of the shares on each monthly anniversary of March 1, 2020 over a four-year period, subject to the applicable NEO’s continued service through the applicable vesting date.</w:t>
      </w:r>
    </w:p>
    <w:p>
      <w:pPr>
        <w:spacing w:after="0" w:line="13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Also in June 2020, we repriced the exercise prices of options to purchase an aggregate of 382 and 4,012 shares of our common stock held by Mr. Schaffer and Ms. Muralidharan, respectively, to $15.97 per share, which our board of directors determined equaled fair market value on the date of the repricing. Each repriced option retained its original vesting schedule.</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Incentive Plans”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our NEOs perquisites and other personal benefits when we determine that the perquisites or personal benefits will act to incentivize our NEOs. As described above under "2020 Bonuses," during fiscal year 2020, we provided a gross up on the taxes incurred by Mr. Schaffer and Ms. Muralidharan in connection with the payment of bonuses and the exercise of stock options.</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executive committee from time to time may provide additional perquisites and personal benefits to our NEOs when it determines that it is necessary or advisable to fairly compensate or incentivize our NEOs.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2020 fiscal year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320" w:top="1440" w:right="379" w:bottom="1440" w:gutter="0" w:footer="0" w:header="0"/>
        </w:sectPr>
      </w:pPr>
    </w:p>
    <w:bookmarkStart w:id="151" w:name="page152"/>
    <w:bookmarkEnd w:id="15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ind w:left="1060"/>
              <w:spacing w:after="0"/>
              <w:rPr>
                <w:sz w:val="20"/>
                <w:szCs w:val="20"/>
                <w:color w:val="auto"/>
              </w:rPr>
            </w:pPr>
            <w:r>
              <w:rPr>
                <w:rFonts w:ascii="Arial" w:cs="Arial" w:eastAsia="Arial" w:hAnsi="Arial"/>
                <w:sz w:val="13"/>
                <w:szCs w:val="13"/>
                <w:b w:val="1"/>
                <w:bCs w:val="1"/>
                <w:color w:val="auto"/>
              </w:rPr>
              <w:t>Option awards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Number of securities</w:t>
            </w:r>
          </w:p>
        </w:tc>
        <w:tc>
          <w:tcPr>
            <w:tcW w:w="15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5"/>
              </w:rPr>
              <w:t>Number of securities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Vesting</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5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Option exercise price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unexercised options</w:t>
            </w:r>
          </w:p>
        </w:tc>
        <w:tc>
          <w:tcPr>
            <w:tcW w:w="1540" w:type="dxa"/>
            <w:vAlign w:val="bottom"/>
            <w:gridSpan w:val="2"/>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9"/>
              </w:rPr>
              <w:t>Option expiration date</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commencement date </w:t>
            </w:r>
            <w:r>
              <w:rPr>
                <w:rFonts w:ascii="Arial" w:cs="Arial" w:eastAsia="Arial" w:hAnsi="Arial"/>
                <w:sz w:val="16"/>
                <w:szCs w:val="16"/>
                <w:b w:val="1"/>
                <w:bCs w:val="1"/>
                <w:color w:val="auto"/>
                <w:w w:val="95"/>
                <w:vertAlign w:val="superscript"/>
              </w:rPr>
              <w:t>(1)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exercisable (#)</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 (#)</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10/30/2014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158,564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130,272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10.66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4,155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1440" w:type="dxa"/>
            <w:vAlign w:val="bottom"/>
          </w:tcPr>
          <w:p>
            <w:pPr>
              <w:jc w:val="center"/>
              <w:spacing w:after="0"/>
              <w:rPr>
                <w:sz w:val="20"/>
                <w:szCs w:val="20"/>
                <w:color w:val="auto"/>
              </w:rPr>
            </w:pPr>
            <w:r>
              <w:rPr>
                <w:rFonts w:ascii="Arial" w:cs="Arial" w:eastAsia="Arial" w:hAnsi="Arial"/>
                <w:sz w:val="16"/>
                <w:szCs w:val="16"/>
                <w:color w:val="auto"/>
              </w:rPr>
              <w:t>7/1/2014</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3,236</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10/28/2024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10/30/2014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29,307</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2/1/2015</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5,320</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5/30/2025</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7/1/2015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3,260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8/11/2025</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1/1/2016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1,293</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3/31/2026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351</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3/22/2027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6"/>
              </w:rPr>
              <w:t xml:space="preserve">10/30/2018 </w:t>
            </w:r>
            <w:r>
              <w:rPr>
                <w:rFonts w:ascii="Arial" w:cs="Arial" w:eastAsia="Arial" w:hAnsi="Arial"/>
                <w:sz w:val="21"/>
                <w:szCs w:val="21"/>
                <w:color w:val="auto"/>
                <w:w w:val="96"/>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2,912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1/10/2029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2/1/2019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699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1,591</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42,105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382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454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Anuradha Muralidharan</w:t>
            </w:r>
          </w:p>
        </w:tc>
        <w:tc>
          <w:tcPr>
            <w:tcW w:w="1440" w:type="dxa"/>
            <w:vAlign w:val="bottom"/>
          </w:tcPr>
          <w:p>
            <w:pPr>
              <w:jc w:val="center"/>
              <w:spacing w:after="0"/>
              <w:rPr>
                <w:sz w:val="20"/>
                <w:szCs w:val="20"/>
                <w:color w:val="auto"/>
              </w:rPr>
            </w:pPr>
            <w:r>
              <w:rPr>
                <w:rFonts w:ascii="Arial" w:cs="Arial" w:eastAsia="Arial" w:hAnsi="Arial"/>
                <w:sz w:val="16"/>
                <w:szCs w:val="16"/>
                <w:color w:val="auto"/>
              </w:rPr>
              <w:t>7/1/2016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9/12/2026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185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3/21/2027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1/1/2018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350</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1/11/2028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7/1/2018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1,308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7/29/2028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1,084</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6,439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4/16/2019 </w:t>
            </w:r>
            <w:r>
              <w:rPr>
                <w:rFonts w:ascii="Arial" w:cs="Arial" w:eastAsia="Arial" w:hAnsi="Arial"/>
                <w:sz w:val="21"/>
                <w:szCs w:val="21"/>
                <w:color w:val="auto"/>
                <w:w w:val="94"/>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799</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6/10/2019 </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2,737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1,275</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1,875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54"/>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60" w:firstLine="8"/>
        <w:spacing w:after="0" w:line="260" w:lineRule="auto"/>
        <w:tabs>
          <w:tab w:leader="none" w:pos="637" w:val="left"/>
        </w:tabs>
        <w:numPr>
          <w:ilvl w:val="0"/>
          <w:numId w:val="92"/>
        </w:numPr>
        <w:rPr>
          <w:rFonts w:ascii="Arial" w:cs="Arial" w:eastAsia="Arial" w:hAnsi="Arial"/>
          <w:sz w:val="13"/>
          <w:szCs w:val="13"/>
          <w:color w:val="auto"/>
        </w:rPr>
      </w:pPr>
      <w:r>
        <w:rPr>
          <w:rFonts w:ascii="Arial" w:cs="Arial" w:eastAsia="Arial" w:hAnsi="Arial"/>
          <w:sz w:val="13"/>
          <w:szCs w:val="13"/>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right="260" w:firstLine="8"/>
        <w:spacing w:after="0" w:line="260" w:lineRule="auto"/>
        <w:tabs>
          <w:tab w:leader="none" w:pos="637"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right="300" w:firstLine="8"/>
        <w:spacing w:after="0" w:line="270" w:lineRule="auto"/>
        <w:tabs>
          <w:tab w:leader="none" w:pos="637"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arrangements</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 offering, we intend to enter into new employment agreements with our NEOs that are effective at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5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intend to adopt the 2021 Plan, which will be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Under the 2021 Plan, shares of our common stock will be initially reserved for issuance pursuant to a variety of stock-based compensation awards, including stock options, stock appreciation rights, or SARs, restricted stock awards, restricted stock unit awards and other stock-based awards. The number of shares initially reserved for issuance or transfer pursuant to awards under the 2021 Plan will be increased by (i) the number of shares represented by awards outstanding under our 2012 Plan, or Prior Plan Awards, that become available for issuance under the counting provisions described below following the effective date and (ii) an annual increase on the first day</w:t>
      </w:r>
    </w:p>
    <w:p>
      <w:pPr>
        <w:spacing w:after="0" w:line="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of each fiscal year beginning in 2022 and ending in 2031, equal to the lesser of (A) % of the shares of our common stock outstanding (on an as converted basis) on the last day of the immediately preceding fiscal year and (B) such smaller number of shares of stock as</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determined by our board of directors; provided, however, that no more than shares of stock may be issued upon the exercise of incentive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158" w:lineRule="exact"/>
        <w:rPr>
          <w:sz w:val="20"/>
          <w:szCs w:val="20"/>
          <w:color w:val="auto"/>
        </w:rPr>
      </w:pPr>
    </w:p>
    <w:p>
      <w:pPr>
        <w:ind w:left="340" w:right="420" w:hanging="332"/>
        <w:spacing w:after="0" w:line="291" w:lineRule="auto"/>
        <w:tabs>
          <w:tab w:leader="none" w:pos="3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Plan;</w:t>
      </w:r>
    </w:p>
    <w:p>
      <w:pPr>
        <w:spacing w:after="0" w:line="92" w:lineRule="exact"/>
        <w:rPr>
          <w:rFonts w:ascii="Arial" w:cs="Arial" w:eastAsia="Arial" w:hAnsi="Arial"/>
          <w:sz w:val="17"/>
          <w:szCs w:val="17"/>
          <w:color w:val="auto"/>
        </w:rPr>
      </w:pPr>
    </w:p>
    <w:p>
      <w:pPr>
        <w:ind w:left="340" w:right="260" w:hanging="332"/>
        <w:spacing w:after="0" w:line="291" w:lineRule="auto"/>
        <w:tabs>
          <w:tab w:leader="none" w:pos="33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the extent shares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06" w:lineRule="exact"/>
        <w:rPr>
          <w:rFonts w:ascii="Arial" w:cs="Arial" w:eastAsia="Arial" w:hAnsi="Arial"/>
          <w:sz w:val="17"/>
          <w:szCs w:val="17"/>
          <w:color w:val="auto"/>
        </w:rPr>
      </w:pPr>
    </w:p>
    <w:p>
      <w:pPr>
        <w:ind w:left="340" w:right="20" w:hanging="332"/>
        <w:spacing w:after="0" w:line="261"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30"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Plan;</w:t>
      </w:r>
    </w:p>
    <w:p>
      <w:pPr>
        <w:spacing w:after="0" w:line="116"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Plan; and</w:t>
      </w:r>
    </w:p>
    <w:p>
      <w:pPr>
        <w:spacing w:after="0" w:line="130"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w:t>
      </w:r>
    </w:p>
    <w:p>
      <w:pPr>
        <w:spacing w:after="0" w:line="9"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based awards to any individual for services as a non-employee director during any calendar year may not exceed $</w:t>
      </w:r>
      <w:r>
        <w:rPr>
          <w:sz w:val="20"/>
          <w:szCs w:val="20"/>
          <w:color w:val="auto"/>
        </w:rPr>
        <w:tab/>
      </w:r>
      <w:r>
        <w:rPr>
          <w:rFonts w:ascii="Arial" w:cs="Arial" w:eastAsia="Arial" w:hAnsi="Arial"/>
          <w:sz w:val="18"/>
          <w:szCs w:val="18"/>
          <w:color w:val="auto"/>
        </w:rPr>
        <w:t>.</w:t>
      </w:r>
    </w:p>
    <w:p>
      <w:pPr>
        <w:spacing w:after="0" w:line="12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is expected to administer the 2021 Plan. The 2021 Plan provides that the board may delegate its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grant awards to employees other than executive officers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1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11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95" w:lineRule="exact"/>
        <w:rPr>
          <w:sz w:val="20"/>
          <w:szCs w:val="20"/>
          <w:color w:val="auto"/>
        </w:rPr>
      </w:pPr>
    </w:p>
    <w:p>
      <w:pPr>
        <w:ind w:left="340" w:right="60" w:hanging="332"/>
        <w:spacing w:after="0" w:line="258"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15" w:lineRule="exact"/>
        <w:rPr>
          <w:rFonts w:ascii="Arial" w:cs="Arial" w:eastAsia="Arial" w:hAnsi="Arial"/>
          <w:sz w:val="18"/>
          <w:szCs w:val="18"/>
          <w:color w:val="auto"/>
        </w:rPr>
      </w:pPr>
    </w:p>
    <w:p>
      <w:pPr>
        <w:ind w:left="340" w:right="100" w:hanging="332"/>
        <w:spacing w:after="0" w:line="255"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or ISOs, will be designed in a manner intended to comply with the provisions of Section 422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of 1986, as amended, or the Code, and 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21"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06" w:lineRule="exact"/>
        <w:rPr>
          <w:rFonts w:ascii="Arial" w:cs="Arial" w:eastAsia="Arial" w:hAnsi="Arial"/>
          <w:sz w:val="18"/>
          <w:szCs w:val="18"/>
          <w:color w:val="auto"/>
        </w:rPr>
      </w:pPr>
    </w:p>
    <w:p>
      <w:pPr>
        <w:ind w:left="340" w:right="180" w:hanging="332"/>
        <w:spacing w:after="0" w:line="258"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26" w:lineRule="exact"/>
        <w:rPr>
          <w:sz w:val="20"/>
          <w:szCs w:val="20"/>
          <w:color w:val="auto"/>
        </w:rPr>
      </w:pPr>
    </w:p>
    <w:p>
      <w:pPr>
        <w:ind w:left="340" w:right="200" w:hanging="332"/>
        <w:spacing w:after="0" w:line="258"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102"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19"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3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14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17"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plan</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2019 Plan provides for the grant of non-qualified options, restricted stock and restricted stock units to employees, non-employee members of the board of directors and consultants. The 2019 Plan provides for the grant of ISOs to employees.</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an aggregate of 992,127 shares of our common stock for issuance under the 2019 Plan, plus any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 December 31, 2020, the aggregate number of shares of our common stock reserved for issuance under the 2019 Plan pursuant to the increase outlined in the prior statement is 1,000,881. As of December 31, 2020, options to purchase a total of 812,088 shares of our common stock were outstanding and 145,164 shares remained available for future grants.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2019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2019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1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2019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9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Plan shall be subject to the approval of our stockholders only to the extent required by applicable laws. No awards may be granted under our 2019 Plan after it is terminated.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stock plan</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2009 Plan provides for the grant of non-qualified options and restricted stock to employees, non-employee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and consultants. The 2009 Plan provides for the grant of ISOs to employees.</w:t>
      </w:r>
    </w:p>
    <w:p>
      <w:pPr>
        <w:spacing w:after="0" w:line="9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December 31, 2020, an aggregate of 1,519,544 shares of our common stock were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Plan. As of December 31, 2020, options to purchase a total of 539,194 shares of our common stock were outstanding and no shares remained available for future grants.</w:t>
      </w:r>
    </w:p>
    <w:p>
      <w:pPr>
        <w:spacing w:after="0" w:line="9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2009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2009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11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2009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of the trustor or by gift to qualified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2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10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2009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2009 Plan shall be subject to the approval of our stockholders only to the extent required by applicable laws. No awards may be granted under our 2009 Plan after it is terminated.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0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executive committee will administer the ESPP. Our executive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which will be authorized for sale under the ESPP is equal to the sum of</w:t>
      </w:r>
    </w:p>
    <w:p>
      <w:pPr>
        <w:spacing w:after="0" w:line="27"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shares of common stock and (b) an annual increase on the first day of each fiscal year beginning in 2022 and ending in 2031, equal</w:t>
      </w:r>
    </w:p>
    <w:p>
      <w:pPr>
        <w:spacing w:after="0" w:line="9" w:lineRule="exact"/>
        <w:rPr>
          <w:rFonts w:ascii="Arial" w:cs="Arial" w:eastAsia="Arial" w:hAnsi="Arial"/>
          <w:sz w:val="18"/>
          <w:szCs w:val="18"/>
          <w:color w:val="auto"/>
        </w:rPr>
      </w:pPr>
    </w:p>
    <w:p>
      <w:pPr>
        <w:ind w:right="180"/>
        <w:spacing w:after="0" w:line="265" w:lineRule="auto"/>
        <w:rPr>
          <w:rFonts w:ascii="Arial" w:cs="Arial" w:eastAsia="Arial" w:hAnsi="Arial"/>
          <w:sz w:val="18"/>
          <w:szCs w:val="18"/>
          <w:color w:val="auto"/>
        </w:rPr>
      </w:pPr>
      <w:r>
        <w:rPr>
          <w:rFonts w:ascii="Arial" w:cs="Arial" w:eastAsia="Arial" w:hAnsi="Arial"/>
          <w:sz w:val="17"/>
          <w:szCs w:val="17"/>
          <w:color w:val="auto"/>
        </w:rPr>
        <w:t>to the lesser of (i) % of the shares of our common stock outstanding (on an as converted basis) on the last day of the immediately preceding fiscal year and (ii) such number of shares of common stock as determined by our board of directors; provided, however, no more</w:t>
      </w:r>
    </w:p>
    <w:p>
      <w:pPr>
        <w:ind w:right="800"/>
        <w:spacing w:after="0" w:line="261" w:lineRule="auto"/>
        <w:rPr>
          <w:sz w:val="20"/>
          <w:szCs w:val="20"/>
          <w:color w:val="auto"/>
        </w:rPr>
      </w:pPr>
      <w:r>
        <w:rPr>
          <w:rFonts w:ascii="Arial" w:cs="Arial" w:eastAsia="Arial" w:hAnsi="Arial"/>
          <w:sz w:val="18"/>
          <w:szCs w:val="18"/>
          <w:color w:val="auto"/>
        </w:rPr>
        <w:t>than shares of our common stock may be issued under the ESPP. The shares reserved for issuance under the ESPP may be authorized but unissued shares or reacquired shares.</w:t>
      </w:r>
    </w:p>
    <w:p>
      <w:pPr>
        <w:spacing w:after="0" w:line="11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0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1% of their compensation but not more than the lesser of 15% of their compensation or $50,000. Such payroll deductions may be expressed as either a whole number percentage or a fixed dollar amount, and the accumulated deductions will be applied to the purchase of shares on each purchase date. However, a participant may not purchase more than 50,000 shares in each offering period and may not subscribe for more than $25,000 in fair market value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our common stock (determined at the time the option is granted) during any calendar year. The ESPP administrator has the authority to change these limitations for any subsequent offering period.</w:t>
      </w:r>
    </w:p>
    <w:p>
      <w:pPr>
        <w:spacing w:after="0" w:line="9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Offering</w:t>
      </w:r>
      <w:r>
        <w:rPr>
          <w:rFonts w:ascii="Arial" w:cs="Arial" w:eastAsia="Arial" w:hAnsi="Arial"/>
          <w:sz w:val="18"/>
          <w:szCs w:val="18"/>
          <w:color w:val="auto"/>
        </w:rPr>
        <w:t>. 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1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Adjustments upon changes in recapitalization, dissolution, liquidation, merger or asset sale</w:t>
      </w:r>
      <w:r>
        <w:rPr>
          <w:rFonts w:ascii="Arial" w:cs="Arial" w:eastAsia="Arial" w:hAnsi="Arial"/>
          <w:sz w:val="18"/>
          <w:szCs w:val="18"/>
          <w:color w:val="auto"/>
        </w:rPr>
        <w:t>. 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2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13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3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redemption agreement</w:t>
      </w:r>
    </w:p>
    <w:p>
      <w:pPr>
        <w:spacing w:after="0" w:line="15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convertible note financing</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2018, we issued and sold convertible promissory notes in the aggregate principal amount of $20,000,072 to certain investors. The convertible promissory notes accrued interest at 13% annually and were paid off in November 2018 with funds from our non-amortizing term loan from CIBC. OpenView Venture Partners IV, L.P. and OpenView Affiliates Fund IV, L.P. (together, “OpenView”), a beneficial owner of more than 5% of our capital stock, purchased convertible promissory notes in the aggregate principal amount of $10,000,000 in the financing. Mr. Bartlett, a member of our board of directors, is an affiliate of OpenView. Point Judith Venture Fund IV, L.P. and PJC-DV II, LLC purchased convertible promissory notes in the aggregate principal amount of $ 1,700,673 in the financing. Point Judith Venture Fund IV, L.P., PJC-DV II, LLC and affiliated entities (together, "Point Judith") beneficially own more than 5% of our capital stock.</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loan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1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20"/>
                <w:szCs w:val="20"/>
                <w:color w:val="auto"/>
              </w:rPr>
            </w:pPr>
            <w:r>
              <w:rPr>
                <w:rFonts w:ascii="Arial" w:cs="Arial" w:eastAsia="Arial" w:hAnsi="Arial"/>
                <w:sz w:val="18"/>
                <w:szCs w:val="18"/>
                <w:color w:val="auto"/>
              </w:rPr>
              <w:t>Mr. Barrett repaid the loan in full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tender offer</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October 2019, we conducted a tender offer in which we repurchased from certain then-current employees an aggregate of 5,692 shares of our common stock at $325.41 per share, for an aggregate purchase price of $1,852,234.</w:t>
      </w:r>
    </w:p>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table below sets forth the number of shares of common stock repurchased from beneficial owners of more than 5% of our capital stock, our directors, officers or their respective affiliates: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Shares of common</w:t>
            </w:r>
          </w:p>
        </w:tc>
        <w:tc>
          <w:tcPr>
            <w:tcW w:w="3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repurchase price</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3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repurchased</w:t>
            </w: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David Barrett</w:t>
            </w: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460</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460</w:t>
            </w:r>
          </w:p>
        </w:tc>
        <w:tc>
          <w:tcPr>
            <w:tcW w:w="1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54"/>
        </w:trPr>
        <w:tc>
          <w:tcPr>
            <w:tcW w:w="40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Schaffer is our chief financial officer and a member of our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tender offer</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2020, entities affiliated with Mr. Barrett sold 178,361 shares of our common stock at a price of $112.13266 per share to EXP 2020 SPV LP, for an aggregate purchase price of $20,000,093. In a related transaction in November 2020, certain then-current employees sold an aggregate of 104,863 shares of our common stock to EXP 2020 SPV, LP via a tender offer, at a price per share of $112.13266, for an aggregate purchase price of $11,758,567. EXP 2020 SPV, LP purchased 21,999 shares of our common stock from Mr. Schaffer for an aggregate purchase price of $2,466,806 and 3,571 shares of our common stock from William Barrett, the brother of Mr. Barrett, for an aggregate purchase price of $400,426. As part of that transaction, we paid an aggregate of $1,507,163 in cash bonuses to certain employees who tendered shares that they obtained by exercising options in connection with the transaction, including a cash bonus of $108,322 to Mr. Schaffer and $58,659 to William Barrett.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agreement</w:t>
      </w:r>
    </w:p>
    <w:p>
      <w:pPr>
        <w:spacing w:after="0" w:line="170"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5% of our capital stock. The Investor Voting Agreement will terminate upon the completion of this offering. For more information on the voting rights of our common stock following the completion of this offering, see “Description of capital stock—Common stock—Voting.”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co-sale relating to the shares of our common stock held by certain parties to the agreement. The Right of First Refusal and Co-Sale Agreement will terminate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rights agreement</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and transfer rights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arrangement</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January 1, 2018 through June 1 2021, William Barrett, the brother of Mr. Barrett, has received an aggregate of $490,306 in cash compensation and equity compensation having an aggregate value of $87,664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offer and voting trust</w:t>
      </w:r>
    </w:p>
    <w:p>
      <w:pPr>
        <w:spacing w:after="0" w:line="17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and Schaffer and Ms. Muralidharan,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and Schaffer and Ms. Muralidharan have made irrevocable elections to exchange shares of common stock for shares of LT10 and/or LT50 common stock, on a one-for-one basis, in the Exchange Offer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8640"/>
        <w:spacing w:after="0"/>
        <w:tabs>
          <w:tab w:leader="none" w:pos="10280" w:val="left"/>
        </w:tabs>
        <w:rPr>
          <w:sz w:val="20"/>
          <w:szCs w:val="20"/>
          <w:color w:val="auto"/>
        </w:rPr>
      </w:pPr>
      <w:r>
        <w:rPr>
          <w:rFonts w:ascii="Arial" w:cs="Arial" w:eastAsia="Arial" w:hAnsi="Arial"/>
          <w:sz w:val="14"/>
          <w:szCs w:val="14"/>
          <w:b w:val="1"/>
          <w:bCs w:val="1"/>
          <w:color w:val="auto"/>
        </w:rPr>
        <w:t>LT10</w:t>
      </w:r>
      <w:r>
        <w:rPr>
          <w:sz w:val="20"/>
          <w:szCs w:val="20"/>
          <w:color w:val="auto"/>
        </w:rPr>
        <w:tab/>
      </w:r>
      <w:r>
        <w:rPr>
          <w:rFonts w:ascii="Arial" w:cs="Arial" w:eastAsia="Arial" w:hAnsi="Arial"/>
          <w:sz w:val="14"/>
          <w:szCs w:val="14"/>
          <w:b w:val="1"/>
          <w:bCs w:val="1"/>
          <w:color w:val="auto"/>
        </w:rPr>
        <w:t>LT50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Messrs. Barrett and Schaffer will also be two of the three initial Trustees of the Voting Trust.</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7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320" w:top="1440" w:right="379" w:bottom="1440" w:gutter="0" w:footer="0" w:header="0"/>
        </w:sectPr>
      </w:pPr>
    </w:p>
    <w:bookmarkStart w:id="164" w:name="page165"/>
    <w:bookmarkEnd w:id="164"/>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and selling stockholders</w:t>
      </w:r>
    </w:p>
    <w:p>
      <w:pPr>
        <w:spacing w:after="0" w:line="3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38"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5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w:t>
      </w:r>
    </w:p>
    <w:p>
      <w:pPr>
        <w:ind w:right="140"/>
        <w:spacing w:after="0" w:line="250" w:lineRule="auto"/>
        <w:rPr>
          <w:sz w:val="20"/>
          <w:szCs w:val="20"/>
          <w:color w:val="auto"/>
        </w:rPr>
      </w:pPr>
      <w:r>
        <w:rPr>
          <w:rFonts w:ascii="Arial" w:cs="Arial" w:eastAsia="Arial" w:hAnsi="Arial"/>
          <w:sz w:val="18"/>
          <w:szCs w:val="18"/>
          <w:color w:val="auto"/>
        </w:rPr>
        <w:t>sole voting and sole investment power with respect to all shares that they beneficially owned as of , 2021, subject to community property laws where applicable. We have deemed shares of our common stock subject to stock options that are currently exercisable or will</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be exercisable within 60 days of , 2021 or net issuable pursuant to RSUs which are subject to vesting and settlement conditions expected to occur within 60 days of , 2021 to be outstanding and to be beneficially owned by the person holding the stock option or</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percentage ownership of our common stock after this offering also assumes the foregoing and the issuance and sale of shares by us in this offering, the sale of shares by the selling stockholders and no exercise of the underwriters’ option to purchase from us and the selling stockholders additional shares of our Class A common stock.</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0" w:type="dxa"/>
            <w:vAlign w:val="bottom"/>
            <w:tcBorders>
              <w:top w:val="single" w:sz="8" w:color="auto"/>
            </w:tcBorders>
          </w:tcPr>
          <w:p>
            <w:pPr>
              <w:spacing w:after="0"/>
              <w:rPr>
                <w:sz w:val="16"/>
                <w:szCs w:val="16"/>
                <w:color w:val="auto"/>
              </w:rPr>
            </w:pPr>
          </w:p>
        </w:tc>
        <w:tc>
          <w:tcPr>
            <w:tcW w:w="3420" w:type="dxa"/>
            <w:vAlign w:val="bottom"/>
            <w:tcBorders>
              <w:top w:val="single" w:sz="8" w:color="auto"/>
              <w:bottom w:val="single" w:sz="8" w:color="auto"/>
            </w:tcBorders>
            <w:gridSpan w:val="7"/>
          </w:tcPr>
          <w:p>
            <w:pPr>
              <w:ind w:left="500"/>
              <w:spacing w:after="0"/>
              <w:rPr>
                <w:sz w:val="20"/>
                <w:szCs w:val="20"/>
                <w:color w:val="auto"/>
              </w:rPr>
            </w:pPr>
            <w:r>
              <w:rPr>
                <w:rFonts w:ascii="Arial" w:cs="Arial" w:eastAsia="Arial" w:hAnsi="Arial"/>
                <w:sz w:val="12"/>
                <w:szCs w:val="12"/>
                <w:b w:val="1"/>
                <w:bCs w:val="1"/>
                <w:color w:val="auto"/>
              </w:rPr>
              <w:t>Shares beneficially owned prior to this offering</w:t>
            </w: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540" w:type="dxa"/>
            <w:vAlign w:val="bottom"/>
            <w:tcBorders>
              <w:top w:val="single" w:sz="8" w:color="auto"/>
              <w:bottom w:val="single" w:sz="8" w:color="auto"/>
            </w:tcBorders>
            <w:gridSpan w:val="7"/>
          </w:tcPr>
          <w:p>
            <w:pPr>
              <w:ind w:left="660"/>
              <w:spacing w:after="0"/>
              <w:rPr>
                <w:sz w:val="20"/>
                <w:szCs w:val="20"/>
                <w:color w:val="auto"/>
              </w:rPr>
            </w:pPr>
            <w:r>
              <w:rPr>
                <w:rFonts w:ascii="Arial" w:cs="Arial" w:eastAsia="Arial" w:hAnsi="Arial"/>
                <w:sz w:val="12"/>
                <w:szCs w:val="12"/>
                <w:b w:val="1"/>
                <w:bCs w:val="1"/>
                <w:color w:val="auto"/>
              </w:rPr>
              <w:t>Shares beneficially owned after this offering</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Class A</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LT10</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LT50</w:t>
            </w:r>
          </w:p>
        </w:tc>
        <w:tc>
          <w:tcPr>
            <w:tcW w:w="28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Class A</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LT10</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LT50</w:t>
            </w:r>
          </w:p>
        </w:tc>
        <w:tc>
          <w:tcPr>
            <w:tcW w:w="30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rPr>
              <w:t>% of voting</w:t>
            </w:r>
          </w:p>
        </w:tc>
        <w:tc>
          <w:tcPr>
            <w:tcW w:w="840" w:type="dxa"/>
            <w:vAlign w:val="bottom"/>
          </w:tcPr>
          <w:p>
            <w:pPr>
              <w:jc w:val="center"/>
              <w:spacing w:after="0" w:line="105" w:lineRule="exact"/>
              <w:rPr>
                <w:sz w:val="20"/>
                <w:szCs w:val="20"/>
                <w:color w:val="auto"/>
              </w:rPr>
            </w:pPr>
            <w:r>
              <w:rPr>
                <w:rFonts w:ascii="Arial" w:cs="Arial" w:eastAsia="Arial" w:hAnsi="Arial"/>
                <w:sz w:val="12"/>
                <w:szCs w:val="12"/>
                <w:color w:val="auto"/>
              </w:rPr>
              <w:t>Number of</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vMerge w:val="restart"/>
          </w:tcPr>
          <w:p>
            <w:pPr>
              <w:ind w:left="20"/>
              <w:spacing w:after="0"/>
              <w:rPr>
                <w:sz w:val="20"/>
                <w:szCs w:val="20"/>
                <w:color w:val="auto"/>
              </w:rPr>
            </w:pPr>
            <w:r>
              <w:rPr>
                <w:rFonts w:ascii="Arial" w:cs="Arial" w:eastAsia="Arial" w:hAnsi="Arial"/>
                <w:sz w:val="12"/>
                <w:szCs w:val="12"/>
                <w:color w:val="auto"/>
              </w:rPr>
              <w:t>Name of</w:t>
            </w: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shares of</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restart"/>
          </w:tcPr>
          <w:p>
            <w:pPr>
              <w:ind w:left="140"/>
              <w:spacing w:after="0"/>
              <w:rPr>
                <w:sz w:val="20"/>
                <w:szCs w:val="20"/>
                <w:color w:val="auto"/>
              </w:rPr>
            </w:pPr>
            <w:r>
              <w:rPr>
                <w:rFonts w:ascii="Arial" w:cs="Arial" w:eastAsia="Arial" w:hAnsi="Arial"/>
                <w:sz w:val="12"/>
                <w:szCs w:val="12"/>
                <w:color w:val="auto"/>
              </w:rPr>
              <w:t>% of voting</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2"/>
                <w:szCs w:val="12"/>
                <w:color w:val="auto"/>
                <w:w w:val="97"/>
              </w:rPr>
              <w:t>power</w:t>
            </w: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Class A</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ind w:left="20"/>
              <w:spacing w:after="0" w:line="108" w:lineRule="exact"/>
              <w:rPr>
                <w:sz w:val="20"/>
                <w:szCs w:val="20"/>
                <w:color w:val="auto"/>
              </w:rPr>
            </w:pPr>
            <w:r>
              <w:rPr>
                <w:rFonts w:ascii="Arial" w:cs="Arial" w:eastAsia="Arial" w:hAnsi="Arial"/>
                <w:sz w:val="12"/>
                <w:szCs w:val="12"/>
                <w:color w:val="auto"/>
              </w:rPr>
              <w:t>Beneficial</w:t>
            </w:r>
          </w:p>
        </w:tc>
        <w:tc>
          <w:tcPr>
            <w:tcW w:w="900" w:type="dxa"/>
            <w:vAlign w:val="bottom"/>
            <w:vMerge w:val="restart"/>
          </w:tcPr>
          <w:p>
            <w:pPr>
              <w:ind w:left="20"/>
              <w:spacing w:after="0"/>
              <w:rPr>
                <w:sz w:val="20"/>
                <w:szCs w:val="20"/>
                <w:color w:val="auto"/>
              </w:rPr>
            </w:pPr>
            <w:r>
              <w:rPr>
                <w:rFonts w:ascii="Arial" w:cs="Arial" w:eastAsia="Arial" w:hAnsi="Arial"/>
                <w:sz w:val="12"/>
                <w:szCs w:val="12"/>
                <w:color w:val="auto"/>
              </w:rPr>
              <w:t>Shares</w:t>
            </w:r>
          </w:p>
        </w:tc>
        <w:tc>
          <w:tcPr>
            <w:tcW w:w="1240" w:type="dxa"/>
            <w:vAlign w:val="bottom"/>
            <w:gridSpan w:val="3"/>
            <w:vMerge w:val="restart"/>
          </w:tcPr>
          <w:p>
            <w:pPr>
              <w:ind w:left="120"/>
              <w:spacing w:after="0"/>
              <w:rPr>
                <w:sz w:val="20"/>
                <w:szCs w:val="20"/>
                <w:color w:val="auto"/>
              </w:rPr>
            </w:pPr>
            <w:r>
              <w:rPr>
                <w:rFonts w:ascii="Arial" w:cs="Arial" w:eastAsia="Arial" w:hAnsi="Arial"/>
                <w:sz w:val="12"/>
                <w:szCs w:val="12"/>
                <w:color w:val="auto"/>
              </w:rPr>
              <w:t>%  Shares</w:t>
            </w:r>
          </w:p>
        </w:tc>
        <w:tc>
          <w:tcPr>
            <w:tcW w:w="1280" w:type="dxa"/>
            <w:vAlign w:val="bottom"/>
            <w:gridSpan w:val="3"/>
            <w:vMerge w:val="restart"/>
          </w:tcPr>
          <w:p>
            <w:pPr>
              <w:ind w:left="160"/>
              <w:spacing w:after="0"/>
              <w:rPr>
                <w:sz w:val="20"/>
                <w:szCs w:val="20"/>
                <w:color w:val="auto"/>
              </w:rPr>
            </w:pPr>
            <w:r>
              <w:rPr>
                <w:rFonts w:ascii="Arial" w:cs="Arial" w:eastAsia="Arial" w:hAnsi="Arial"/>
                <w:sz w:val="12"/>
                <w:szCs w:val="12"/>
                <w:color w:val="auto"/>
              </w:rPr>
              <w:t>%  Shares</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center"/>
              <w:spacing w:after="0" w:line="108" w:lineRule="exact"/>
              <w:rPr>
                <w:sz w:val="20"/>
                <w:szCs w:val="20"/>
                <w:color w:val="auto"/>
              </w:rPr>
            </w:pPr>
            <w:r>
              <w:rPr>
                <w:rFonts w:ascii="Arial" w:cs="Arial" w:eastAsia="Arial" w:hAnsi="Arial"/>
                <w:sz w:val="12"/>
                <w:szCs w:val="12"/>
                <w:color w:val="auto"/>
                <w:w w:val="99"/>
              </w:rPr>
              <w:t>before this</w:t>
            </w: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being</w:t>
            </w:r>
          </w:p>
        </w:tc>
        <w:tc>
          <w:tcPr>
            <w:tcW w:w="980" w:type="dxa"/>
            <w:vAlign w:val="bottom"/>
            <w:vMerge w:val="restart"/>
          </w:tcPr>
          <w:p>
            <w:pPr>
              <w:ind w:left="20"/>
              <w:spacing w:after="0"/>
              <w:rPr>
                <w:sz w:val="20"/>
                <w:szCs w:val="20"/>
                <w:color w:val="auto"/>
              </w:rPr>
            </w:pPr>
            <w:r>
              <w:rPr>
                <w:rFonts w:ascii="Arial" w:cs="Arial" w:eastAsia="Arial" w:hAnsi="Arial"/>
                <w:sz w:val="12"/>
                <w:szCs w:val="12"/>
                <w:color w:val="auto"/>
              </w:rPr>
              <w:t>Shares</w:t>
            </w:r>
          </w:p>
        </w:tc>
        <w:tc>
          <w:tcPr>
            <w:tcW w:w="1260" w:type="dxa"/>
            <w:vAlign w:val="bottom"/>
            <w:gridSpan w:val="3"/>
            <w:vMerge w:val="restart"/>
          </w:tcPr>
          <w:p>
            <w:pPr>
              <w:ind w:left="140"/>
              <w:spacing w:after="0"/>
              <w:rPr>
                <w:sz w:val="20"/>
                <w:szCs w:val="20"/>
                <w:color w:val="auto"/>
              </w:rPr>
            </w:pPr>
            <w:r>
              <w:rPr>
                <w:rFonts w:ascii="Arial" w:cs="Arial" w:eastAsia="Arial" w:hAnsi="Arial"/>
                <w:sz w:val="12"/>
                <w:szCs w:val="12"/>
                <w:color w:val="auto"/>
              </w:rPr>
              <w:t>%  Shares</w:t>
            </w:r>
          </w:p>
        </w:tc>
        <w:tc>
          <w:tcPr>
            <w:tcW w:w="1300" w:type="dxa"/>
            <w:vAlign w:val="bottom"/>
            <w:gridSpan w:val="3"/>
            <w:vMerge w:val="restart"/>
          </w:tcPr>
          <w:p>
            <w:pPr>
              <w:ind w:left="180"/>
              <w:spacing w:after="0"/>
              <w:rPr>
                <w:sz w:val="20"/>
                <w:szCs w:val="20"/>
                <w:color w:val="auto"/>
              </w:rPr>
            </w:pPr>
            <w:r>
              <w:rPr>
                <w:rFonts w:ascii="Arial" w:cs="Arial" w:eastAsia="Arial" w:hAnsi="Arial"/>
                <w:sz w:val="12"/>
                <w:szCs w:val="12"/>
                <w:color w:val="auto"/>
              </w:rPr>
              <w:t>%  Shares</w:t>
            </w:r>
          </w:p>
        </w:tc>
        <w:tc>
          <w:tcPr>
            <w:tcW w:w="300" w:type="dxa"/>
            <w:vAlign w:val="bottom"/>
          </w:tcPr>
          <w:p>
            <w:pPr>
              <w:spacing w:after="0"/>
              <w:rPr>
                <w:sz w:val="9"/>
                <w:szCs w:val="9"/>
                <w:color w:val="auto"/>
              </w:rPr>
            </w:pPr>
          </w:p>
        </w:tc>
        <w:tc>
          <w:tcPr>
            <w:tcW w:w="780" w:type="dxa"/>
            <w:vAlign w:val="bottom"/>
          </w:tcPr>
          <w:p>
            <w:pPr>
              <w:ind w:left="140"/>
              <w:spacing w:after="0" w:line="108" w:lineRule="exact"/>
              <w:rPr>
                <w:sz w:val="20"/>
                <w:szCs w:val="20"/>
                <w:color w:val="auto"/>
              </w:rPr>
            </w:pPr>
            <w:r>
              <w:rPr>
                <w:rFonts w:ascii="Arial" w:cs="Arial" w:eastAsia="Arial" w:hAnsi="Arial"/>
                <w:sz w:val="12"/>
                <w:szCs w:val="12"/>
                <w:color w:val="auto"/>
              </w:rPr>
              <w:t>power after</w:t>
            </w:r>
          </w:p>
        </w:tc>
        <w:tc>
          <w:tcPr>
            <w:tcW w:w="0" w:type="dxa"/>
            <w:vAlign w:val="bottom"/>
          </w:tcPr>
          <w:p>
            <w:pPr>
              <w:spacing w:after="0"/>
              <w:rPr>
                <w:sz w:val="1"/>
                <w:szCs w:val="1"/>
                <w:color w:val="auto"/>
              </w:rPr>
            </w:pPr>
          </w:p>
        </w:tc>
      </w:tr>
      <w:tr>
        <w:trPr>
          <w:trHeight w:val="145"/>
        </w:trPr>
        <w:tc>
          <w:tcPr>
            <w:tcW w:w="1200" w:type="dxa"/>
            <w:vAlign w:val="bottom"/>
          </w:tcPr>
          <w:p>
            <w:pPr>
              <w:ind w:left="20"/>
              <w:spacing w:after="0"/>
              <w:rPr>
                <w:sz w:val="20"/>
                <w:szCs w:val="20"/>
                <w:color w:val="auto"/>
              </w:rPr>
            </w:pPr>
            <w:r>
              <w:rPr>
                <w:rFonts w:ascii="Arial" w:cs="Arial" w:eastAsia="Arial" w:hAnsi="Arial"/>
                <w:sz w:val="12"/>
                <w:szCs w:val="12"/>
                <w:color w:val="auto"/>
              </w:rPr>
              <w:t>Owner</w:t>
            </w:r>
          </w:p>
        </w:tc>
        <w:tc>
          <w:tcPr>
            <w:tcW w:w="900" w:type="dxa"/>
            <w:vAlign w:val="bottom"/>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offering</w:t>
            </w:r>
          </w:p>
        </w:tc>
        <w:tc>
          <w:tcPr>
            <w:tcW w:w="840" w:type="dxa"/>
            <w:vAlign w:val="bottom"/>
          </w:tcPr>
          <w:p>
            <w:pPr>
              <w:jc w:val="center"/>
              <w:spacing w:after="0"/>
              <w:rPr>
                <w:sz w:val="20"/>
                <w:szCs w:val="20"/>
                <w:color w:val="auto"/>
              </w:rPr>
            </w:pPr>
            <w:r>
              <w:rPr>
                <w:rFonts w:ascii="Arial" w:cs="Arial" w:eastAsia="Arial" w:hAnsi="Arial"/>
                <w:sz w:val="12"/>
                <w:szCs w:val="12"/>
                <w:color w:val="auto"/>
              </w:rPr>
              <w:t>offered</w:t>
            </w:r>
          </w:p>
        </w:tc>
        <w:tc>
          <w:tcPr>
            <w:tcW w:w="980" w:type="dxa"/>
            <w:vAlign w:val="bottom"/>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80" w:type="dxa"/>
            <w:vAlign w:val="bottom"/>
            <w:gridSpan w:val="2"/>
          </w:tcPr>
          <w:p>
            <w:pPr>
              <w:ind w:left="180"/>
              <w:spacing w:after="0"/>
              <w:rPr>
                <w:sz w:val="20"/>
                <w:szCs w:val="20"/>
                <w:color w:val="auto"/>
              </w:rPr>
            </w:pPr>
            <w:r>
              <w:rPr>
                <w:rFonts w:ascii="Arial" w:cs="Arial" w:eastAsia="Arial" w:hAnsi="Arial"/>
                <w:sz w:val="12"/>
                <w:szCs w:val="12"/>
                <w:color w:val="auto"/>
              </w:rPr>
              <w:t>%  this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3"/>
          <w:szCs w:val="13"/>
          <w:color w:val="auto"/>
        </w:rPr>
        <w:t>Named Executive</w:t>
      </w:r>
    </w:p>
    <w:p>
      <w:pPr>
        <w:ind w:left="20"/>
        <w:spacing w:after="0" w:line="195" w:lineRule="auto"/>
        <w:rPr>
          <w:sz w:val="20"/>
          <w:szCs w:val="20"/>
          <w:color w:val="auto"/>
        </w:rPr>
      </w:pPr>
      <w:r>
        <w:rPr>
          <w:rFonts w:ascii="Arial" w:cs="Arial" w:eastAsia="Arial" w:hAnsi="Arial"/>
          <w:sz w:val="13"/>
          <w:szCs w:val="13"/>
          <w:color w:val="auto"/>
        </w:rPr>
        <w:t>Officers and</w:t>
      </w:r>
    </w:p>
    <w:p>
      <w:pPr>
        <w:ind w:left="20"/>
        <w:spacing w:after="0"/>
        <w:rPr>
          <w:sz w:val="20"/>
          <w:szCs w:val="20"/>
          <w:color w:val="auto"/>
        </w:rPr>
      </w:pPr>
      <w:r>
        <w:rPr>
          <w:rFonts w:ascii="Arial" w:cs="Arial" w:eastAsia="Arial" w:hAnsi="Arial"/>
          <w:sz w:val="13"/>
          <w:szCs w:val="13"/>
          <w:color w:val="auto"/>
        </w:rPr>
        <w:t>Directors:</w:t>
      </w:r>
    </w:p>
    <w:p>
      <w:pPr>
        <w:ind w:left="20"/>
        <w:spacing w:after="0" w:line="236" w:lineRule="auto"/>
        <w:rPr>
          <w:sz w:val="20"/>
          <w:szCs w:val="20"/>
          <w:color w:val="auto"/>
        </w:rPr>
      </w:pPr>
      <w:r>
        <w:rPr>
          <w:rFonts w:ascii="Arial" w:cs="Arial" w:eastAsia="Arial" w:hAnsi="Arial"/>
          <w:sz w:val="13"/>
          <w:szCs w:val="13"/>
          <w:color w:val="auto"/>
        </w:rPr>
        <w:t>David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Ryan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Schaffer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Blake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Bartlett</w:t>
      </w:r>
    </w:p>
    <w:p>
      <w:pPr>
        <w:ind w:left="20"/>
        <w:spacing w:after="0" w:line="236" w:lineRule="auto"/>
        <w:rPr>
          <w:sz w:val="20"/>
          <w:szCs w:val="20"/>
          <w:color w:val="auto"/>
        </w:rPr>
      </w:pPr>
      <w:r>
        <w:rPr>
          <w:rFonts w:ascii="Arial" w:cs="Arial" w:eastAsia="Arial" w:hAnsi="Arial"/>
          <w:sz w:val="13"/>
          <w:szCs w:val="13"/>
          <w:color w:val="auto"/>
        </w:rPr>
        <w:t>Robert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 current</w:t>
      </w:r>
    </w:p>
    <w:p>
      <w:pPr>
        <w:ind w:left="20"/>
        <w:spacing w:after="0" w:line="195" w:lineRule="auto"/>
        <w:rPr>
          <w:sz w:val="20"/>
          <w:szCs w:val="20"/>
          <w:color w:val="auto"/>
        </w:rPr>
      </w:pPr>
      <w:r>
        <w:rPr>
          <w:rFonts w:ascii="Arial" w:cs="Arial" w:eastAsia="Arial" w:hAnsi="Arial"/>
          <w:sz w:val="13"/>
          <w:szCs w:val="13"/>
          <w:color w:val="auto"/>
        </w:rPr>
        <w:t>executive officers</w:t>
      </w:r>
    </w:p>
    <w:p>
      <w:pPr>
        <w:ind w:left="20"/>
        <w:spacing w:after="0" w:line="195" w:lineRule="auto"/>
        <w:rPr>
          <w:sz w:val="20"/>
          <w:szCs w:val="20"/>
          <w:color w:val="auto"/>
        </w:rPr>
      </w:pPr>
      <w:r>
        <w:rPr>
          <w:rFonts w:ascii="Arial" w:cs="Arial" w:eastAsia="Arial" w:hAnsi="Arial"/>
          <w:sz w:val="13"/>
          <w:szCs w:val="13"/>
          <w:color w:val="auto"/>
        </w:rPr>
        <w:t>and directors as a</w:t>
      </w:r>
    </w:p>
    <w:p>
      <w:pPr>
        <w:ind w:left="20"/>
        <w:spacing w:after="0" w:line="195" w:lineRule="auto"/>
        <w:rPr>
          <w:sz w:val="20"/>
          <w:szCs w:val="20"/>
          <w:color w:val="auto"/>
        </w:rPr>
      </w:pPr>
      <w:r>
        <w:rPr>
          <w:rFonts w:ascii="Arial" w:cs="Arial" w:eastAsia="Arial" w:hAnsi="Arial"/>
          <w:sz w:val="13"/>
          <w:szCs w:val="13"/>
          <w:color w:val="auto"/>
        </w:rPr>
        <w:t>group</w:t>
      </w:r>
    </w:p>
    <w:p>
      <w:pPr>
        <w:ind w:left="320" w:hanging="294"/>
        <w:spacing w:after="0"/>
        <w:tabs>
          <w:tab w:leader="none" w:pos="3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Stockholders: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Hillsven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Entities affiliated</w:t>
      </w:r>
    </w:p>
    <w:p>
      <w:pPr>
        <w:ind w:left="20"/>
        <w:spacing w:after="0" w:line="195" w:lineRule="auto"/>
        <w:rPr>
          <w:sz w:val="20"/>
          <w:szCs w:val="20"/>
          <w:color w:val="auto"/>
        </w:rPr>
      </w:pPr>
      <w:r>
        <w:rPr>
          <w:rFonts w:ascii="Arial" w:cs="Arial" w:eastAsia="Arial" w:hAnsi="Arial"/>
          <w:sz w:val="13"/>
          <w:szCs w:val="13"/>
          <w:color w:val="auto"/>
        </w:rPr>
        <w:t>with OpenView</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Venture Partners</w:t>
      </w:r>
    </w:p>
    <w:p>
      <w:pPr>
        <w:ind w:left="20"/>
        <w:spacing w:after="0" w:line="236" w:lineRule="auto"/>
        <w:rPr>
          <w:sz w:val="20"/>
          <w:szCs w:val="20"/>
          <w:color w:val="auto"/>
        </w:rPr>
      </w:pPr>
      <w:r>
        <w:rPr>
          <w:rFonts w:ascii="Arial" w:cs="Arial" w:eastAsia="Arial" w:hAnsi="Arial"/>
          <w:sz w:val="13"/>
          <w:szCs w:val="13"/>
          <w:color w:val="auto"/>
        </w:rPr>
        <w:t>Entities affiliated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with PJC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Octopus Head Inc.</w:t>
      </w:r>
    </w:p>
    <w:p>
      <w:pPr>
        <w:ind w:left="20"/>
        <w:spacing w:after="0" w:line="236" w:lineRule="auto"/>
        <w:rPr>
          <w:sz w:val="20"/>
          <w:szCs w:val="20"/>
          <w:color w:val="auto"/>
        </w:rPr>
      </w:pPr>
      <w:r>
        <w:rPr>
          <w:rFonts w:ascii="Arial" w:cs="Arial" w:eastAsia="Arial" w:hAnsi="Arial"/>
          <w:sz w:val="13"/>
          <w:szCs w:val="13"/>
          <w:color w:val="auto"/>
        </w:rPr>
        <w:t>Other Selling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capital stock</w:t>
      </w:r>
    </w:p>
    <w:p>
      <w:pPr>
        <w:spacing w:after="0" w:line="3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Upon the filing of our amended and restated certificate of incorporation and the completion of this offering, the total number of shares of all</w:t>
      </w:r>
    </w:p>
    <w:p>
      <w:pPr>
        <w:spacing w:after="0" w:line="9"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classes of stock we are authorized to issue will be</w:t>
      </w:r>
      <w:r>
        <w:rPr>
          <w:sz w:val="20"/>
          <w:szCs w:val="20"/>
          <w:color w:val="auto"/>
        </w:rPr>
        <w:tab/>
      </w:r>
      <w:r>
        <w:rPr>
          <w:rFonts w:ascii="Arial" w:cs="Arial" w:eastAsia="Arial" w:hAnsi="Arial"/>
          <w:sz w:val="18"/>
          <w:szCs w:val="18"/>
          <w:color w:val="auto"/>
        </w:rPr>
        <w:t>, consisting of:</w:t>
      </w:r>
    </w:p>
    <w:p>
      <w:pPr>
        <w:spacing w:after="0" w:line="158" w:lineRule="exact"/>
        <w:rPr>
          <w:sz w:val="20"/>
          <w:szCs w:val="20"/>
          <w:color w:val="auto"/>
        </w:rPr>
      </w:pPr>
    </w:p>
    <w:p>
      <w:pPr>
        <w:ind w:left="980" w:hanging="97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Class A common stock, par value $0.0001 per share;</w:t>
      </w:r>
    </w:p>
    <w:p>
      <w:pPr>
        <w:spacing w:after="0" w:line="157" w:lineRule="exact"/>
        <w:rPr>
          <w:rFonts w:ascii="Arial" w:cs="Arial" w:eastAsia="Arial" w:hAnsi="Arial"/>
          <w:sz w:val="18"/>
          <w:szCs w:val="18"/>
          <w:color w:val="auto"/>
        </w:rPr>
      </w:pPr>
    </w:p>
    <w:p>
      <w:pPr>
        <w:ind w:left="980" w:hanging="97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LT10 common stock, par value $0.0001 per share;</w:t>
      </w:r>
    </w:p>
    <w:p>
      <w:pPr>
        <w:spacing w:after="0" w:line="144" w:lineRule="exact"/>
        <w:rPr>
          <w:rFonts w:ascii="Arial" w:cs="Arial" w:eastAsia="Arial" w:hAnsi="Arial"/>
          <w:sz w:val="18"/>
          <w:szCs w:val="18"/>
          <w:color w:val="auto"/>
        </w:rPr>
      </w:pPr>
    </w:p>
    <w:p>
      <w:pPr>
        <w:ind w:left="980" w:hanging="97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LT50 common stock, par value $0.0001 per share; and</w:t>
      </w:r>
    </w:p>
    <w:p>
      <w:pPr>
        <w:spacing w:after="0" w:line="157" w:lineRule="exact"/>
        <w:rPr>
          <w:rFonts w:ascii="Arial" w:cs="Arial" w:eastAsia="Arial" w:hAnsi="Arial"/>
          <w:sz w:val="18"/>
          <w:szCs w:val="18"/>
          <w:color w:val="auto"/>
        </w:rPr>
      </w:pPr>
    </w:p>
    <w:p>
      <w:pPr>
        <w:ind w:left="980" w:hanging="97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selling shares of Class A common stock in this offering ( shares if the underwriters exercise in full their option to purchase additional shares of our Class A common stock). All shares of our common stock outstanding upon completion of this offering will be fully paid and non-assessable.</w:t>
      </w:r>
    </w:p>
    <w:p>
      <w:pPr>
        <w:spacing w:after="0" w:line="12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5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24" w:lineRule="exact"/>
        <w:rPr>
          <w:sz w:val="20"/>
          <w:szCs w:val="20"/>
          <w:color w:val="auto"/>
        </w:rPr>
      </w:pPr>
    </w:p>
    <w:p>
      <w:pPr>
        <w:ind w:left="340" w:right="40" w:hanging="332"/>
        <w:spacing w:after="0" w:line="261"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44" w:lineRule="exact"/>
        <w:rPr>
          <w:sz w:val="20"/>
          <w:szCs w:val="20"/>
          <w:color w:val="auto"/>
        </w:rPr>
      </w:pPr>
    </w:p>
    <w:p>
      <w:pPr>
        <w:ind w:left="340" w:right="140" w:hanging="332"/>
        <w:spacing w:after="0" w:line="253"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will not provide for cumulative voting for the election of directors.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Upon the completion of this offering, we expect that the Voting Trust will control approximately %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and transfer</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4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Holders of shares of our common stock do not have preemptive, subscription or redemption rights. There will be no redemption or sinking fund provisions applicable to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LT10 and LT50 common stock are fully paid and non-assessable.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and the effectiveness of our amended and restated certificate of incorporation that will become effective</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immediately prior to the completion of this offering, the total of our authorized shares of preferred stock will be shares. Upon the completion of this offering, we will have no shares of preferred stock outstanding.</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5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of , 2021, without giving effect to the exercise of options pursuant to the Option Exercise, we had outstanding options to purchase an aggregate of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weighted-average exercise price of $ per share. For more information regarding the terms of our equity incentive plans, see “Executive and director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units</w:t>
      </w:r>
    </w:p>
    <w:p>
      <w:pPr>
        <w:sectPr>
          <w:pgSz w:w="11900" w:h="16838" w:orient="portrait"/>
          <w:cols w:equalWidth="0" w:num="1">
            <w:col w:w="11240"/>
          </w:cols>
          <w:pgMar w:left="320" w:top="1440"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2021, we had outstanding RSUs, representing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shares of our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common stock, issued pursuant to our</w:t>
      </w:r>
    </w:p>
    <w:p>
      <w:pPr>
        <w:spacing w:after="0" w:line="21" w:lineRule="exact"/>
        <w:rPr>
          <w:sz w:val="20"/>
          <w:szCs w:val="20"/>
          <w:color w:val="auto"/>
        </w:rPr>
      </w:pPr>
    </w:p>
    <w:p>
      <w:pPr>
        <w:sectPr>
          <w:pgSz w:w="11900" w:h="16838" w:orient="portrait"/>
          <w:cols w:equalWidth="0" w:num="4">
            <w:col w:w="420" w:space="640"/>
            <w:col w:w="3780" w:space="660"/>
            <w:col w:w="1040" w:space="660"/>
            <w:col w:w="40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240"/>
          </w:cols>
          <w:pgMar w:left="320" w:top="1440"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 2021, we had outstanding warrants to purchase 30,000 shares of our Class A common stock, with an exercise price of 0.683 per share, and 13,008 shares of our Class A common stock, with an exercise price of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Voting Trust</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12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initial Trustees of the Voting Trust will be David Barrett, Ryan Schaffer and Jason Mills.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14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Voting Trust is irrevocable and terminates upon the earlier of the mutual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3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Upon the completion of this offering, approximately shares of LT10 common stock and shares of LT50 common stock will be held directly by the Voting Trust, representing approximately % of the combined voting power and of the economic interest in</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us immediately following the completion of this offering. Employees of ours who are not Trust Beneficiaries upon the completion of this offering may become parties to the Voting Trust Agreement under certain circumstances following the completion of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holders of an aggregate of shares of our Class A common stock as of , 2021 (after giving effect to sales by selling stockholders in this offering, assuming no exercise of the underwriters’ option to purchase additional shares from the selling stockholders) will be entitled to certain demand registration rights. At any time beginning 180 days after the effective date of the registration statement,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this offering, the holders of an aggregate of shares of our Class A common stock, as of , 2021 were entitled to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62" w:lineRule="exact"/>
        <w:rPr>
          <w:sz w:val="20"/>
          <w:szCs w:val="20"/>
          <w:color w:val="auto"/>
        </w:rPr>
      </w:pPr>
    </w:p>
    <w:p>
      <w:pPr>
        <w:spacing w:after="0"/>
        <w:tabs>
          <w:tab w:leader="none" w:pos="3100" w:val="left"/>
          <w:tab w:leader="none" w:pos="680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8"/>
          <w:szCs w:val="18"/>
          <w:color w:val="auto"/>
        </w:rPr>
        <w:t>shares of Class A common stock as of</w:t>
      </w:r>
      <w:r>
        <w:rPr>
          <w:sz w:val="20"/>
          <w:szCs w:val="20"/>
          <w:color w:val="auto"/>
        </w:rPr>
        <w:tab/>
      </w:r>
      <w:r>
        <w:rPr>
          <w:rFonts w:ascii="Arial" w:cs="Arial" w:eastAsia="Arial" w:hAnsi="Arial"/>
          <w:sz w:val="18"/>
          <w:szCs w:val="18"/>
          <w:color w:val="auto"/>
        </w:rPr>
        <w:t>(after giving effect to sales by selling stockholders in</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offering, 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4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Multi-series stock</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8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 filling vacancies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For a discussion of the limitation on liability and indemnification, see the section titled “Management— Limitations on liability and indemnification of and advancement of expenses to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7" w:lineRule="exact"/>
        <w:rPr>
          <w:sz w:val="20"/>
          <w:szCs w:val="20"/>
          <w:color w:val="auto"/>
        </w:rPr>
      </w:pPr>
    </w:p>
    <w:p>
      <w:pPr>
        <w:spacing w:after="0"/>
        <w:tabs>
          <w:tab w:leader="none" w:pos="5520" w:val="left"/>
          <w:tab w:leader="none" w:pos="96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70"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7"/>
          <w:szCs w:val="17"/>
          <w:color w:val="auto"/>
        </w:rPr>
        <w:t>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eligible for future sale</w:t>
      </w:r>
    </w:p>
    <w:p>
      <w:pPr>
        <w:spacing w:after="0" w:line="327"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7"/>
          </w:tcPr>
          <w:p>
            <w:pPr>
              <w:spacing w:after="0"/>
              <w:rPr>
                <w:sz w:val="20"/>
                <w:szCs w:val="20"/>
                <w:color w:val="auto"/>
              </w:rPr>
            </w:pPr>
            <w:r>
              <w:rPr>
                <w:rFonts w:ascii="Arial" w:cs="Arial" w:eastAsia="Arial" w:hAnsi="Arial"/>
                <w:sz w:val="18"/>
                <w:szCs w:val="18"/>
                <w:color w:val="auto"/>
              </w:rPr>
              <w:t>Upon the completion of this offering, based on the number of shares of our common stock outstanding as of</w:t>
            </w:r>
          </w:p>
        </w:tc>
        <w:tc>
          <w:tcPr>
            <w:tcW w:w="2120" w:type="dxa"/>
            <w:vAlign w:val="bottom"/>
          </w:tcPr>
          <w:p>
            <w:pPr>
              <w:ind w:left="200"/>
              <w:spacing w:after="0"/>
              <w:rPr>
                <w:sz w:val="20"/>
                <w:szCs w:val="20"/>
                <w:color w:val="auto"/>
              </w:rPr>
            </w:pPr>
            <w:r>
              <w:rPr>
                <w:rFonts w:ascii="Arial" w:cs="Arial" w:eastAsia="Arial" w:hAnsi="Arial"/>
                <w:sz w:val="18"/>
                <w:szCs w:val="18"/>
                <w:color w:val="auto"/>
              </w:rPr>
              <w:t>, 2021, we will have 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total of</w:t>
            </w: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shares of our Class A common stock (or</w:t>
            </w:r>
          </w:p>
        </w:tc>
        <w:tc>
          <w:tcPr>
            <w:tcW w:w="6520" w:type="dxa"/>
            <w:vAlign w:val="bottom"/>
            <w:gridSpan w:val="5"/>
          </w:tcPr>
          <w:p>
            <w:pPr>
              <w:ind w:left="120"/>
              <w:spacing w:after="0"/>
              <w:rPr>
                <w:sz w:val="20"/>
                <w:szCs w:val="20"/>
                <w:color w:val="auto"/>
              </w:rPr>
            </w:pPr>
            <w:r>
              <w:rPr>
                <w:rFonts w:ascii="Arial" w:cs="Arial" w:eastAsia="Arial" w:hAnsi="Arial"/>
                <w:sz w:val="18"/>
                <w:szCs w:val="18"/>
                <w:color w:val="auto"/>
              </w:rPr>
              <w:t>shares if the underwriters exercise their option to purchase additional shares of</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Class A common stock in full),</w:t>
            </w:r>
          </w:p>
        </w:tc>
        <w:tc>
          <w:tcPr>
            <w:tcW w:w="3460" w:type="dxa"/>
            <w:vAlign w:val="bottom"/>
            <w:gridSpan w:val="3"/>
          </w:tcPr>
          <w:p>
            <w:pPr>
              <w:ind w:left="160"/>
              <w:spacing w:after="0"/>
              <w:rPr>
                <w:sz w:val="20"/>
                <w:szCs w:val="20"/>
                <w:color w:val="auto"/>
              </w:rPr>
            </w:pPr>
            <w:r>
              <w:rPr>
                <w:rFonts w:ascii="Arial" w:cs="Arial" w:eastAsia="Arial" w:hAnsi="Arial"/>
                <w:sz w:val="18"/>
                <w:szCs w:val="18"/>
                <w:color w:val="auto"/>
              </w:rPr>
              <w:t>shares of our LT10 common stock and</w:t>
            </w:r>
          </w:p>
        </w:tc>
        <w:tc>
          <w:tcPr>
            <w:tcW w:w="4820" w:type="dxa"/>
            <w:vAlign w:val="bottom"/>
            <w:gridSpan w:val="3"/>
          </w:tcPr>
          <w:p>
            <w:pPr>
              <w:ind w:left="260"/>
              <w:spacing w:after="0"/>
              <w:rPr>
                <w:sz w:val="20"/>
                <w:szCs w:val="20"/>
                <w:color w:val="auto"/>
              </w:rPr>
            </w:pPr>
            <w:r>
              <w:rPr>
                <w:rFonts w:ascii="Arial" w:cs="Arial" w:eastAsia="Arial" w:hAnsi="Arial"/>
                <w:sz w:val="18"/>
                <w:szCs w:val="18"/>
                <w:color w:val="auto"/>
                <w:w w:val="99"/>
              </w:rPr>
              <w:t>shares of our LT50 common stock outstanding, assuming</w:t>
            </w:r>
          </w:p>
        </w:tc>
      </w:tr>
      <w:tr>
        <w:trPr>
          <w:trHeight w:val="216"/>
        </w:trPr>
        <w:tc>
          <w:tcPr>
            <w:tcW w:w="7440" w:type="dxa"/>
            <w:vAlign w:val="bottom"/>
            <w:gridSpan w:val="6"/>
          </w:tcPr>
          <w:p>
            <w:pPr>
              <w:spacing w:after="0"/>
              <w:rPr>
                <w:sz w:val="20"/>
                <w:szCs w:val="20"/>
                <w:color w:val="auto"/>
              </w:rPr>
            </w:pPr>
            <w:r>
              <w:rPr>
                <w:rFonts w:ascii="Arial" w:cs="Arial" w:eastAsia="Arial" w:hAnsi="Arial"/>
                <w:sz w:val="18"/>
                <w:szCs w:val="18"/>
                <w:color w:val="auto"/>
              </w:rPr>
              <w:t>(i) the conversion of all outstanding shares of our preferred stock on a one-for-one basis into</w:t>
            </w:r>
          </w:p>
        </w:tc>
        <w:tc>
          <w:tcPr>
            <w:tcW w:w="3700" w:type="dxa"/>
            <w:vAlign w:val="bottom"/>
            <w:gridSpan w:val="2"/>
          </w:tcPr>
          <w:p>
            <w:pPr>
              <w:ind w:left="500"/>
              <w:spacing w:after="0"/>
              <w:rPr>
                <w:sz w:val="20"/>
                <w:szCs w:val="20"/>
                <w:color w:val="auto"/>
              </w:rPr>
            </w:pPr>
            <w:r>
              <w:rPr>
                <w:rFonts w:ascii="Arial" w:cs="Arial" w:eastAsia="Arial" w:hAnsi="Arial"/>
                <w:sz w:val="18"/>
                <w:szCs w:val="18"/>
                <w:color w:val="auto"/>
              </w:rPr>
              <w:t>shares of our Class A common stock,</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based on</w:t>
            </w:r>
          </w:p>
        </w:tc>
        <w:tc>
          <w:tcPr>
            <w:tcW w:w="4480" w:type="dxa"/>
            <w:vAlign w:val="bottom"/>
            <w:gridSpan w:val="3"/>
          </w:tcPr>
          <w:p>
            <w:pPr>
              <w:ind w:left="500"/>
              <w:spacing w:after="0"/>
              <w:rPr>
                <w:sz w:val="20"/>
                <w:szCs w:val="20"/>
                <w:color w:val="auto"/>
              </w:rPr>
            </w:pPr>
            <w:r>
              <w:rPr>
                <w:rFonts w:ascii="Arial" w:cs="Arial" w:eastAsia="Arial" w:hAnsi="Arial"/>
                <w:sz w:val="18"/>
                <w:szCs w:val="18"/>
                <w:color w:val="auto"/>
              </w:rPr>
              <w:t>shares of preferred stock outstanding as of</w:t>
            </w:r>
          </w:p>
        </w:tc>
        <w:tc>
          <w:tcPr>
            <w:tcW w:w="5760" w:type="dxa"/>
            <w:vAlign w:val="bottom"/>
            <w:gridSpan w:val="4"/>
          </w:tcPr>
          <w:p>
            <w:pPr>
              <w:ind w:left="80"/>
              <w:spacing w:after="0"/>
              <w:rPr>
                <w:sz w:val="20"/>
                <w:szCs w:val="20"/>
                <w:color w:val="auto"/>
              </w:rPr>
            </w:pPr>
            <w:r>
              <w:rPr>
                <w:rFonts w:ascii="Arial" w:cs="Arial" w:eastAsia="Arial" w:hAnsi="Arial"/>
                <w:sz w:val="18"/>
                <w:szCs w:val="18"/>
                <w:color w:val="auto"/>
              </w:rPr>
              <w:t>, 2021, (ii) the reclassification of all outstanding shares of our common</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stock on a one-for-one basis into</w:t>
            </w:r>
          </w:p>
        </w:tc>
        <w:tc>
          <w:tcPr>
            <w:tcW w:w="4580" w:type="dxa"/>
            <w:vAlign w:val="bottom"/>
            <w:gridSpan w:val="4"/>
          </w:tcPr>
          <w:p>
            <w:pPr>
              <w:jc w:val="center"/>
              <w:spacing w:after="0"/>
              <w:rPr>
                <w:sz w:val="20"/>
                <w:szCs w:val="20"/>
                <w:color w:val="auto"/>
              </w:rPr>
            </w:pPr>
            <w:r>
              <w:rPr>
                <w:rFonts w:ascii="Arial" w:cs="Arial" w:eastAsia="Arial" w:hAnsi="Arial"/>
                <w:sz w:val="18"/>
                <w:szCs w:val="18"/>
                <w:color w:val="auto"/>
              </w:rPr>
              <w:t>shares of our Class A common stock, based on</w:t>
            </w: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shares of common stock outstanding as of</w:t>
            </w:r>
          </w:p>
        </w:tc>
      </w:tr>
      <w:tr>
        <w:trPr>
          <w:trHeight w:val="216"/>
        </w:trPr>
        <w:tc>
          <w:tcPr>
            <w:tcW w:w="2860" w:type="dxa"/>
            <w:vAlign w:val="bottom"/>
            <w:gridSpan w:val="2"/>
          </w:tcPr>
          <w:p>
            <w:pPr>
              <w:ind w:left="600"/>
              <w:spacing w:after="0"/>
              <w:rPr>
                <w:sz w:val="20"/>
                <w:szCs w:val="20"/>
                <w:color w:val="auto"/>
              </w:rPr>
            </w:pPr>
            <w:r>
              <w:rPr>
                <w:rFonts w:ascii="Arial" w:cs="Arial" w:eastAsia="Arial" w:hAnsi="Arial"/>
                <w:sz w:val="18"/>
                <w:szCs w:val="18"/>
                <w:color w:val="auto"/>
              </w:rPr>
              <w:t>, 2021, (iii) the issuance of</w:t>
            </w:r>
          </w:p>
        </w:tc>
        <w:tc>
          <w:tcPr>
            <w:tcW w:w="6160" w:type="dxa"/>
            <w:vAlign w:val="bottom"/>
            <w:gridSpan w:val="5"/>
          </w:tcPr>
          <w:p>
            <w:pPr>
              <w:ind w:left="340"/>
              <w:spacing w:after="0"/>
              <w:rPr>
                <w:sz w:val="20"/>
                <w:szCs w:val="20"/>
                <w:color w:val="auto"/>
              </w:rPr>
            </w:pPr>
            <w:r>
              <w:rPr>
                <w:rFonts w:ascii="Arial" w:cs="Arial" w:eastAsia="Arial" w:hAnsi="Arial"/>
                <w:sz w:val="18"/>
                <w:szCs w:val="18"/>
                <w:color w:val="auto"/>
              </w:rPr>
              <w:t>shares of our Class A common stock in connection with the exercise of</w:t>
            </w:r>
          </w:p>
        </w:tc>
        <w:tc>
          <w:tcPr>
            <w:tcW w:w="2120" w:type="dxa"/>
            <w:vAlign w:val="bottom"/>
          </w:tcPr>
          <w:p>
            <w:pPr>
              <w:ind w:left="460"/>
              <w:spacing w:after="0"/>
              <w:rPr>
                <w:sz w:val="20"/>
                <w:szCs w:val="20"/>
                <w:color w:val="auto"/>
              </w:rPr>
            </w:pPr>
            <w:r>
              <w:rPr>
                <w:rFonts w:ascii="Arial" w:cs="Arial" w:eastAsia="Arial" w:hAnsi="Arial"/>
                <w:sz w:val="18"/>
                <w:szCs w:val="18"/>
                <w:color w:val="auto"/>
              </w:rPr>
              <w:t>stock options</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pursuant to the Option Exercise, and (iv) the issuance of</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9"/>
              </w:rPr>
              <w:t>and</w:t>
            </w:r>
          </w:p>
        </w:tc>
        <w:tc>
          <w:tcPr>
            <w:tcW w:w="5760" w:type="dxa"/>
            <w:vAlign w:val="bottom"/>
            <w:gridSpan w:val="4"/>
          </w:tcPr>
          <w:p>
            <w:pPr>
              <w:ind w:left="400"/>
              <w:spacing w:after="0"/>
              <w:rPr>
                <w:sz w:val="20"/>
                <w:szCs w:val="20"/>
                <w:color w:val="auto"/>
              </w:rPr>
            </w:pPr>
            <w:r>
              <w:rPr>
                <w:rFonts w:ascii="Arial" w:cs="Arial" w:eastAsia="Arial" w:hAnsi="Arial"/>
                <w:sz w:val="18"/>
                <w:szCs w:val="18"/>
                <w:color w:val="auto"/>
              </w:rPr>
              <w:t>shares of our LT10 and LT50 common stock in exchange for</w:t>
            </w:r>
          </w:p>
        </w:tc>
      </w:tr>
    </w:tbl>
    <w:p>
      <w:pPr>
        <w:spacing w:after="0" w:line="253" w:lineRule="auto"/>
        <w:rPr>
          <w:sz w:val="20"/>
          <w:szCs w:val="20"/>
          <w:color w:val="auto"/>
        </w:rPr>
      </w:pPr>
      <w:r>
        <w:rPr>
          <w:rFonts w:ascii="Arial" w:cs="Arial" w:eastAsia="Arial" w:hAnsi="Arial"/>
          <w:sz w:val="18"/>
          <w:szCs w:val="18"/>
          <w:color w:val="auto"/>
        </w:rPr>
        <w:t>shares of Class A common stock pursuant to the 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2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7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20"/>
          </w:cols>
          <w:pgMar w:left="320" w:top="1440" w:right="35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after the completion of this offering; or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w:t>
      </w:r>
    </w:p>
    <w:p>
      <w:pPr>
        <w:spacing w:after="0" w:line="454" w:lineRule="exact"/>
        <w:rPr>
          <w:sz w:val="20"/>
          <w:szCs w:val="20"/>
          <w:color w:val="auto"/>
        </w:rPr>
      </w:pPr>
    </w:p>
    <w:p>
      <w:pPr>
        <w:sectPr>
          <w:pgSz w:w="11900" w:h="16838" w:orient="portrait"/>
          <w:cols w:equalWidth="0" w:num="3">
            <w:col w:w="80" w:space="260"/>
            <w:col w:w="8480" w:space="460"/>
            <w:col w:w="19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20"/>
          </w:cols>
          <w:pgMar w:left="320" w:top="1440" w:right="359" w:bottom="1440" w:gutter="0" w:footer="0" w:header="0"/>
          <w:type w:val="continuous"/>
        </w:sectPr>
      </w:pPr>
    </w:p>
    <w:bookmarkStart w:id="176" w:name="page177"/>
    <w:bookmarkEnd w:id="17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the average weekly trading volume of our Class A common stock on the notice on Form 144 with respect to such sale.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 calendar weeks preceding the filing of a</w:t>
      </w:r>
    </w:p>
    <w:p>
      <w:pPr>
        <w:spacing w:after="0" w:line="360" w:lineRule="exact"/>
        <w:rPr>
          <w:sz w:val="20"/>
          <w:szCs w:val="20"/>
          <w:color w:val="auto"/>
        </w:rPr>
      </w:pPr>
    </w:p>
    <w:p>
      <w:pPr>
        <w:sectPr>
          <w:pgSz w:w="11900" w:h="16838" w:orient="portrait"/>
          <w:cols w:equalWidth="0" w:num="3">
            <w:col w:w="80" w:space="260"/>
            <w:col w:w="5700" w:space="500"/>
            <w:col w:w="4660"/>
          </w:cols>
          <w:pgMar w:left="320" w:top="1440" w:right="379" w:bottom="1440" w:gutter="0" w:footer="0" w:header="0"/>
        </w:sectPr>
      </w:pPr>
    </w:p>
    <w:p>
      <w:pPr>
        <w:ind w:right="140"/>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 and other transfer restrictions</w:t>
      </w:r>
    </w:p>
    <w:p>
      <w:pPr>
        <w:spacing w:after="0" w:line="170"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We, our officers and directors and substantially all of our security holders will agree that, without the prior written consent of J.P. Morgan Securities LLC, as representative of the underwriters, we and they will not, among other things, subject to certain exceptions, during the</w:t>
      </w:r>
    </w:p>
    <w:p>
      <w:pPr>
        <w:spacing w:after="0"/>
        <w:tabs>
          <w:tab w:leader="none" w:pos="1620" w:val="left"/>
        </w:tabs>
        <w:rPr>
          <w:sz w:val="20"/>
          <w:szCs w:val="20"/>
          <w:color w:val="auto"/>
        </w:rPr>
      </w:pPr>
      <w:r>
        <w:rPr>
          <w:rFonts w:ascii="Arial" w:cs="Arial" w:eastAsia="Arial" w:hAnsi="Arial"/>
          <w:sz w:val="18"/>
          <w:szCs w:val="18"/>
          <w:color w:val="auto"/>
        </w:rPr>
        <w:t>period ending</w:t>
      </w:r>
      <w:r>
        <w:rPr>
          <w:sz w:val="20"/>
          <w:szCs w:val="20"/>
          <w:color w:val="auto"/>
        </w:rPr>
        <w:tab/>
      </w:r>
      <w:r>
        <w:rPr>
          <w:rFonts w:ascii="Arial" w:cs="Arial" w:eastAsia="Arial" w:hAnsi="Arial"/>
          <w:sz w:val="17"/>
          <w:szCs w:val="17"/>
          <w:color w:val="auto"/>
        </w:rPr>
        <w:t>days after the date of this prospectus:</w:t>
      </w:r>
    </w:p>
    <w:p>
      <w:pPr>
        <w:spacing w:after="0" w:line="158" w:lineRule="exact"/>
        <w:rPr>
          <w:sz w:val="20"/>
          <w:szCs w:val="20"/>
          <w:color w:val="auto"/>
        </w:rPr>
      </w:pPr>
    </w:p>
    <w:p>
      <w:pPr>
        <w:ind w:left="340" w:right="160" w:hanging="332"/>
        <w:spacing w:after="0" w:line="256"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20" w:lineRule="exact"/>
        <w:rPr>
          <w:rFonts w:ascii="Arial" w:cs="Arial" w:eastAsia="Arial" w:hAnsi="Arial"/>
          <w:sz w:val="18"/>
          <w:szCs w:val="18"/>
          <w:color w:val="auto"/>
        </w:rPr>
      </w:pPr>
    </w:p>
    <w:p>
      <w:pPr>
        <w:ind w:left="340" w:right="120" w:hanging="332"/>
        <w:spacing w:after="0" w:line="291" w:lineRule="auto"/>
        <w:tabs>
          <w:tab w:leader="none" w:pos="3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publicly disclose the intent to do any of the foregoing,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statements on form S-8</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70"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Upon the completion of this offering, the holders of up to shares of our Class A common stock (assuming no exercise of the underwriters’ option to purchase additional shares from the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1440" w:right="379" w:bottom="1440" w:gutter="0" w:footer="0" w:header="0"/>
          <w:type w:val="continuous"/>
        </w:sectPr>
      </w:pPr>
    </w:p>
    <w:bookmarkStart w:id="177" w:name="page178"/>
    <w:bookmarkEnd w:id="177"/>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as of ,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60"/>
          </w:cols>
          <w:pgMar w:left="320" w:top="1440" w:right="519" w:bottom="1440" w:gutter="0" w:footer="0" w:header="0"/>
        </w:sectPr>
      </w:pPr>
    </w:p>
    <w:bookmarkStart w:id="178" w:name="page179"/>
    <w:bookmarkEnd w:id="178"/>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4"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57"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synthetic security, or other risk reduction strategy or as part of a conversion transaction or other integrated investment;</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57"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57" w:lineRule="exact"/>
        <w:rPr>
          <w:rFonts w:ascii="Arial" w:cs="Arial" w:eastAsia="Arial" w:hAnsi="Arial"/>
          <w:sz w:val="18"/>
          <w:szCs w:val="18"/>
          <w:color w:val="auto"/>
        </w:rPr>
      </w:pPr>
    </w:p>
    <w:p>
      <w:pPr>
        <w:ind w:left="340" w:right="84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in exchange or in conversion of shares of LT10 or LT50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57"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level. Accordingly, partnerships holding our Class A common stock and the partners in such partnerships should consult their tax advisors regarding the U.S. federal income tax consequences to them.</w:t>
      </w:r>
    </w:p>
    <w:p>
      <w:pPr>
        <w:spacing w:after="0" w:line="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 Non-U.S. Holder</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21"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4"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1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17" w:lineRule="exact"/>
        <w:rPr>
          <w:sz w:val="20"/>
          <w:szCs w:val="20"/>
          <w:color w:val="auto"/>
        </w:rPr>
      </w:pPr>
    </w:p>
    <w:p>
      <w:pPr>
        <w:ind w:left="340" w:right="220" w:hanging="332"/>
        <w:spacing w:after="0" w:line="256"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88"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30" w:lineRule="exact"/>
        <w:rPr>
          <w:rFonts w:ascii="Arial" w:cs="Arial" w:eastAsia="Arial" w:hAnsi="Arial"/>
          <w:sz w:val="18"/>
          <w:szCs w:val="18"/>
          <w:color w:val="auto"/>
        </w:rPr>
      </w:pPr>
    </w:p>
    <w:p>
      <w:pPr>
        <w:ind w:left="340" w:right="400" w:hanging="332"/>
        <w:spacing w:after="0" w:line="261"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1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7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2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and the selling stockholders are offering the shares of common stock described in this prospectus through a number of underwriters. J.P. Morgan Securities LLC, BofA Securities, Inc. and Citigroup Global Markets Inc. 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14605</wp:posOffset>
            </wp:positionV>
            <wp:extent cx="994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8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propose to offer the common stock directly to the public at the initial public offering price set forth on the cover page of this</w:t>
      </w:r>
    </w:p>
    <w:p>
      <w:pPr>
        <w:spacing w:after="0" w:line="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the selling stockholders to the underwriters assuming both no exercise and full exercise of the underwriters’ option to purchase additional shares from 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Paid by us without</w:t>
            </w: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Paid by us with full</w:t>
            </w: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 to purchase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 to purchase</w:t>
            </w:r>
          </w:p>
        </w:tc>
        <w:tc>
          <w:tcPr>
            <w:tcW w:w="14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Paid by the selling</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additional shares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additional share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exercise</w:t>
            </w:r>
          </w:p>
        </w:tc>
        <w:tc>
          <w:tcPr>
            <w:tcW w:w="1440" w:type="dxa"/>
            <w:vAlign w:val="bottom"/>
          </w:tcPr>
          <w:p>
            <w:pPr>
              <w:jc w:val="right"/>
              <w:ind w:right="199"/>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440" w:type="dxa"/>
            <w:vAlign w:val="bottom"/>
            <w:tcBorders>
              <w:top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67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spacing w:after="0" w:line="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expenses, but excluding the underwriting discounts and commissions, will be approximately $ million. We have also agreed to reimburse the underwriters for expenses relating to the clearance of this offering with the Financial Industry Regulatory Authority, Inc. in an</w:t>
      </w:r>
    </w:p>
    <w:p>
      <w:pPr>
        <w:spacing w:after="0" w:line="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amount up to $</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4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w:t>
      </w:r>
    </w:p>
    <w:p>
      <w:pPr>
        <w:spacing w:after="0" w:line="251" w:lineRule="auto"/>
        <w:rPr>
          <w:sz w:val="20"/>
          <w:szCs w:val="20"/>
          <w:color w:val="auto"/>
        </w:rPr>
      </w:pPr>
      <w:r>
        <w:rPr>
          <w:rFonts w:ascii="Arial" w:cs="Arial" w:eastAsia="Arial" w:hAnsi="Arial"/>
          <w:sz w:val="18"/>
          <w:szCs w:val="18"/>
          <w:color w:val="auto"/>
        </w:rPr>
        <w:t>with limited exceptions, for a period of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with the underwriters described above, in whole or in part at any time.</w:t>
      </w:r>
    </w:p>
    <w:p>
      <w:pPr>
        <w:spacing w:after="0" w:line="13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17"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We intend to apply to list our shares of common stock on</w:t>
      </w:r>
      <w:r>
        <w:rPr>
          <w:sz w:val="20"/>
          <w:szCs w:val="20"/>
          <w:color w:val="auto"/>
        </w:rPr>
        <w:tab/>
      </w:r>
      <w:r>
        <w:rPr>
          <w:rFonts w:ascii="Arial" w:cs="Arial" w:eastAsia="Arial" w:hAnsi="Arial"/>
          <w:sz w:val="17"/>
          <w:szCs w:val="17"/>
          <w:color w:val="auto"/>
        </w:rPr>
        <w:t>under the symbol “EXFY”.</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3"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w:t>
      </w:r>
    </w:p>
    <w:p>
      <w:pPr>
        <w:spacing w:after="0"/>
        <w:tabs>
          <w:tab w:leader="none" w:pos="3140" w:val="left"/>
        </w:tabs>
        <w:rPr>
          <w:sz w:val="20"/>
          <w:szCs w:val="20"/>
          <w:color w:val="auto"/>
        </w:rPr>
      </w:pPr>
      <w:r>
        <w:rPr>
          <w:rFonts w:ascii="Arial" w:cs="Arial" w:eastAsia="Arial" w:hAnsi="Arial"/>
          <w:sz w:val="18"/>
          <w:szCs w:val="18"/>
          <w:color w:val="auto"/>
        </w:rPr>
        <w:t>these transactions on the</w:t>
      </w:r>
      <w:r>
        <w:rPr>
          <w:sz w:val="20"/>
          <w:szCs w:val="20"/>
          <w:color w:val="auto"/>
        </w:rPr>
        <w:tab/>
      </w:r>
      <w:r>
        <w:rPr>
          <w:rFonts w:ascii="Arial" w:cs="Arial" w:eastAsia="Arial" w:hAnsi="Arial"/>
          <w:sz w:val="18"/>
          <w:szCs w:val="18"/>
          <w:color w:val="auto"/>
        </w:rPr>
        <w:t>, in the over-the-counter market or otherwise.</w:t>
      </w:r>
    </w:p>
    <w:p>
      <w:pPr>
        <w:spacing w:after="0" w:line="158" w:lineRule="exact"/>
        <w:rPr>
          <w:sz w:val="20"/>
          <w:szCs w:val="20"/>
          <w:color w:val="auto"/>
        </w:rPr>
      </w:pPr>
    </w:p>
    <w:p>
      <w:pPr>
        <w:ind w:right="1000"/>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21"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themselves or their customers, long or short positions in our debt or equity securities or loans, and may do so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38"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540" w:hanging="332"/>
        <w:spacing w:after="0" w:line="261" w:lineRule="auto"/>
        <w:tabs>
          <w:tab w:leader="none" w:pos="3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1" w:lineRule="exact"/>
        <w:rPr>
          <w:sz w:val="20"/>
          <w:szCs w:val="20"/>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240" w:hanging="332"/>
        <w:spacing w:after="0" w:line="261" w:lineRule="auto"/>
        <w:tabs>
          <w:tab w:leader="none" w:pos="3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60"/>
          </w:cols>
          <w:pgMar w:left="320" w:top="1440" w:right="419" w:bottom="1440" w:gutter="0" w:footer="0" w:header="0"/>
        </w:sectPr>
      </w:pPr>
    </w:p>
    <w:bookmarkStart w:id="187" w:name="page188"/>
    <w:bookmarkEnd w:id="187"/>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securities offered should conduct their own due diligence on the securities. If you do not understand the contents of this document you should consult an authorized financial advisor.</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58" w:lineRule="exact"/>
        <w:rPr>
          <w:sz w:val="20"/>
          <w:szCs w:val="20"/>
          <w:color w:val="auto"/>
        </w:rPr>
      </w:pPr>
    </w:p>
    <w:p>
      <w:pPr>
        <w:ind w:left="340" w:right="38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116"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34" w:lineRule="exact"/>
        <w:rPr>
          <w:rFonts w:ascii="Arial" w:cs="Arial" w:eastAsia="Arial" w:hAnsi="Arial"/>
          <w:sz w:val="18"/>
          <w:szCs w:val="18"/>
          <w:color w:val="auto"/>
        </w:rPr>
      </w:pPr>
    </w:p>
    <w:p>
      <w:pPr>
        <w:ind w:left="340" w:right="30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compliance with, the Financial Instruments and Exchange Act and any other applicable laws, regulations and ministerial guidelines of Japan in effect at the relevant time.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6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41" w:lineRule="exact"/>
        <w:rPr>
          <w:sz w:val="20"/>
          <w:szCs w:val="20"/>
          <w:color w:val="auto"/>
        </w:rPr>
      </w:pPr>
    </w:p>
    <w:p>
      <w:pPr>
        <w:ind w:left="340" w:right="700" w:hanging="332"/>
        <w:spacing w:after="0" w:line="261" w:lineRule="auto"/>
        <w:tabs>
          <w:tab w:leader="none" w:pos="3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58" w:lineRule="exact"/>
        <w:rPr>
          <w:sz w:val="20"/>
          <w:szCs w:val="20"/>
          <w:color w:val="auto"/>
        </w:rPr>
      </w:pPr>
    </w:p>
    <w:p>
      <w:pPr>
        <w:ind w:left="340" w:hanging="332"/>
        <w:spacing w:after="0" w:line="261" w:lineRule="auto"/>
        <w:tabs>
          <w:tab w:leader="none" w:pos="3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340" w:right="80" w:hanging="332"/>
        <w:spacing w:after="0" w:line="261" w:lineRule="auto"/>
        <w:tabs>
          <w:tab w:leader="none" w:pos="3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4" w:lineRule="exact"/>
        <w:rPr>
          <w:sz w:val="20"/>
          <w:szCs w:val="20"/>
          <w:color w:val="auto"/>
        </w:rPr>
      </w:pPr>
    </w:p>
    <w:p>
      <w:pPr>
        <w:ind w:left="340" w:right="140" w:hanging="332"/>
        <w:spacing w:after="0" w:line="261" w:lineRule="auto"/>
        <w:tabs>
          <w:tab w:leader="none" w:pos="3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680" w:hanging="332"/>
        <w:spacing w:after="0" w:line="261" w:lineRule="auto"/>
        <w:tabs>
          <w:tab w:leader="none" w:pos="3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8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w:t>
      </w:r>
    </w:p>
    <w:p>
      <w:pPr>
        <w:spacing w:after="0" w:line="1" w:lineRule="exact"/>
        <w:rPr>
          <w:sz w:val="20"/>
          <w:szCs w:val="20"/>
          <w:color w:val="auto"/>
        </w:rPr>
      </w:pPr>
    </w:p>
    <w:p>
      <w:pPr>
        <w:ind w:right="100" w:firstLine="8"/>
        <w:spacing w:after="0" w:line="252" w:lineRule="auto"/>
        <w:tabs>
          <w:tab w:leader="none" w:pos="2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39" w:lineRule="exact"/>
        <w:rPr>
          <w:sz w:val="20"/>
          <w:szCs w:val="20"/>
          <w:color w:val="auto"/>
        </w:rPr>
      </w:pPr>
    </w:p>
    <w:p>
      <w:pPr>
        <w:ind w:right="180" w:firstLine="8"/>
        <w:spacing w:after="0" w:line="252" w:lineRule="auto"/>
        <w:tabs>
          <w:tab w:leader="none" w:pos="3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4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(as that term is defined in the South African Companies Act) prepared and registered under the South African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40"/>
          </w:cols>
          <w:pgMar w:left="320" w:top="1440" w:right="4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offer, transfer, sale, renunciation or delivery is to:</w:t>
      </w:r>
    </w:p>
    <w:p>
      <w:pPr>
        <w:spacing w:after="0" w:line="313" w:lineRule="exact"/>
        <w:rPr>
          <w:sz w:val="20"/>
          <w:szCs w:val="20"/>
          <w:color w:val="auto"/>
        </w:rPr>
      </w:pPr>
    </w:p>
    <w:p>
      <w:pPr>
        <w:ind w:left="327" w:hanging="327"/>
        <w:spacing w:after="0"/>
        <w:tabs>
          <w:tab w:leader="none" w:pos="32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ind w:left="327" w:hanging="327"/>
        <w:spacing w:after="0" w:line="203" w:lineRule="auto"/>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ind w:left="327" w:hanging="327"/>
        <w:spacing w:after="0" w:line="203" w:lineRule="auto"/>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ind w:left="327" w:hanging="327"/>
        <w:spacing w:after="0" w:line="203" w:lineRule="auto"/>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ind w:left="327" w:hanging="327"/>
        <w:spacing w:after="0" w:line="203" w:lineRule="auto"/>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ind w:left="327" w:right="80" w:hanging="327"/>
        <w:spacing w:after="0" w:line="203" w:lineRule="auto"/>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327" w:hanging="327"/>
        <w:spacing w:after="0"/>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23" w:lineRule="exact"/>
        <w:rPr>
          <w:sz w:val="20"/>
          <w:szCs w:val="20"/>
          <w:color w:val="auto"/>
        </w:rPr>
      </w:pPr>
    </w:p>
    <w:p>
      <w:pPr>
        <w:ind w:left="7" w:right="300"/>
        <w:spacing w:after="0" w:line="219"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31" w:lineRule="exact"/>
        <w:rPr>
          <w:sz w:val="20"/>
          <w:szCs w:val="20"/>
          <w:color w:val="auto"/>
        </w:rPr>
      </w:pPr>
    </w:p>
    <w:p>
      <w:pPr>
        <w:sectPr>
          <w:pgSz w:w="11900" w:h="16838" w:orient="portrait"/>
          <w:cols w:equalWidth="0" w:num="2">
            <w:col w:w="993" w:space="720"/>
            <w:col w:w="9427"/>
          </w:cols>
          <w:pgMar w:left="320" w:top="1440" w:right="439" w:bottom="1440" w:gutter="0" w:footer="0" w:header="0"/>
          <w:type w:val="continuous"/>
        </w:sectPr>
      </w:pPr>
    </w:p>
    <w:p>
      <w:pPr>
        <w:spacing w:after="0" w:line="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1440" w:right="439" w:bottom="1440" w:gutter="0" w:footer="0" w:header="0"/>
          <w:type w:val="continuous"/>
        </w:sectPr>
      </w:pPr>
    </w:p>
    <w:bookmarkStart w:id="193" w:name="page194"/>
    <w:bookmarkEnd w:id="193"/>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5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gridSpan w:val="6"/>
          </w:tcPr>
          <w:p>
            <w:pPr>
              <w:spacing w:after="0"/>
              <w:rPr>
                <w:rFonts w:ascii="Arial" w:cs="Arial" w:eastAsia="Arial" w:hAnsi="Arial"/>
                <w:sz w:val="18"/>
                <w:szCs w:val="18"/>
                <w:b w:val="1"/>
                <w:bCs w:val="1"/>
                <w:color w:val="0000FF"/>
                <w:w w:val="99"/>
              </w:rPr>
            </w:pPr>
            <w:hyperlink w:anchor="page195">
              <w:r>
                <w:rPr>
                  <w:rFonts w:ascii="Arial" w:cs="Arial" w:eastAsia="Arial" w:hAnsi="Arial"/>
                  <w:sz w:val="18"/>
                  <w:szCs w:val="18"/>
                  <w:b w:val="1"/>
                  <w:bCs w:val="1"/>
                  <w:color w:val="0000FF"/>
                  <w:w w:val="99"/>
                </w:rPr>
                <w:t>Report of Independent Registered Public Accounting Firm</w:t>
              </w:r>
            </w:hyperlink>
          </w:p>
        </w:tc>
        <w:tc>
          <w:tcPr>
            <w:tcW w:w="3920" w:type="dxa"/>
            <w:vAlign w:val="bottom"/>
            <w:gridSpan w:val="2"/>
          </w:tcPr>
          <w:p>
            <w:pPr>
              <w:spacing w:after="0"/>
              <w:rPr>
                <w:sz w:val="17"/>
                <w:szCs w:val="17"/>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195">
              <w:r>
                <w:rPr>
                  <w:rFonts w:ascii="Arial" w:cs="Arial" w:eastAsia="Arial" w:hAnsi="Arial"/>
                  <w:sz w:val="18"/>
                  <w:szCs w:val="18"/>
                  <w:color w:val="0000FF"/>
                  <w:w w:val="96"/>
                </w:rPr>
                <w:t>F-2</w:t>
              </w:r>
            </w:hyperlink>
          </w:p>
        </w:tc>
      </w:tr>
      <w:tr>
        <w:trPr>
          <w:trHeight w:val="250"/>
        </w:trPr>
        <w:tc>
          <w:tcPr>
            <w:tcW w:w="20" w:type="dxa"/>
            <w:vAlign w:val="bottom"/>
          </w:tcPr>
          <w:p>
            <w:pPr>
              <w:spacing w:after="0"/>
              <w:rPr>
                <w:sz w:val="21"/>
                <w:szCs w:val="21"/>
                <w:color w:val="auto"/>
              </w:rPr>
            </w:pPr>
          </w:p>
        </w:tc>
        <w:tc>
          <w:tcPr>
            <w:tcW w:w="498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920" w:type="dxa"/>
            <w:vAlign w:val="bottom"/>
            <w:gridSpan w:val="2"/>
          </w:tcPr>
          <w:p>
            <w:pPr>
              <w:spacing w:after="0"/>
              <w:rPr>
                <w:sz w:val="21"/>
                <w:szCs w:val="21"/>
                <w:color w:val="auto"/>
              </w:rPr>
            </w:pPr>
          </w:p>
        </w:tc>
        <w:tc>
          <w:tcPr>
            <w:tcW w:w="204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20" w:type="dxa"/>
            <w:vAlign w:val="bottom"/>
            <w:gridSpan w:val="7"/>
          </w:tcPr>
          <w:p>
            <w:pPr>
              <w:spacing w:after="0" w:line="189" w:lineRule="exact"/>
              <w:rPr>
                <w:rFonts w:ascii="Arial" w:cs="Arial" w:eastAsia="Arial" w:hAnsi="Arial"/>
                <w:sz w:val="18"/>
                <w:szCs w:val="18"/>
                <w:color w:val="0000FF"/>
              </w:rPr>
            </w:pPr>
            <w:hyperlink w:anchor="page196">
              <w:r>
                <w:rPr>
                  <w:rFonts w:ascii="Arial" w:cs="Arial" w:eastAsia="Arial" w:hAnsi="Arial"/>
                  <w:sz w:val="18"/>
                  <w:szCs w:val="18"/>
                  <w:color w:val="0000FF"/>
                </w:rPr>
                <w:t>Consolidated Balance Sheets</w:t>
              </w:r>
            </w:hyperlink>
          </w:p>
        </w:tc>
        <w:tc>
          <w:tcPr>
            <w:tcW w:w="2320" w:type="dxa"/>
            <w:vAlign w:val="bottom"/>
            <w:gridSpan w:val="3"/>
          </w:tcPr>
          <w:p>
            <w:pPr>
              <w:ind w:left="2040"/>
              <w:spacing w:after="0" w:line="189" w:lineRule="exact"/>
              <w:rPr>
                <w:rFonts w:ascii="Arial" w:cs="Arial" w:eastAsia="Arial" w:hAnsi="Arial"/>
                <w:sz w:val="18"/>
                <w:szCs w:val="18"/>
                <w:color w:val="0000FF"/>
                <w:w w:val="96"/>
              </w:rPr>
            </w:pPr>
            <w:hyperlink w:anchor="page196">
              <w:r>
                <w:rPr>
                  <w:rFonts w:ascii="Arial" w:cs="Arial" w:eastAsia="Arial" w:hAnsi="Arial"/>
                  <w:sz w:val="18"/>
                  <w:szCs w:val="18"/>
                  <w:color w:val="0000FF"/>
                  <w:w w:val="96"/>
                </w:rPr>
                <w:t>F-3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gridSpan w:val="2"/>
          </w:tcPr>
          <w:p>
            <w:pPr>
              <w:spacing w:after="0"/>
              <w:rPr>
                <w:rFonts w:ascii="Arial" w:cs="Arial" w:eastAsia="Arial" w:hAnsi="Arial"/>
                <w:sz w:val="18"/>
                <w:szCs w:val="18"/>
                <w:color w:val="0000FF"/>
                <w:w w:val="99"/>
              </w:rPr>
            </w:pPr>
            <w:hyperlink w:anchor="page197">
              <w:r>
                <w:rPr>
                  <w:rFonts w:ascii="Arial" w:cs="Arial" w:eastAsia="Arial" w:hAnsi="Arial"/>
                  <w:sz w:val="18"/>
                  <w:szCs w:val="18"/>
                  <w:color w:val="0000FF"/>
                  <w:w w:val="99"/>
                </w:rPr>
                <w:t>Consolidated Statements of Income</w:t>
              </w:r>
            </w:hyperlink>
          </w:p>
        </w:tc>
        <w:tc>
          <w:tcPr>
            <w:tcW w:w="5660" w:type="dxa"/>
            <w:vAlign w:val="bottom"/>
            <w:gridSpan w:val="5"/>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197">
              <w:r>
                <w:rPr>
                  <w:rFonts w:ascii="Arial" w:cs="Arial" w:eastAsia="Arial" w:hAnsi="Arial"/>
                  <w:sz w:val="18"/>
                  <w:szCs w:val="18"/>
                  <w:color w:val="0000FF"/>
                  <w:w w:val="96"/>
                </w:rPr>
                <w:t>F-4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Consolidated Statements of Convertible Preferred Stock and Stockholders’ Deficit</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198">
              <w:r>
                <w:rPr>
                  <w:rFonts w:ascii="Arial" w:cs="Arial" w:eastAsia="Arial" w:hAnsi="Arial"/>
                  <w:sz w:val="18"/>
                  <w:szCs w:val="18"/>
                  <w:color w:val="0000FF"/>
                  <w:w w:val="96"/>
                </w:rPr>
                <w:t>F-5</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00" w:type="dxa"/>
            <w:vAlign w:val="bottom"/>
            <w:gridSpan w:val="6"/>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Consolidated Statements of Cash Flows</w:t>
              </w:r>
            </w:hyperlink>
          </w:p>
        </w:tc>
        <w:tc>
          <w:tcPr>
            <w:tcW w:w="2020" w:type="dxa"/>
            <w:vAlign w:val="bottom"/>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200">
              <w:r>
                <w:rPr>
                  <w:rFonts w:ascii="Arial" w:cs="Arial" w:eastAsia="Arial" w:hAnsi="Arial"/>
                  <w:sz w:val="18"/>
                  <w:szCs w:val="18"/>
                  <w:color w:val="0000FF"/>
                  <w:w w:val="96"/>
                </w:rPr>
                <w:t>F-7</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Notes to Consolidated Financial Statements</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202">
              <w:r>
                <w:rPr>
                  <w:rFonts w:ascii="Arial" w:cs="Arial" w:eastAsia="Arial" w:hAnsi="Arial"/>
                  <w:sz w:val="18"/>
                  <w:szCs w:val="18"/>
                  <w:color w:val="0000FF"/>
                  <w:w w:val="96"/>
                </w:rPr>
                <w:t>F-9</w:t>
              </w:r>
            </w:hyperlink>
          </w:p>
        </w:tc>
      </w:tr>
      <w:tr>
        <w:trPr>
          <w:trHeight w:val="75"/>
        </w:trPr>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360" w:type="dxa"/>
            <w:vAlign w:val="bottom"/>
            <w:tcBorders>
              <w:top w:val="single" w:sz="8" w:color="0000FF"/>
              <w:bottom w:val="single" w:sz="8" w:color="auto"/>
            </w:tcBorders>
          </w:tcPr>
          <w:p>
            <w:pPr>
              <w:spacing w:after="0"/>
              <w:rPr>
                <w:sz w:val="6"/>
                <w:szCs w:val="6"/>
                <w:color w:val="auto"/>
              </w:rPr>
            </w:pPr>
          </w:p>
        </w:tc>
        <w:tc>
          <w:tcPr>
            <w:tcW w:w="500" w:type="dxa"/>
            <w:vAlign w:val="bottom"/>
            <w:tcBorders>
              <w:top w:val="single" w:sz="8" w:color="0000FF"/>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Stockholders and Board of Directors of Expensify, Inc.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Expensify, Inc. (the Company) as of December 31, 2020 and 2019, the related consolidated statements of income, stockholders' (deficit)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17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93"/>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450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9,990</w:t>
            </w:r>
          </w:p>
        </w:tc>
        <w:tc>
          <w:tcPr>
            <w:tcW w:w="80" w:type="dxa"/>
            <w:vAlign w:val="bottom"/>
          </w:tcPr>
          <w:p>
            <w:pPr>
              <w:spacing w:after="0"/>
              <w:rPr>
                <w:sz w:val="19"/>
                <w:szCs w:val="19"/>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Settlement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30,856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Related party loan receivable, current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632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50,510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74,870</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loan receivable, non-current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3"/>
          </w:tcPr>
          <w:p>
            <w:pPr>
              <w:ind w:left="2140"/>
              <w:spacing w:after="0" w:line="17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line of credit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Current portion of long-term debt, net of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current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41,806</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issuance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75,589</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line="191" w:lineRule="exact"/>
              <w:rPr>
                <w:sz w:val="20"/>
                <w:szCs w:val="20"/>
                <w:color w:val="auto"/>
              </w:rPr>
            </w:pPr>
            <w:r>
              <w:rPr>
                <w:rFonts w:ascii="Arial" w:cs="Arial" w:eastAsia="Arial" w:hAnsi="Arial"/>
                <w:sz w:val="18"/>
                <w:szCs w:val="18"/>
                <w:color w:val="auto"/>
              </w:rPr>
              <w:t>Convertible preferred stock, par value $.0001; 4,203,139 shares authorized,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rPr>
              <w:t>issued and outstanding at December 31, 2019, December 31, 2020 and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w w:val="99"/>
              </w:rPr>
              <w:t>March 31, 2021 (unaudited) (aggregate liquidation preference of $24,929,457</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8"/>
                <w:szCs w:val="18"/>
                <w:color w:val="auto"/>
                <w:w w:val="98"/>
              </w:rPr>
              <w:t>at December 31, 2019 , December 31, 2020 and March 31, 2021 (unaudited))</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45,105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line="191" w:lineRule="exact"/>
              <w:rPr>
                <w:sz w:val="20"/>
                <w:szCs w:val="20"/>
                <w:color w:val="auto"/>
              </w:rPr>
            </w:pPr>
            <w:r>
              <w:rPr>
                <w:rFonts w:ascii="Arial" w:cs="Arial" w:eastAsia="Arial" w:hAnsi="Arial"/>
                <w:sz w:val="18"/>
                <w:szCs w:val="18"/>
                <w:color w:val="auto"/>
              </w:rPr>
              <w:t>Common stock, par value $.0001; 9,500,000 shares authorized: 2,658,993,</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180"/>
              <w:spacing w:after="0" w:line="176" w:lineRule="exact"/>
              <w:rPr>
                <w:sz w:val="20"/>
                <w:szCs w:val="20"/>
                <w:color w:val="auto"/>
              </w:rPr>
            </w:pPr>
            <w:r>
              <w:rPr>
                <w:rFonts w:ascii="Arial" w:cs="Arial" w:eastAsia="Arial" w:hAnsi="Arial"/>
                <w:sz w:val="18"/>
                <w:szCs w:val="18"/>
                <w:color w:val="auto"/>
              </w:rPr>
              <w:t>2,936,694, and 2,964,052 shares issued and outstanding at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8"/>
                <w:szCs w:val="18"/>
                <w:color w:val="auto"/>
              </w:rPr>
              <w:t>2019, December 31, 2020 and March 31, 2021 (unaudited), respectively</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0" w:type="dxa"/>
            <w:vAlign w:val="bottom"/>
          </w:tcPr>
          <w:p>
            <w:pPr>
              <w:spacing w:after="0"/>
              <w:rPr>
                <w:sz w:val="1"/>
                <w:szCs w:val="1"/>
                <w:color w:val="auto"/>
              </w:rPr>
            </w:pPr>
          </w:p>
        </w:tc>
      </w:tr>
      <w:tr>
        <w:trPr>
          <w:trHeight w:val="22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stockholders'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0" w:type="dxa"/>
            <w:vAlign w:val="bottom"/>
          </w:tcPr>
          <w:p>
            <w:pPr>
              <w:spacing w:after="0"/>
              <w:rPr>
                <w:sz w:val="1"/>
                <w:szCs w:val="1"/>
                <w:color w:val="auto"/>
              </w:rPr>
            </w:pPr>
          </w:p>
        </w:tc>
      </w:tr>
      <w:tr>
        <w:trPr>
          <w:trHeight w:val="224"/>
        </w:trPr>
        <w:tc>
          <w:tcPr>
            <w:tcW w:w="6320" w:type="dxa"/>
            <w:vAlign w:val="bottom"/>
          </w:tcPr>
          <w:p>
            <w:pPr>
              <w:ind w:left="76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76,596</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Income</w:t>
      </w:r>
    </w:p>
    <w:p>
      <w:pPr>
        <w:ind w:left="71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17780</wp:posOffset>
            </wp:positionV>
            <wp:extent cx="205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17780</wp:posOffset>
            </wp:positionV>
            <wp:extent cx="2057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Net income (loss) per share attributable to common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w:t>
            </w: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2,661,851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2,952,241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4,057,634</w:t>
            </w:r>
          </w:p>
        </w:tc>
        <w:tc>
          <w:tcPr>
            <w:tcW w:w="0" w:type="dxa"/>
            <w:vAlign w:val="bottom"/>
          </w:tcPr>
          <w:p>
            <w:pPr>
              <w:spacing w:after="0"/>
              <w:rPr>
                <w:sz w:val="1"/>
                <w:szCs w:val="1"/>
                <w:color w:val="auto"/>
              </w:rPr>
            </w:pPr>
          </w:p>
        </w:tc>
      </w:tr>
      <w:tr>
        <w:trPr>
          <w:trHeight w:val="54"/>
        </w:trPr>
        <w:tc>
          <w:tcPr>
            <w:tcW w:w="4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Pr>
          <w:p>
            <w:pPr>
              <w:ind w:left="4440"/>
              <w:spacing w:after="0"/>
              <w:rPr>
                <w:sz w:val="20"/>
                <w:szCs w:val="20"/>
                <w:color w:val="auto"/>
              </w:rPr>
            </w:pPr>
            <w:r>
              <w:rPr>
                <w:rFonts w:ascii="Arial" w:cs="Arial" w:eastAsia="Arial" w:hAnsi="Arial"/>
                <w:sz w:val="18"/>
                <w:szCs w:val="18"/>
                <w:color w:val="auto"/>
                <w:w w:val="96"/>
              </w:rPr>
              <w:t>F-4</w:t>
            </w:r>
          </w:p>
        </w:tc>
      </w:tr>
      <w:tr>
        <w:trPr>
          <w:trHeight w:val="175"/>
        </w:trPr>
        <w:tc>
          <w:tcPr>
            <w:tcW w:w="65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jc w:val="right"/>
        <w:spacing w:after="0"/>
        <w:rPr>
          <w:sz w:val="20"/>
          <w:szCs w:val="20"/>
          <w:color w:val="auto"/>
        </w:rPr>
      </w:pPr>
      <w:r>
        <w:rPr>
          <w:rFonts w:ascii="Arial" w:cs="Arial" w:eastAsia="Arial" w:hAnsi="Arial"/>
          <w:sz w:val="22"/>
          <w:szCs w:val="22"/>
          <w:b w:val="1"/>
          <w:bCs w:val="1"/>
          <w:color w:val="auto"/>
        </w:rPr>
        <w:t>Years Ended December 31,</w:t>
      </w:r>
    </w:p>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1369060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Convertible preferred stock</w:t>
            </w: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4"/>
                <w:szCs w:val="4"/>
                <w:color w:val="auto"/>
              </w:rPr>
            </w:pPr>
          </w:p>
        </w:tc>
        <w:tc>
          <w:tcPr>
            <w:tcW w:w="1120" w:type="dxa"/>
            <w:vAlign w:val="bottom"/>
            <w:gridSpan w:val="2"/>
            <w:vMerge w:val="restart"/>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Amount</w:t>
            </w:r>
          </w:p>
        </w:tc>
        <w:tc>
          <w:tcPr>
            <w:tcW w:w="16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2,452,232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(51,879)</w:t>
            </w:r>
          </w:p>
        </w:tc>
        <w:tc>
          <w:tcPr>
            <w:tcW w:w="0" w:type="dxa"/>
            <w:vAlign w:val="bottom"/>
          </w:tcPr>
          <w:p>
            <w:pPr>
              <w:spacing w:after="0"/>
              <w:rPr>
                <w:sz w:val="1"/>
                <w:szCs w:val="1"/>
                <w:color w:val="auto"/>
              </w:rPr>
            </w:pPr>
          </w:p>
        </w:tc>
      </w:tr>
      <w:tr>
        <w:trPr>
          <w:trHeight w:val="188"/>
        </w:trPr>
        <w:tc>
          <w:tcPr>
            <w:tcW w:w="3120" w:type="dxa"/>
            <w:vAlign w:val="bottom"/>
          </w:tcPr>
          <w:p>
            <w:pPr>
              <w:ind w:left="60"/>
              <w:spacing w:after="0" w:line="189" w:lineRule="exact"/>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040" w:type="dxa"/>
            <w:vAlign w:val="bottom"/>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45,105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2,658,993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(50,638)</w:t>
            </w:r>
          </w:p>
        </w:tc>
        <w:tc>
          <w:tcPr>
            <w:tcW w:w="8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(48,464)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20" w:type="dxa"/>
            <w:vAlign w:val="bottom"/>
            <w:shd w:val="clear" w:color="auto" w:fill="CCEEFF"/>
          </w:tcPr>
          <w:p>
            <w:pPr>
              <w:ind w:left="60"/>
              <w:spacing w:after="0" w:line="155" w:lineRule="exact"/>
              <w:rPr>
                <w:sz w:val="20"/>
                <w:szCs w:val="20"/>
                <w:color w:val="auto"/>
              </w:rPr>
            </w:pPr>
            <w:r>
              <w:rPr>
                <w:rFonts w:ascii="Arial" w:cs="Arial" w:eastAsia="Arial" w:hAnsi="Arial"/>
                <w:sz w:val="17"/>
                <w:szCs w:val="17"/>
                <w:color w:val="auto"/>
              </w:rPr>
              <w:t>Issuance of common stock upon</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17,837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45,105</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2,936,694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21,312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(52,348)</w:t>
            </w:r>
          </w:p>
        </w:tc>
        <w:tc>
          <w:tcPr>
            <w:tcW w:w="8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(31,036)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 Months Ended March 31, (unaudited)</w:t>
      </w:r>
    </w:p>
    <w:p>
      <w:pPr>
        <w:ind w:left="71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top w:val="single" w:sz="8" w:color="auto"/>
              <w:right w:val="single" w:sz="8" w:color="auto"/>
            </w:tcBorders>
            <w:vMerge w:val="restart"/>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10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8"/>
                <w:szCs w:val="8"/>
                <w:color w:val="auto"/>
              </w:rPr>
            </w:pPr>
          </w:p>
        </w:tc>
        <w:tc>
          <w:tcPr>
            <w:tcW w:w="11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line="20" w:lineRule="exact"/>
              <w:rPr>
                <w:sz w:val="1"/>
                <w:szCs w:val="1"/>
                <w:color w:val="auto"/>
              </w:rPr>
            </w:pPr>
          </w:p>
        </w:tc>
        <w:tc>
          <w:tcPr>
            <w:tcW w:w="9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Three months ended March 31, 2020</w:t>
            </w: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(unaudited)</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0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2,658,993</w:t>
            </w:r>
          </w:p>
        </w:tc>
        <w:tc>
          <w:tcPr>
            <w:tcW w:w="80" w:type="dxa"/>
            <w:vAlign w:val="bottom"/>
          </w:tcPr>
          <w:p>
            <w:pPr>
              <w:spacing w:after="0"/>
              <w:rPr>
                <w:sz w:val="18"/>
                <w:szCs w:val="18"/>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(unaudited)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Stock-based compensation (unaudited)</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(unaudited)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Balance at March 31, 2020 (unaudited)</w:t>
            </w:r>
          </w:p>
        </w:tc>
        <w:tc>
          <w:tcPr>
            <w:tcW w:w="100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2,664,036</w:t>
            </w:r>
          </w:p>
        </w:tc>
        <w:tc>
          <w:tcPr>
            <w:tcW w:w="80" w:type="dxa"/>
            <w:vAlign w:val="bottom"/>
          </w:tcPr>
          <w:p>
            <w:pPr>
              <w:spacing w:after="0"/>
              <w:rPr>
                <w:sz w:val="18"/>
                <w:szCs w:val="18"/>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(47,352)</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(44,546)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Three months ended March 31, 2021</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2,936,694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rPr>
                <w:sz w:val="20"/>
                <w:szCs w:val="20"/>
                <w:color w:val="auto"/>
              </w:rPr>
            </w:pPr>
            <w:r>
              <w:rPr>
                <w:rFonts w:ascii="Arial" w:cs="Arial" w:eastAsia="Arial" w:hAnsi="Arial"/>
                <w:sz w:val="16"/>
                <w:szCs w:val="16"/>
                <w:color w:val="auto"/>
              </w:rPr>
              <w:t>stock options (unaudited)</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27,358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(unaudited)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(unaudited)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8,043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8,043</w:t>
            </w: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 (unaudited)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2,964,052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w w:val="96"/>
              </w:rPr>
              <w:t>F-6</w:t>
            </w:r>
          </w:p>
        </w:tc>
      </w:tr>
    </w:tbl>
    <w:p>
      <w:pPr>
        <w:sectPr>
          <w:pgSz w:w="11900" w:h="16838" w:orient="portrait"/>
          <w:cols w:equalWidth="0" w:num="1">
            <w:col w:w="11240"/>
          </w:cols>
          <w:pgMar w:left="320" w:top="134"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8,043</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income (loss) to net cash</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(used) by operating activities: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operating lease right-of-use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Loss on impairment, receivables and sale or disposal of</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Settlement liabilities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9,909</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or disposal of property and equipment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development costs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investing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of finance leases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Principal payments of term loan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of line of credit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Proceeds from line of credit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Proceeds from issuance of common stock on exercise of</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and restricted cash, beginning</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of period</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F-7</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1" w:name="page202"/>
    <w:bookmarkEnd w:id="201"/>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cash equivalents and restricted cash, end of</w:t>
            </w: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46,878</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35,601</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54,751</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period</w:t>
            </w: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items: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Commercial building and land acquired with long-term</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debt (net of issuance costs) of $8,226</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acquired with lease liabilities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Accrued deferred offering costs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Reconciliation of cash, cash equivalents and restricted</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to the consolidated balance sheets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34,401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settlement assets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w w:val="96"/>
              </w:rPr>
              <w:t>F-8</w:t>
            </w:r>
          </w:p>
        </w:tc>
      </w:tr>
    </w:tbl>
    <w:p>
      <w:pPr>
        <w:sectPr>
          <w:pgSz w:w="11900" w:h="16838" w:orient="portrait"/>
          <w:cols w:equalWidth="0" w:num="1">
            <w:col w:w="11240"/>
          </w:cols>
          <w:pgMar w:left="320" w:top="1440"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 AND BASIS OF PRESENTATION</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Expensify, Inc. (Expensify), was incorporated in Delaware on April 29, 2009. Expensify offers a comprehensive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subsidiaries of Expensify are as follows:</w:t>
      </w:r>
    </w:p>
    <w:p>
      <w:pPr>
        <w:spacing w:after="0" w:line="144" w:lineRule="exact"/>
        <w:rPr>
          <w:sz w:val="20"/>
          <w:szCs w:val="20"/>
          <w:color w:val="auto"/>
        </w:rPr>
      </w:pPr>
    </w:p>
    <w:p>
      <w:pPr>
        <w:ind w:left="340" w:right="220" w:hanging="332"/>
        <w:spacing w:after="0" w:line="26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Australia, Expensify PTY LTD., in 2017 that primarily serves to promote and market Expensify's services to customers and potential customers of Expensify in Australia.</w:t>
      </w:r>
    </w:p>
    <w:p>
      <w:pPr>
        <w:spacing w:after="0" w:line="130"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a wholly-owned subsidiary, 401 SW 5th Ave LLC, in 2019 with the subsidiary’s primary purpose to hold title to the commercial building purchased in Portland, Oregon.</w:t>
      </w:r>
    </w:p>
    <w:p>
      <w:pPr>
        <w:spacing w:after="0" w:line="116" w:lineRule="exact"/>
        <w:rPr>
          <w:rFonts w:ascii="Arial" w:cs="Arial" w:eastAsia="Arial" w:hAnsi="Arial"/>
          <w:sz w:val="18"/>
          <w:szCs w:val="18"/>
          <w:color w:val="auto"/>
        </w:rPr>
      </w:pPr>
    </w:p>
    <w:p>
      <w:pPr>
        <w:ind w:left="340" w:right="80" w:hanging="332"/>
        <w:spacing w:after="0" w:line="25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three months ended March 31, 2021 (unaudited), Expensify, Inc. contributed $13,454 to Expensify.org and incurred additional commitments of $754,373 to Expensify.org for which the intercompany contribution payment has not yet been made as of March 31, 2021 (unaudited). Payment is expected to be made to Expensify.org in June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42" w:lineRule="exact"/>
        <w:rPr>
          <w:rFonts w:ascii="Arial" w:cs="Arial" w:eastAsia="Arial" w:hAnsi="Arial"/>
          <w:sz w:val="18"/>
          <w:szCs w:val="18"/>
          <w:color w:val="auto"/>
        </w:rPr>
      </w:pPr>
    </w:p>
    <w:p>
      <w:pPr>
        <w:ind w:left="340" w:right="100" w:hanging="332"/>
        <w:spacing w:after="0" w:line="256"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134"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Payments LLC, in 2020 that primarily serves as the licensed provider of money transmission services for Expensify with its expense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160" w:hanging="332"/>
        <w:spacing w:after="0" w:line="261"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Lounge LLC, in 2021 that primarily serves to manage, promote and market Expensify's lounge operations in the United States.</w:t>
      </w:r>
    </w:p>
    <w:p>
      <w:pPr>
        <w:spacing w:after="0" w:line="95"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b w:val="1"/>
          <w:bCs w:val="1"/>
          <w:color w:val="auto"/>
        </w:rPr>
        <w:t xml:space="preserve">Basis of presentation and principles of consolidation </w:t>
      </w:r>
      <w:r>
        <w:rPr>
          <w:rFonts w:ascii="Arial" w:cs="Arial" w:eastAsia="Arial" w:hAnsi="Arial"/>
          <w:sz w:val="17"/>
          <w:szCs w:val="17"/>
          <w:color w:val="auto"/>
        </w:rPr>
        <w:t>– The accompanying consolidated financial statements, include the accounts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Expensify and its wholly-owned subsidiaries (the Company), and have been prepared in accordance with generally accepted accounting principles in the United States (U.S. GAAP). All intercompany transactions and balances have been eliminated in consolidation.</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Unaudited interim financial information </w:t>
      </w:r>
      <w:r>
        <w:rPr>
          <w:rFonts w:ascii="Arial" w:cs="Arial" w:eastAsia="Arial" w:hAnsi="Arial"/>
          <w:sz w:val="18"/>
          <w:szCs w:val="18"/>
          <w:color w:val="auto"/>
        </w:rPr>
        <w:t>– The accompanying interim consolidated balance sheet as of March 31, 2021,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income and cash flows for the three months ended March 31, 2020 and 2021, the consolidated statement of convertible preferred stock and stockholders’ deficit for the three months ended March 31,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3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consolidated statements of net income for the three months ended March 31, 2021 are not necessarily indicative of the results to be expected for the year ending December 31, 2021 or for any other future annual or interim period.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evaluates its operations periodically to determine if any risks and uncertainties exist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its 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three months ended March 31, 2020 and 2021 (unaudited). 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and the three months ended March 31,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146"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Company does not believe that there are any significant risks that have not already been disclosed in the consolidated financial statements.</w:t>
      </w:r>
    </w:p>
    <w:p>
      <w:pPr>
        <w:spacing w:after="0" w:line="9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6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86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Significant estimates and assumptions by management affect the Company’s revenues, fair value of common stock, the useful lives and recoverability of long-lived assets and stock-based compensation.</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Company uses the U.S. dollar as its functional currency. Foreign currency assets and liabilities are remeasured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1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consists of funds deposited with banks. The Company considers all highly liquid investments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maturity of three months or less at the date of purchase to be cash equivalents. The recorded carrying amount of cash equivalents, which is cost plus accrued interest, if any, approximates fair value. As of December 31, 2019 and 2020 and March 31, 2021 (unaudited), the Company had no cash equivalents.</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of approximately $246,000 and $48,000 as of December 31, 2019 and 2020, respectively, and $48,000</w:t>
      </w:r>
      <w:r>
        <w:rPr>
          <w:rFonts w:ascii="Arial" w:cs="Arial" w:eastAsia="Arial" w:hAnsi="Arial"/>
          <w:sz w:val="18"/>
          <w:szCs w:val="18"/>
          <w:b w:val="1"/>
          <w:bCs w:val="1"/>
          <w:color w:val="auto"/>
        </w:rPr>
        <w:t xml:space="preserve"> </w:t>
      </w:r>
      <w:r>
        <w:rPr>
          <w:rFonts w:ascii="Arial" w:cs="Arial" w:eastAsia="Arial" w:hAnsi="Arial"/>
          <w:sz w:val="18"/>
          <w:szCs w:val="18"/>
          <w:color w:val="auto"/>
        </w:rPr>
        <w:t>as of March 31, 2021 (unaudited) relates to cash 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March 31, 2021 (unaudited).</w:t>
      </w:r>
    </w:p>
    <w:p>
      <w:pPr>
        <w:spacing w:after="0" w:line="14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March 31, 2021 (unaudited).</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Restricted cash also includes amounts included within Settlement assets for funds held for customers that are deposited into a commercial bank account held by the Company for the benefit of the customers until remitted to the customer's members. Refer to the Settlement assets and liabilities policy note below for further detail.</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recorded at the invoiced amount, net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accounts of approximately $15,000 and $29,000 as of December 31, 2019 and 2020, respectively. As of March 31, 2021 (unaudited), the Company recorded allowance for doubtful accounts of approximately $7,000. To date, the Company has not had significant write offs of accounts receivables.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subject the Company to credit risk consist primarily of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three months ended March 31, 2020 and 2021 (unaudited). In addition, there were no customers representing 10% or more of accounts receivable as of December 31, 2019, December 31, 2020 and March 31, 2021 (unaudited).</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Settlement assets and liabilities </w:t>
      </w:r>
      <w:r>
        <w:rPr>
          <w:rFonts w:ascii="Arial" w:cs="Arial" w:eastAsia="Arial" w:hAnsi="Arial"/>
          <w:sz w:val="18"/>
          <w:szCs w:val="18"/>
          <w:color w:val="auto"/>
        </w:rPr>
        <w:t>– Settlement assets and liabilities arise due to the time required between the approval of an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and 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three months ended March 31,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determines if an arrangement is a lease at inception. Operating and finance leases are included in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2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Company has made the accounting policy election to account for these agreements as a single lease component.</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cost, less accumulated depreciation and amortization.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are 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3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March 31, 2021 (unaudited) represents leasehold improvements under installation.</w:t>
      </w:r>
    </w:p>
    <w:p>
      <w:pPr>
        <w:spacing w:after="0" w:line="114"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b w:val="1"/>
          <w:bCs w:val="1"/>
          <w:color w:val="auto"/>
        </w:rPr>
        <w:t xml:space="preserve">Capitalized software development costs </w:t>
      </w:r>
      <w:r>
        <w:rPr>
          <w:rFonts w:ascii="Arial" w:cs="Arial" w:eastAsia="Arial" w:hAnsi="Arial"/>
          <w:sz w:val="17"/>
          <w:szCs w:val="17"/>
          <w:color w:val="auto"/>
        </w:rPr>
        <w:t>– The Company capitalizes internal and external costs directly related to obtaining or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internal-use 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w:t>
      </w:r>
    </w:p>
    <w:p>
      <w:pPr>
        <w:spacing w:after="0" w:line="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 During the three months ended March 31, 2020 and 2021 (unaudited), the Company capitalized $402,662 and $668,999, respectively, in software development costs.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 Long-lived assets, primarily capitalized software development costs, property and equipment and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three months ended March 31, 2020 and 2021 (unaudited). Impairment losses on long-lived assets were immaterial for the year ended December 31, 2020.</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Deferred offering costs </w:t>
      </w:r>
      <w:r>
        <w:rPr>
          <w:rFonts w:ascii="Arial" w:cs="Arial" w:eastAsia="Arial" w:hAnsi="Arial"/>
          <w:sz w:val="18"/>
          <w:szCs w:val="18"/>
          <w:color w:val="auto"/>
        </w:rPr>
        <w:t>– Deferred offering costs consist primarily of legal and other fees related to the proposed IPO. The deferred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will be offset against IPO proceeds upon the consummation of the IPO. If the IPO is aborted, deferred offering costs will be expensed. As of December 31, 2020, the Company had no deferred offering costs that were capitalized. As of March 31, 2021 (unaudited), the Company capitalized $932,039 of deferred offering costs which are included within Other current assets on the consolidated balance sheets.</w:t>
      </w:r>
    </w:p>
    <w:p>
      <w:pPr>
        <w:spacing w:after="0" w:line="109"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subscription fees paid by its customers to access and use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hosted software services, as well as standard customer support. The Company adopted Accounting Standard Update (ASU) No. 2014-09, </w:t>
      </w:r>
      <w:r>
        <w:rPr>
          <w:rFonts w:ascii="Arial" w:cs="Arial" w:eastAsia="Arial" w:hAnsi="Arial"/>
          <w:sz w:val="18"/>
          <w:szCs w:val="18"/>
          <w:i w:val="1"/>
          <w:iCs w:val="1"/>
          <w:color w:val="auto"/>
        </w:rPr>
        <w:t xml:space="preserve">Revenue from Contracts with Customers (Topic 606) </w:t>
      </w:r>
      <w:r>
        <w:rPr>
          <w:rFonts w:ascii="Arial" w:cs="Arial" w:eastAsia="Arial" w:hAnsi="Arial"/>
          <w:sz w:val="18"/>
          <w:szCs w:val="18"/>
          <w:color w:val="auto"/>
        </w:rPr>
        <w:t>as of January 1, 2019, utilizing the full retrospective method of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the Company determines the amount of revenue to be recognized through the following five-step framework:</w:t>
      </w:r>
    </w:p>
    <w:p>
      <w:pPr>
        <w:spacing w:after="0" w:line="158"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4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4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1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$976,917 within Other current assets on the Company's consolidated balance sheet as of March 31,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Employee and employee related </w:t>
      </w:r>
      <w:r>
        <w:rPr>
          <w:rFonts w:ascii="Arial" w:cs="Arial" w:eastAsia="Arial" w:hAnsi="Arial"/>
          <w:sz w:val="18"/>
          <w:szCs w:val="18"/>
          <w:color w:val="auto"/>
        </w:rPr>
        <w:t>– Employee and employee related expenses include contractor costs, employee salary and wages, stock-based compensation and travel and other employee-related costs. Contractor costs included in employee and employee related expenses generally consist of salary and wages for individual contractors that are considered employees of the Company but receive payment outside of the Company's standard operating payroll system due to its limitations in processing payments for individuals that work and reside in certain foreign countries.</w:t>
      </w:r>
    </w:p>
    <w:p>
      <w:pPr>
        <w:spacing w:after="0" w:line="9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stock-based compensation under the fair value recognition and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U.S. 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the Company has not paid and does not expect to pay dividends.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Cost of revenue, net </w:t>
      </w:r>
      <w:r>
        <w:rPr>
          <w:rFonts w:ascii="Arial" w:cs="Arial" w:eastAsia="Arial" w:hAnsi="Arial"/>
          <w:sz w:val="18"/>
          <w:szCs w:val="18"/>
          <w:color w:val="auto"/>
        </w:rPr>
        <w:t>– Cost of revenue, net primarily consists of expenses related to hosting the Company’s service, including the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center 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net of credit card processing fees paid to the vendor, is included as a reduction to cost of revenue of $30,550 and $1,006,387 for the years ended December 31, 2019 and 2020, respectively. The consideration, net of credit card processing fees paid to the vendor, is included as a reduction to cost of revenue of $192,641 and $ 455,697 for the three months ended March 31, 2020 and 2021 (unaudited), respectively. Additional costs include amortization expense on capitalized software development costs. Cost of revenue, net excludes all Expensify employee costs, including employee costs related to supporting customers.</w:t>
      </w:r>
    </w:p>
    <w:p>
      <w:pPr>
        <w:spacing w:after="0" w:line="11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General and administrative expenses primarily consist of rent, utilities, depreciation on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amortization of finance lease right-of-use assets and external professional services, including accounting, audit, tax, finance, legal and compliance, human resources and information technology. General and administrative expenses exclude any employee and employee related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18"/>
          <w:szCs w:val="18"/>
          <w:color w:val="auto"/>
        </w:rPr>
        <w:t>– Sales and marketing primarily consist of advertising expenses, branding and public relations expenses, referral fees</w:t>
      </w:r>
      <w:r>
        <w:rPr>
          <w:rFonts w:ascii="Arial" w:cs="Arial" w:eastAsia="Arial" w:hAnsi="Arial"/>
          <w:sz w:val="18"/>
          <w:szCs w:val="18"/>
          <w:b w:val="1"/>
          <w:bCs w:val="1"/>
          <w:color w:val="auto"/>
        </w:rPr>
        <w:t xml:space="preserve"> </w:t>
      </w:r>
      <w:r>
        <w:rPr>
          <w:rFonts w:ascii="Arial" w:cs="Arial" w:eastAsia="Arial" w:hAnsi="Arial"/>
          <w:sz w:val="18"/>
          <w:szCs w:val="18"/>
          <w:color w:val="auto"/>
        </w:rPr>
        <w:t>for strategic partnerships and other benefits that the Company provides to its referral and affiliate partners. The Company expenses the costs of sales and marketing, including promotional expenses, as incurred. Sales and marketing excludes all Expensify employee costs, including employee costs related to sales and marketing.</w:t>
      </w:r>
    </w:p>
    <w:p>
      <w:pPr>
        <w:spacing w:after="0" w:line="9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tax liabilities and assets are recognized for the expected future tax consequences of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financial 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 inclusions as period cost are both acceptable methods subject to an accounting policy election. The Company has elected to treat any potential GILTI inclusions as a period cost.</w:t>
      </w:r>
    </w:p>
    <w:p>
      <w:pPr>
        <w:spacing w:after="0" w:line="12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4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3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Net income (loss) per share - </w:t>
      </w:r>
      <w:r>
        <w:rPr>
          <w:rFonts w:ascii="Arial" w:cs="Arial" w:eastAsia="Arial" w:hAnsi="Arial"/>
          <w:sz w:val="18"/>
          <w:szCs w:val="18"/>
          <w:color w:val="auto"/>
        </w:rPr>
        <w:t>The Company computes net income (loss) per share using the two-class method required by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Codification 260, </w:t>
      </w:r>
      <w:r>
        <w:rPr>
          <w:rFonts w:ascii="Arial" w:cs="Arial" w:eastAsia="Arial" w:hAnsi="Arial"/>
          <w:sz w:val="18"/>
          <w:szCs w:val="18"/>
          <w:i w:val="1"/>
          <w:iCs w:val="1"/>
          <w:color w:val="auto"/>
        </w:rPr>
        <w:t>Earnings per Share</w:t>
      </w:r>
      <w:r>
        <w:rPr>
          <w:rFonts w:ascii="Arial" w:cs="Arial" w:eastAsia="Arial" w:hAnsi="Arial"/>
          <w:sz w:val="18"/>
          <w:szCs w:val="18"/>
          <w:color w:val="auto"/>
        </w:rPr>
        <w:t>, 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1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three months ended March 31, 2020 and 2021 (unaudited), undistributed earnings exceed the amount of undeclared stated dividends and were available for allocation to the common stockholders. For the year ended December 31, 2020, the Company generated a net loss and, therefore, no loss is allocated to the holders of the convertible preferred stock.</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Basic net income (loss) per share is computed by dividing net income (loss) for the period by the weighted-average number of outstanding shares of common stock during the period.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Segment reporting - </w:t>
      </w:r>
      <w:r>
        <w:rPr>
          <w:rFonts w:ascii="Arial" w:cs="Arial" w:eastAsia="Arial" w:hAnsi="Arial"/>
          <w:sz w:val="18"/>
          <w:szCs w:val="18"/>
          <w:color w:val="auto"/>
        </w:rPr>
        <w:t>The Company operates as one reportable segment because its chief operating decision maker, who is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that 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3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provides the Company’s total revenue by geographic area (in thousands). No other individual country outside of the United States accounted for more than 10%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29"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Revenue by customers' geographic locations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26,440</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No individual customer represents more than 10% of the Company’s total revenue for the years ended December 31, 2019 or 2020 and the three months ended March 31, 2020 and 2021 (unaudited).</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 xml:space="preserve">Emerging growth company status - </w:t>
      </w:r>
      <w:r>
        <w:rPr>
          <w:rFonts w:ascii="Arial" w:cs="Arial" w:eastAsia="Arial" w:hAnsi="Arial"/>
          <w:sz w:val="18"/>
          <w:szCs w:val="18"/>
          <w:color w:val="auto"/>
        </w:rPr>
        <w:t>The Company is an emerging growth company, as defined in the Jumpstart Our Business Startups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(the JOBS Act). Under the JOBS Act, emerging growth companies can delay adopting new or revised accounting standards issued subsequent to the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2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The JOBS Act does not preclude an emerging growth company from early adopting new or revised accounting standards. The Company early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of January 1, 2019 using the modified retrospective transition approach. See Recently adopted accounting pronouncements for further detail.</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Recently adopted accounting pronouncements </w:t>
      </w:r>
      <w:r>
        <w:rPr>
          <w:rFonts w:ascii="Arial" w:cs="Arial" w:eastAsia="Arial" w:hAnsi="Arial"/>
          <w:sz w:val="18"/>
          <w:szCs w:val="18"/>
          <w:color w:val="auto"/>
        </w:rPr>
        <w:t xml:space="preserve">– In May 2014, the Financial Accounting Standards Board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underlying principle of the 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1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Topic 842 supersedes the lease requirements in Accounting Standards Codification (ASC)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update clarifies how certain cash receipts and cash payments are presented and classified in the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nature of the restrictions on cash. The standard is effective for nonpublic business entities beginning after</w:t>
      </w:r>
    </w:p>
    <w:p>
      <w:pPr>
        <w:spacing w:after="0" w:line="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 2018-07 had no material impact to the Company’s consolidated financial statements and related disclosures.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part of its initiative to reduce complexity in the accounting standards, in December 2019 the FASB issued ASU No. 2019-12,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Simplifying the Accounting for Income Taxes</w:t>
      </w:r>
      <w:r>
        <w:rPr>
          <w:rFonts w:ascii="Arial" w:cs="Arial" w:eastAsia="Arial" w:hAnsi="Arial"/>
          <w:sz w:val="18"/>
          <w:szCs w:val="18"/>
          <w:color w:val="auto"/>
        </w:rPr>
        <w:t>, which eliminates certain exceptions related to the approach for intra-period</w:t>
      </w:r>
      <w:r>
        <w:rPr>
          <w:rFonts w:ascii="Arial" w:cs="Arial" w:eastAsia="Arial" w:hAnsi="Arial"/>
          <w:sz w:val="18"/>
          <w:szCs w:val="18"/>
          <w:i w:val="1"/>
          <w:iCs w:val="1"/>
          <w:color w:val="auto"/>
        </w:rPr>
        <w:t xml:space="preserve"> </w:t>
      </w:r>
      <w:r>
        <w:rPr>
          <w:rFonts w:ascii="Arial" w:cs="Arial" w:eastAsia="Arial" w:hAnsi="Arial"/>
          <w:sz w:val="18"/>
          <w:szCs w:val="18"/>
          <w:color w:val="auto"/>
        </w:rPr>
        <w:t>tax allocation, the methodology for 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 on January 1, 2020. The adoption of ASU No. 2019-12 had no material impact to the Company's consolidated financial statements and related disclosures.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Recent accounting pronouncements not yet adopted </w:t>
      </w:r>
      <w:r>
        <w:rPr>
          <w:rFonts w:ascii="Arial" w:cs="Arial" w:eastAsia="Arial" w:hAnsi="Arial"/>
          <w:sz w:val="18"/>
          <w:szCs w:val="18"/>
          <w:color w:val="auto"/>
        </w:rPr>
        <w:t>– In June 2016, the FASB issued ASU No.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Financial Instruments (Topic 326)</w:t>
      </w:r>
      <w:r>
        <w:rPr>
          <w:rFonts w:ascii="Arial" w:cs="Arial" w:eastAsia="Arial" w:hAnsi="Arial"/>
          <w:sz w:val="18"/>
          <w:szCs w:val="18"/>
          <w:color w:val="auto"/>
        </w:rPr>
        <w:t>, which requires an impairment model (known as the current expected credit loss (CECL) model)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The Company has evaluated subsequent events through April 28, 2021, the date the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for the years ended December 31, 2019 and 2020 were issued and through June 14, 2021 for the interim consolidated financial statements as of and for the three months ended March 31, 2021 (unaudited). The Company has concluded that no subsequent event has occurred that requires disclosure except as noted elsewhere in these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CAPITALIZED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4,361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7"/>
              </w:rPr>
              <w:t>6,170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719"/>
              <w:spacing w:after="0"/>
              <w:rPr>
                <w:sz w:val="20"/>
                <w:szCs w:val="20"/>
                <w:color w:val="auto"/>
              </w:rPr>
            </w:pPr>
            <w:r>
              <w:rPr>
                <w:rFonts w:ascii="Arial" w:cs="Arial" w:eastAsia="Arial" w:hAnsi="Arial"/>
                <w:sz w:val="18"/>
                <w:szCs w:val="18"/>
                <w:color w:val="auto"/>
                <w:w w:val="97"/>
              </w:rPr>
              <w:t>6,839</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(1,411)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699"/>
              <w:spacing w:after="0"/>
              <w:rPr>
                <w:sz w:val="20"/>
                <w:szCs w:val="20"/>
                <w:color w:val="auto"/>
              </w:rPr>
            </w:pPr>
            <w:r>
              <w:rPr>
                <w:rFonts w:ascii="Arial" w:cs="Arial" w:eastAsia="Arial" w:hAnsi="Arial"/>
                <w:sz w:val="18"/>
                <w:szCs w:val="18"/>
                <w:color w:val="auto"/>
              </w:rPr>
              <w:t>(2,824)</w:t>
            </w: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2,950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7"/>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8"/>
                <w:szCs w:val="18"/>
                <w:color w:val="auto"/>
                <w:w w:val="97"/>
              </w:rPr>
              <w:t>4,015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Amortization expense related to capitalized software development costs for the years ended December 31, 2019 and 2020, was $ 648,340 and $ 1,037,204, respectively. Amortization expense related to capitalized software development costs for the three months ended March 31, 2020 and 2021 (unaudited), was $241,284 and $375,513, respectively. Amortization expense related to capitalized software development costs is recorded in Cost of revenue, net on the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95"/>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6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depreciation and amortization expense related to Property and equipment was</w:t>
      </w:r>
    </w:p>
    <w:p>
      <w:pPr>
        <w:spacing w:after="0" w:line="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$1,376,860 and $1,384,385, respectively. For the three months ended March 31, 2020 and 2021 (unaudited), depreciation and amortization expense related to Property and equipment was $384,448 and $597,450, respectively. Depreciation and amortization expense is recorded within General and administrative and Cost of revenue, net on the consolidated statements of income.</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March 31, 2021 (unaudited), there is no tenant funded leasehold improvement or corresponding liability amount included in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LEASES</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2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During 2020, the Company did not enter into any additional finance lease agreements to finance the acquisition of new property and equipment. In August 2020, the Company entered into a new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three months ended March 31, 2021 (unaudited).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Amortization of ROU assets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0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2021</w:t>
            </w:r>
          </w:p>
        </w:tc>
      </w:tr>
      <w:tr>
        <w:trPr>
          <w:trHeight w:val="183"/>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right="138"/>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1,608</w:t>
            </w:r>
          </w:p>
        </w:tc>
        <w:tc>
          <w:tcPr>
            <w:tcW w:w="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1,843</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3,003</w:t>
            </w: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8"/>
              <w:spacing w:after="0"/>
              <w:rPr>
                <w:sz w:val="20"/>
                <w:szCs w:val="20"/>
                <w:color w:val="auto"/>
              </w:rPr>
            </w:pPr>
            <w:r>
              <w:rPr>
                <w:rFonts w:ascii="Arial" w:cs="Arial" w:eastAsia="Arial" w:hAnsi="Arial"/>
                <w:sz w:val="18"/>
                <w:szCs w:val="18"/>
                <w:color w:val="auto"/>
              </w:rPr>
              <w:t>1,511</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0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1.91</w:t>
            </w:r>
          </w:p>
        </w:tc>
        <w:tc>
          <w:tcPr>
            <w:tcW w:w="800" w:type="dxa"/>
            <w:vAlign w:val="bottom"/>
          </w:tcPr>
          <w:p>
            <w:pPr>
              <w:spacing w:after="0"/>
              <w:rPr>
                <w:sz w:val="19"/>
                <w:szCs w:val="19"/>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58"/>
              <w:spacing w:after="0"/>
              <w:rPr>
                <w:sz w:val="20"/>
                <w:szCs w:val="20"/>
                <w:color w:val="auto"/>
              </w:rPr>
            </w:pPr>
            <w:r>
              <w:rPr>
                <w:rFonts w:ascii="Arial" w:cs="Arial" w:eastAsia="Arial" w:hAnsi="Arial"/>
                <w:sz w:val="18"/>
                <w:szCs w:val="18"/>
                <w:color w:val="auto"/>
              </w:rPr>
              <w:t>2.33</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2.88</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2.08</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4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2.6 %</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2.5 %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420" w:type="dxa"/>
            <w:vAlign w:val="bottom"/>
          </w:tcPr>
          <w:p>
            <w:pPr>
              <w:jc w:val="right"/>
              <w:ind w:right="570"/>
              <w:spacing w:after="0"/>
              <w:rPr>
                <w:sz w:val="20"/>
                <w:szCs w:val="20"/>
                <w:color w:val="auto"/>
              </w:rPr>
            </w:pPr>
            <w:r>
              <w:rPr>
                <w:rFonts w:ascii="Arial" w:cs="Arial" w:eastAsia="Arial" w:hAnsi="Arial"/>
                <w:sz w:val="18"/>
                <w:szCs w:val="18"/>
                <w:color w:val="auto"/>
              </w:rPr>
              <w:t>5.1 %</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5.3 %</w:t>
            </w:r>
          </w:p>
        </w:tc>
        <w:tc>
          <w:tcPr>
            <w:tcW w:w="114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54"/>
        </w:trPr>
        <w:tc>
          <w:tcPr>
            <w:tcW w:w="49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8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Cash paid for amounts included in the measurement of</w:t>
      </w:r>
    </w:p>
    <w:p>
      <w:pPr>
        <w:ind w:left="180"/>
        <w:spacing w:after="0"/>
        <w:rPr>
          <w:sz w:val="20"/>
          <w:szCs w:val="20"/>
          <w:color w:val="auto"/>
        </w:rPr>
      </w:pPr>
      <w:r>
        <w:rPr>
          <w:rFonts w:ascii="Arial" w:cs="Arial" w:eastAsia="Arial" w:hAnsi="Arial"/>
          <w:sz w:val="18"/>
          <w:szCs w:val="18"/>
          <w:color w:val="auto"/>
        </w:rPr>
        <w:t>lease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ROU assets obtained in exchange for operating lease</w:t>
            </w:r>
          </w:p>
        </w:tc>
        <w:tc>
          <w:tcPr>
            <w:tcW w:w="7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6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74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00" w:type="dxa"/>
            <w:vAlign w:val="bottom"/>
            <w:vMerge w:val="continue"/>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20"/>
              <w:spacing w:after="0" w:line="189" w:lineRule="exact"/>
              <w:rPr>
                <w:sz w:val="20"/>
                <w:szCs w:val="20"/>
                <w:color w:val="auto"/>
              </w:rPr>
            </w:pPr>
            <w:r>
              <w:rPr>
                <w:rFonts w:ascii="Arial" w:cs="Arial" w:eastAsia="Arial" w:hAnsi="Arial"/>
                <w:sz w:val="18"/>
                <w:szCs w:val="18"/>
                <w:color w:val="auto"/>
              </w:rPr>
              <w:t>ROU assets obtained in exchange for finance lease</w:t>
            </w:r>
          </w:p>
        </w:tc>
        <w:tc>
          <w:tcPr>
            <w:tcW w:w="740" w:type="dxa"/>
            <w:vAlign w:val="bottom"/>
          </w:tcPr>
          <w:p>
            <w:pPr>
              <w:spacing w:after="0"/>
              <w:rPr>
                <w:sz w:val="16"/>
                <w:szCs w:val="16"/>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316</w:t>
            </w:r>
          </w:p>
        </w:tc>
        <w:tc>
          <w:tcPr>
            <w:tcW w:w="64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1,260</w:t>
            </w:r>
          </w:p>
        </w:tc>
        <w:tc>
          <w:tcPr>
            <w:tcW w:w="68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00" w:type="dxa"/>
            <w:vAlign w:val="bottom"/>
            <w:vMerge w:val="restart"/>
          </w:tcPr>
          <w:p>
            <w:pPr>
              <w:ind w:left="180"/>
              <w:spacing w:after="0"/>
              <w:rPr>
                <w:sz w:val="20"/>
                <w:szCs w:val="20"/>
                <w:color w:val="auto"/>
              </w:rPr>
            </w:pPr>
            <w:r>
              <w:rPr>
                <w:rFonts w:ascii="Arial" w:cs="Arial" w:eastAsia="Arial" w:hAnsi="Arial"/>
                <w:sz w:val="18"/>
                <w:szCs w:val="18"/>
                <w:color w:val="auto"/>
              </w:rPr>
              <w:t>liabilities</w:t>
            </w:r>
          </w:p>
        </w:tc>
        <w:tc>
          <w:tcPr>
            <w:tcW w:w="7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7980" w:type="dxa"/>
            <w:vAlign w:val="bottom"/>
            <w:tcBorders>
              <w:top w:val="single" w:sz="8" w:color="auto"/>
            </w:tcBorders>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SIGNIFICANT BALANCE SHEET COMPONENTS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current assets </w:t>
      </w:r>
      <w:r>
        <w:rPr>
          <w:rFonts w:ascii="Arial" w:cs="Arial" w:eastAsia="Arial" w:hAnsi="Arial"/>
          <w:sz w:val="18"/>
          <w:szCs w:val="18"/>
          <w:color w:val="auto"/>
        </w:rPr>
        <w:t>– Other current assets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95"/>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collateral for funds held for customers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initial public offering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expenses and other liabilities </w:t>
      </w:r>
      <w:r>
        <w:rPr>
          <w:rFonts w:ascii="Arial" w:cs="Arial" w:eastAsia="Arial" w:hAnsi="Arial"/>
          <w:sz w:val="18"/>
          <w:szCs w:val="18"/>
          <w:color w:val="auto"/>
        </w:rPr>
        <w:t>– Accrued expenses and other liabilities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2021</w:t>
            </w:r>
          </w:p>
        </w:tc>
      </w:tr>
      <w:tr>
        <w:trPr>
          <w:trHeight w:val="183"/>
        </w:trPr>
        <w:tc>
          <w:tcPr>
            <w:tcW w:w="6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95"/>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Hosting and license fees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Professional and other fees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632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r>
      <w:tr>
        <w:trPr>
          <w:trHeight w:val="21"/>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FINANCING ARRANGEMENTS</w:t>
      </w:r>
    </w:p>
    <w:p>
      <w:pPr>
        <w:spacing w:after="0" w:line="15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Amortizing term mortgage </w:t>
      </w:r>
      <w:r>
        <w:rPr>
          <w:rFonts w:ascii="Arial" w:cs="Arial" w:eastAsia="Arial" w:hAnsi="Arial"/>
          <w:sz w:val="18"/>
          <w:szCs w:val="18"/>
          <w:color w:val="auto"/>
        </w:rPr>
        <w:t>– Under the amortizing term mortgage agreement with CIBC, the Company borrowed $8,250,000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March 31, 2021 (unaudited), the outstanding balance of the amortizing term mortgage was $8,052,639.</w:t>
      </w:r>
    </w:p>
    <w:p>
      <w:pPr>
        <w:spacing w:after="0" w:line="11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 xml:space="preserve">Monthly revolving line of credit </w:t>
      </w:r>
      <w:r>
        <w:rPr>
          <w:rFonts w:ascii="Arial" w:cs="Arial" w:eastAsia="Arial" w:hAnsi="Arial"/>
          <w:sz w:val="18"/>
          <w:szCs w:val="18"/>
          <w:color w:val="auto"/>
        </w:rPr>
        <w:t>– The line of credit agreement with CIBC provides borrowings of the lesser of $15,000,000 or 300% of</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recurring revenue of the Company. Borrowings under the line bear interest at the bank’s reference rate plus 1.00% (5.75% and</w:t>
      </w:r>
    </w:p>
    <w:p>
      <w:pPr>
        <w:ind w:right="180"/>
        <w:spacing w:after="0" w:line="254" w:lineRule="auto"/>
        <w:rPr>
          <w:sz w:val="20"/>
          <w:szCs w:val="20"/>
          <w:color w:val="auto"/>
        </w:rPr>
      </w:pPr>
      <w:r>
        <w:rPr>
          <w:rFonts w:ascii="Arial" w:cs="Arial" w:eastAsia="Arial" w:hAnsi="Arial"/>
          <w:sz w:val="18"/>
          <w:szCs w:val="18"/>
          <w:color w:val="auto"/>
        </w:rPr>
        <w:t>4.25% as of December 31, 2019 and 2020, respectively) and are secured by substantially all of the Company’s assets. As of December 31, 2019, and 2020, the Company had drawn $6,387,000 and $15,000,000, respectively, under the line of credit. As of March 31, 2021 (unaudited), the Company had drawn $ 15,000,000 under the line of credit. As of December 31, 2020 and March 31, 2021 (unaudited), the Company had no capacity available for borrowings under the line of credit agreement.</w:t>
      </w:r>
    </w:p>
    <w:p>
      <w:pPr>
        <w:spacing w:after="0" w:line="1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Non-amortizing term loan </w:t>
      </w:r>
      <w:r>
        <w:rPr>
          <w:rFonts w:ascii="Arial" w:cs="Arial" w:eastAsia="Arial" w:hAnsi="Arial"/>
          <w:sz w:val="18"/>
          <w:szCs w:val="18"/>
          <w:color w:val="auto"/>
        </w:rPr>
        <w:t>– Under the non-amortizing term loan agreement with CIBC, the Company borrowed $11,000,000 in May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agreement was amended in November 2018. The term loan is an interest-only loan (fixed at 9.5% per year) for 60 months that becomes due and payable at the end of the note term in November 2023. The borrowings are secured by substantially all the Company’s assets. As of December 31, 2019, December 31 2020 and March 31, 2021 (unaudited), the outstanding balance of the non-amortizing term loan was $11,000,000.</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Amortizing term loan </w:t>
      </w:r>
      <w:r>
        <w:rPr>
          <w:rFonts w:ascii="Arial" w:cs="Arial" w:eastAsia="Arial" w:hAnsi="Arial"/>
          <w:sz w:val="18"/>
          <w:szCs w:val="18"/>
          <w:color w:val="auto"/>
        </w:rPr>
        <w:t>– Under the amortizing term loan agreement with CIBC, the Company borrowed $14,000,000 in November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March 31, 2021 (unaudited), the outstanding balance of the amortizing term loan was $13,222,222.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years ended December 31, 2019 and 2020, the Company incurred $23,826 and $170,995 in costs related to the amortizing term mortgage and term loan agreements, respectively. For the three months ended March 31, 2020 and 2021 (unaudited), the Company incurred $8,120 and $8,133,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2022</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2024</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r>
      <w:tr>
        <w:trPr>
          <w:trHeight w:val="223"/>
        </w:trPr>
        <w:tc>
          <w:tcPr>
            <w:tcW w:w="3640" w:type="dxa"/>
            <w:vAlign w:val="bottom"/>
          </w:tcPr>
          <w:p>
            <w:pPr>
              <w:spacing w:after="0"/>
              <w:rPr>
                <w:sz w:val="19"/>
                <w:szCs w:val="19"/>
                <w:color w:val="auto"/>
              </w:rPr>
            </w:pPr>
          </w:p>
        </w:tc>
        <w:tc>
          <w:tcPr>
            <w:tcW w:w="6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47,891</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for issuance costs</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3640" w:type="dxa"/>
            <w:vAlign w:val="bottom"/>
          </w:tcPr>
          <w:p>
            <w:pPr>
              <w:spacing w:after="0"/>
              <w:rPr>
                <w:sz w:val="19"/>
                <w:szCs w:val="19"/>
                <w:color w:val="auto"/>
              </w:rPr>
            </w:pPr>
          </w:p>
        </w:tc>
        <w:tc>
          <w:tcPr>
            <w:tcW w:w="6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47,775</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line of credit</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net of issuance costs</w:t>
            </w:r>
          </w:p>
        </w:tc>
        <w:tc>
          <w:tcPr>
            <w:tcW w:w="5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net of issuance costs</w:t>
            </w:r>
          </w:p>
        </w:tc>
        <w:tc>
          <w:tcPr>
            <w:tcW w:w="6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 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and March 31, 2021 (unaudited), the Company was in compliance with all 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CONVERTIBLE PREFERRED STOCK AND STOCKHOLDERS’ DEFICIT</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Amended and Restated Certificate of Incorporation authorizes the Company to issue 9,500,000 shares of common stock and 4,203,139 shares of convertible preferred stock with a par value of $0.0001 per share. As of December 31, 2019 and 2020, there was 2,658,993 and 2,936,694 shares of common stock issued and outstanding, respectively. As of March 31, 2021 (unaudited), there was 2,964,052 shares of common stock issued and outstanding. The holders of each share of common stock are entitled to the number of votes that is equal to the number of shares of common stock issued and outstanding for the holders.</w:t>
      </w:r>
    </w:p>
    <w:p>
      <w:pPr>
        <w:spacing w:after="0" w:line="1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year ended December 31, 2019, the Company repurchased 5,520 shares of exercised unvested common stock, for $1,794,703, of which $13,919 for the exercise cost of the repurchase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recorded within Additional paid-in capital and the remaining $1,780,784 of the repurchase was recorded as 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and March 31, 2021 (unaudited), convertible preferred stock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tcBorders>
              <w:top w:val="single" w:sz="8" w:color="auto"/>
            </w:tcBorders>
            <w:vMerge w:val="restart"/>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Original issuance</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price per share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Series C</w:t>
            </w: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15.5677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features of the Company’s convertible preferred stock are as follows:</w:t>
      </w:r>
    </w:p>
    <w:p>
      <w:pPr>
        <w:spacing w:after="0" w:line="13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The holders of Series A convertible preferred stock (Series A), Series B convertible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convertible preferred stock (Series B-1) and Series C 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 In the event of any liquidation, dissolution or winding up of the Company, the holders of convertible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for Series A, Series B, Series B-1, or Series C then outstanding shall be entitled to be paid, prior and in preference to any distribution of any of the assets, funds, or proceeds available for distribution, the original issuance price per share equal to $0.9167, $2.67903, $5.54619, or $15.56770, respectively, plus declared but unpaid dividends. If assets are not sufficient to permit such payment, payment will be made on a pro rata, equal priority, pari passu basis.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outstanding share of Series A, Series B, Series B-1 and Series C is convertible into one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 of 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Except in the case of liquidation, the convertible preferred stock is not redeemable at the option of the holder.</w:t>
      </w:r>
    </w:p>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convertible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The Company issued warrants during various dates in 2013 and in December 2016 to purchase 43,008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the previous credit agreement entered into with Silicon Valley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Although the credit agreement was terminated in 2018, the common stock warrants remain outstanding until exercised or expired. The warrants issued in 2013 and 2016 are exercisable immediately at $0.68 and $5.30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discloses important information regarding common stock warrants issued and outstanding at December 31, 2019 and 2020 and March 31, 2021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Number of warrant</w:t>
            </w: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 on issuance</w:t>
            </w:r>
          </w:p>
        </w:tc>
        <w:tc>
          <w:tcPr>
            <w:tcW w:w="1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issued</w:t>
            </w:r>
          </w:p>
        </w:tc>
        <w:tc>
          <w:tcPr>
            <w:tcW w:w="8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556"/>
              <w:spacing w:after="0" w:line="135"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1"/>
                <w:szCs w:val="11"/>
                <w:color w:val="auto"/>
              </w:rPr>
            </w:pPr>
          </w:p>
        </w:tc>
        <w:tc>
          <w:tcPr>
            <w:tcW w:w="21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Exercisable through</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October 2013</w:t>
            </w:r>
          </w:p>
        </w:tc>
        <w:tc>
          <w:tcPr>
            <w:tcW w:w="15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2026</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43,008</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STOCK-BASED COMPENSATION</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2009, the Company’s Board of Directors approved the adoption of a stock option plan (the Option Plan). As amended in 2015, the Option Plan permits the Company to grant up to 1,649,515 shares of the Company’s common stock. In January 2018, the Company increased the common stock reserved under the Company’s Option Plan by 53,513 shares, from 1,649,515 shares to 1,703,028. In April 2019, the Company approved the adoption of a new 2019 stock option plan (the 2019 Option Plan). This plan permits the Company to grant up to 817,397 additional shares, increasing the overall common stock reserved for grant to 2,520,425 shares.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2019 Option Plan gives the Company the ability to grant restricted stock units. No restricted stock units were issued as of December 31, 2019, December 31, 2020 and March 31, 2021 (unaudited).</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Under both option plans, most options typically vest over four years and are exercisable at any time after the grant date. However,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is terminated prior to all of the exercised options vesting, the Company has the right to repurchase the unvested early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During the year ended December 31, 2019, the Company repurchased 5,520 shares of exercised unvested common stock,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$1,794,703, of which $13,919 of the exercise cost of the repurchase was recorded within Additional paid-in capital and the remaining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$1,780,784 of the repurchase was recorded as stock-based compensation expense. There were no repurchases of common stock during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and the three months ended March 31, 2021 (unaudited). There were no early exercised shares subjected to repurchase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December 31, 2020 and March 31, 2021 (unaudited).</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employees of the Company. During the year ended 2020, the modification had an immaterial impact to stock-based compensation expense and the consolidated financial statements.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1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the years ended December 31, 2019 and 2020, the Company recorded stock-based compensation expense of $3,487,089 and $17,837,359, respectively. For the three months ended March 31, 2020 and 2021 (unaudited), the Company recorded stock-based compensation expense of $599,099 and $709,584, respectively. All stock-based compensation expense for the Company is recorded within Employee and employee related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within Employee and employee related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2020 and the three months ended March 31, 2021 (unaudited),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5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price per</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5"/>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share</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163,802</w:t>
            </w:r>
          </w:p>
        </w:tc>
        <w:tc>
          <w:tcPr>
            <w:tcW w:w="10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21.11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(277,701)</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(89,404)</w:t>
            </w:r>
          </w:p>
        </w:tc>
        <w:tc>
          <w:tcPr>
            <w:tcW w:w="1020" w:type="dxa"/>
            <w:vAlign w:val="bottom"/>
            <w:tcBorders>
              <w:bottom w:val="single" w:sz="8" w:color="CCEEFF"/>
            </w:tcBorders>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25.67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1,351,282</w:t>
            </w:r>
          </w:p>
        </w:tc>
        <w:tc>
          <w:tcPr>
            <w:tcW w:w="10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2020</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1,322,280</w:t>
            </w:r>
          </w:p>
        </w:tc>
        <w:tc>
          <w:tcPr>
            <w:tcW w:w="1020" w:type="dxa"/>
            <w:vAlign w:val="bottom"/>
            <w:gridSpan w:val="2"/>
          </w:tcPr>
          <w:p>
            <w:pPr>
              <w:jc w:val="right"/>
              <w:ind w:right="728"/>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7.80</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 (unaudited)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61,680</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Options exercised (unaudited)</w:t>
            </w:r>
          </w:p>
        </w:tc>
        <w:tc>
          <w:tcPr>
            <w:tcW w:w="1440" w:type="dxa"/>
            <w:vAlign w:val="bottom"/>
          </w:tcPr>
          <w:p>
            <w:pPr>
              <w:jc w:val="right"/>
              <w:spacing w:after="0"/>
              <w:rPr>
                <w:sz w:val="20"/>
                <w:szCs w:val="20"/>
                <w:color w:val="auto"/>
              </w:rPr>
            </w:pPr>
            <w:r>
              <w:rPr>
                <w:rFonts w:ascii="Arial" w:cs="Arial" w:eastAsia="Arial" w:hAnsi="Arial"/>
                <w:sz w:val="18"/>
                <w:szCs w:val="18"/>
                <w:color w:val="auto"/>
              </w:rPr>
              <w:t>(27,358)</w:t>
            </w:r>
          </w:p>
        </w:tc>
        <w:tc>
          <w:tcPr>
            <w:tcW w:w="10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Options cancelled/forfeited/expired (unaudited)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60"/>
              <w:spacing w:after="0"/>
              <w:rPr>
                <w:sz w:val="20"/>
                <w:szCs w:val="20"/>
                <w:color w:val="auto"/>
              </w:rPr>
            </w:pPr>
            <w:r>
              <w:rPr>
                <w:rFonts w:ascii="Arial" w:cs="Arial" w:eastAsia="Arial" w:hAnsi="Arial"/>
                <w:sz w:val="18"/>
                <w:szCs w:val="18"/>
                <w:color w:val="auto"/>
              </w:rPr>
              <w:t>Outstanding at March 31, 2021 (unaudited)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1,381,227</w:t>
            </w:r>
          </w:p>
        </w:tc>
        <w:tc>
          <w:tcPr>
            <w:tcW w:w="10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March 31, 2021 (unaudited)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1,349,830</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54"/>
        </w:trPr>
        <w:tc>
          <w:tcPr>
            <w:tcW w:w="67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total pretax intrinsic value of options exercised during the years ended December 31, 2019 and 2020, was $4,655,919 and $11,262,711, respectively. The total pretax intrinsic value of options exercised during the three months ended March 31, 2020 and 2021 (unaudited), was $114,342 and $1,955,987, respectively. The total pretax intrinsic value of options outstanding at December 31, 2019 and 2020, was $40,412,194 and $86,828,282, respectively. The total pretax intrinsic value of options outstanding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March 31, 2021 (unaudited) was $113,643,757.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$16.46 and $16.90, respectively. The weighted average grant date fair value of options granted during the three months ended March 31, 2020 and 2021 (unaudited), was $27.24 and $86.04, respectively.</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2020, there was $10,768,423 of unamortized stock-based compensation cost related to unvested stock options, which is expected to be recognized over a weighted average period of 3.7 years. As of March 31, 2021 (unaudited), there was $12,840,823 of unamortized stock-based compensation cost related to unvested stock options, which is expected to be recognized over a weighted average period of 2.0 years.</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received from option exercises and purchases of shares under the option plans for the years ended December 31, 2019 and 2020, was $482,254 and $1,300,766, respectively. Cash received from option exercises and purchases of shares under the option plans for the three months ended March 31, 2020 and 2021 (unaudited), was $31,924 and $124,905,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 grants was estimated using the Black-Scholes option 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17780</wp:posOffset>
            </wp:positionV>
            <wp:extent cx="21513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 w:lineRule="exact"/>
        <w:rPr>
          <w:sz w:val="20"/>
          <w:szCs w:val="20"/>
          <w:color w:val="auto"/>
        </w:rPr>
      </w:pPr>
    </w:p>
    <w:p>
      <w:pPr>
        <w:ind w:left="5000"/>
        <w:spacing w:after="0"/>
        <w:tabs>
          <w:tab w:leader="none" w:pos="6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17780</wp:posOffset>
            </wp:positionV>
            <wp:extent cx="2168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(unaudited)</w:t>
      </w:r>
    </w:p>
    <w:p>
      <w:pPr>
        <w:spacing w:after="0" w:line="40"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700" w:type="dxa"/>
            <w:vAlign w:val="bottom"/>
          </w:tcPr>
          <w:p>
            <w:pPr>
              <w:ind w:left="20"/>
              <w:spacing w:after="0"/>
              <w:rPr>
                <w:sz w:val="20"/>
                <w:szCs w:val="20"/>
                <w:color w:val="auto"/>
              </w:rPr>
            </w:pPr>
            <w:r>
              <w:rPr>
                <w:rFonts w:ascii="Arial" w:cs="Arial" w:eastAsia="Arial" w:hAnsi="Arial"/>
                <w:sz w:val="18"/>
                <w:szCs w:val="18"/>
                <w:color w:val="auto"/>
              </w:rPr>
              <w:t>Fair value of common stock per share</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23.95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26.63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27.24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86.04</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21.11</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32.88</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72.07</w:t>
            </w:r>
          </w:p>
        </w:tc>
      </w:tr>
      <w:tr>
        <w:trPr>
          <w:trHeight w:val="230"/>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42.5 %</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50.5 %</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47.9 %</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51.5 %</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54"/>
        </w:trPr>
        <w:tc>
          <w:tcPr>
            <w:tcW w:w="3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12" w:lineRule="exact"/>
        <w:rPr>
          <w:rFonts w:ascii="Arial" w:cs="Arial" w:eastAsia="Arial" w:hAnsi="Arial"/>
          <w:sz w:val="13"/>
          <w:szCs w:val="13"/>
          <w:color w:val="auto"/>
        </w:rPr>
      </w:pPr>
    </w:p>
    <w:p>
      <w:pPr>
        <w:ind w:left="640" w:hanging="632"/>
        <w:spacing w:after="0"/>
        <w:tabs>
          <w:tab w:leader="none" w:pos="6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right="260" w:firstLine="8"/>
        <w:spacing w:after="0" w:line="260" w:lineRule="auto"/>
        <w:tabs>
          <w:tab w:leader="none" w:pos="63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right="360" w:firstLine="8"/>
        <w:spacing w:after="0" w:line="280" w:lineRule="auto"/>
        <w:tabs>
          <w:tab w:leader="none" w:pos="63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benefit (provision) for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7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State</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the three months ended March 31, 2020 (unaudited), the effective income tax rate differs from the statutory rate in 2020 primarily due to research and development credits and stock-based compensation due to incentive stock options granted. For the three months ended March 31, 2021 (unaudited), the effective income tax rate differs from the statutory rate in 2021 primarily due to state taxes as a result of higher net income and stock-based compensation due to incentive stock options granted. For the three months ended March 31, 2020 and 2021 (unaudited) below, the effective income tax rate reflects an annual effective income tax rate included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93"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17780</wp:posOffset>
            </wp:positionV>
            <wp:extent cx="21513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2" w:lineRule="exact"/>
        <w:rPr>
          <w:sz w:val="20"/>
          <w:szCs w:val="20"/>
          <w:color w:val="auto"/>
        </w:rPr>
      </w:pPr>
    </w:p>
    <w:p>
      <w:pPr>
        <w:ind w:left="5060"/>
        <w:spacing w:after="0"/>
        <w:tabs>
          <w:tab w:leader="none" w:pos="67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17780</wp:posOffset>
            </wp:positionV>
            <wp:extent cx="21342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(unaudited)</w:t>
      </w:r>
    </w:p>
    <w:p>
      <w:pPr>
        <w:spacing w:after="0" w:line="40" w:lineRule="exact"/>
        <w:rPr>
          <w:sz w:val="20"/>
          <w:szCs w:val="20"/>
          <w:color w:val="auto"/>
        </w:rPr>
      </w:pPr>
    </w:p>
    <w:p>
      <w:pPr>
        <w:sectPr>
          <w:pgSz w:w="11900" w:h="16838" w:orient="portrait"/>
          <w:cols w:equalWidth="0" w:num="2">
            <w:col w:w="7780" w:space="720"/>
            <w:col w:w="2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400" w:type="dxa"/>
            <w:vAlign w:val="bottom"/>
          </w:tcPr>
          <w:p>
            <w:pPr>
              <w:ind w:left="20"/>
              <w:spacing w:after="0"/>
              <w:rPr>
                <w:sz w:val="20"/>
                <w:szCs w:val="20"/>
                <w:color w:val="auto"/>
              </w:rPr>
            </w:pPr>
            <w:r>
              <w:rPr>
                <w:rFonts w:ascii="Arial" w:cs="Arial" w:eastAsia="Arial" w:hAnsi="Arial"/>
                <w:sz w:val="18"/>
                <w:szCs w:val="18"/>
                <w:color w:val="auto"/>
              </w:rPr>
              <w:t>Statutory rate</w:t>
            </w:r>
          </w:p>
        </w:tc>
        <w:tc>
          <w:tcPr>
            <w:tcW w:w="16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Research and development (R&amp;D) credit</w:t>
            </w:r>
          </w:p>
        </w:tc>
        <w:tc>
          <w:tcPr>
            <w:tcW w:w="164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valuation allowance - federal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133.2 %</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188"/>
        </w:trPr>
        <w:tc>
          <w:tcPr>
            <w:tcW w:w="4400" w:type="dxa"/>
            <w:vAlign w:val="bottom"/>
          </w:tcPr>
          <w:p>
            <w:pPr>
              <w:ind w:left="20"/>
              <w:spacing w:after="0" w:line="189" w:lineRule="exact"/>
              <w:rPr>
                <w:sz w:val="20"/>
                <w:szCs w:val="20"/>
                <w:color w:val="auto"/>
              </w:rPr>
            </w:pPr>
            <w:r>
              <w:rPr>
                <w:rFonts w:ascii="Arial" w:cs="Arial" w:eastAsia="Arial" w:hAnsi="Arial"/>
                <w:sz w:val="18"/>
                <w:szCs w:val="18"/>
                <w:color w:val="auto"/>
              </w:rPr>
              <w:t>Rate differentials for controlled foreign corporations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5"/>
        </w:trPr>
        <w:tc>
          <w:tcPr>
            <w:tcW w:w="4400" w:type="dxa"/>
            <w:vAlign w:val="bottom"/>
          </w:tcPr>
          <w:p>
            <w:pPr>
              <w:ind w:left="180"/>
              <w:spacing w:after="0" w:line="176" w:lineRule="exact"/>
              <w:rPr>
                <w:sz w:val="20"/>
                <w:szCs w:val="20"/>
                <w:color w:val="auto"/>
              </w:rPr>
            </w:pPr>
            <w:r>
              <w:rPr>
                <w:rFonts w:ascii="Arial" w:cs="Arial" w:eastAsia="Arial" w:hAnsi="Arial"/>
                <w:sz w:val="18"/>
                <w:szCs w:val="18"/>
                <w:color w:val="auto"/>
              </w:rPr>
              <w:t>(CFCs) and charitable organizations that affect</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17"/>
        </w:trPr>
        <w:tc>
          <w:tcPr>
            <w:tcW w:w="44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 and others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 federal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State taxes includes the state tax impact of the release of the valuation allowance in 2019 and stock-based compensation expense related to secondary market transactions in</w:t>
      </w:r>
    </w:p>
    <w:p>
      <w:pPr>
        <w:spacing w:after="0" w:line="1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3" w:name="page224"/>
    <w:bookmarkEnd w:id="22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NOL carryforwards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ROU assets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 net</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24"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March 31, 2021 (unaudited).</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2019, the Company had NOL carryforwards for federal and state tax purposes of $8,348,489 and $3,795,685, respectively. As of December 31, 2020, the Company had NOL 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4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26"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The Company follows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March 31, 2021 (unaudited), the Company recorded an uncertain tax position liability, exclusive of interest and penalties, of $1,004,392 within Other liabilities on the consolidated balance sheets. As of December 31, 2020 and March 31, 2021 (unaudited), the Company has not accrued penalties and interest for uncertain tax positions.</w:t>
      </w:r>
    </w:p>
    <w:p>
      <w:pPr>
        <w:spacing w:after="0" w:line="1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of December 31, 2020, the Company has $ 1,328,883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9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439"/>
        </w:trPr>
        <w:tc>
          <w:tcPr>
            <w:tcW w:w="7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50"/>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prior year</w:t>
            </w:r>
          </w:p>
        </w:tc>
        <w:tc>
          <w:tcPr>
            <w:tcW w:w="10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three months ended March 31, 2020 and 2021 (unaudited) or the consolidated balance sheet as of March 31, 2021 (unaudited). There are no positions for which it is reasonably possible that the total amounts of unrecognized tax benefits will significantly increase or decrease within 12 months of the reporting date.</w:t>
      </w:r>
    </w:p>
    <w:p>
      <w:pPr>
        <w:spacing w:after="0" w:line="140" w:lineRule="exact"/>
        <w:rPr>
          <w:sz w:val="20"/>
          <w:szCs w:val="20"/>
          <w:color w:val="auto"/>
        </w:rPr>
      </w:pPr>
    </w:p>
    <w:p>
      <w:pPr>
        <w:jc w:val="both"/>
        <w:ind w:right="82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NET INCOME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(loss) per share is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520"/>
              <w:spacing w:after="0" w:line="168" w:lineRule="exact"/>
              <w:rPr>
                <w:sz w:val="20"/>
                <w:szCs w:val="20"/>
                <w:color w:val="auto"/>
              </w:rPr>
            </w:pPr>
            <w:r>
              <w:rPr>
                <w:rFonts w:ascii="Arial" w:cs="Arial" w:eastAsia="Arial" w:hAnsi="Arial"/>
                <w:sz w:val="18"/>
                <w:szCs w:val="18"/>
                <w:color w:val="auto"/>
              </w:rPr>
              <w:t>Net income (loss) attributable to common</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680"/>
              <w:spacing w:after="0" w:line="190" w:lineRule="exact"/>
              <w:rPr>
                <w:sz w:val="20"/>
                <w:szCs w:val="20"/>
                <w:color w:val="auto"/>
              </w:rPr>
            </w:pPr>
            <w:r>
              <w:rPr>
                <w:rFonts w:ascii="Arial" w:cs="Arial" w:eastAsia="Arial" w:hAnsi="Arial"/>
                <w:sz w:val="18"/>
                <w:szCs w:val="18"/>
                <w:color w:val="auto"/>
              </w:rPr>
              <w:t>stockholders, basic</w:t>
            </w:r>
          </w:p>
        </w:tc>
        <w:tc>
          <w:tcPr>
            <w:tcW w:w="4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Weighted-average shares of common stock used to</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income (loss) per share attributable to</w:t>
            </w: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w:t>
            </w: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2,661,851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2,952,241</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Net income (loss) per share attributable to common</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stockholders, basic</w:t>
            </w:r>
          </w:p>
        </w:tc>
        <w:tc>
          <w:tcPr>
            <w:tcW w:w="4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168"/>
        </w:trPr>
        <w:tc>
          <w:tcPr>
            <w:tcW w:w="4700" w:type="dxa"/>
            <w:vAlign w:val="bottom"/>
          </w:tcPr>
          <w:p>
            <w:pPr>
              <w:ind w:left="520"/>
              <w:spacing w:after="0" w:line="168" w:lineRule="exact"/>
              <w:rPr>
                <w:sz w:val="20"/>
                <w:szCs w:val="20"/>
                <w:color w:val="auto"/>
              </w:rPr>
            </w:pPr>
            <w:r>
              <w:rPr>
                <w:rFonts w:ascii="Arial" w:cs="Arial" w:eastAsia="Arial" w:hAnsi="Arial"/>
                <w:sz w:val="18"/>
                <w:szCs w:val="18"/>
                <w:color w:val="auto"/>
              </w:rPr>
              <w:t>Net income (loss) attributable to common</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90"/>
        </w:trPr>
        <w:tc>
          <w:tcPr>
            <w:tcW w:w="4700" w:type="dxa"/>
            <w:vAlign w:val="bottom"/>
          </w:tcPr>
          <w:p>
            <w:pPr>
              <w:ind w:left="680"/>
              <w:spacing w:after="0" w:line="190" w:lineRule="exact"/>
              <w:rPr>
                <w:sz w:val="20"/>
                <w:szCs w:val="20"/>
                <w:color w:val="auto"/>
              </w:rPr>
            </w:pPr>
            <w:r>
              <w:rPr>
                <w:rFonts w:ascii="Arial" w:cs="Arial" w:eastAsia="Arial" w:hAnsi="Arial"/>
                <w:sz w:val="18"/>
                <w:szCs w:val="18"/>
                <w:color w:val="auto"/>
              </w:rPr>
              <w:t>stockholders - diluted</w:t>
            </w:r>
          </w:p>
        </w:tc>
        <w:tc>
          <w:tcPr>
            <w:tcW w:w="4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41,925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1,063,468</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Weighted-average shares of common stock used to</w:t>
            </w: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computer net income (loss) per share attributable to</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2,742,448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3,339,646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4,057,634</w:t>
            </w:r>
          </w:p>
        </w:tc>
        <w:tc>
          <w:tcPr>
            <w:tcW w:w="0" w:type="dxa"/>
            <w:vAlign w:val="bottom"/>
          </w:tcPr>
          <w:p>
            <w:pPr>
              <w:spacing w:after="0"/>
              <w:rPr>
                <w:sz w:val="1"/>
                <w:szCs w:val="1"/>
                <w:color w:val="auto"/>
              </w:rPr>
            </w:pPr>
          </w:p>
        </w:tc>
      </w:tr>
      <w:tr>
        <w:trPr>
          <w:trHeight w:val="168"/>
        </w:trPr>
        <w:tc>
          <w:tcPr>
            <w:tcW w:w="4700" w:type="dxa"/>
            <w:vAlign w:val="bottom"/>
          </w:tcPr>
          <w:p>
            <w:pPr>
              <w:ind w:left="440"/>
              <w:spacing w:after="0" w:line="168" w:lineRule="exact"/>
              <w:rPr>
                <w:sz w:val="20"/>
                <w:szCs w:val="20"/>
                <w:color w:val="auto"/>
              </w:rPr>
            </w:pPr>
            <w:r>
              <w:rPr>
                <w:rFonts w:ascii="Arial" w:cs="Arial" w:eastAsia="Arial" w:hAnsi="Arial"/>
                <w:sz w:val="18"/>
                <w:szCs w:val="18"/>
                <w:color w:val="auto"/>
              </w:rPr>
              <w:t>Net income (loss) per share attributable to common</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0"/>
        </w:trPr>
        <w:tc>
          <w:tcPr>
            <w:tcW w:w="4700" w:type="dxa"/>
            <w:vAlign w:val="bottom"/>
          </w:tcPr>
          <w:p>
            <w:pPr>
              <w:ind w:left="600"/>
              <w:spacing w:after="0" w:line="190" w:lineRule="exact"/>
              <w:rPr>
                <w:sz w:val="20"/>
                <w:szCs w:val="20"/>
                <w:color w:val="auto"/>
              </w:rPr>
            </w:pPr>
            <w:r>
              <w:rPr>
                <w:rFonts w:ascii="Arial" w:cs="Arial" w:eastAsia="Arial" w:hAnsi="Arial"/>
                <w:sz w:val="18"/>
                <w:szCs w:val="18"/>
                <w:color w:val="auto"/>
              </w:rPr>
              <w:t>stockholders, diluted</w:t>
            </w:r>
          </w:p>
        </w:tc>
        <w:tc>
          <w:tcPr>
            <w:tcW w:w="4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873,765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1,098,137</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5,116,531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5,342,580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4,203,139</w:t>
            </w: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from time to time in claims, proceedings and litigation, including the following:</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and 2020, there were no liabilities outstanding pursuant to this matter, and this matter is now closed.</w:t>
      </w:r>
    </w:p>
    <w:p>
      <w:pPr>
        <w:spacing w:after="0" w:line="1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and March 31, 2021 (unaudited), the extent of a potential liability was unknown and could not be reasonably estimated. On June 8, 2021, the case was settled and no payment was required of the Company upon settlement. There are no liabilities outstanding pursuant to this matter, and this matter is now closed.</w:t>
      </w:r>
    </w:p>
    <w:p>
      <w:pPr>
        <w:spacing w:after="0" w:line="1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EMPLOYEE BENEFIT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401(k) plan </w:t>
      </w:r>
      <w:r>
        <w:rPr>
          <w:rFonts w:ascii="Arial" w:cs="Arial" w:eastAsia="Arial" w:hAnsi="Arial"/>
          <w:sz w:val="18"/>
          <w:szCs w:val="18"/>
          <w:color w:val="auto"/>
        </w:rPr>
        <w:t>– In fiscal 2009, the Company sponsored a U.S. 401(k) defined contribution plan covering eligible employees who elect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participate. The Company is allowed to make discretionary profit sharing and 401(k) matching contributions as defined in the plan and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Effective January 1, 2018, the Company matches up to 4.5% of each eligible participant’s 401(k)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contribution. The Company’s actual contribution may be reduced by certain available forfeitures, if any, during the plan year. No discretionary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profit-sharing contributions were made for the years ended December 31, 2019 and 2020 and the three months ended March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(unaudited). The Company’s 401(k) matching contributions for the years ended December 31, 2019 and 2020 were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$670,000 and $693,000, respectively. The Company’s 401(k) matching contributions for the three months ended March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were approximately $166,755 and $210,821, respectively. The Company has no intention to terminate the plan.</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UK pension plan </w:t>
      </w:r>
      <w:r>
        <w:rPr>
          <w:rFonts w:ascii="Arial" w:cs="Arial" w:eastAsia="Arial" w:hAnsi="Arial"/>
          <w:sz w:val="18"/>
          <w:szCs w:val="18"/>
          <w:color w:val="auto"/>
        </w:rPr>
        <w:t>– Since inception, in accordance with local laws and customs of the UK, the Company sponsored a UK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December 31, 2019 and 2020 and the three months ended March 31, 2020 and 2021 (unaudited). The discretionary matching contributions for the years ended December 31, 2019 and 2020 were approximately $53,000 and $121,000, respectively. The discretionary matching contributions for the three months ended March 31, 2020 and 2021 (unaudited) were approximately $18,599 and $36,673, respectively. The Company has no intention to terminate the plan.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RELATED PARTY TRANSACTIONS</w:t>
      </w:r>
    </w:p>
    <w:p>
      <w:pPr>
        <w:spacing w:after="0" w:line="170"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$ 22,500 and $36,000 in interest income, respectively. During the three months ended March 31, 2020 and March 31, 2021 (unaudited), the Company recognized $9,000 in interest income, respectively.</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has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December 31, 2019, the Company repurchased 5,520 shares of exercised unvested common stock, for $1,794,703 of which approximately $890,000 was related to the repurchase of shares from executive officers of the Company. Refer to Note 8 and Note 9 for further detail over the transaction.</w:t>
      </w:r>
    </w:p>
    <w:p>
      <w:pPr>
        <w:spacing w:after="0" w:line="13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December 31, 2019, December 31, 2020 or March 31,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40"/>
        <w:spacing w:after="0"/>
        <w:rPr>
          <w:sz w:val="20"/>
          <w:szCs w:val="20"/>
          <w:color w:val="auto"/>
        </w:rPr>
      </w:pPr>
      <w:r>
        <w:rPr>
          <w:rFonts w:ascii="Arial" w:cs="Arial" w:eastAsia="Arial" w:hAnsi="Arial"/>
          <w:sz w:val="36"/>
          <w:szCs w:val="36"/>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115570</wp:posOffset>
            </wp:positionV>
            <wp:extent cx="1714500" cy="1714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Expensify,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6"/>
          <w:szCs w:val="36"/>
          <w:b w:val="1"/>
          <w:bCs w:val="1"/>
          <w:i w:val="1"/>
          <w:iCs w:val="1"/>
          <w:color w:val="auto"/>
        </w:rPr>
        <w:t>Class A common stock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3300" w:type="dxa"/>
            <w:vAlign w:val="bottom"/>
          </w:tcPr>
          <w:p>
            <w:pPr>
              <w:ind w:left="20"/>
              <w:spacing w:after="0"/>
              <w:rPr>
                <w:sz w:val="20"/>
                <w:szCs w:val="20"/>
                <w:color w:val="auto"/>
              </w:rPr>
            </w:pPr>
            <w:r>
              <w:rPr>
                <w:rFonts w:ascii="Arial" w:cs="Arial" w:eastAsia="Arial" w:hAnsi="Arial"/>
                <w:sz w:val="32"/>
                <w:szCs w:val="32"/>
                <w:color w:val="auto"/>
              </w:rPr>
              <w:t>J.P. Morgan</w:t>
            </w:r>
          </w:p>
        </w:tc>
        <w:tc>
          <w:tcPr>
            <w:tcW w:w="4340" w:type="dxa"/>
            <w:vAlign w:val="bottom"/>
          </w:tcPr>
          <w:p>
            <w:pPr>
              <w:jc w:val="center"/>
              <w:ind w:left="105"/>
              <w:spacing w:after="0"/>
              <w:rPr>
                <w:sz w:val="20"/>
                <w:szCs w:val="20"/>
                <w:color w:val="auto"/>
              </w:rPr>
            </w:pPr>
            <w:r>
              <w:rPr>
                <w:rFonts w:ascii="Arial" w:cs="Arial" w:eastAsia="Arial" w:hAnsi="Arial"/>
                <w:sz w:val="32"/>
                <w:szCs w:val="32"/>
                <w:color w:val="auto"/>
              </w:rPr>
              <w:t>Citigroup</w:t>
            </w:r>
          </w:p>
        </w:tc>
        <w:tc>
          <w:tcPr>
            <w:tcW w:w="3600" w:type="dxa"/>
            <w:vAlign w:val="bottom"/>
          </w:tcPr>
          <w:p>
            <w:pPr>
              <w:jc w:val="right"/>
              <w:spacing w:after="0"/>
              <w:rPr>
                <w:sz w:val="20"/>
                <w:szCs w:val="20"/>
                <w:color w:val="auto"/>
              </w:rPr>
            </w:pPr>
            <w:r>
              <w:rPr>
                <w:rFonts w:ascii="Arial" w:cs="Arial" w:eastAsia="Arial" w:hAnsi="Arial"/>
                <w:sz w:val="32"/>
                <w:szCs w:val="32"/>
                <w:color w:val="auto"/>
              </w:rPr>
              <w:t>BofA Securities</w:t>
            </w:r>
          </w:p>
        </w:tc>
      </w:tr>
      <w:tr>
        <w:trPr>
          <w:trHeight w:val="359"/>
        </w:trPr>
        <w:tc>
          <w:tcPr>
            <w:tcW w:w="3300" w:type="dxa"/>
            <w:vAlign w:val="bottom"/>
          </w:tcPr>
          <w:p>
            <w:pPr>
              <w:ind w:left="20"/>
              <w:spacing w:after="0"/>
              <w:rPr>
                <w:sz w:val="20"/>
                <w:szCs w:val="20"/>
                <w:color w:val="auto"/>
              </w:rPr>
            </w:pPr>
            <w:r>
              <w:rPr>
                <w:rFonts w:ascii="Arial" w:cs="Arial" w:eastAsia="Arial" w:hAnsi="Arial"/>
                <w:sz w:val="22"/>
                <w:szCs w:val="22"/>
                <w:color w:val="auto"/>
              </w:rPr>
              <w:t>Piper Sandler</w:t>
            </w:r>
          </w:p>
        </w:tc>
        <w:tc>
          <w:tcPr>
            <w:tcW w:w="4340" w:type="dxa"/>
            <w:vAlign w:val="bottom"/>
          </w:tcPr>
          <w:p>
            <w:pPr>
              <w:jc w:val="center"/>
              <w:ind w:left="125"/>
              <w:spacing w:after="0"/>
              <w:rPr>
                <w:sz w:val="20"/>
                <w:szCs w:val="20"/>
                <w:color w:val="auto"/>
              </w:rPr>
            </w:pPr>
            <w:r>
              <w:rPr>
                <w:rFonts w:ascii="Arial" w:cs="Arial" w:eastAsia="Arial" w:hAnsi="Arial"/>
                <w:sz w:val="22"/>
                <w:szCs w:val="22"/>
                <w:color w:val="auto"/>
                <w:w w:val="98"/>
              </w:rPr>
              <w:t>JMP Securities</w:t>
            </w:r>
          </w:p>
        </w:tc>
        <w:tc>
          <w:tcPr>
            <w:tcW w:w="3600" w:type="dxa"/>
            <w:vAlign w:val="bottom"/>
          </w:tcPr>
          <w:p>
            <w:pPr>
              <w:jc w:val="right"/>
              <w:spacing w:after="0"/>
              <w:rPr>
                <w:sz w:val="20"/>
                <w:szCs w:val="20"/>
                <w:color w:val="auto"/>
              </w:rPr>
            </w:pPr>
            <w:r>
              <w:rPr>
                <w:rFonts w:ascii="Arial" w:cs="Arial" w:eastAsia="Arial" w:hAnsi="Arial"/>
                <w:sz w:val="22"/>
                <w:szCs w:val="22"/>
                <w:color w:val="auto"/>
              </w:rPr>
              <w:t>Loop Capital Markets</w:t>
            </w:r>
          </w:p>
        </w:tc>
      </w:tr>
      <w:tr>
        <w:trPr>
          <w:trHeight w:val="759"/>
        </w:trPr>
        <w:tc>
          <w:tcPr>
            <w:tcW w:w="3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8"/>
        </w:trPr>
        <w:tc>
          <w:tcPr>
            <w:tcW w:w="3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229" w:name="page230"/>
    <w:bookmarkEnd w:id="229"/>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the prospectus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8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54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Amount to be paid</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Blue sky fees and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w:t>
            </w:r>
          </w:p>
        </w:tc>
      </w:tr>
      <w:tr>
        <w:trPr>
          <w:trHeight w:val="34"/>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expect to adopt a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24" w:lineRule="exact"/>
        <w:rPr>
          <w:sz w:val="20"/>
          <w:szCs w:val="20"/>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3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 March 31, 2018, we made sales of the following unregistered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6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Since April 1, 2018, we granted our employees, consultants and other service providers options to purchase an aggregate of 53,467 shares of our common stock under our 2009 Equity Incentive Plan (“2009 Plan”), all at an exercise price of $9.69 per share.</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Since April 1, 2018, we issued and sold to our employees, consultants and other service providers an aggregate of 526,456 shares of our common stock upon the exercise of stock options under our 2009 Plan, at exercise prices ranging from $0.66 to $9.69 per share, for a weighted-average exercise price of $2.864 and aggregate consideration of approximately $1.5 million.</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April 1, 2018, we granted to our employees, consultants and other service providers options to purchase an aggregate of 1,029,689 shares of our common stock under our 2019 Stock Plan (“2019 Plan”), at exercise prices ranging from $9.69 to $72.07 per share. Of these shares, 67,555 were cancelled and reissued in June 2020 (the “Reissued Shares”) as part of a repricing from $25.18 and $32.88 per share to $15.97 per share. The Reissued Shares are included in the aggregate total mentioned above.</w:t>
      </w:r>
    </w:p>
    <w:p>
      <w:pPr>
        <w:spacing w:after="0" w:line="12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Since April 1, 2018, we issued and sold to our employees, consultants and other service providers an aggregate of 49,509 shares of our common stock upon the exercise of stock options under our 2019 Plan, at exercise prices ranging from $9.69 to $32.88 per share, for a weighted-average exercise price of $10.778 and aggregate consideration of approximately $533.6 thousand.</w:t>
      </w:r>
    </w:p>
    <w:p>
      <w:pPr>
        <w:spacing w:after="0" w:line="1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preferred stock and convertible promissory notes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April 2018, we sold 875,321 shares of our Series B preferred stock, 25,418 shares of our Series B-1 preferred stock and 64,014 shares of our Series C preferred stock to seven accredited investors at a purchase price of $24.4680 per share, for an aggregate purchase price of approximately $23.61 million.</w:t>
      </w:r>
    </w:p>
    <w:p>
      <w:pPr>
        <w:spacing w:after="0" w:line="13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April 2018, we issued convertible promissory notes with an annual interest rate of 13% in the aggregate principal amount of approximately $20 million to ten accredited investors.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r>
      <w:tr>
        <w:trPr>
          <w:trHeight w:val="223"/>
        </w:trPr>
        <w:tc>
          <w:tcPr>
            <w:tcW w:w="13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the Registrant, currently in effect, and form of Amendment to be in</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effect immediately prior to the effectiveness of this registration statement on Form S-1</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Amended and Restated Certificate of Incorporation of the Registrant, to be in effect upon completion of this</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offering.</w:t>
            </w:r>
          </w:p>
        </w:tc>
      </w:tr>
      <w:tr>
        <w:trPr>
          <w:trHeight w:val="284"/>
        </w:trPr>
        <w:tc>
          <w:tcPr>
            <w:tcW w:w="1380" w:type="dxa"/>
            <w:vAlign w:val="bottom"/>
          </w:tcPr>
          <w:p>
            <w:pPr>
              <w:ind w:lef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 to be in effect upon the completion of this offering.</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Investors’ Rights Agreement, dated as of January 22, 2015, by and among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certain of its stockholders.</w:t>
            </w:r>
          </w:p>
        </w:tc>
      </w:tr>
      <w:tr>
        <w:trPr>
          <w:trHeight w:val="284"/>
        </w:trPr>
        <w:tc>
          <w:tcPr>
            <w:tcW w:w="1380" w:type="dxa"/>
            <w:vAlign w:val="bottom"/>
          </w:tcPr>
          <w:p>
            <w:pPr>
              <w:ind w:lef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Warrant to Purchase Common Stock, dated September 19, 2013, by and between the Registrant and Silicon Valley Bank.</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Warrant to Purchase Common Stock, dated December 20, 2016, by and between the Registrant and Silicon Valley Bank.</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Opinion of Latham &amp; Watkins LLP.</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Expensify Voting Trust Agreement, to be effective immediately prior to the effectiveness of this registration</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statement on Form S-1.</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Loan and Security Agreement, dated as of May 24, 2018, by and between the Registrant, the Borrowers party thereto,</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and 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First Amendment to Loan and Security Agreement, dated as of November 16, 2018, by and between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Second Amendment to Loan and Security Agreement, dated as of August 22, 2019, by and between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Letter Agreement, dated as of November 6, 2020, by and between the Registrant and Canadian Imperial Bank of</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Loan Agreement, dated as of August 22, 2019, by and between the Borrower party thereto, the Registrant, as Guarantor,</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and Canadian Imperial Bank of Commerce.</w:t>
            </w:r>
          </w:p>
        </w:tc>
      </w:tr>
      <w:tr>
        <w:trPr>
          <w:trHeight w:val="340"/>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10.6*</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Employment Agreement by and between the Registrant and David Barrett.</w:t>
            </w:r>
          </w:p>
        </w:tc>
      </w:tr>
      <w:tr>
        <w:trPr>
          <w:trHeight w:val="284"/>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10.7*</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Employment Agreement by and between the Registrant and Ryan Schaffer.</w:t>
            </w:r>
          </w:p>
        </w:tc>
      </w:tr>
      <w:tr>
        <w:trPr>
          <w:trHeight w:val="283"/>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10.8*</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Employment Agreement by and between the Registrant and Anuradha Muralidharan.</w:t>
            </w:r>
          </w:p>
        </w:tc>
      </w:tr>
      <w:tr>
        <w:trPr>
          <w:trHeight w:val="283"/>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10.9*</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2021 Incentive Award Plan</w:t>
            </w:r>
          </w:p>
        </w:tc>
      </w:tr>
      <w:tr>
        <w:trPr>
          <w:trHeight w:val="284"/>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2021 Employee Stock Purchase Plan</w:t>
            </w:r>
          </w:p>
        </w:tc>
      </w:tr>
      <w:tr>
        <w:trPr>
          <w:trHeight w:val="294"/>
        </w:trPr>
        <w:tc>
          <w:tcPr>
            <w:tcW w:w="1480" w:type="dxa"/>
            <w:vAlign w:val="bottom"/>
            <w:gridSpan w:val="2"/>
          </w:tcPr>
          <w:p>
            <w:pPr>
              <w:ind w:left="140"/>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9760" w:type="dxa"/>
            <w:vAlign w:val="bottom"/>
          </w:tcPr>
          <w:p>
            <w:pPr>
              <w:ind w:left="20"/>
              <w:spacing w:after="0"/>
              <w:rPr>
                <w:sz w:val="20"/>
                <w:szCs w:val="20"/>
                <w:color w:val="auto"/>
              </w:rPr>
            </w:pPr>
            <w:r>
              <w:rPr>
                <w:rFonts w:ascii="Arial" w:cs="Arial" w:eastAsia="Arial" w:hAnsi="Arial"/>
                <w:sz w:val="18"/>
                <w:szCs w:val="18"/>
                <w:color w:val="auto"/>
              </w:rPr>
              <w:t>Non-Employee Director Compensation Program</w:t>
            </w:r>
          </w:p>
        </w:tc>
      </w:tr>
      <w:tr>
        <w:trPr>
          <w:trHeight w:val="217"/>
        </w:trPr>
        <w:tc>
          <w:tcPr>
            <w:tcW w:w="1380" w:type="dxa"/>
            <w:vAlign w:val="bottom"/>
          </w:tcPr>
          <w:p>
            <w:pPr>
              <w:ind w:lef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List of Subsidiaries of the Registrant.</w:t>
            </w:r>
          </w:p>
        </w:tc>
      </w:tr>
      <w:tr>
        <w:trPr>
          <w:trHeight w:val="284"/>
        </w:trPr>
        <w:tc>
          <w:tcPr>
            <w:tcW w:w="1380" w:type="dxa"/>
            <w:vAlign w:val="bottom"/>
          </w:tcPr>
          <w:p>
            <w:pPr>
              <w:ind w:left="1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Consent of Ernst &amp; Young LLP as to the Registrant.</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84"/>
        </w:trPr>
        <w:tc>
          <w:tcPr>
            <w:tcW w:w="1380" w:type="dxa"/>
            <w:vAlign w:val="bottom"/>
          </w:tcPr>
          <w:p>
            <w:pPr>
              <w:ind w:left="1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3"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80" w:lineRule="exact"/>
        <w:rPr>
          <w:sz w:val="20"/>
          <w:szCs w:val="20"/>
          <w:color w:val="auto"/>
        </w:rPr>
      </w:pPr>
    </w:p>
    <w:p>
      <w:pPr>
        <w:ind w:left="340" w:right="100" w:hanging="332"/>
        <w:spacing w:after="0" w:line="268" w:lineRule="auto"/>
        <w:tabs>
          <w:tab w:leader="none" w:pos="33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rFonts w:ascii="Arial" w:cs="Arial" w:eastAsia="Arial" w:hAnsi="Arial"/>
          <w:sz w:val="17"/>
          <w:szCs w:val="17"/>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340" w:hanging="332"/>
        <w:spacing w:after="0" w:line="265" w:lineRule="auto"/>
        <w:tabs>
          <w:tab w:leader="none" w:pos="33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340" w:right="520"/>
        <w:spacing w:after="0" w:line="261" w:lineRule="auto"/>
        <w:rPr>
          <w:rFonts w:ascii="Arial" w:cs="Arial" w:eastAsia="Arial" w:hAnsi="Arial"/>
          <w:sz w:val="17"/>
          <w:szCs w:val="17"/>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130" w:lineRule="exact"/>
        <w:rPr>
          <w:rFonts w:ascii="Arial" w:cs="Arial" w:eastAsia="Arial" w:hAnsi="Arial"/>
          <w:sz w:val="17"/>
          <w:szCs w:val="17"/>
          <w:color w:val="auto"/>
        </w:rPr>
      </w:pPr>
    </w:p>
    <w:p>
      <w:pPr>
        <w:ind w:left="340" w:right="120" w:hanging="332"/>
        <w:spacing w:after="0" w:line="256" w:lineRule="auto"/>
        <w:tabs>
          <w:tab w:leader="none" w:pos="3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320" w:top="1440" w:right="419" w:bottom="1440" w:gutter="0" w:footer="0" w:header="0"/>
        </w:sectPr>
      </w:pPr>
    </w:p>
    <w:bookmarkStart w:id="234" w:name="page235"/>
    <w:bookmarkEnd w:id="234"/>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gridSpan w:val="2"/>
          </w:tcPr>
          <w:p>
            <w:pPr>
              <w:spacing w:after="0"/>
              <w:rPr>
                <w:sz w:val="20"/>
                <w:szCs w:val="20"/>
                <w:color w:val="auto"/>
              </w:rPr>
            </w:pPr>
            <w:r>
              <w:rPr>
                <w:rFonts w:ascii="Arial" w:cs="Arial" w:eastAsia="Arial" w:hAnsi="Arial"/>
                <w:sz w:val="18"/>
                <w:szCs w:val="18"/>
                <w:color w:val="auto"/>
              </w:rPr>
              <w:t>signed on its behalf by the undersigned, thereunto duly authorized in the City of Portland, State of Oregon, on</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 2021.</w:t>
            </w:r>
          </w:p>
        </w:tc>
      </w:tr>
      <w:tr>
        <w:trPr>
          <w:trHeight w:val="405"/>
        </w:trPr>
        <w:tc>
          <w:tcPr>
            <w:tcW w:w="9400" w:type="dxa"/>
            <w:vAlign w:val="bottom"/>
            <w:gridSpan w:val="2"/>
          </w:tcPr>
          <w:p>
            <w:pPr>
              <w:ind w:left="6220"/>
              <w:spacing w:after="0"/>
              <w:rPr>
                <w:sz w:val="20"/>
                <w:szCs w:val="20"/>
                <w:color w:val="auto"/>
              </w:rPr>
            </w:pPr>
            <w:r>
              <w:rPr>
                <w:rFonts w:ascii="Arial" w:cs="Arial" w:eastAsia="Arial" w:hAnsi="Arial"/>
                <w:sz w:val="18"/>
                <w:szCs w:val="18"/>
                <w:color w:val="auto"/>
              </w:rPr>
              <w:t>EXPENSIFY, INC.</w:t>
            </w:r>
          </w:p>
        </w:tc>
        <w:tc>
          <w:tcPr>
            <w:tcW w:w="1840" w:type="dxa"/>
            <w:vAlign w:val="bottom"/>
          </w:tcPr>
          <w:p>
            <w:pPr>
              <w:spacing w:after="0"/>
              <w:rPr>
                <w:sz w:val="24"/>
                <w:szCs w:val="24"/>
                <w:color w:val="auto"/>
              </w:rPr>
            </w:pPr>
          </w:p>
        </w:tc>
      </w:tr>
      <w:tr>
        <w:trPr>
          <w:trHeight w:val="445"/>
        </w:trPr>
        <w:tc>
          <w:tcPr>
            <w:tcW w:w="7080" w:type="dxa"/>
            <w:vAlign w:val="bottom"/>
          </w:tcPr>
          <w:p>
            <w:pPr>
              <w:ind w:left="6220"/>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3"/>
        </w:trPr>
        <w:tc>
          <w:tcPr>
            <w:tcW w:w="7080" w:type="dxa"/>
            <w:vAlign w:val="bottom"/>
          </w:tcPr>
          <w:p>
            <w:pPr>
              <w:ind w:left="6220"/>
              <w:spacing w:after="0"/>
              <w:rPr>
                <w:sz w:val="20"/>
                <w:szCs w:val="20"/>
                <w:color w:val="auto"/>
              </w:rPr>
            </w:pPr>
            <w:r>
              <w:rPr>
                <w:rFonts w:ascii="Arial" w:cs="Arial" w:eastAsia="Arial" w:hAnsi="Arial"/>
                <w:sz w:val="18"/>
                <w:szCs w:val="18"/>
                <w:color w:val="auto"/>
              </w:rPr>
              <w:t>Name:</w:t>
            </w:r>
          </w:p>
        </w:tc>
        <w:tc>
          <w:tcPr>
            <w:tcW w:w="232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1840" w:type="dxa"/>
            <w:vAlign w:val="bottom"/>
          </w:tcPr>
          <w:p>
            <w:pPr>
              <w:spacing w:after="0"/>
              <w:rPr>
                <w:sz w:val="19"/>
                <w:szCs w:val="19"/>
                <w:color w:val="auto"/>
              </w:rPr>
            </w:pPr>
          </w:p>
        </w:tc>
      </w:tr>
      <w:tr>
        <w:trPr>
          <w:trHeight w:val="229"/>
        </w:trPr>
        <w:tc>
          <w:tcPr>
            <w:tcW w:w="7080" w:type="dxa"/>
            <w:vAlign w:val="bottom"/>
          </w:tcPr>
          <w:p>
            <w:pPr>
              <w:ind w:left="6220"/>
              <w:spacing w:after="0"/>
              <w:rPr>
                <w:sz w:val="20"/>
                <w:szCs w:val="20"/>
                <w:color w:val="auto"/>
              </w:rPr>
            </w:pPr>
            <w:r>
              <w:rPr>
                <w:rFonts w:ascii="Arial" w:cs="Arial" w:eastAsia="Arial" w:hAnsi="Arial"/>
                <w:sz w:val="18"/>
                <w:szCs w:val="18"/>
                <w:color w:val="auto"/>
              </w:rPr>
              <w:t>Title:</w:t>
            </w:r>
          </w:p>
        </w:tc>
        <w:tc>
          <w:tcPr>
            <w:tcW w:w="2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840" w:type="dxa"/>
            <w:vAlign w:val="bottom"/>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Power of attorney</w:t>
      </w:r>
    </w:p>
    <w:p>
      <w:pPr>
        <w:spacing w:after="0" w:line="32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David Barrett and Ryan Schaffer,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4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52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5"/>
        </w:trPr>
        <w:tc>
          <w:tcPr>
            <w:tcW w:w="3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Executive Officer and Director (Principal Executive</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rPr>
              <w:t>David Barrett</w:t>
            </w:r>
          </w:p>
        </w:tc>
        <w:tc>
          <w:tcPr>
            <w:tcW w:w="80" w:type="dxa"/>
            <w:vAlign w:val="bottom"/>
          </w:tcPr>
          <w:p>
            <w:pPr>
              <w:spacing w:after="0"/>
              <w:rPr>
                <w:sz w:val="8"/>
                <w:szCs w:val="8"/>
                <w:color w:val="auto"/>
              </w:rPr>
            </w:pPr>
          </w:p>
        </w:tc>
        <w:tc>
          <w:tcPr>
            <w:tcW w:w="5180" w:type="dxa"/>
            <w:vAlign w:val="bottom"/>
            <w:gridSpan w:val="2"/>
            <w:vMerge w:val="restart"/>
          </w:tcPr>
          <w:p>
            <w:pPr>
              <w:jc w:val="center"/>
              <w:ind w:right="100"/>
              <w:spacing w:after="0" w:line="197" w:lineRule="exact"/>
              <w:rPr>
                <w:sz w:val="20"/>
                <w:szCs w:val="20"/>
                <w:color w:val="auto"/>
              </w:rPr>
            </w:pPr>
            <w:r>
              <w:rPr>
                <w:rFonts w:ascii="Arial" w:cs="Arial" w:eastAsia="Arial" w:hAnsi="Arial"/>
                <w:sz w:val="18"/>
                <w:szCs w:val="18"/>
                <w:color w:val="auto"/>
              </w:rPr>
              <w:t>Officer)</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 (Principal Financial Officer and Principal</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9"/>
              </w:rPr>
              <w:t>Ryan Schaffer</w:t>
            </w:r>
          </w:p>
        </w:tc>
        <w:tc>
          <w:tcPr>
            <w:tcW w:w="80" w:type="dxa"/>
            <w:vAlign w:val="bottom"/>
          </w:tcPr>
          <w:p>
            <w:pPr>
              <w:spacing w:after="0"/>
              <w:rPr>
                <w:sz w:val="8"/>
                <w:szCs w:val="8"/>
                <w:color w:val="auto"/>
              </w:rPr>
            </w:pPr>
          </w:p>
        </w:tc>
        <w:tc>
          <w:tcPr>
            <w:tcW w:w="5180" w:type="dxa"/>
            <w:vAlign w:val="bottom"/>
            <w:gridSpan w:val="2"/>
            <w:vMerge w:val="restart"/>
          </w:tcPr>
          <w:p>
            <w:pPr>
              <w:jc w:val="center"/>
              <w:ind w:right="100"/>
              <w:spacing w:after="0" w:line="197" w:lineRule="exact"/>
              <w:rPr>
                <w:sz w:val="20"/>
                <w:szCs w:val="20"/>
                <w:color w:val="auto"/>
              </w:rPr>
            </w:pPr>
            <w:r>
              <w:rPr>
                <w:rFonts w:ascii="Arial" w:cs="Arial" w:eastAsia="Arial" w:hAnsi="Arial"/>
                <w:sz w:val="18"/>
                <w:szCs w:val="18"/>
                <w:color w:val="auto"/>
                <w:w w:val="99"/>
              </w:rPr>
              <w:t>Accounting Officer)</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346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8"/>
              </w:rPr>
              <w:t>Blake Bartlett</w:t>
            </w:r>
          </w:p>
        </w:tc>
        <w:tc>
          <w:tcPr>
            <w:tcW w:w="80" w:type="dxa"/>
            <w:vAlign w:val="bottom"/>
            <w:vMerge w:val="continue"/>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46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9"/>
              </w:rPr>
              <w:t>Robert Lent</w:t>
            </w:r>
          </w:p>
        </w:tc>
        <w:tc>
          <w:tcPr>
            <w:tcW w:w="80" w:type="dxa"/>
            <w:vAlign w:val="bottom"/>
            <w:vMerge w:val="continue"/>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2"/>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4"/>
    </w:lvl>
  </w:abstractNum>
  <w:abstractNum w:abstractNumId="23">
    <w:nsid w:val="51D9C564"/>
    <w:multiLevelType w:val="hybridMultilevel"/>
    <w:lvl w:ilvl="0">
      <w:lvlJc w:val="left"/>
      <w:lvlText w:val="(%1)"/>
      <w:numFmt w:val="decimal"/>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endash "/>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decimal"/>
      <w:start w:val="10"/>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emdash "/>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1."/>
      <w:numFmt w:val="decimal"/>
      <w:start w:val="4"/>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1)"/>
      <w:numFmt w:val="decimal"/>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1."/>
      <w:numFmt w:val="decimal"/>
      <w:start w:val="1"/>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1)"/>
      <w:numFmt w:val="lowerRoman"/>
      <w:start w:val="1"/>
    </w:lvl>
  </w:abstractNum>
  <w:abstractNum w:abstractNumId="110">
    <w:nsid w:val="4C9B0904"/>
    <w:multiLevelType w:val="hybridMultilevel"/>
    <w:lvl w:ilvl="0">
      <w:lvlJc w:val="left"/>
      <w:lvlText w:val="(%1)"/>
      <w:numFmt w:val="lowerRoman"/>
      <w:start w:val="1"/>
    </w:lvl>
  </w:abstractNum>
  <w:abstractNum w:abstractNumId="111">
    <w:nsid w:val="6AA7B75C"/>
    <w:multiLevelType w:val="hybridMultilevel"/>
    <w:lvl w:ilvl="0">
      <w:lvlJc w:val="left"/>
      <w:lvlText w:val="(%1)"/>
      <w:numFmt w:val="lowerLetter"/>
      <w:start w:val="1"/>
    </w:lvl>
  </w:abstractNum>
  <w:abstractNum w:abstractNumId="112">
    <w:nsid w:val="1DF029D3"/>
    <w:multiLevelType w:val="hybridMultilevel"/>
    <w:lvl w:ilvl="0">
      <w:lvlJc w:val="left"/>
      <w:lvlText w:val="(%1)"/>
      <w:numFmt w:val="lowerLetter"/>
      <w:start w:val="2"/>
    </w:lvl>
  </w:abstractNum>
  <w:abstractNum w:abstractNumId="113">
    <w:nsid w:val="5675FF36"/>
    <w:multiLevelType w:val="hybridMultilevel"/>
    <w:lvl w:ilvl="0">
      <w:lvlJc w:val="left"/>
      <w:lvlText w:val="(%1)"/>
      <w:numFmt w:val="lowerRoman"/>
      <w:start w:val="2"/>
    </w:lvl>
  </w:abstractNum>
  <w:abstractNum w:abstractNumId="114">
    <w:nsid w:val="3DD15094"/>
    <w:multiLevelType w:val="hybridMultilevel"/>
    <w:lvl w:ilvl="0">
      <w:lvlJc w:val="left"/>
      <w:lvlText w:val="(%1)"/>
      <w:numFmt w:val="lowerRoman"/>
      <w:start w:val="8"/>
    </w:lvl>
  </w:abstractNum>
  <w:abstractNum w:abstractNumId="115">
    <w:nsid w:val="3DB012B3"/>
    <w:multiLevelType w:val="hybridMultilevel"/>
    <w:lvl w:ilvl="0">
      <w:lvlJc w:val="left"/>
      <w:lvlText w:val="(%1)"/>
      <w:numFmt w:val="lowerRoman"/>
      <w:start w:val="1"/>
    </w:lvl>
  </w:abstractNum>
  <w:abstractNum w:abstractNumId="116">
    <w:nsid w:val="2708C9AF"/>
    <w:multiLevelType w:val="hybridMultilevel"/>
    <w:lvl w:ilvl="0">
      <w:lvlJc w:val="left"/>
      <w:lvlText w:val="•"/>
      <w:numFmt w:val="bullet"/>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1."/>
      <w:numFmt w:val="decimal"/>
      <w:start w:val="1"/>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2021-10-17T23:13:08Z</dcterms:created>
  <dcterms:modified xsi:type="dcterms:W3CDTF">2021-10-17T23:13:08Z</dcterms:modified>
</cp:coreProperties>
</file>