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0001891077</w:t>
            </w:r>
          </w:p>
        </w:tc>
        <w:tc>
          <w:tcPr>
            <w:tcW w:w="31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835"/>
        </w:trPr>
        <w:tc>
          <w:tcPr>
            <w:tcW w:w="72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Expensify,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001-41043</w:t>
            </w:r>
          </w:p>
        </w:tc>
      </w:tr>
      <w:tr>
        <w:trPr>
          <w:trHeight w:val="258"/>
        </w:trPr>
        <w:tc>
          <w:tcPr>
            <w:tcW w:w="300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88 Kearny St</w:t>
            </w:r>
          </w:p>
        </w:tc>
      </w:tr>
      <w:tr>
        <w:trPr>
          <w:trHeight w:val="243"/>
        </w:trPr>
        <w:tc>
          <w:tcPr>
            <w:tcW w:w="300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310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Ste 1600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240" w:type="dxa"/>
            <w:vAlign w:val="bottom"/>
          </w:tcPr>
          <w:p>
            <w:pPr>
              <w:spacing w:after="0"/>
              <w:rPr>
                <w:sz w:val="21"/>
                <w:szCs w:val="21"/>
                <w:color w:val="auto"/>
              </w:rPr>
            </w:pPr>
          </w:p>
        </w:tc>
        <w:tc>
          <w:tcPr>
            <w:tcW w:w="310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San Francisco</w:t>
            </w:r>
          </w:p>
        </w:tc>
      </w:tr>
      <w:tr>
        <w:trPr>
          <w:trHeight w:val="243"/>
        </w:trPr>
        <w:tc>
          <w:tcPr>
            <w:tcW w:w="300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310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94108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971-365-3939</w:t>
            </w:r>
          </w:p>
        </w:tc>
      </w:tr>
      <w:tr>
        <w:trPr>
          <w:trHeight w:val="297"/>
        </w:trPr>
        <w:tc>
          <w:tcPr>
            <w:tcW w:w="72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6"/>
              </w:rPr>
              <w:t>Anu Muralidharan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523</w:t>
            </w:r>
          </w:p>
        </w:tc>
        <w:tc>
          <w:tcPr>
            <w:tcW w:w="1140" w:type="dxa"/>
            <w:vAlign w:val="bottom"/>
          </w:tcPr>
          <w:p>
            <w:pPr>
              <w:jc w:val="right"/>
              <w:ind w:right="392"/>
              <w:spacing w:after="0" w:line="243" w:lineRule="exact"/>
              <w:rPr>
                <w:sz w:val="20"/>
                <w:szCs w:val="20"/>
                <w:color w:val="auto"/>
              </w:rPr>
            </w:pPr>
            <w:r>
              <w:rPr>
                <w:rFonts w:ascii="Times New Roman" w:cs="Times New Roman" w:eastAsia="Times New Roman" w:hAnsi="Times New Roman"/>
                <w:sz w:val="22"/>
                <w:szCs w:val="22"/>
                <w:color w:val="auto"/>
              </w:rPr>
              <w:t>810.65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80840150</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12/17/2025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12/15/2025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523</w:t>
            </w:r>
          </w:p>
        </w:tc>
        <w:tc>
          <w:tcPr>
            <w:tcW w:w="246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12/15/2025 Compensation</w:t>
            </w:r>
          </w:p>
        </w:tc>
        <w:tc>
          <w:tcPr>
            <w:tcW w:w="0" w:type="dxa"/>
            <w:vAlign w:val="bottom"/>
          </w:tcPr>
          <w:p>
            <w:pPr>
              <w:spacing w:after="0"/>
              <w:rPr>
                <w:sz w:val="1"/>
                <w:szCs w:val="1"/>
                <w:color w:val="auto"/>
              </w:rPr>
            </w:pPr>
          </w:p>
        </w:tc>
      </w:tr>
      <w:tr>
        <w:trPr>
          <w:trHeight w:val="16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09/16/2025 409</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777.1</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09/18/2025 2486</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4847.7</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09/19/2025 14961</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29024.34</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8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Note for 3(e): As of November 3, 2025, as stated in Issuer's quarterly report on Form 10-Q for the fiscal quarter</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98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ending September 30, 2025.</w:t>
            </w: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8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12/18/2025</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9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7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Signature</w:t>
        <w:tab/>
        <w:t>/s/ Cole Eason as attorney-in-fact</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6th day of June,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Anu Muralidharan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Anu Muralidharan</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2025-12-18T20:08:50Z</dcterms:created>
  <dcterms:modified xsi:type="dcterms:W3CDTF">2025-12-18T20:08:50Z</dcterms:modified>
</cp:coreProperties>
</file>