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4"/>
          <w:szCs w:val="14"/>
          <w:b w:val="1"/>
          <w:bCs w:val="1"/>
          <w:color w:val="auto"/>
        </w:rPr>
        <w:t>As filed with the Securities and Exchange Commission on November 9, 2021</w:t>
      </w:r>
    </w:p>
    <w:p>
      <w:pPr>
        <w:spacing w:after="0" w:line="19" w:lineRule="exact"/>
        <w:rPr>
          <w:sz w:val="24"/>
          <w:szCs w:val="24"/>
          <w:color w:val="auto"/>
        </w:rPr>
      </w:pPr>
    </w:p>
    <w:p>
      <w:pPr>
        <w:ind w:left="93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7"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FORM S-8</w:t>
      </w:r>
    </w:p>
    <w:p>
      <w:pPr>
        <w:spacing w:after="0" w:line="40"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REGISTRATION STATEMENT</w:t>
      </w:r>
    </w:p>
    <w:p>
      <w:pPr>
        <w:spacing w:after="0" w:line="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219"/>
        <w:spacing w:after="0"/>
        <w:rPr>
          <w:sz w:val="20"/>
          <w:szCs w:val="20"/>
          <w:color w:val="auto"/>
        </w:rPr>
      </w:pPr>
      <w:r>
        <w:rPr>
          <w:rFonts w:ascii="Arial" w:cs="Arial" w:eastAsia="Arial" w:hAnsi="Arial"/>
          <w:sz w:val="36"/>
          <w:szCs w:val="36"/>
          <w:b w:val="1"/>
          <w:bCs w:val="1"/>
          <w:color w:val="auto"/>
        </w:rPr>
        <w:t>EXPENSIFY, INC.</w:t>
      </w:r>
    </w:p>
    <w:p>
      <w:pPr>
        <w:spacing w:after="0" w:line="57"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tbl>
      <w:tblPr>
        <w:tblLayout w:type="fixed"/>
        <w:tblInd w:w="1920" w:type="dxa"/>
        <w:tblCellMar>
          <w:top w:w="0" w:type="dxa"/>
          <w:left w:w="0" w:type="dxa"/>
          <w:bottom w:w="0" w:type="dxa"/>
          <w:right w:w="0" w:type="dxa"/>
        </w:tblCellMar>
      </w:tblPr>
      <w:tr>
        <w:trPr>
          <w:trHeight w:val="190"/>
        </w:trPr>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Delaware</w:t>
            </w:r>
          </w:p>
        </w:tc>
        <w:tc>
          <w:tcPr>
            <w:tcW w:w="5180" w:type="dxa"/>
            <w:vAlign w:val="bottom"/>
          </w:tcPr>
          <w:p>
            <w:pPr>
              <w:jc w:val="center"/>
              <w:ind w:left="4052"/>
              <w:spacing w:after="0"/>
              <w:rPr>
                <w:sz w:val="20"/>
                <w:szCs w:val="20"/>
                <w:color w:val="auto"/>
              </w:rPr>
            </w:pPr>
            <w:r>
              <w:rPr>
                <w:rFonts w:ascii="Arial" w:cs="Arial" w:eastAsia="Arial" w:hAnsi="Arial"/>
                <w:sz w:val="14"/>
                <w:szCs w:val="14"/>
                <w:b w:val="1"/>
                <w:bCs w:val="1"/>
                <w:color w:val="auto"/>
              </w:rPr>
              <w:t>27-0239450</w:t>
            </w:r>
          </w:p>
        </w:tc>
      </w:tr>
      <w:tr>
        <w:trPr>
          <w:trHeight w:val="139"/>
        </w:trPr>
        <w:tc>
          <w:tcPr>
            <w:tcW w:w="18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6"/>
              </w:rPr>
              <w:t>(State or other jurisdiction of</w:t>
            </w:r>
          </w:p>
        </w:tc>
        <w:tc>
          <w:tcPr>
            <w:tcW w:w="5180" w:type="dxa"/>
            <w:vAlign w:val="bottom"/>
          </w:tcPr>
          <w:p>
            <w:pPr>
              <w:jc w:val="center"/>
              <w:ind w:left="4052"/>
              <w:spacing w:after="0" w:line="139" w:lineRule="exact"/>
              <w:rPr>
                <w:sz w:val="20"/>
                <w:szCs w:val="20"/>
                <w:color w:val="auto"/>
              </w:rPr>
            </w:pPr>
            <w:r>
              <w:rPr>
                <w:rFonts w:ascii="Arial" w:cs="Arial" w:eastAsia="Arial" w:hAnsi="Arial"/>
                <w:sz w:val="13"/>
                <w:szCs w:val="13"/>
                <w:b w:val="1"/>
                <w:bCs w:val="1"/>
                <w:color w:val="auto"/>
                <w:w w:val="98"/>
              </w:rPr>
              <w:t>(I.R.S. Employer</w:t>
            </w:r>
          </w:p>
        </w:tc>
      </w:tr>
      <w:tr>
        <w:trPr>
          <w:trHeight w:val="168"/>
        </w:trPr>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6"/>
              </w:rPr>
              <w:t>incorporation or organization)</w:t>
            </w:r>
          </w:p>
        </w:tc>
        <w:tc>
          <w:tcPr>
            <w:tcW w:w="5180" w:type="dxa"/>
            <w:vAlign w:val="bottom"/>
          </w:tcPr>
          <w:p>
            <w:pPr>
              <w:jc w:val="center"/>
              <w:ind w:left="4052"/>
              <w:spacing w:after="0"/>
              <w:rPr>
                <w:sz w:val="20"/>
                <w:szCs w:val="20"/>
                <w:color w:val="auto"/>
              </w:rPr>
            </w:pPr>
            <w:r>
              <w:rPr>
                <w:rFonts w:ascii="Arial" w:cs="Arial" w:eastAsia="Arial" w:hAnsi="Arial"/>
                <w:sz w:val="13"/>
                <w:szCs w:val="13"/>
                <w:b w:val="1"/>
                <w:bCs w:val="1"/>
                <w:color w:val="auto"/>
                <w:w w:val="96"/>
              </w:rPr>
              <w:t>Identification No.)</w:t>
            </w:r>
          </w:p>
        </w:tc>
      </w:tr>
      <w:tr>
        <w:trPr>
          <w:trHeight w:val="543"/>
        </w:trPr>
        <w:tc>
          <w:tcPr>
            <w:tcW w:w="1860" w:type="dxa"/>
            <w:vAlign w:val="bottom"/>
          </w:tcPr>
          <w:p>
            <w:pPr>
              <w:spacing w:after="0"/>
              <w:rPr>
                <w:sz w:val="24"/>
                <w:szCs w:val="24"/>
                <w:color w:val="auto"/>
              </w:rPr>
            </w:pPr>
          </w:p>
        </w:tc>
        <w:tc>
          <w:tcPr>
            <w:tcW w:w="5180" w:type="dxa"/>
            <w:vAlign w:val="bottom"/>
          </w:tcPr>
          <w:p>
            <w:pPr>
              <w:jc w:val="center"/>
              <w:ind w:right="1412"/>
              <w:spacing w:after="0"/>
              <w:rPr>
                <w:sz w:val="20"/>
                <w:szCs w:val="20"/>
                <w:color w:val="auto"/>
              </w:rPr>
            </w:pPr>
            <w:r>
              <w:rPr>
                <w:rFonts w:ascii="Arial" w:cs="Arial" w:eastAsia="Arial" w:hAnsi="Arial"/>
                <w:sz w:val="14"/>
                <w:szCs w:val="14"/>
                <w:b w:val="1"/>
                <w:bCs w:val="1"/>
                <w:color w:val="auto"/>
              </w:rPr>
              <w:t>401 SW 5th Ave</w:t>
            </w:r>
          </w:p>
        </w:tc>
      </w:tr>
      <w:tr>
        <w:trPr>
          <w:trHeight w:val="189"/>
        </w:trPr>
        <w:tc>
          <w:tcPr>
            <w:tcW w:w="1860" w:type="dxa"/>
            <w:vAlign w:val="bottom"/>
          </w:tcPr>
          <w:p>
            <w:pPr>
              <w:spacing w:after="0"/>
              <w:rPr>
                <w:sz w:val="16"/>
                <w:szCs w:val="16"/>
                <w:color w:val="auto"/>
              </w:rPr>
            </w:pPr>
          </w:p>
        </w:tc>
        <w:tc>
          <w:tcPr>
            <w:tcW w:w="5180" w:type="dxa"/>
            <w:vAlign w:val="bottom"/>
          </w:tcPr>
          <w:p>
            <w:pPr>
              <w:jc w:val="center"/>
              <w:ind w:right="1412"/>
              <w:spacing w:after="0"/>
              <w:rPr>
                <w:sz w:val="20"/>
                <w:szCs w:val="20"/>
                <w:color w:val="auto"/>
              </w:rPr>
            </w:pPr>
            <w:r>
              <w:rPr>
                <w:rFonts w:ascii="Arial" w:cs="Arial" w:eastAsia="Arial" w:hAnsi="Arial"/>
                <w:sz w:val="14"/>
                <w:szCs w:val="14"/>
                <w:b w:val="1"/>
                <w:bCs w:val="1"/>
                <w:color w:val="auto"/>
              </w:rPr>
              <w:t>Portland, Oregon 97204</w:t>
            </w:r>
          </w:p>
        </w:tc>
      </w:tr>
      <w:tr>
        <w:trPr>
          <w:trHeight w:val="180"/>
        </w:trPr>
        <w:tc>
          <w:tcPr>
            <w:tcW w:w="1860" w:type="dxa"/>
            <w:vAlign w:val="bottom"/>
          </w:tcPr>
          <w:p>
            <w:pPr>
              <w:spacing w:after="0"/>
              <w:rPr>
                <w:sz w:val="15"/>
                <w:szCs w:val="15"/>
                <w:color w:val="auto"/>
              </w:rPr>
            </w:pPr>
          </w:p>
        </w:tc>
        <w:tc>
          <w:tcPr>
            <w:tcW w:w="5180" w:type="dxa"/>
            <w:vAlign w:val="bottom"/>
          </w:tcPr>
          <w:p>
            <w:pPr>
              <w:jc w:val="center"/>
              <w:ind w:right="1412"/>
              <w:spacing w:after="0"/>
              <w:rPr>
                <w:sz w:val="20"/>
                <w:szCs w:val="20"/>
                <w:color w:val="auto"/>
              </w:rPr>
            </w:pPr>
            <w:r>
              <w:rPr>
                <w:rFonts w:ascii="Arial" w:cs="Arial" w:eastAsia="Arial" w:hAnsi="Arial"/>
                <w:sz w:val="14"/>
                <w:szCs w:val="14"/>
                <w:b w:val="1"/>
                <w:bCs w:val="1"/>
                <w:color w:val="auto"/>
              </w:rPr>
              <w:t>Telephone: (971) 365-3939</w:t>
            </w:r>
          </w:p>
        </w:tc>
      </w:tr>
      <w:tr>
        <w:trPr>
          <w:trHeight w:val="168"/>
        </w:trPr>
        <w:tc>
          <w:tcPr>
            <w:tcW w:w="1860" w:type="dxa"/>
            <w:vAlign w:val="bottom"/>
          </w:tcPr>
          <w:p>
            <w:pPr>
              <w:spacing w:after="0"/>
              <w:rPr>
                <w:sz w:val="14"/>
                <w:szCs w:val="14"/>
                <w:color w:val="auto"/>
              </w:rPr>
            </w:pPr>
          </w:p>
        </w:tc>
        <w:tc>
          <w:tcPr>
            <w:tcW w:w="5180" w:type="dxa"/>
            <w:vAlign w:val="bottom"/>
          </w:tcPr>
          <w:p>
            <w:pPr>
              <w:jc w:val="center"/>
              <w:ind w:right="1432"/>
              <w:spacing w:after="0"/>
              <w:rPr>
                <w:sz w:val="20"/>
                <w:szCs w:val="20"/>
                <w:color w:val="auto"/>
              </w:rPr>
            </w:pPr>
            <w:r>
              <w:rPr>
                <w:rFonts w:ascii="Arial" w:cs="Arial" w:eastAsia="Arial" w:hAnsi="Arial"/>
                <w:sz w:val="13"/>
                <w:szCs w:val="13"/>
                <w:b w:val="1"/>
                <w:bCs w:val="1"/>
                <w:color w:val="auto"/>
                <w:w w:val="96"/>
              </w:rPr>
              <w:t>(Address of principal executive offices, including zip code)</w:t>
            </w:r>
          </w:p>
        </w:tc>
      </w:tr>
      <w:tr>
        <w:trPr>
          <w:trHeight w:val="354"/>
        </w:trPr>
        <w:tc>
          <w:tcPr>
            <w:tcW w:w="1860" w:type="dxa"/>
            <w:vAlign w:val="bottom"/>
          </w:tcPr>
          <w:p>
            <w:pPr>
              <w:spacing w:after="0"/>
              <w:rPr>
                <w:sz w:val="24"/>
                <w:szCs w:val="24"/>
                <w:color w:val="auto"/>
              </w:rPr>
            </w:pPr>
          </w:p>
        </w:tc>
        <w:tc>
          <w:tcPr>
            <w:tcW w:w="5180" w:type="dxa"/>
            <w:vAlign w:val="bottom"/>
          </w:tcPr>
          <w:p>
            <w:pPr>
              <w:jc w:val="center"/>
              <w:ind w:right="1412"/>
              <w:spacing w:after="0"/>
              <w:rPr>
                <w:sz w:val="20"/>
                <w:szCs w:val="20"/>
                <w:color w:val="auto"/>
              </w:rPr>
            </w:pPr>
            <w:r>
              <w:rPr>
                <w:rFonts w:ascii="Arial" w:cs="Arial" w:eastAsia="Arial" w:hAnsi="Arial"/>
                <w:sz w:val="14"/>
                <w:szCs w:val="14"/>
                <w:b w:val="1"/>
                <w:bCs w:val="1"/>
                <w:color w:val="auto"/>
              </w:rPr>
              <w:t>Expensify, Inc. 2009 Stock Plan</w:t>
            </w:r>
          </w:p>
        </w:tc>
      </w:tr>
      <w:tr>
        <w:trPr>
          <w:trHeight w:val="180"/>
        </w:trPr>
        <w:tc>
          <w:tcPr>
            <w:tcW w:w="1860" w:type="dxa"/>
            <w:vAlign w:val="bottom"/>
          </w:tcPr>
          <w:p>
            <w:pPr>
              <w:spacing w:after="0"/>
              <w:rPr>
                <w:sz w:val="15"/>
                <w:szCs w:val="15"/>
                <w:color w:val="auto"/>
              </w:rPr>
            </w:pPr>
          </w:p>
        </w:tc>
        <w:tc>
          <w:tcPr>
            <w:tcW w:w="5180" w:type="dxa"/>
            <w:vAlign w:val="bottom"/>
          </w:tcPr>
          <w:p>
            <w:pPr>
              <w:jc w:val="center"/>
              <w:ind w:right="1412"/>
              <w:spacing w:after="0"/>
              <w:rPr>
                <w:sz w:val="20"/>
                <w:szCs w:val="20"/>
                <w:color w:val="auto"/>
              </w:rPr>
            </w:pPr>
            <w:r>
              <w:rPr>
                <w:rFonts w:ascii="Arial" w:cs="Arial" w:eastAsia="Arial" w:hAnsi="Arial"/>
                <w:sz w:val="14"/>
                <w:szCs w:val="14"/>
                <w:b w:val="1"/>
                <w:bCs w:val="1"/>
                <w:color w:val="auto"/>
              </w:rPr>
              <w:t>Expensify, Inc. 2019 Stock Plan</w:t>
            </w:r>
          </w:p>
        </w:tc>
      </w:tr>
      <w:tr>
        <w:trPr>
          <w:trHeight w:val="168"/>
        </w:trPr>
        <w:tc>
          <w:tcPr>
            <w:tcW w:w="1860" w:type="dxa"/>
            <w:vAlign w:val="bottom"/>
          </w:tcPr>
          <w:p>
            <w:pPr>
              <w:spacing w:after="0"/>
              <w:rPr>
                <w:sz w:val="14"/>
                <w:szCs w:val="14"/>
                <w:color w:val="auto"/>
              </w:rPr>
            </w:pPr>
          </w:p>
        </w:tc>
        <w:tc>
          <w:tcPr>
            <w:tcW w:w="5180" w:type="dxa"/>
            <w:vAlign w:val="bottom"/>
          </w:tcPr>
          <w:p>
            <w:pPr>
              <w:jc w:val="center"/>
              <w:ind w:right="1432"/>
              <w:spacing w:after="0"/>
              <w:rPr>
                <w:sz w:val="20"/>
                <w:szCs w:val="20"/>
                <w:color w:val="auto"/>
              </w:rPr>
            </w:pPr>
            <w:r>
              <w:rPr>
                <w:rFonts w:ascii="Arial" w:cs="Arial" w:eastAsia="Arial" w:hAnsi="Arial"/>
                <w:sz w:val="13"/>
                <w:szCs w:val="13"/>
                <w:b w:val="1"/>
                <w:bCs w:val="1"/>
                <w:color w:val="auto"/>
                <w:w w:val="97"/>
              </w:rPr>
              <w:t>(Full title of the plans)</w:t>
            </w:r>
          </w:p>
        </w:tc>
      </w:tr>
    </w:tbl>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Ryan Schaffer</w:t>
      </w:r>
    </w:p>
    <w:p>
      <w:pPr>
        <w:spacing w:after="0" w:line="2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Chief Financial Officer</w:t>
      </w:r>
    </w:p>
    <w:p>
      <w:pPr>
        <w:spacing w:after="0" w:line="28"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Expensify, Inc.</w:t>
      </w:r>
    </w:p>
    <w:p>
      <w:pPr>
        <w:spacing w:after="0" w:line="28"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401 SW 5th Ave</w:t>
      </w:r>
    </w:p>
    <w:p>
      <w:pPr>
        <w:spacing w:after="0" w:line="28"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Portland, Oregon 97204</w:t>
      </w:r>
    </w:p>
    <w:p>
      <w:pPr>
        <w:spacing w:after="0" w:line="28"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Telephone: (971) 365-3939</w:t>
      </w:r>
    </w:p>
    <w:p>
      <w:pPr>
        <w:spacing w:after="0" w:line="28" w:lineRule="exact"/>
        <w:rPr>
          <w:sz w:val="24"/>
          <w:szCs w:val="24"/>
          <w:color w:val="auto"/>
        </w:rPr>
      </w:pPr>
    </w:p>
    <w:p>
      <w:pPr>
        <w:jc w:val="center"/>
        <w:ind w:right="-219"/>
        <w:spacing w:after="0"/>
        <w:rPr>
          <w:sz w:val="20"/>
          <w:szCs w:val="20"/>
          <w:color w:val="auto"/>
        </w:rPr>
      </w:pPr>
      <w:r>
        <w:rPr>
          <w:rFonts w:ascii="Arial" w:cs="Arial" w:eastAsia="Arial" w:hAnsi="Arial"/>
          <w:sz w:val="13"/>
          <w:szCs w:val="13"/>
          <w:b w:val="1"/>
          <w:bCs w:val="1"/>
          <w:color w:val="auto"/>
        </w:rPr>
        <w:t>(Name, address and telephone number, including area code, of agent for service)</w:t>
      </w:r>
    </w:p>
    <w:p>
      <w:pPr>
        <w:spacing w:after="0" w:line="270"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i w:val="1"/>
          <w:iCs w:val="1"/>
          <w:color w:val="auto"/>
        </w:rPr>
        <w:t>Copies to:</w:t>
      </w:r>
    </w:p>
    <w:p>
      <w:pPr>
        <w:spacing w:after="0" w:line="94"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Tad J. Freese</w:t>
      </w:r>
    </w:p>
    <w:p>
      <w:pPr>
        <w:spacing w:after="0" w:line="2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Alexa M. Berlin</w:t>
      </w:r>
    </w:p>
    <w:p>
      <w:pPr>
        <w:spacing w:after="0" w:line="28"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Benjamin A. Potter</w:t>
      </w:r>
    </w:p>
    <w:p>
      <w:pPr>
        <w:spacing w:after="0" w:line="28"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Christopher Shoff</w:t>
      </w:r>
    </w:p>
    <w:p>
      <w:pPr>
        <w:spacing w:after="0" w:line="28"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Latham &amp; Watkins LLP</w:t>
      </w:r>
    </w:p>
    <w:p>
      <w:pPr>
        <w:spacing w:after="0" w:line="28"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140 Scott Drive</w:t>
      </w:r>
    </w:p>
    <w:p>
      <w:pPr>
        <w:spacing w:after="0" w:line="28"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Menlo Park, California 94025</w:t>
      </w:r>
    </w:p>
    <w:p>
      <w:pPr>
        <w:spacing w:after="0" w:line="28"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(650) 328-4600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1" w:lineRule="exact"/>
        <w:rPr>
          <w:sz w:val="24"/>
          <w:szCs w:val="24"/>
          <w:color w:val="auto"/>
        </w:rPr>
      </w:pPr>
    </w:p>
    <w:p>
      <w:pPr>
        <w:ind w:right="8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2720"/>
              <w:spacing w:after="0"/>
              <w:rPr>
                <w:sz w:val="20"/>
                <w:szCs w:val="20"/>
                <w:color w:val="auto"/>
              </w:rPr>
            </w:pPr>
            <w:r>
              <w:rPr>
                <w:rFonts w:ascii="Arial" w:cs="Arial" w:eastAsia="Arial" w:hAnsi="Arial"/>
                <w:sz w:val="14"/>
                <w:szCs w:val="14"/>
                <w:color w:val="auto"/>
              </w:rPr>
              <w:t>Accelerated filer</w:t>
            </w:r>
          </w:p>
        </w:tc>
        <w:tc>
          <w:tcPr>
            <w:tcW w:w="7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64"/>
        </w:trPr>
        <w:tc>
          <w:tcPr>
            <w:tcW w:w="1940" w:type="dxa"/>
            <w:vAlign w:val="bottom"/>
          </w:tcPr>
          <w:p>
            <w:pPr>
              <w:spacing w:after="0"/>
              <w:rPr>
                <w:sz w:val="20"/>
                <w:szCs w:val="20"/>
                <w:color w:val="auto"/>
              </w:rPr>
            </w:pPr>
            <w:r>
              <w:rPr>
                <w:rFonts w:ascii="Arial" w:cs="Arial" w:eastAsia="Arial" w:hAnsi="Arial"/>
                <w:sz w:val="14"/>
                <w:szCs w:val="14"/>
                <w:color w:val="auto"/>
              </w:rPr>
              <w:t>Non-accelerated filer</w:t>
            </w:r>
          </w:p>
        </w:tc>
        <w:tc>
          <w:tcPr>
            <w:tcW w:w="33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2720"/>
              <w:spacing w:after="0"/>
              <w:rPr>
                <w:sz w:val="20"/>
                <w:szCs w:val="20"/>
                <w:color w:val="auto"/>
              </w:rPr>
            </w:pPr>
            <w:r>
              <w:rPr>
                <w:rFonts w:ascii="Arial" w:cs="Arial" w:eastAsia="Arial" w:hAnsi="Arial"/>
                <w:sz w:val="14"/>
                <w:szCs w:val="14"/>
                <w:color w:val="auto"/>
              </w:rPr>
              <w:t>Smaller reporting company</w:t>
            </w:r>
          </w:p>
        </w:tc>
        <w:tc>
          <w:tcPr>
            <w:tcW w:w="7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19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020" w:type="dxa"/>
            <w:vAlign w:val="bottom"/>
          </w:tcPr>
          <w:p>
            <w:pPr>
              <w:ind w:left="2720"/>
              <w:spacing w:after="0"/>
              <w:rPr>
                <w:sz w:val="20"/>
                <w:szCs w:val="20"/>
                <w:color w:val="auto"/>
              </w:rPr>
            </w:pPr>
            <w:r>
              <w:rPr>
                <w:rFonts w:ascii="Arial" w:cs="Arial" w:eastAsia="Arial" w:hAnsi="Arial"/>
                <w:sz w:val="14"/>
                <w:szCs w:val="14"/>
                <w:color w:val="auto"/>
              </w:rPr>
              <w:t>Emerging growth company</w:t>
            </w:r>
          </w:p>
        </w:tc>
        <w:tc>
          <w:tcPr>
            <w:tcW w:w="7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90" w:lineRule="exact"/>
        <w:rPr>
          <w:sz w:val="24"/>
          <w:szCs w:val="24"/>
          <w:color w:val="auto"/>
        </w:rPr>
      </w:pPr>
    </w:p>
    <w:p>
      <w:pPr>
        <w:ind w:right="8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020"/>
          </w:cols>
          <w:pgMar w:left="320" w:top="639" w:right="5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Borders>
              <w:top w:val="single" w:sz="8" w:color="auto"/>
              <w:right w:val="single" w:sz="8" w:color="auto"/>
            </w:tcBorders>
          </w:tcPr>
          <w:p>
            <w:pPr>
              <w:spacing w:after="0"/>
              <w:rPr>
                <w:sz w:val="16"/>
                <w:szCs w:val="16"/>
                <w:color w:val="auto"/>
              </w:rPr>
            </w:pPr>
          </w:p>
        </w:tc>
        <w:tc>
          <w:tcPr>
            <w:tcW w:w="1540" w:type="dxa"/>
            <w:vAlign w:val="bottom"/>
            <w:tcBorders>
              <w:top w:val="single" w:sz="8" w:color="auto"/>
              <w:right w:val="single" w:sz="8" w:color="auto"/>
            </w:tcBorders>
          </w:tcPr>
          <w:p>
            <w:pPr>
              <w:spacing w:after="0"/>
              <w:rPr>
                <w:sz w:val="16"/>
                <w:szCs w:val="16"/>
                <w:color w:val="auto"/>
              </w:rPr>
            </w:pP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Proposed Maximum</w:t>
            </w:r>
          </w:p>
        </w:tc>
        <w:tc>
          <w:tcPr>
            <w:tcW w:w="1860" w:type="dxa"/>
            <w:vAlign w:val="bottom"/>
            <w:tcBorders>
              <w:top w:val="single" w:sz="8" w:color="auto"/>
              <w:right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0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ind w:left="300"/>
              <w:spacing w:after="0"/>
              <w:rPr>
                <w:sz w:val="20"/>
                <w:szCs w:val="20"/>
                <w:color w:val="auto"/>
              </w:rPr>
            </w:pPr>
            <w:r>
              <w:rPr>
                <w:rFonts w:ascii="Arial" w:cs="Arial" w:eastAsia="Arial" w:hAnsi="Arial"/>
                <w:sz w:val="14"/>
                <w:szCs w:val="14"/>
                <w:b w:val="1"/>
                <w:bCs w:val="1"/>
                <w:color w:val="auto"/>
              </w:rPr>
              <w:t>Amount to be</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Offering Price per</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Proposed Maximum</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203"/>
        </w:trPr>
        <w:tc>
          <w:tcPr>
            <w:tcW w:w="4800" w:type="dxa"/>
            <w:vAlign w:val="bottom"/>
            <w:tcBorders>
              <w:bottom w:val="single" w:sz="8" w:color="auto"/>
              <w:right w:val="single" w:sz="8" w:color="auto"/>
            </w:tcBorders>
          </w:tcPr>
          <w:p>
            <w:pPr>
              <w:ind w:left="1220"/>
              <w:spacing w:after="0"/>
              <w:rPr>
                <w:sz w:val="20"/>
                <w:szCs w:val="20"/>
                <w:color w:val="auto"/>
              </w:rPr>
            </w:pPr>
            <w:r>
              <w:rPr>
                <w:rFonts w:ascii="Arial" w:cs="Arial" w:eastAsia="Arial" w:hAnsi="Arial"/>
                <w:sz w:val="14"/>
                <w:szCs w:val="14"/>
                <w:b w:val="1"/>
                <w:bCs w:val="1"/>
                <w:color w:val="auto"/>
              </w:rPr>
              <w:t>Title of Securities to be Registered</w:t>
            </w:r>
          </w:p>
        </w:tc>
        <w:tc>
          <w:tcPr>
            <w:tcW w:w="1540" w:type="dxa"/>
            <w:vAlign w:val="bottom"/>
            <w:tcBorders>
              <w:bottom w:val="single" w:sz="8" w:color="auto"/>
              <w:right w:val="single" w:sz="8" w:color="auto"/>
            </w:tcBorders>
          </w:tcPr>
          <w:p>
            <w:pPr>
              <w:ind w:left="320"/>
              <w:spacing w:after="0" w:line="202" w:lineRule="exact"/>
              <w:rPr>
                <w:sz w:val="20"/>
                <w:szCs w:val="20"/>
                <w:color w:val="auto"/>
              </w:rPr>
            </w:pPr>
            <w:r>
              <w:rPr>
                <w:rFonts w:ascii="Arial" w:cs="Arial" w:eastAsia="Arial" w:hAnsi="Arial"/>
                <w:sz w:val="14"/>
                <w:szCs w:val="14"/>
                <w:b w:val="1"/>
                <w:bCs w:val="1"/>
                <w:color w:val="auto"/>
              </w:rPr>
              <w:t xml:space="preserve">Registered </w:t>
            </w:r>
            <w:r>
              <w:rPr>
                <w:rFonts w:ascii="Arial" w:cs="Arial" w:eastAsia="Arial" w:hAnsi="Arial"/>
                <w:sz w:val="18"/>
                <w:szCs w:val="18"/>
                <w:b w:val="1"/>
                <w:bCs w:val="1"/>
                <w:color w:val="auto"/>
                <w:vertAlign w:val="superscript"/>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Share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Aggregate Offering Price</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243"/>
        </w:trPr>
        <w:tc>
          <w:tcPr>
            <w:tcW w:w="48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Class A common stock, par value $0.0001 per share</w:t>
            </w:r>
          </w:p>
        </w:tc>
        <w:tc>
          <w:tcPr>
            <w:tcW w:w="1540" w:type="dxa"/>
            <w:vAlign w:val="bottom"/>
            <w:tcBorders>
              <w:bottom w:val="single" w:sz="8" w:color="auto"/>
              <w:right w:val="single" w:sz="8" w:color="auto"/>
            </w:tcBorders>
            <w:shd w:val="clear" w:color="auto" w:fill="CCEEFF"/>
          </w:tcPr>
          <w:p>
            <w:pPr>
              <w:spacing w:after="0"/>
              <w:rPr>
                <w:sz w:val="21"/>
                <w:szCs w:val="21"/>
                <w:color w:val="auto"/>
              </w:rPr>
            </w:pPr>
          </w:p>
        </w:tc>
        <w:tc>
          <w:tcPr>
            <w:tcW w:w="1540" w:type="dxa"/>
            <w:vAlign w:val="bottom"/>
            <w:tcBorders>
              <w:bottom w:val="single" w:sz="8" w:color="auto"/>
              <w:right w:val="single" w:sz="8" w:color="auto"/>
            </w:tcBorders>
            <w:shd w:val="clear" w:color="auto" w:fill="CCEEFF"/>
          </w:tcPr>
          <w:p>
            <w:pPr>
              <w:spacing w:after="0"/>
              <w:rPr>
                <w:sz w:val="21"/>
                <w:szCs w:val="21"/>
                <w:color w:val="auto"/>
              </w:rPr>
            </w:pPr>
          </w:p>
        </w:tc>
        <w:tc>
          <w:tcPr>
            <w:tcW w:w="1860" w:type="dxa"/>
            <w:vAlign w:val="bottom"/>
            <w:tcBorders>
              <w:bottom w:val="single" w:sz="8" w:color="auto"/>
              <w:right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—Shares issued pursuant to stock options granted under</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 xml:space="preserve">959,166 </w:t>
            </w:r>
            <w:r>
              <w:rPr>
                <w:rFonts w:ascii="Arial" w:cs="Arial" w:eastAsia="Arial" w:hAnsi="Arial"/>
                <w:sz w:val="23"/>
                <w:szCs w:val="23"/>
                <w:color w:val="auto"/>
                <w:w w:val="94"/>
                <w:vertAlign w:val="superscript"/>
              </w:rPr>
              <w:t>(2)</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 xml:space="preserve">$27.00 </w:t>
            </w:r>
            <w:r>
              <w:rPr>
                <w:rFonts w:ascii="Arial" w:cs="Arial" w:eastAsia="Arial" w:hAnsi="Arial"/>
                <w:sz w:val="23"/>
                <w:szCs w:val="23"/>
                <w:color w:val="auto"/>
                <w:w w:val="93"/>
                <w:vertAlign w:val="superscript"/>
              </w:rPr>
              <w:t>(3)</w:t>
            </w:r>
          </w:p>
        </w:tc>
        <w:tc>
          <w:tcPr>
            <w:tcW w:w="1860" w:type="dxa"/>
            <w:vAlign w:val="bottom"/>
            <w:tcBorders>
              <w:right w:val="single" w:sz="8" w:color="auto"/>
            </w:tcBorders>
          </w:tcPr>
          <w:p>
            <w:pPr>
              <w:spacing w:after="0"/>
              <w:rPr>
                <w:sz w:val="19"/>
                <w:szCs w:val="19"/>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9"/>
              </w:rPr>
              <w:t>$2,400.70</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the Expensify, Inc. 2009 Stock Plan</w:t>
            </w:r>
          </w:p>
        </w:tc>
        <w:tc>
          <w:tcPr>
            <w:tcW w:w="1540" w:type="dxa"/>
            <w:vAlign w:val="bottom"/>
            <w:tcBorders>
              <w:bottom w:val="single" w:sz="8" w:color="auto"/>
              <w:right w:val="single" w:sz="8" w:color="auto"/>
            </w:tcBorders>
            <w:vMerge w:val="continue"/>
          </w:tcPr>
          <w:p>
            <w:pPr>
              <w:spacing w:after="0"/>
              <w:rPr>
                <w:sz w:val="20"/>
                <w:szCs w:val="20"/>
                <w:color w:val="auto"/>
              </w:rPr>
            </w:pPr>
          </w:p>
        </w:tc>
        <w:tc>
          <w:tcPr>
            <w:tcW w:w="1540" w:type="dxa"/>
            <w:vAlign w:val="bottom"/>
            <w:tcBorders>
              <w:bottom w:val="single" w:sz="8" w:color="auto"/>
              <w:right w:val="single" w:sz="8" w:color="auto"/>
            </w:tcBorders>
            <w:vMerge w:val="continue"/>
          </w:tcPr>
          <w:p>
            <w:pPr>
              <w:spacing w:after="0"/>
              <w:rPr>
                <w:sz w:val="20"/>
                <w:szCs w:val="20"/>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$25,897,482.00</w:t>
            </w:r>
          </w:p>
        </w:tc>
        <w:tc>
          <w:tcPr>
            <w:tcW w:w="1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8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—Shares issued pursuant to stock options granted under</w:t>
            </w:r>
          </w:p>
        </w:tc>
        <w:tc>
          <w:tcPr>
            <w:tcW w:w="15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 xml:space="preserve">679,589 </w:t>
            </w:r>
            <w:r>
              <w:rPr>
                <w:rFonts w:ascii="Arial" w:cs="Arial" w:eastAsia="Arial" w:hAnsi="Arial"/>
                <w:sz w:val="23"/>
                <w:szCs w:val="23"/>
                <w:color w:val="auto"/>
                <w:w w:val="94"/>
                <w:vertAlign w:val="superscript"/>
              </w:rPr>
              <w:t>(4)</w:t>
            </w:r>
          </w:p>
        </w:tc>
        <w:tc>
          <w:tcPr>
            <w:tcW w:w="15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 xml:space="preserve">$27.00 </w:t>
            </w:r>
            <w:r>
              <w:rPr>
                <w:rFonts w:ascii="Arial" w:cs="Arial" w:eastAsia="Arial" w:hAnsi="Arial"/>
                <w:sz w:val="23"/>
                <w:szCs w:val="23"/>
                <w:color w:val="auto"/>
                <w:w w:val="93"/>
                <w:vertAlign w:val="superscript"/>
              </w:rPr>
              <w:t>(3)</w:t>
            </w:r>
          </w:p>
        </w:tc>
        <w:tc>
          <w:tcPr>
            <w:tcW w:w="1860" w:type="dxa"/>
            <w:vAlign w:val="bottom"/>
            <w:tcBorders>
              <w:right w:val="single" w:sz="8" w:color="auto"/>
            </w:tcBorders>
            <w:shd w:val="clear" w:color="auto" w:fill="CCEEFF"/>
          </w:tcPr>
          <w:p>
            <w:pPr>
              <w:spacing w:after="0"/>
              <w:rPr>
                <w:sz w:val="19"/>
                <w:szCs w:val="19"/>
                <w:color w:val="auto"/>
              </w:rPr>
            </w:pP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$1,700.94</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the Expensify, Inc. 2019 Stock Plan</w:t>
            </w:r>
          </w:p>
        </w:tc>
        <w:tc>
          <w:tcPr>
            <w:tcW w:w="154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54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$18,348,903.00</w:t>
            </w: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1,638,755</w:t>
            </w:r>
          </w:p>
        </w:tc>
        <w:tc>
          <w:tcPr>
            <w:tcW w:w="1540" w:type="dxa"/>
            <w:vAlign w:val="bottom"/>
            <w:tcBorders>
              <w:bottom w:val="single" w:sz="8" w:color="auto"/>
              <w:right w:val="single" w:sz="8" w:color="auto"/>
            </w:tcBorders>
          </w:tcPr>
          <w:p>
            <w:pPr>
              <w:spacing w:after="0"/>
              <w:rPr>
                <w:sz w:val="22"/>
                <w:szCs w:val="22"/>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$44,246,385.00</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$4,101.64</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 w:lineRule="exact"/>
        <w:rPr>
          <w:sz w:val="20"/>
          <w:szCs w:val="20"/>
          <w:color w:val="auto"/>
        </w:rPr>
      </w:pPr>
    </w:p>
    <w:p>
      <w:pPr>
        <w:ind w:left="340" w:right="140" w:hanging="332"/>
        <w:spacing w:after="0" w:line="241" w:lineRule="auto"/>
        <w:tabs>
          <w:tab w:leader="none" w:pos="327"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416(a) promulgated under the Securities Act of 1933, as amended (the “</w:t>
      </w:r>
      <w:r>
        <w:rPr>
          <w:rFonts w:ascii="Arial" w:cs="Arial" w:eastAsia="Arial" w:hAnsi="Arial"/>
          <w:sz w:val="14"/>
          <w:szCs w:val="14"/>
          <w:b w:val="1"/>
          <w:bCs w:val="1"/>
          <w:i w:val="1"/>
          <w:iCs w:val="1"/>
          <w:color w:val="auto"/>
        </w:rPr>
        <w:t>Securities Act</w:t>
      </w:r>
      <w:r>
        <w:rPr>
          <w:rFonts w:ascii="Arial" w:cs="Arial" w:eastAsia="Arial" w:hAnsi="Arial"/>
          <w:sz w:val="14"/>
          <w:szCs w:val="14"/>
          <w:color w:val="auto"/>
        </w:rPr>
        <w:t>”), this registration statement (“</w:t>
      </w:r>
      <w:r>
        <w:rPr>
          <w:rFonts w:ascii="Arial" w:cs="Arial" w:eastAsia="Arial" w:hAnsi="Arial"/>
          <w:sz w:val="14"/>
          <w:szCs w:val="14"/>
          <w:b w:val="1"/>
          <w:bCs w:val="1"/>
          <w:i w:val="1"/>
          <w:iCs w:val="1"/>
          <w:color w:val="auto"/>
        </w:rPr>
        <w:t>Registration Statement</w:t>
      </w:r>
      <w:r>
        <w:rPr>
          <w:rFonts w:ascii="Arial" w:cs="Arial" w:eastAsia="Arial" w:hAnsi="Arial"/>
          <w:sz w:val="14"/>
          <w:szCs w:val="14"/>
          <w:color w:val="auto"/>
        </w:rPr>
        <w:t>”) shall also cover any additional shares of the Registrant’s Class A common stock, $0.0001 par value per share (the “</w:t>
      </w:r>
      <w:r>
        <w:rPr>
          <w:rFonts w:ascii="Arial" w:cs="Arial" w:eastAsia="Arial" w:hAnsi="Arial"/>
          <w:sz w:val="14"/>
          <w:szCs w:val="14"/>
          <w:b w:val="1"/>
          <w:bCs w:val="1"/>
          <w:i w:val="1"/>
          <w:iCs w:val="1"/>
          <w:color w:val="auto"/>
        </w:rPr>
        <w:t>Class A common stock</w:t>
      </w:r>
      <w:r>
        <w:rPr>
          <w:rFonts w:ascii="Arial" w:cs="Arial" w:eastAsia="Arial" w:hAnsi="Arial"/>
          <w:sz w:val="14"/>
          <w:szCs w:val="14"/>
          <w:color w:val="auto"/>
        </w:rPr>
        <w:t>”), that become issuable under the plans set forth herein by reason of any stock dividend, stock split, recapitalization, or other similar transaction effected without receipt of consideration that results in an increase to the number of outstanding shares of the Registrant’s Class A common stock, as applicable.</w:t>
      </w:r>
    </w:p>
    <w:p>
      <w:pPr>
        <w:spacing w:after="0" w:line="1" w:lineRule="exact"/>
        <w:rPr>
          <w:rFonts w:ascii="Arial" w:cs="Arial" w:eastAsia="Arial" w:hAnsi="Arial"/>
          <w:sz w:val="14"/>
          <w:szCs w:val="14"/>
          <w:color w:val="auto"/>
        </w:rPr>
      </w:pPr>
    </w:p>
    <w:p>
      <w:pPr>
        <w:ind w:left="340" w:right="340" w:hanging="332"/>
        <w:spacing w:after="0" w:line="241" w:lineRule="auto"/>
        <w:tabs>
          <w:tab w:leader="none" w:pos="327"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(i) 959,166 shares of Class A common stock issued pursuant to the exercise of stock options granted under the Expensify, Inc. 2009 Stock Plan (the “</w:t>
      </w:r>
      <w:r>
        <w:rPr>
          <w:rFonts w:ascii="Arial" w:cs="Arial" w:eastAsia="Arial" w:hAnsi="Arial"/>
          <w:sz w:val="14"/>
          <w:szCs w:val="14"/>
          <w:b w:val="1"/>
          <w:bCs w:val="1"/>
          <w:i w:val="1"/>
          <w:iCs w:val="1"/>
          <w:color w:val="auto"/>
        </w:rPr>
        <w:t>2009</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Plan</w:t>
      </w:r>
      <w:r>
        <w:rPr>
          <w:rFonts w:ascii="Arial" w:cs="Arial" w:eastAsia="Arial" w:hAnsi="Arial"/>
          <w:sz w:val="14"/>
          <w:szCs w:val="14"/>
          <w:color w:val="auto"/>
        </w:rPr>
        <w:t>”).</w:t>
      </w:r>
    </w:p>
    <w:p>
      <w:pPr>
        <w:jc w:val="both"/>
        <w:ind w:left="340" w:right="380" w:hanging="332"/>
        <w:spacing w:after="0" w:line="241" w:lineRule="auto"/>
        <w:tabs>
          <w:tab w:leader="none" w:pos="327"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457(h) under the Securities Act based on the initial public offering price per share of Class A common stock of $27.00 per share as set forth in the Registrant’s Registration Statement on Form S-1 (File No. 333-260297), as amended, declared effective on November 9, 2021.</w:t>
      </w:r>
    </w:p>
    <w:p>
      <w:pPr>
        <w:spacing w:after="0" w:line="1" w:lineRule="exact"/>
        <w:rPr>
          <w:rFonts w:ascii="Arial" w:cs="Arial" w:eastAsia="Arial" w:hAnsi="Arial"/>
          <w:sz w:val="14"/>
          <w:szCs w:val="14"/>
          <w:color w:val="auto"/>
        </w:rPr>
      </w:pPr>
    </w:p>
    <w:p>
      <w:pPr>
        <w:ind w:left="340" w:right="340" w:hanging="332"/>
        <w:spacing w:after="0" w:line="258" w:lineRule="auto"/>
        <w:tabs>
          <w:tab w:leader="none" w:pos="327"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(i) 679,589 shares of Class A common stock issued pursuant to the exercise of stock options granted under the Expensify, Inc. 2019 Stock Plan (the “</w:t>
      </w:r>
      <w:r>
        <w:rPr>
          <w:rFonts w:ascii="Arial" w:cs="Arial" w:eastAsia="Arial" w:hAnsi="Arial"/>
          <w:sz w:val="14"/>
          <w:szCs w:val="14"/>
          <w:b w:val="1"/>
          <w:bCs w:val="1"/>
          <w:i w:val="1"/>
          <w:iCs w:val="1"/>
          <w:color w:val="auto"/>
        </w:rPr>
        <w:t>2019</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Plan</w:t>
      </w:r>
      <w:r>
        <w:rPr>
          <w:rFonts w:ascii="Arial" w:cs="Arial" w:eastAsia="Arial" w:hAnsi="Arial"/>
          <w:sz w:val="14"/>
          <w:szCs w:val="14"/>
          <w:color w:val="auto"/>
        </w:rPr>
        <w: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11"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EXPLANATORY NOTE</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registration statement contains a “reoffer prospectus” prepared in accordance with Part I of Form S-3 (in accordance with Instruction C of the General Instructions to Form S-8). This reoffer prospectus may be used for reoffers and resales on a continuous or delayed basis of certain of those shares of Class A common stock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Expensify, Inc. (“</w:t>
      </w:r>
      <w:r>
        <w:rPr>
          <w:rFonts w:ascii="Arial" w:cs="Arial" w:eastAsia="Arial" w:hAnsi="Arial"/>
          <w:sz w:val="18"/>
          <w:szCs w:val="18"/>
          <w:b w:val="1"/>
          <w:bCs w:val="1"/>
          <w:i w:val="1"/>
          <w:iCs w:val="1"/>
          <w:color w:val="auto"/>
        </w:rPr>
        <w:t>us</w:t>
      </w:r>
      <w:r>
        <w:rPr>
          <w:rFonts w:ascii="Arial" w:cs="Arial" w:eastAsia="Arial" w:hAnsi="Arial"/>
          <w:sz w:val="18"/>
          <w:szCs w:val="18"/>
          <w:color w:val="auto"/>
        </w:rPr>
        <w:t>,” “</w:t>
      </w:r>
      <w:r>
        <w:rPr>
          <w:rFonts w:ascii="Arial" w:cs="Arial" w:eastAsia="Arial" w:hAnsi="Arial"/>
          <w:sz w:val="18"/>
          <w:szCs w:val="18"/>
          <w:b w:val="1"/>
          <w:bCs w:val="1"/>
          <w:i w:val="1"/>
          <w:iCs w:val="1"/>
          <w:color w:val="auto"/>
        </w:rPr>
        <w:t>we</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 referred to above that constitute “control securities” or “restricted securities,” within the meaning of the Securities Act, by certain stockholders that are current employees and consultants of the Registrant (the “</w:t>
      </w:r>
      <w:r>
        <w:rPr>
          <w:rFonts w:ascii="Arial" w:cs="Arial" w:eastAsia="Arial" w:hAnsi="Arial"/>
          <w:sz w:val="18"/>
          <w:szCs w:val="18"/>
          <w:b w:val="1"/>
          <w:bCs w:val="1"/>
          <w:i w:val="1"/>
          <w:iCs w:val="1"/>
          <w:color w:val="auto"/>
        </w:rPr>
        <w:t>Selling Stockholders</w:t>
      </w:r>
      <w:r>
        <w:rPr>
          <w:rFonts w:ascii="Arial" w:cs="Arial" w:eastAsia="Arial" w:hAnsi="Arial"/>
          <w:sz w:val="18"/>
          <w:szCs w:val="18"/>
          <w:color w:val="auto"/>
        </w:rPr>
        <w:t>”) for their own accounts. As specified in General Instruction C of Form S-8, the amount of securities to be reoffered or resold under the reoffer prospectus by each Selling Stockholder and any other person with whom he or she is acting in concert for the purpose of selling the Registrant’s securities, may not exceed, during any three-month period, the amount specified in Rule 144(e)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1413" w:right="5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REOFFER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123190</wp:posOffset>
            </wp:positionV>
            <wp:extent cx="720090" cy="720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auto"/>
        </w:rPr>
        <w:t>EXPENSIFY, INC.</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1,638,755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This prospectus relates to 1,638,755 shares of Class A common stock, $0.0001 par value per share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Expensify, Inc., which may be offered from time to time by certain stockholders that are our current employees and consultants (the “</w:t>
      </w:r>
      <w:r>
        <w:rPr>
          <w:rFonts w:ascii="Arial" w:cs="Arial" w:eastAsia="Arial" w:hAnsi="Arial"/>
          <w:sz w:val="16"/>
          <w:szCs w:val="16"/>
          <w:b w:val="1"/>
          <w:bCs w:val="1"/>
          <w:i w:val="1"/>
          <w:iCs w:val="1"/>
          <w:color w:val="auto"/>
        </w:rPr>
        <w:t>Selling Stockholders</w:t>
      </w:r>
      <w:r>
        <w:rPr>
          <w:rFonts w:ascii="Arial" w:cs="Arial" w:eastAsia="Arial" w:hAnsi="Arial"/>
          <w:sz w:val="16"/>
          <w:szCs w:val="16"/>
          <w:color w:val="auto"/>
        </w:rPr>
        <w:t>”) for their own accounts. We will not receive any of the proceeds from the sale of Shares by the Selling Stockholders made hereunder. The Shares were acquired by the Selling Stockholders pursuant to the Registrant’s 2009 Stock Plan and 2019 Stock Plan, each as amended (collectively, the “</w:t>
      </w:r>
      <w:r>
        <w:rPr>
          <w:rFonts w:ascii="Arial" w:cs="Arial" w:eastAsia="Arial" w:hAnsi="Arial"/>
          <w:sz w:val="16"/>
          <w:szCs w:val="16"/>
          <w:b w:val="1"/>
          <w:bCs w:val="1"/>
          <w:i w:val="1"/>
          <w:iCs w:val="1"/>
          <w:color w:val="auto"/>
        </w:rPr>
        <w:t>Plans</w:t>
      </w:r>
      <w:r>
        <w:rPr>
          <w:rFonts w:ascii="Arial" w:cs="Arial" w:eastAsia="Arial" w:hAnsi="Arial"/>
          <w:sz w:val="16"/>
          <w:szCs w:val="16"/>
          <w:color w:val="auto"/>
        </w:rPr>
        <w:t>”).</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Selling Stockholders may sell the securities described in this prospectus in a number of different ways and at varying prices, including sales in the open market, sales in negotiated transactions, and sales by a combination of these methods. The Selling Stockholders may sell any, all, or none of the Shares and we do not know when or in what amount the Selling Stockholders may sell their Shares hereunder following the effective date of this registration statement.</w:t>
      </w:r>
    </w:p>
    <w:p>
      <w:pPr>
        <w:spacing w:after="0" w:line="1"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The price at which any of the Shares may be sold, and the commissions, if any, paid in connection with any such sale, are unknown and may vary from transaction to transaction. The Shares may be sold at the market price of the Class A common stock at the time of a sale, at prices relating to the market price over a period of time, or at prices negotiated with the buyers of shares. The Shares may be sold through underwriters or dealers which the Selling Stockholders may select. If underwriters or dealers are used to sell the Shares, we will name them and describe their compensation in a prospectus supplement. We provide more information about how the Selling Stockholders may sell their Shares in the section titled “Plan of Distribution.” The Selling Stockholders will bear all sales commissions and similar expenses. Any other expenses incurred by us in connection with the registration and offering that are not borne by the Selling Stockholders will be borne by us.</w:t>
      </w:r>
    </w:p>
    <w:p>
      <w:pPr>
        <w:spacing w:after="0" w:line="100"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The initial public offering price of our Class A common stock pursuant to our Registration Statement on Form S-1 (File No. 333-260297), as amended, declared effective on November 9, 2021 was $27.00 per share. Our Class A common stock has been approved for listing on The Nasdaq Global Market under the symbol “EXFY.”</w:t>
      </w:r>
    </w:p>
    <w:p>
      <w:pPr>
        <w:spacing w:after="0" w:line="93" w:lineRule="exact"/>
        <w:rPr>
          <w:sz w:val="20"/>
          <w:szCs w:val="20"/>
          <w:color w:val="auto"/>
        </w:rPr>
      </w:pPr>
    </w:p>
    <w:p>
      <w:pPr>
        <w:jc w:val="both"/>
        <w:ind w:right="200"/>
        <w:spacing w:after="0" w:line="253" w:lineRule="auto"/>
        <w:rPr>
          <w:sz w:val="20"/>
          <w:szCs w:val="20"/>
          <w:color w:val="auto"/>
        </w:rPr>
      </w:pPr>
      <w:r>
        <w:rPr>
          <w:rFonts w:ascii="Arial" w:cs="Arial" w:eastAsia="Arial" w:hAnsi="Arial"/>
          <w:sz w:val="16"/>
          <w:szCs w:val="16"/>
          <w:color w:val="auto"/>
        </w:rPr>
        <w:t>The amount of securities to be offered or resold under this reoffer prospectus by each Selling Stockholder or other person with whom he or she is acting in concert for the purpose of selling our securities, may not exceed, during any three-month period, the amount specified in Rule 144(e)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1" w:lineRule="exact"/>
        <w:rPr>
          <w:sz w:val="20"/>
          <w:szCs w:val="20"/>
          <w:color w:val="auto"/>
        </w:rPr>
      </w:pPr>
    </w:p>
    <w:p>
      <w:pPr>
        <w:ind w:right="260"/>
        <w:spacing w:after="0" w:line="271" w:lineRule="auto"/>
        <w:rPr>
          <w:rFonts w:ascii="Arial" w:cs="Arial" w:eastAsia="Arial" w:hAnsi="Arial"/>
          <w:sz w:val="20"/>
          <w:szCs w:val="20"/>
          <w:b w:val="1"/>
          <w:bCs w:val="1"/>
          <w:color w:val="auto"/>
        </w:rPr>
      </w:pPr>
      <w:r>
        <w:rPr>
          <w:rFonts w:ascii="Arial" w:cs="Arial" w:eastAsia="Arial" w:hAnsi="Arial"/>
          <w:sz w:val="20"/>
          <w:szCs w:val="20"/>
          <w:b w:val="1"/>
          <w:bCs w:val="1"/>
          <w:color w:val="auto"/>
        </w:rPr>
        <w:t>Investing in our securities involves a high degree of risk. Before buying any securities, you should carefully read the discussion of the risks of investing in our securities in “</w:t>
      </w:r>
      <w:hyperlink w:anchor="page6">
        <w:r>
          <w:rPr>
            <w:rFonts w:ascii="Arial" w:cs="Arial" w:eastAsia="Arial" w:hAnsi="Arial"/>
            <w:sz w:val="20"/>
            <w:szCs w:val="20"/>
            <w:b w:val="1"/>
            <w:bCs w:val="1"/>
            <w:u w:val="single" w:color="auto"/>
            <w:color w:val="0000FF"/>
          </w:rPr>
          <w:t>Risk Factors</w:t>
        </w:r>
      </w:hyperlink>
      <w:r>
        <w:rPr>
          <w:rFonts w:ascii="Arial" w:cs="Arial" w:eastAsia="Arial" w:hAnsi="Arial"/>
          <w:sz w:val="20"/>
          <w:szCs w:val="20"/>
          <w:b w:val="1"/>
          <w:bCs w:val="1"/>
          <w:color w:val="auto"/>
        </w:rPr>
        <w:t>” on page 6 of this prospectus.</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may take the view that, under certain circumstances, the Selling Stockholders and any broker-dealers or agents that participate with the Selling Stockholders in the distribution of the Shares may be deemed to be “underwriters” within the meaning of the Securities Act. Commissions, discounts or concessions received by any such broker-dealer or agent may be deemed to be underwriting commissions under the Securities Act. See the section titled “Plan of Distribution.”</w:t>
      </w:r>
    </w:p>
    <w:p>
      <w:pPr>
        <w:spacing w:after="0" w:line="70"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date of this prospectus is November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3" w:right="339" w:bottom="1440" w:gutter="0" w:footer="0" w:header="0"/>
        </w:sectPr>
      </w:pPr>
    </w:p>
    <w:bookmarkStart w:id="4" w:name="page5"/>
    <w:bookmarkEnd w:id="4"/>
    <w:p>
      <w:pPr>
        <w:jc w:val="center"/>
        <w:ind w:left="1160"/>
        <w:spacing w:after="0"/>
        <w:rPr>
          <w:sz w:val="20"/>
          <w:szCs w:val="20"/>
          <w:color w:val="auto"/>
        </w:rPr>
      </w:pPr>
      <w:r>
        <w:rPr>
          <w:rFonts w:ascii="Arial" w:cs="Arial" w:eastAsia="Arial" w:hAnsi="Arial"/>
          <w:sz w:val="17"/>
          <w:szCs w:val="17"/>
          <w:b w:val="1"/>
          <w:bCs w:val="1"/>
          <w:color w:val="auto"/>
        </w:rPr>
        <w:t>TABLE OF CONTENTS</w:t>
      </w:r>
    </w:p>
    <w:p>
      <w:pPr>
        <w:spacing w:after="0" w:line="286" w:lineRule="exact"/>
        <w:rPr>
          <w:sz w:val="20"/>
          <w:szCs w:val="20"/>
          <w:color w:val="auto"/>
        </w:rPr>
      </w:pPr>
    </w:p>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THE COMPANY</w:t>
        </w:r>
      </w:hyperlink>
    </w:p>
    <w:p>
      <w:pPr>
        <w:spacing w:after="0" w:line="50" w:lineRule="exact"/>
        <w:rPr>
          <w:sz w:val="20"/>
          <w:szCs w:val="20"/>
          <w:color w:val="auto"/>
        </w:rPr>
      </w:pPr>
    </w:p>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RISK FACTORS</w:t>
        </w:r>
      </w:hyperlink>
    </w:p>
    <w:p>
      <w:pPr>
        <w:spacing w:after="0" w:line="50" w:lineRule="exact"/>
        <w:rPr>
          <w:sz w:val="20"/>
          <w:szCs w:val="20"/>
          <w:color w:val="auto"/>
        </w:rPr>
      </w:pPr>
    </w:p>
    <w:p>
      <w:pPr>
        <w:ind w:right="4080"/>
        <w:spacing w:after="0" w:line="305" w:lineRule="auto"/>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CAUTIONARY NOTE REGARDING FORWARD-LOOKING STATEMENTS</w:t>
        </w:r>
      </w:hyperlink>
      <w:r>
        <w:rPr>
          <w:rFonts w:ascii="Arial" w:cs="Arial" w:eastAsia="Arial" w:hAnsi="Arial"/>
          <w:sz w:val="18"/>
          <w:szCs w:val="18"/>
          <w:u w:val="single" w:color="auto"/>
          <w:color w:val="0000FF"/>
        </w:rPr>
        <w:t xml:space="preserve"> </w:t>
      </w:r>
      <w:hyperlink w:anchor="page8">
        <w:r>
          <w:rPr>
            <w:rFonts w:ascii="Arial" w:cs="Arial" w:eastAsia="Arial" w:hAnsi="Arial"/>
            <w:sz w:val="18"/>
            <w:szCs w:val="18"/>
            <w:u w:val="single" w:color="auto"/>
            <w:color w:val="0000FF"/>
          </w:rPr>
          <w:t>USE OF PROCEEDS</w:t>
        </w:r>
      </w:hyperlink>
    </w:p>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SELLING STOCKHOLDERS</w:t>
        </w:r>
      </w:hyperlink>
    </w:p>
    <w:p>
      <w:pPr>
        <w:spacing w:after="0" w:line="50"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PLAN OF DISTRIBUTION</w:t>
        </w:r>
      </w:hyperlink>
    </w:p>
    <w:p>
      <w:pPr>
        <w:spacing w:after="0" w:line="50"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LEGAL MATTERS</w:t>
        </w:r>
      </w:hyperlink>
    </w:p>
    <w:p>
      <w:pPr>
        <w:spacing w:after="0" w:line="50"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EXPERTS</w:t>
        </w:r>
      </w:hyperlink>
    </w:p>
    <w:p>
      <w:pPr>
        <w:spacing w:after="0" w:line="50" w:lineRule="exact"/>
        <w:rPr>
          <w:sz w:val="20"/>
          <w:szCs w:val="20"/>
          <w:color w:val="auto"/>
        </w:rPr>
      </w:pPr>
    </w:p>
    <w:p>
      <w:pPr>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INFORMATION INCORPORATED BY REFERENCE</w:t>
        </w:r>
      </w:hyperlink>
    </w:p>
    <w:p>
      <w:pPr>
        <w:spacing w:after="0" w:line="50"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WHERE YOU CAN FIND MORE INFORMATION</w:t>
        </w:r>
      </w:hyperlink>
    </w:p>
    <w:p>
      <w:pPr>
        <w:spacing w:after="0" w:line="50" w:lineRule="exact"/>
        <w:rPr>
          <w:sz w:val="20"/>
          <w:szCs w:val="20"/>
          <w:color w:val="auto"/>
        </w:rPr>
      </w:pPr>
    </w:p>
    <w:p>
      <w:pPr>
        <w:ind w:right="3900"/>
        <w:spacing w:after="0" w:line="297" w:lineRule="auto"/>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EE"/>
          </w:rPr>
          <w:t>PART I INFORMATION REQUIRED IN THE SECTION 10(A) PROSPECTUS</w:t>
        </w:r>
      </w:hyperlink>
      <w:r>
        <w:rPr>
          <w:rFonts w:ascii="Arial" w:cs="Arial" w:eastAsia="Arial" w:hAnsi="Arial"/>
          <w:sz w:val="18"/>
          <w:szCs w:val="18"/>
          <w:u w:val="single" w:color="auto"/>
          <w:color w:val="0000EE"/>
        </w:rPr>
        <w:t xml:space="preserve"> </w:t>
      </w:r>
      <w:hyperlink w:anchor="page13">
        <w:r>
          <w:rPr>
            <w:rFonts w:ascii="Arial" w:cs="Arial" w:eastAsia="Arial" w:hAnsi="Arial"/>
            <w:sz w:val="18"/>
            <w:szCs w:val="18"/>
            <w:u w:val="single" w:color="auto"/>
            <w:color w:val="0000FF"/>
          </w:rPr>
          <w:t>PART II INFORMATION REQUIRED IN REGISTRATION STATEMENT</w:t>
        </w:r>
      </w:hyperlink>
      <w:r>
        <w:rPr>
          <w:rFonts w:ascii="Arial" w:cs="Arial" w:eastAsia="Arial" w:hAnsi="Arial"/>
          <w:sz w:val="18"/>
          <w:szCs w:val="18"/>
          <w:u w:val="single" w:color="auto"/>
          <w:color w:val="0000FF"/>
        </w:rPr>
        <w:t xml:space="preserve"> </w:t>
      </w:r>
      <w:hyperlink w:anchor="page16">
        <w:r>
          <w:rPr>
            <w:rFonts w:ascii="Arial" w:cs="Arial" w:eastAsia="Arial" w:hAnsi="Arial"/>
            <w:sz w:val="18"/>
            <w:szCs w:val="18"/>
            <w:u w:val="single" w:color="auto"/>
            <w:color w:val="0000FF"/>
          </w:rPr>
          <w:t>EXHIBIT INDEX</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SIGNATURES</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86" w:lineRule="exact"/>
        <w:rPr>
          <w:rFonts w:ascii="Arial" w:cs="Arial" w:eastAsia="Arial" w:hAnsi="Arial"/>
          <w:sz w:val="18"/>
          <w:szCs w:val="18"/>
          <w:u w:val="single" w:color="auto"/>
          <w:color w:val="0000EE"/>
        </w:rPr>
      </w:pPr>
    </w:p>
    <w:p>
      <w:pPr>
        <w:jc w:val="center"/>
        <w:ind w:left="1160"/>
        <w:spacing w:after="0"/>
        <w:rPr>
          <w:sz w:val="20"/>
          <w:szCs w:val="20"/>
          <w:color w:val="auto"/>
        </w:rPr>
      </w:pPr>
      <w:r>
        <w:rPr>
          <w:rFonts w:ascii="Arial" w:cs="Arial" w:eastAsia="Arial" w:hAnsi="Arial"/>
          <w:sz w:val="18"/>
          <w:szCs w:val="18"/>
          <w:color w:val="auto"/>
        </w:rPr>
        <w:t>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46"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4"/>
          <w:szCs w:val="14"/>
          <w:b w:val="1"/>
          <w:bCs w:val="1"/>
          <w:color w:val="auto"/>
        </w:rPr>
        <w:t>Page</w:t>
      </w:r>
    </w:p>
    <w:p>
      <w:pPr>
        <w:spacing w:after="0" w:line="67" w:lineRule="exact"/>
        <w:rPr>
          <w:rFonts w:ascii="Arial" w:cs="Arial" w:eastAsia="Arial" w:hAnsi="Arial"/>
          <w:sz w:val="18"/>
          <w:szCs w:val="18"/>
          <w:u w:val="single" w:color="auto"/>
          <w:color w:val="0000EE"/>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p>
      <w:pPr>
        <w:spacing w:after="0" w:line="50" w:lineRule="exact"/>
        <w:rPr>
          <w:rFonts w:ascii="Arial" w:cs="Arial" w:eastAsia="Arial" w:hAnsi="Arial"/>
          <w:sz w:val="18"/>
          <w:szCs w:val="18"/>
          <w:u w:val="single" w:color="auto"/>
          <w:color w:val="0000EE"/>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p>
      <w:pPr>
        <w:spacing w:after="0" w:line="63" w:lineRule="exact"/>
        <w:rPr>
          <w:rFonts w:ascii="Arial" w:cs="Arial" w:eastAsia="Arial" w:hAnsi="Arial"/>
          <w:sz w:val="18"/>
          <w:szCs w:val="18"/>
          <w:u w:val="single" w:color="auto"/>
          <w:color w:val="0000EE"/>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p>
      <w:pPr>
        <w:spacing w:after="0" w:line="50" w:lineRule="exact"/>
        <w:rPr>
          <w:rFonts w:ascii="Arial" w:cs="Arial" w:eastAsia="Arial" w:hAnsi="Arial"/>
          <w:sz w:val="18"/>
          <w:szCs w:val="18"/>
          <w:u w:val="single" w:color="auto"/>
          <w:color w:val="0000EE"/>
        </w:rPr>
      </w:pPr>
    </w:p>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8</w:t>
        </w:r>
      </w:hyperlink>
    </w:p>
    <w:p>
      <w:pPr>
        <w:spacing w:after="0" w:line="50" w:lineRule="exact"/>
        <w:rPr>
          <w:rFonts w:ascii="Arial" w:cs="Arial" w:eastAsia="Arial" w:hAnsi="Arial"/>
          <w:sz w:val="18"/>
          <w:szCs w:val="18"/>
          <w:u w:val="single" w:color="auto"/>
          <w:color w:val="0000EE"/>
        </w:rPr>
      </w:pPr>
    </w:p>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8</w:t>
        </w:r>
      </w:hyperlink>
    </w:p>
    <w:p>
      <w:pPr>
        <w:spacing w:after="0" w:line="50" w:lineRule="exact"/>
        <w:rPr>
          <w:rFonts w:ascii="Arial" w:cs="Arial" w:eastAsia="Arial" w:hAnsi="Arial"/>
          <w:sz w:val="18"/>
          <w:szCs w:val="18"/>
          <w:u w:val="single" w:color="auto"/>
          <w:color w:val="0000EE"/>
        </w:rPr>
      </w:pPr>
    </w:p>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10</w:t>
        </w:r>
      </w:hyperlink>
    </w:p>
    <w:p>
      <w:pPr>
        <w:spacing w:after="0" w:line="50" w:lineRule="exact"/>
        <w:rPr>
          <w:rFonts w:ascii="Arial" w:cs="Arial" w:eastAsia="Arial" w:hAnsi="Arial"/>
          <w:sz w:val="18"/>
          <w:szCs w:val="18"/>
          <w:u w:val="single" w:color="auto"/>
          <w:color w:val="0000EE"/>
        </w:rPr>
      </w:pPr>
    </w:p>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11</w:t>
        </w:r>
      </w:hyperlink>
    </w:p>
    <w:p>
      <w:pPr>
        <w:spacing w:after="0" w:line="50" w:lineRule="exact"/>
        <w:rPr>
          <w:rFonts w:ascii="Arial" w:cs="Arial" w:eastAsia="Arial" w:hAnsi="Arial"/>
          <w:sz w:val="18"/>
          <w:szCs w:val="18"/>
          <w:u w:val="single" w:color="auto"/>
          <w:color w:val="0000EE"/>
        </w:rPr>
      </w:pPr>
    </w:p>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11</w:t>
        </w:r>
      </w:hyperlink>
    </w:p>
    <w:p>
      <w:pPr>
        <w:spacing w:after="0" w:line="50" w:lineRule="exact"/>
        <w:rPr>
          <w:rFonts w:ascii="Arial" w:cs="Arial" w:eastAsia="Arial" w:hAnsi="Arial"/>
          <w:sz w:val="18"/>
          <w:szCs w:val="18"/>
          <w:u w:val="single" w:color="auto"/>
          <w:color w:val="0000EE"/>
        </w:rPr>
      </w:pPr>
    </w:p>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11</w:t>
        </w:r>
      </w:hyperlink>
    </w:p>
    <w:p>
      <w:pPr>
        <w:spacing w:after="0" w:line="50" w:lineRule="exact"/>
        <w:rPr>
          <w:rFonts w:ascii="Arial" w:cs="Arial" w:eastAsia="Arial" w:hAnsi="Arial"/>
          <w:sz w:val="18"/>
          <w:szCs w:val="18"/>
          <w:u w:val="single" w:color="auto"/>
          <w:color w:val="0000EE"/>
        </w:rPr>
      </w:pPr>
    </w:p>
    <w:p>
      <w:pPr>
        <w:ind w:left="240"/>
        <w:spacing w:after="0"/>
        <w:rPr>
          <w:rFonts w:ascii="Arial" w:cs="Arial" w:eastAsia="Arial" w:hAnsi="Arial"/>
          <w:sz w:val="17"/>
          <w:szCs w:val="17"/>
          <w:u w:val="single" w:color="auto"/>
          <w:color w:val="0000FF"/>
        </w:rPr>
      </w:pPr>
      <w:hyperlink w:anchor="page12">
        <w:r>
          <w:rPr>
            <w:rFonts w:ascii="Arial" w:cs="Arial" w:eastAsia="Arial" w:hAnsi="Arial"/>
            <w:sz w:val="17"/>
            <w:szCs w:val="17"/>
            <w:u w:val="single" w:color="auto"/>
            <w:color w:val="0000FF"/>
          </w:rPr>
          <w:t>12</w:t>
        </w:r>
      </w:hyperlink>
    </w:p>
    <w:p>
      <w:pPr>
        <w:spacing w:after="0" w:line="61" w:lineRule="exact"/>
        <w:rPr>
          <w:rFonts w:ascii="Arial" w:cs="Arial" w:eastAsia="Arial" w:hAnsi="Arial"/>
          <w:sz w:val="18"/>
          <w:szCs w:val="18"/>
          <w:u w:val="single" w:color="auto"/>
          <w:color w:val="0000EE"/>
        </w:rPr>
      </w:pPr>
    </w:p>
    <w:p>
      <w:pPr>
        <w:ind w:left="240"/>
        <w:spacing w:after="0"/>
        <w:rPr>
          <w:rFonts w:ascii="Arial" w:cs="Arial" w:eastAsia="Arial" w:hAnsi="Arial"/>
          <w:sz w:val="17"/>
          <w:szCs w:val="17"/>
          <w:u w:val="single" w:color="auto"/>
          <w:color w:val="0000FF"/>
        </w:rPr>
      </w:pPr>
      <w:hyperlink w:anchor="page12">
        <w:r>
          <w:rPr>
            <w:rFonts w:ascii="Arial" w:cs="Arial" w:eastAsia="Arial" w:hAnsi="Arial"/>
            <w:sz w:val="17"/>
            <w:szCs w:val="17"/>
            <w:u w:val="single" w:color="auto"/>
            <w:color w:val="0000FF"/>
          </w:rPr>
          <w:t>I-1</w:t>
        </w:r>
      </w:hyperlink>
    </w:p>
    <w:p>
      <w:pPr>
        <w:spacing w:after="0" w:line="61" w:lineRule="exact"/>
        <w:rPr>
          <w:rFonts w:ascii="Arial" w:cs="Arial" w:eastAsia="Arial" w:hAnsi="Arial"/>
          <w:sz w:val="18"/>
          <w:szCs w:val="18"/>
          <w:u w:val="single" w:color="auto"/>
          <w:color w:val="0000EE"/>
        </w:rPr>
      </w:pPr>
    </w:p>
    <w:p>
      <w:pPr>
        <w:ind w:left="180"/>
        <w:spacing w:after="0"/>
        <w:rPr>
          <w:rFonts w:ascii="Arial" w:cs="Arial" w:eastAsia="Arial" w:hAnsi="Arial"/>
          <w:sz w:val="17"/>
          <w:szCs w:val="17"/>
          <w:u w:val="single" w:color="auto"/>
          <w:color w:val="0000FF"/>
        </w:rPr>
      </w:pPr>
      <w:hyperlink w:anchor="page13">
        <w:r>
          <w:rPr>
            <w:rFonts w:ascii="Arial" w:cs="Arial" w:eastAsia="Arial" w:hAnsi="Arial"/>
            <w:sz w:val="17"/>
            <w:szCs w:val="17"/>
            <w:u w:val="single" w:color="auto"/>
            <w:color w:val="0000FF"/>
          </w:rPr>
          <w:t>II-1</w:t>
        </w:r>
      </w:hyperlink>
    </w:p>
    <w:p>
      <w:pPr>
        <w:spacing w:after="0" w:line="61" w:lineRule="exact"/>
        <w:rPr>
          <w:rFonts w:ascii="Arial" w:cs="Arial" w:eastAsia="Arial" w:hAnsi="Arial"/>
          <w:sz w:val="18"/>
          <w:szCs w:val="18"/>
          <w:u w:val="single" w:color="auto"/>
          <w:color w:val="0000EE"/>
        </w:rPr>
      </w:pPr>
    </w:p>
    <w:p>
      <w:pPr>
        <w:ind w:left="180"/>
        <w:spacing w:after="0"/>
        <w:rPr>
          <w:rFonts w:ascii="Arial" w:cs="Arial" w:eastAsia="Arial" w:hAnsi="Arial"/>
          <w:sz w:val="17"/>
          <w:szCs w:val="17"/>
          <w:u w:val="single" w:color="auto"/>
          <w:color w:val="0000FF"/>
        </w:rPr>
      </w:pPr>
      <w:hyperlink w:anchor="page16">
        <w:r>
          <w:rPr>
            <w:rFonts w:ascii="Arial" w:cs="Arial" w:eastAsia="Arial" w:hAnsi="Arial"/>
            <w:sz w:val="17"/>
            <w:szCs w:val="17"/>
            <w:u w:val="single" w:color="auto"/>
            <w:color w:val="0000FF"/>
          </w:rPr>
          <w:t>II-3</w:t>
        </w:r>
      </w:hyperlink>
    </w:p>
    <w:p>
      <w:pPr>
        <w:spacing w:after="0" w:line="61" w:lineRule="exact"/>
        <w:rPr>
          <w:rFonts w:ascii="Arial" w:cs="Arial" w:eastAsia="Arial" w:hAnsi="Arial"/>
          <w:sz w:val="18"/>
          <w:szCs w:val="18"/>
          <w:u w:val="single" w:color="auto"/>
          <w:color w:val="0000EE"/>
        </w:rPr>
      </w:pPr>
    </w:p>
    <w:p>
      <w:pPr>
        <w:ind w:left="180"/>
        <w:spacing w:after="0"/>
        <w:rPr>
          <w:rFonts w:ascii="Arial" w:cs="Arial" w:eastAsia="Arial" w:hAnsi="Arial"/>
          <w:sz w:val="17"/>
          <w:szCs w:val="17"/>
          <w:u w:val="single" w:color="auto"/>
          <w:color w:val="0000FF"/>
        </w:rPr>
      </w:pPr>
      <w:hyperlink w:anchor="page18">
        <w:r>
          <w:rPr>
            <w:rFonts w:ascii="Arial" w:cs="Arial" w:eastAsia="Arial" w:hAnsi="Arial"/>
            <w:sz w:val="17"/>
            <w:szCs w:val="17"/>
            <w:u w:val="single" w:color="auto"/>
            <w:color w:val="0000FF"/>
          </w:rPr>
          <w:t>II-6</w:t>
        </w:r>
      </w:hyperlink>
    </w:p>
    <w:p>
      <w:pPr>
        <w:sectPr>
          <w:pgSz w:w="11900" w:h="16838" w:orient="portrait"/>
          <w:cols w:equalWidth="0" w:num="2">
            <w:col w:w="10040" w:space="720"/>
            <w:col w:w="440"/>
          </w:cols>
          <w:pgMar w:left="340" w:top="1413" w:right="3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ABOUT THIS REOFFER PROSPECTUS</w:t>
      </w:r>
    </w:p>
    <w:p>
      <w:pPr>
        <w:spacing w:after="0" w:line="19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You should rely only on the information contained in this prospectus or in any accompanying prospectus supplement by us or on our behalf. 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 You should assume the information appearing in this prospectus is accurate only as of the date on the front cover of this prospectus, regardless of the time of delivery of this prospectus or of any sale of the Shares. Our business, results of operations, financial condition, and prospects may have changed since that date.</w:t>
      </w:r>
    </w:p>
    <w:p>
      <w:pPr>
        <w:spacing w:after="0" w:line="15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“Expensify,” “SMARTSCAN,” the Expensify logo and other trademarks, trade names or service marks of Expensify, Inc. appearing in this prospectus are the property of Expensify, Inc. All other trademarks, trade names and service marks appearing in this prospectus are the property of their respective owners. Solely for convenience, the trademarks and tradenames in this prospectus may be referred to without the</w:t>
      </w:r>
    </w:p>
    <w:p>
      <w:pPr>
        <w:spacing w:after="0" w:line="1" w:lineRule="exact"/>
        <w:rPr>
          <w:sz w:val="20"/>
          <w:szCs w:val="20"/>
          <w:color w:val="auto"/>
        </w:rPr>
      </w:pPr>
    </w:p>
    <w:p>
      <w:pPr>
        <w:ind w:right="580" w:firstLine="8"/>
        <w:spacing w:after="0" w:line="225" w:lineRule="auto"/>
        <w:tabs>
          <w:tab w:leader="none" w:pos="163" w:val="left"/>
        </w:tabs>
        <w:numPr>
          <w:ilvl w:val="0"/>
          <w:numId w:val="2"/>
        </w:numPr>
        <w:rPr>
          <w:rFonts w:ascii="Arial" w:cs="Arial" w:eastAsia="Arial" w:hAnsi="Arial"/>
          <w:sz w:val="15"/>
          <w:szCs w:val="15"/>
          <w:color w:val="auto"/>
        </w:rPr>
      </w:pPr>
      <w:r>
        <w:rPr>
          <w:rFonts w:ascii="Arial" w:cs="Arial" w:eastAsia="Arial" w:hAnsi="Arial"/>
          <w:sz w:val="18"/>
          <w:szCs w:val="18"/>
          <w:color w:val="auto"/>
        </w:rPr>
        <w:t xml:space="preserve">and </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symbols, but such references should not be construed as any indicator that their respective owners will not assert their rights thereto.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the terms “Expensify,” the “company,” “we,” “us,” and “our” in this prospectus refer to Expensify,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40575" cy="21088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2108835"/>
                    </a:xfrm>
                    <a:prstGeom prst="rect">
                      <a:avLst/>
                    </a:prstGeom>
                    <a:noFill/>
                  </pic:spPr>
                </pic:pic>
              </a:graphicData>
            </a:graphic>
          </wp:anchor>
        </w:drawing>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247" w:lineRule="exact"/>
        <w:rPr>
          <w:sz w:val="20"/>
          <w:szCs w:val="20"/>
          <w:color w:val="auto"/>
        </w:rPr>
      </w:pPr>
    </w:p>
    <w:p>
      <w:pPr>
        <w:ind w:left="40" w:right="20"/>
        <w:spacing w:after="0" w:line="252" w:lineRule="auto"/>
        <w:rPr>
          <w:sz w:val="20"/>
          <w:szCs w:val="20"/>
          <w:color w:val="auto"/>
        </w:rPr>
      </w:pPr>
      <w:r>
        <w:rPr>
          <w:rFonts w:ascii="Arial" w:cs="Arial" w:eastAsia="Arial" w:hAnsi="Arial"/>
          <w:sz w:val="18"/>
          <w:szCs w:val="18"/>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1.1 billion expense transactions on our platform, freeing people to spend less time managing expenses and more time doing the things they love. For the quarter ended June 30, 2021, an average of 662,000 paid members across 53,000 companies and over 200 countries and territories used Expensify to make money easy.</w:t>
      </w:r>
    </w:p>
    <w:p>
      <w:pPr>
        <w:spacing w:after="0" w:line="2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Information</w:t>
      </w:r>
    </w:p>
    <w:p>
      <w:pPr>
        <w:spacing w:after="0" w:line="129" w:lineRule="exact"/>
        <w:rPr>
          <w:sz w:val="20"/>
          <w:szCs w:val="20"/>
          <w:color w:val="auto"/>
        </w:rPr>
      </w:pPr>
    </w:p>
    <w:p>
      <w:pPr>
        <w:ind w:left="40" w:right="160"/>
        <w:spacing w:after="0" w:line="237" w:lineRule="auto"/>
        <w:rPr>
          <w:sz w:val="20"/>
          <w:szCs w:val="20"/>
          <w:color w:val="auto"/>
        </w:rPr>
      </w:pPr>
      <w:r>
        <w:rPr>
          <w:rFonts w:ascii="Arial" w:cs="Arial" w:eastAsia="Arial" w:hAnsi="Arial"/>
          <w:sz w:val="18"/>
          <w:szCs w:val="18"/>
          <w:color w:val="auto"/>
        </w:rPr>
        <w:t>We were incorporated in Delaware on April 29, 2009. Our corporate headquarters are located at 401 SW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Ave, Portland, Oregon 97204. Our telephone number is (971) 365-3939. Our principal website address is use.expensify.com. The information on or accessed through our website is not incorporated in this prospectus or the registration statement of which this prospectus forms a part, and potential investors should not rely on such information in making a decision to purchase our Class A common stock.</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Investing in our Class A common stock involves a high degree of risk. Before investing in our Class A common stock, you should carefully consider the risks set forth under the caption “Risk Factors” in our Registration Statement on Form S-1, as amended (File No. 333-260297), filed with the SEC on November 8, 2021, which are incorporated by reference herein, and subsequent reports filed with the SEC, together with the financial and other information contained or incorporated by reference in this prospectus. If any of the risks actually occur, our business, results of operations, financial condition, and prospects could be harmed. In that event, the trading price of our Class A common stock could decline, and you could lose part or all of your investment. Additional risks and uncertainties not presently known to us or that we currently deem immaterial also may impair our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413"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153" w:lineRule="exact"/>
        <w:rPr>
          <w:sz w:val="20"/>
          <w:szCs w:val="20"/>
          <w:color w:val="auto"/>
        </w:rPr>
      </w:pPr>
    </w:p>
    <w:p>
      <w:pPr>
        <w:ind w:left="660" w:right="2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he effects of the COVID-19 pandemic and the end of the COVID-19 pandemic on our business, results of operations and financial condition, and the global economy generally;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financial performance and future operating performance;</w:t>
      </w:r>
    </w:p>
    <w:p>
      <w:pPr>
        <w:spacing w:after="0" w:line="171"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members, expand usage of our platform, sell subscriptions to our platform and convert individuals and organizations into paying customers;</w:t>
      </w:r>
    </w:p>
    <w:p>
      <w:pPr>
        <w:spacing w:after="0" w:line="143"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or by competitors to their products, or any other changes in the competitive landscape of our market;</w:t>
      </w:r>
    </w:p>
    <w:p>
      <w:pPr>
        <w:spacing w:after="0" w:line="143"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that we may incur to maintain and expand our business and operations to remain competitive;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required payments under and to comply with the various requirements of our current and future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fluctuations in foreign currency exchange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developments and challenges in our industry, business and the highly competitive markets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income tax liabilities and the adequacy of our reserves;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recruit and retain skilled personnel, including key members of senior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affordability and convenience of our platform and our offerings;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71"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identify, manage and integrate any existing and potential acquisitions of businesses, talent, technologies or intellectual property;</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the societal and economic impact of the COVID-19 pandemic, and geopolitical uncertainty and instability;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413" w:right="359" w:bottom="1440" w:gutter="0" w:footer="0" w:header="0"/>
        </w:sectPr>
      </w:pPr>
    </w:p>
    <w:bookmarkStart w:id="7" w:name="page8"/>
    <w:bookmarkEnd w:id="7"/>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protections against security breaches, technical difficulties, or interruptions to our platform;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does not contain all of the forward-looking statements made in this prospectus.</w:t>
      </w:r>
    </w:p>
    <w:p>
      <w:pPr>
        <w:spacing w:after="0" w:line="17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prospectus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9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We will not receive any of the proceeds from the sale of the Shares. All proceeds from the sale of the Shares will be for the account of the Selling Stockholders, as described below. See the sections titled “Selling Stockholders” and “Plan of Distribution” described below.</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STOCKHOLDERS</w:t>
      </w:r>
    </w:p>
    <w:p>
      <w:pPr>
        <w:spacing w:after="0" w:line="19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following table sets forth information regarding beneficial ownership of our Class A common stock as of October 25, 2021, (i) reflecting</w:t>
      </w:r>
    </w:p>
    <w:p>
      <w:pPr>
        <w:spacing w:after="0" w:line="9" w:lineRule="exact"/>
        <w:rPr>
          <w:sz w:val="20"/>
          <w:szCs w:val="20"/>
          <w:color w:val="auto"/>
        </w:rPr>
      </w:pPr>
    </w:p>
    <w:p>
      <w:pPr>
        <w:ind w:right="120" w:firstLine="8"/>
        <w:spacing w:after="0" w:line="291" w:lineRule="auto"/>
        <w:tabs>
          <w:tab w:leader="none" w:pos="27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reclassification of all outstanding shares of our common stock into shares of Class A common stock followed by the completion of an exchange offer open to all of our employees and other service providers, whereby participants in the exchange offer elected to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435" w:right="359" w:bottom="1440" w:gutter="0" w:footer="0" w:header="0"/>
        </w:sectPr>
      </w:pPr>
    </w:p>
    <w:bookmarkStart w:id="8" w:name="page9"/>
    <w:bookmarkEnd w:id="8"/>
    <w:p>
      <w:pPr>
        <w:ind w:right="280"/>
        <w:spacing w:after="0" w:line="270" w:lineRule="auto"/>
        <w:rPr>
          <w:sz w:val="20"/>
          <w:szCs w:val="20"/>
          <w:color w:val="auto"/>
        </w:rPr>
      </w:pPr>
      <w:r>
        <w:rPr>
          <w:rFonts w:ascii="Arial" w:cs="Arial" w:eastAsia="Arial" w:hAnsi="Arial"/>
          <w:sz w:val="17"/>
          <w:szCs w:val="17"/>
          <w:color w:val="auto"/>
        </w:rPr>
        <w:t>on a one-for-one basis, an aggregate of 13,556,800 shares of our Class A common stock for 7,332,640 shares of our LT10 common stock and 6,224,160 shares of our LT50 common stock immediately prior to the effectiveness of the Registration Statement on Form S-1, as amended (File No. 333 -260297), initially filed with the SEC on October 15, 2021, as amended, and (c) the conversion of all outstanding shares of our preferred stock into an aggregate of 42,031,390 shares of Class A common stock immediately prior to the completion of our initial public offering and (ii) as adjusted to reflect the Shares that may be sold from time to time pursuant to this prospectus, for all Selling Stockholders, consisting of the individuals shown as having shares listed in the column entitled “Class A Shares Being Offered.”</w:t>
      </w:r>
    </w:p>
    <w:p>
      <w:pPr>
        <w:spacing w:after="0" w:line="125" w:lineRule="exact"/>
        <w:rPr>
          <w:sz w:val="20"/>
          <w:szCs w:val="20"/>
          <w:color w:val="auto"/>
        </w:rPr>
      </w:pPr>
    </w:p>
    <w:p>
      <w:pPr>
        <w:ind w:right="120"/>
        <w:spacing w:after="0" w:line="222" w:lineRule="auto"/>
        <w:rPr>
          <w:sz w:val="20"/>
          <w:szCs w:val="20"/>
          <w:color w:val="auto"/>
        </w:rPr>
      </w:pPr>
      <w:r>
        <w:rPr>
          <w:rFonts w:ascii="Arial" w:cs="Arial" w:eastAsia="Arial" w:hAnsi="Arial"/>
          <w:sz w:val="18"/>
          <w:szCs w:val="18"/>
          <w:color w:val="auto"/>
        </w:rPr>
        <w:t>The Shares offered by the Selling Stockholders hereunder include an aggregate of 1,638,755 outstanding shares of Class A common stock acquired by certain of our current employees and consultants pursuant to the Plans, as described in this prospectus. 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as of October 25, 2021, subject to community property laws where applicable. We have deemed shares of our Class A common stock subject to stock options that are currently exercisable or will be exercisable within 60 days of October 25, 2021 or net issuable pursuant to RSUs which are subject to vesting and settlement conditions expected to occur within 60 days of October 25, 2021 to be outstanding and to be beneficially owned by the person holding the stock option or RSU for the purpose of computing the percentage ownership of that person. However, we did not deem these shares subject to stock options or RSUs outstanding for the purpose of computing the percentage ownership of any other person or entity.</w:t>
      </w:r>
    </w:p>
    <w:p>
      <w:pPr>
        <w:spacing w:after="0" w:line="137"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The percentage ownership of our Class A common stock before this offering also assumes the issuance and sale of 2,608,696 shares by us in our initial public offering, the sale of 7,122,080 shares by the selling stockholders in our initial public offering, and no exercise of the underwriters’ option to purchase from certain selling stockholders 1,459,616 additional shares of our Class A common stock in our initial public offering.</w:t>
      </w:r>
    </w:p>
    <w:p>
      <w:pPr>
        <w:spacing w:after="0" w:line="138" w:lineRule="exact"/>
        <w:rPr>
          <w:sz w:val="20"/>
          <w:szCs w:val="20"/>
          <w:color w:val="auto"/>
        </w:rPr>
      </w:pPr>
    </w:p>
    <w:p>
      <w:pPr>
        <w:ind w:right="580"/>
        <w:spacing w:after="0" w:line="225" w:lineRule="auto"/>
        <w:rPr>
          <w:sz w:val="20"/>
          <w:szCs w:val="20"/>
          <w:color w:val="auto"/>
        </w:rPr>
      </w:pPr>
      <w:r>
        <w:rPr>
          <w:rFonts w:ascii="Arial" w:cs="Arial" w:eastAsia="Arial" w:hAnsi="Arial"/>
          <w:sz w:val="18"/>
          <w:szCs w:val="18"/>
          <w:color w:val="auto"/>
        </w:rPr>
        <w:t>Unless otherwise indicated, the address of each beneficial owner listed below is c/o Expensify, Inc., 401 SW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Ave, Portland, Oregon 97204.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80" w:type="dxa"/>
            <w:vAlign w:val="bottom"/>
            <w:gridSpan w:val="4"/>
          </w:tcPr>
          <w:p>
            <w:pPr>
              <w:jc w:val="center"/>
              <w:ind w:right="1140"/>
              <w:spacing w:after="0"/>
              <w:rPr>
                <w:sz w:val="20"/>
                <w:szCs w:val="20"/>
                <w:color w:val="auto"/>
              </w:rPr>
            </w:pPr>
            <w:r>
              <w:rPr>
                <w:rFonts w:ascii="Arial" w:cs="Arial" w:eastAsia="Arial" w:hAnsi="Arial"/>
                <w:sz w:val="14"/>
                <w:szCs w:val="14"/>
                <w:b w:val="1"/>
                <w:bCs w:val="1"/>
                <w:color w:val="auto"/>
              </w:rPr>
              <w:t>Class A</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Class A Shares</w:t>
            </w:r>
          </w:p>
        </w:tc>
        <w:tc>
          <w:tcPr>
            <w:tcW w:w="2720" w:type="dxa"/>
            <w:vAlign w:val="bottom"/>
            <w:gridSpan w:val="3"/>
          </w:tcPr>
          <w:p>
            <w:pPr>
              <w:jc w:val="center"/>
              <w:spacing w:after="0"/>
              <w:rPr>
                <w:sz w:val="20"/>
                <w:szCs w:val="20"/>
                <w:color w:val="auto"/>
              </w:rPr>
            </w:pPr>
            <w:r>
              <w:rPr>
                <w:rFonts w:ascii="Arial" w:cs="Arial" w:eastAsia="Arial" w:hAnsi="Arial"/>
                <w:sz w:val="14"/>
                <w:szCs w:val="14"/>
                <w:b w:val="1"/>
                <w:bCs w:val="1"/>
                <w:color w:val="auto"/>
              </w:rPr>
              <w:t>Class A Shares</w:t>
            </w:r>
          </w:p>
        </w:tc>
      </w:tr>
      <w:tr>
        <w:trPr>
          <w:trHeight w:val="135"/>
        </w:trPr>
        <w:tc>
          <w:tcPr>
            <w:tcW w:w="4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20" w:type="dxa"/>
            <w:vAlign w:val="bottom"/>
            <w:gridSpan w:val="5"/>
          </w:tcPr>
          <w:p>
            <w:pPr>
              <w:jc w:val="center"/>
              <w:ind w:right="80"/>
              <w:spacing w:after="0" w:line="135" w:lineRule="exact"/>
              <w:rPr>
                <w:sz w:val="20"/>
                <w:szCs w:val="20"/>
                <w:color w:val="auto"/>
              </w:rPr>
            </w:pPr>
            <w:r>
              <w:rPr>
                <w:rFonts w:ascii="Arial" w:cs="Arial" w:eastAsia="Arial" w:hAnsi="Arial"/>
                <w:sz w:val="14"/>
                <w:szCs w:val="14"/>
                <w:b w:val="1"/>
                <w:bCs w:val="1"/>
                <w:color w:val="auto"/>
              </w:rPr>
              <w:t>Shares Beneficially Owned Prior</w:t>
            </w:r>
          </w:p>
        </w:tc>
        <w:tc>
          <w:tcPr>
            <w:tcW w:w="14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Being</w:t>
            </w:r>
          </w:p>
        </w:tc>
        <w:tc>
          <w:tcPr>
            <w:tcW w:w="272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rPr>
              <w:t>Beneficially Owned After</w:t>
            </w:r>
          </w:p>
        </w:tc>
      </w:tr>
      <w:tr>
        <w:trPr>
          <w:trHeight w:val="175"/>
        </w:trPr>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to this Offering</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6"/>
              </w:rPr>
              <w:t>Offered</w:t>
            </w:r>
            <w:r>
              <w:rPr>
                <w:rFonts w:ascii="Arial" w:cs="Arial" w:eastAsia="Arial" w:hAnsi="Arial"/>
                <w:sz w:val="18"/>
                <w:szCs w:val="18"/>
                <w:b w:val="1"/>
                <w:bCs w:val="1"/>
                <w:color w:val="auto"/>
                <w:w w:val="96"/>
                <w:vertAlign w:val="superscript"/>
              </w:rPr>
              <w:t>(1)</w:t>
            </w:r>
          </w:p>
        </w:tc>
        <w:tc>
          <w:tcPr>
            <w:tcW w:w="100" w:type="dxa"/>
            <w:vAlign w:val="bottom"/>
          </w:tcPr>
          <w:p>
            <w:pPr>
              <w:spacing w:after="0"/>
              <w:rPr>
                <w:sz w:val="15"/>
                <w:szCs w:val="15"/>
                <w:color w:val="auto"/>
              </w:rPr>
            </w:pPr>
          </w:p>
        </w:tc>
        <w:tc>
          <w:tcPr>
            <w:tcW w:w="2720" w:type="dxa"/>
            <w:vAlign w:val="bottom"/>
            <w:tcBorders>
              <w:bottom w:val="single" w:sz="8" w:color="auto"/>
            </w:tcBorders>
            <w:gridSpan w:val="3"/>
          </w:tcPr>
          <w:p>
            <w:pPr>
              <w:jc w:val="center"/>
              <w:spacing w:after="0" w:line="176" w:lineRule="exact"/>
              <w:rPr>
                <w:sz w:val="20"/>
                <w:szCs w:val="20"/>
                <w:color w:val="auto"/>
              </w:rPr>
            </w:pPr>
            <w:r>
              <w:rPr>
                <w:rFonts w:ascii="Arial" w:cs="Arial" w:eastAsia="Arial" w:hAnsi="Arial"/>
                <w:sz w:val="14"/>
                <w:szCs w:val="14"/>
                <w:b w:val="1"/>
                <w:bCs w:val="1"/>
                <w:color w:val="auto"/>
                <w:w w:val="97"/>
              </w:rPr>
              <w:t>the Offering</w:t>
            </w:r>
            <w:r>
              <w:rPr>
                <w:rFonts w:ascii="Arial" w:cs="Arial" w:eastAsia="Arial" w:hAnsi="Arial"/>
                <w:sz w:val="18"/>
                <w:szCs w:val="18"/>
                <w:b w:val="1"/>
                <w:bCs w:val="1"/>
                <w:color w:val="auto"/>
                <w:w w:val="97"/>
                <w:vertAlign w:val="superscript"/>
              </w:rPr>
              <w:t>(2)</w:t>
            </w:r>
          </w:p>
        </w:tc>
      </w:tr>
      <w:tr>
        <w:trPr>
          <w:trHeight w:val="183"/>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Selling Stockholder</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ind w:left="126"/>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Percentage</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Percentage</w:t>
            </w:r>
          </w:p>
        </w:tc>
      </w:tr>
      <w:tr>
        <w:trPr>
          <w:trHeight w:val="223"/>
        </w:trPr>
        <w:tc>
          <w:tcPr>
            <w:tcW w:w="426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6"/>
                <w:szCs w:val="16"/>
                <w:color w:val="auto"/>
              </w:rPr>
              <w:t>Named Selling Stockholders</w:t>
            </w:r>
            <w:r>
              <w:rPr>
                <w:rFonts w:ascii="Arial" w:cs="Arial" w:eastAsia="Arial" w:hAnsi="Arial"/>
                <w:sz w:val="21"/>
                <w:szCs w:val="21"/>
                <w:color w:val="auto"/>
                <w:vertAlign w:val="superscript"/>
              </w:rPr>
              <w:t>(3)</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5,685,410</w:t>
            </w:r>
          </w:p>
        </w:tc>
        <w:tc>
          <w:tcPr>
            <w:tcW w:w="1680" w:type="dxa"/>
            <w:vAlign w:val="bottom"/>
            <w:gridSpan w:val="3"/>
            <w:shd w:val="clear" w:color="auto" w:fill="CCEEFF"/>
          </w:tcPr>
          <w:p>
            <w:pPr>
              <w:jc w:val="right"/>
              <w:ind w:right="388"/>
              <w:spacing w:after="0"/>
              <w:rPr>
                <w:sz w:val="20"/>
                <w:szCs w:val="20"/>
                <w:color w:val="auto"/>
              </w:rPr>
            </w:pPr>
            <w:r>
              <w:rPr>
                <w:rFonts w:ascii="Arial" w:cs="Arial" w:eastAsia="Arial" w:hAnsi="Arial"/>
                <w:sz w:val="16"/>
                <w:szCs w:val="16"/>
                <w:color w:val="auto"/>
              </w:rPr>
              <w:t>8.13%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1,638,755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86"/>
              <w:spacing w:after="0"/>
              <w:rPr>
                <w:sz w:val="20"/>
                <w:szCs w:val="20"/>
                <w:color w:val="auto"/>
              </w:rPr>
            </w:pPr>
            <w:r>
              <w:rPr>
                <w:rFonts w:ascii="Arial" w:cs="Arial" w:eastAsia="Arial" w:hAnsi="Arial"/>
                <w:sz w:val="16"/>
                <w:szCs w:val="16"/>
                <w:color w:val="auto"/>
              </w:rPr>
              <w:t>4,046,655</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84"/>
              <w:spacing w:after="0"/>
              <w:rPr>
                <w:sz w:val="20"/>
                <w:szCs w:val="20"/>
                <w:color w:val="auto"/>
              </w:rPr>
            </w:pPr>
            <w:r>
              <w:rPr>
                <w:rFonts w:ascii="Arial" w:cs="Arial" w:eastAsia="Arial" w:hAnsi="Arial"/>
                <w:sz w:val="16"/>
                <w:szCs w:val="16"/>
                <w:color w:val="auto"/>
              </w:rPr>
              <w:t>5.78%</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shares of our Class A common stock offered under this prospectus.</w:t>
      </w:r>
    </w:p>
    <w:p>
      <w:pPr>
        <w:spacing w:after="0" w:line="1" w:lineRule="exact"/>
        <w:rPr>
          <w:rFonts w:ascii="Arial" w:cs="Arial" w:eastAsia="Arial" w:hAnsi="Arial"/>
          <w:sz w:val="14"/>
          <w:szCs w:val="14"/>
          <w:color w:val="auto"/>
        </w:rPr>
      </w:pPr>
    </w:p>
    <w:p>
      <w:pPr>
        <w:ind w:left="340" w:right="240" w:hanging="332"/>
        <w:spacing w:after="0" w:line="241" w:lineRule="auto"/>
        <w:tabs>
          <w:tab w:leader="none" w:pos="327" w:val="left"/>
        </w:tabs>
        <w:numPr>
          <w:ilvl w:val="0"/>
          <w:numId w:val="6"/>
        </w:numPr>
        <w:rPr>
          <w:rFonts w:ascii="Arial" w:cs="Arial" w:eastAsia="Arial" w:hAnsi="Arial"/>
          <w:sz w:val="14"/>
          <w:szCs w:val="14"/>
          <w:color w:val="auto"/>
        </w:rPr>
      </w:pPr>
      <w:r>
        <w:rPr>
          <w:rFonts w:ascii="Arial" w:cs="Arial" w:eastAsia="Arial" w:hAnsi="Arial"/>
          <w:sz w:val="14"/>
          <w:szCs w:val="14"/>
          <w:color w:val="auto"/>
        </w:rPr>
        <w:t>Assumes that all of the Shares held by each Selling Stockholder and being offered under this prospectus are sold, and that no Selling Stockholder will acquire additional shares of Class A common stock before the completion of this offering.</w:t>
      </w:r>
    </w:p>
    <w:p>
      <w:pPr>
        <w:ind w:left="340" w:right="20" w:hanging="332"/>
        <w:spacing w:after="0" w:line="243" w:lineRule="auto"/>
        <w:tabs>
          <w:tab w:leader="none" w:pos="327"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the following 100 named non-affiliate persons, each of whom holds at least 1,000 Shares: Rory Abraham, Kadie Alexander, Matthew Allen, Carlos Alvarez Divo, Amanda Alvey, Peter Barker, Montgomery Barnard, William Barrett, Monil Bhavsar, David Bondy, Jeremy Boniface, Shawn Borton, David Cardoza, Chirag Chandrakant Salian, Robert Chen, Matthew Cole, Rafael Colton, Shaelyn Combs, Dylan Courtney, Sara Couto Velasco, Maria D'Costa, Clement Dal Palu, Flavia De Faria, James Dean, Scott Deeter, Christina Dobrzynski, Luke Donahue, Ryan Donato, Christina Draeger, Cole Eason, Stephanie Elliott, Gabriel Essner, Thomas Ferriss, Benjamin Fitzpatrick, Andre Fonseca, Andrew Gable, Joseph Gambino, Albino Garces, Marc Glasser, Timothy Golen, Alberto Gonzalez-Cela, MaryRose Grech, Zachary Greenwald, Edward Harris, Michael Haxhiu, Jenna Hay, Rachael Hopkins, Gabriella Horowitz, Thomas Jones, Tyler Karaszewski, Adele Kennedy, Michael King, Sasha Kluger, Garrett Knight, Nathalie Kuoch, Kim Kurta, Robert Ladue, Francois Laithier, Puneet Lath, John Lee, Margaret Lewis, Sofya Liapounova, Alexander Mechler, Yuwen Memon, Nicole Mendonca, Nicholas Murray, Amal Nazeem, Victoria O'Leary, Corinne Ofstad, Alejandro Paz, Lindsey Peckham, Conor Pendergrast, Rocio Perez Cano, Christopher Peters, Trent Petty, Megan Reid, Alexandra Revelli, Leslie Rodriguez, Julian Rosser, Christopher Scanlon, Gregory Schroeder, Lauren Schurr, Phillip Smith, Stefania Stavri, Isabela Stisser, Brandon Stites, Kevin Sullivan, Timothy Szot, Michelle Thompson, Nicholas Tooker, Kortney Trasolini, Nicole Trepanier, Sheena Trepanier, Christopher Tseng, Nicole Wallroth, Cheryl Walsh, Michael Ward, Caitlin White, Catherine Wines, and Sylvia Wong. Each of these persons beneficially owns less than 1% of our Class A common stock. All of these persons are current employees or consultants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35" w:right="3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registering the Shares covered by this prospectus to permit the Selling Stockholders to conduct public secondary trading of these Shares from time to time after the date of this prospectus. We will not receive any of the proceeds of the sale of the Shares offered by this prospectus. The aggregate proceeds to the Selling Stockholders from the sale of the Shares will be the purchase price of the Shares less any discounts and commissions. We will not pay any brokers’ or underwriters’ discounts and commissions in connection with the registration and sale of the Shares covered by this prospectus. The Selling Stockholders reserve the right to accept and, together with their respective agents, to reject, any proposed purchases of Shares to be made directly or through agents.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Shares offered by this prospectus may be sold from time to time to purchasers:</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directly by the Selling Stockholders, or</w:t>
      </w:r>
    </w:p>
    <w:p>
      <w:pPr>
        <w:spacing w:after="0" w:line="171"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underwriters, broker-dealers, or agents, who may receive compensation in the form of discounts, commissions, or agent’s commissions from the Selling Stockholders or the purchasers of the Shares.</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Any underwriters, broker-dealers, or agents who participate in the sale or distribution of the Shares may be deemed to be “underwriters” within the meaning of the Securities Act. As a result, any discounts, commissions, or concessions received by any such broker-dealers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We will make copies of this prospectus available to the Selling Stockholders for the purpose of satisfying the prospectus delivery requirements of the Securities Act. To our knowledge, there are currently no plans, arrangements, or understandings between the Selling Stockholders and any underwriter, broker-dealer, or agent regarding the sale of the Shares by the Selling Stockholders.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Shares may be sold in one or more transactions at:</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fixed prices;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prevailing market prices at the time of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prices related to such prevailing market prices;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varying prices determined at the time of sale;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sales may be effected in one or more transactions:</w:t>
      </w:r>
    </w:p>
    <w:p>
      <w:pPr>
        <w:spacing w:after="0" w:line="171" w:lineRule="exact"/>
        <w:rPr>
          <w:sz w:val="20"/>
          <w:szCs w:val="20"/>
          <w:color w:val="auto"/>
        </w:rPr>
      </w:pPr>
    </w:p>
    <w:p>
      <w:pPr>
        <w:ind w:left="660" w:right="1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Shares may be listed or quoted at the time of sale, including the Nasdaq Global Market;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transactions otherwise than on such exchanges or services or in the over-the-counter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method permitted by applicable law;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any combination of the foregoing.</w:t>
      </w:r>
    </w:p>
    <w:p>
      <w:pPr>
        <w:spacing w:after="0" w:line="17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These transactions may include block transactions or crosses. Crosses are transactions in which the same broker acts as an agent on both sides of the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320" w:top="1413" w:right="399" w:bottom="1440" w:gutter="0" w:footer="0" w:header="0"/>
        </w:sectPr>
      </w:pPr>
    </w:p>
    <w:bookmarkStart w:id="10" w:name="page11"/>
    <w:bookmarkEnd w:id="10"/>
    <w:p>
      <w:pPr>
        <w:ind w:right="140"/>
        <w:spacing w:after="0" w:line="265" w:lineRule="auto"/>
        <w:rPr>
          <w:sz w:val="20"/>
          <w:szCs w:val="20"/>
          <w:color w:val="auto"/>
        </w:rPr>
      </w:pPr>
      <w:r>
        <w:rPr>
          <w:rFonts w:ascii="Arial" w:cs="Arial" w:eastAsia="Arial" w:hAnsi="Arial"/>
          <w:sz w:val="17"/>
          <w:szCs w:val="17"/>
          <w:color w:val="auto"/>
        </w:rPr>
        <w:t>At the time a particular offering of the Shares is made, a prospectus supplement, if required, will be distributed, which will set forth the name of the Selling Stockholders, the aggregate amount of Shares being offered, and the terms of the offering, including, to the extent required,</w:t>
      </w:r>
    </w:p>
    <w:p>
      <w:pPr>
        <w:ind w:right="160" w:firstLine="8"/>
        <w:spacing w:after="0" w:line="256" w:lineRule="auto"/>
        <w:tabs>
          <w:tab w:leader="none" w:pos="2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 or names of any underwriters, broker-dealers, or agents, (2) any discounts, commissions, and other terms constituting compensation from the Selling Stockholders and (3) any discounts, commissions, or concessions allowed or reallowed to be paid to broker-dealers.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Selling Stockholders will act independently of us in making decisions with respect to the timing, manner, and size of each resale or other transfer. There can be no assurance that the Selling Stockholders will sell any or all of the Shares under this prospectus. Further, we cannot assure you that the Selling Stockholders will not transfer, distribute, devise, or gift the Shares by other means not described in this prospectus. In addition, any Shares covered by this prospectus that qualify for sale under Rule 144 of the Securities Act may be sold under Rule 144 rather than under this prospectus. The Shares may be sold in some states only through registered or licensed brokers or dealers. In addition, in some states the Shares may not be sold unless they have been registered or qualified for sale or an exemption from registration or qualification is available and complied with.</w:t>
      </w:r>
    </w:p>
    <w:p>
      <w:pPr>
        <w:spacing w:after="0" w:line="15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Selling Stockholders and any other person participating in the sale of the Shares will be subject to the Exchange Act. The Exchange Act rules include, without limitation, Regulation M, which may limit the timing of purchases and sales of any of the Shares by the Selling Stockholders and any other person. In addition, Regulation M may restrict the ability of any person engaged in the distribution of the Shares to engage in market-making activities with respect to the particular Shares being distributed. This may affect the marketability of the Shares and the ability of any person or entity to engage in market-making activities with respect to the Shares.</w:t>
      </w:r>
    </w:p>
    <w:p>
      <w:pPr>
        <w:spacing w:after="0" w:line="15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Selling Stockholders may indemnify any broker or underwriter that participates in transactions involving the sale of the Shares against certain liabilities, including liabilities arising under the Securities Act.</w:t>
      </w:r>
    </w:p>
    <w:p>
      <w:pPr>
        <w:spacing w:after="0" w:line="122"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LEGAL MATTERS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validity of the Shares offered hereby has been passed upon by Latham &amp; Watkins LLP, Menlo Park, California.</w:t>
      </w:r>
    </w:p>
    <w:p>
      <w:pPr>
        <w:spacing w:after="0" w:line="14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EXPERTS</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consolidated financial statements of Expensify, Inc. at December 31, 2019 and December 31, 2020 and for each of the two years in the period ended December 31, 2020 incorporated in this reoffer prospectus by reference to the Registration Statement on Form S-1, as amended, have been audited by Ernst &amp; Young LLP, independent registered public accounting firm, as set forth in their report thereon. Such consolidated financial statements are incorporated herein by reference in reliance upon such report given on the authority of such firm as experts in auditing and accounting.</w:t>
      </w:r>
    </w:p>
    <w:p>
      <w:pPr>
        <w:spacing w:after="0" w:line="12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filed with the SEC are hereby incorporated by reference in this prospectus:</w:t>
      </w:r>
    </w:p>
    <w:p>
      <w:pPr>
        <w:spacing w:after="0" w:line="171" w:lineRule="exact"/>
        <w:rPr>
          <w:sz w:val="20"/>
          <w:szCs w:val="20"/>
          <w:color w:val="auto"/>
        </w:rPr>
      </w:pPr>
    </w:p>
    <w:p>
      <w:pPr>
        <w:ind w:right="360" w:firstLine="8"/>
        <w:spacing w:after="0" w:line="261" w:lineRule="auto"/>
        <w:tabs>
          <w:tab w:leader="none" w:pos="270" w:val="left"/>
        </w:tabs>
        <w:numPr>
          <w:ilvl w:val="0"/>
          <w:numId w:val="11"/>
        </w:numPr>
        <w:rPr>
          <w:rFonts w:ascii="Arial" w:cs="Arial" w:eastAsia="Arial" w:hAnsi="Arial"/>
          <w:sz w:val="18"/>
          <w:szCs w:val="18"/>
          <w:color w:val="0000FF"/>
        </w:rPr>
      </w:pPr>
      <w:hyperlink r:id="rId20">
        <w:r>
          <w:rPr>
            <w:rFonts w:ascii="Arial" w:cs="Arial" w:eastAsia="Arial" w:hAnsi="Arial"/>
            <w:sz w:val="18"/>
            <w:szCs w:val="18"/>
            <w:u w:val="single" w:color="auto"/>
            <w:color w:val="0000FF"/>
          </w:rPr>
          <w:t>Amendment No. 3 to the Registrant’s Registration Statement on Form S-1 filed with the SEC on November 8, 2021 (File No. 333-</w:t>
        </w:r>
      </w:hyperlink>
      <w:hyperlink r:id="rId20">
        <w:r>
          <w:rPr>
            <w:rFonts w:ascii="Arial" w:cs="Arial" w:eastAsia="Arial" w:hAnsi="Arial"/>
            <w:sz w:val="18"/>
            <w:szCs w:val="18"/>
            <w:u w:val="single" w:color="auto"/>
            <w:color w:val="0000FF"/>
          </w:rPr>
          <w:t>260297)</w:t>
        </w:r>
        <w:r>
          <w:rPr>
            <w:rFonts w:ascii="Arial" w:cs="Arial" w:eastAsia="Arial" w:hAnsi="Arial"/>
            <w:sz w:val="18"/>
            <w:szCs w:val="18"/>
            <w:color w:val="000000"/>
          </w:rPr>
          <w:t xml:space="preserve">, which contains the Registrant’s audited financial statements for the latest fiscal year for which such statements have been </w:t>
        </w:r>
      </w:hyperlink>
      <w:r>
        <w:rPr>
          <w:rFonts w:ascii="Arial" w:cs="Arial" w:eastAsia="Arial" w:hAnsi="Arial"/>
          <w:sz w:val="18"/>
          <w:szCs w:val="18"/>
          <w:color w:val="0000FF"/>
        </w:rPr>
        <w:t>filed.</w:t>
      </w:r>
    </w:p>
    <w:p>
      <w:pPr>
        <w:spacing w:after="0" w:line="143" w:lineRule="exact"/>
        <w:rPr>
          <w:rFonts w:ascii="Arial" w:cs="Arial" w:eastAsia="Arial" w:hAnsi="Arial"/>
          <w:sz w:val="18"/>
          <w:szCs w:val="18"/>
          <w:color w:val="0000FF"/>
        </w:rPr>
      </w:pPr>
    </w:p>
    <w:p>
      <w:pPr>
        <w:ind w:right="200" w:firstLine="8"/>
        <w:spacing w:after="0" w:line="261" w:lineRule="auto"/>
        <w:tabs>
          <w:tab w:leader="none" w:pos="2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Prospectus to be filed on or about November 12, 2021 pursuant to Rule 424(b) under the Securities Act, relating to the Registration Statement on Form S-1, as amended (File No. 333-260297).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35" w:right="339" w:bottom="1440" w:gutter="0" w:footer="0" w:header="0"/>
        </w:sectPr>
      </w:pPr>
    </w:p>
    <w:bookmarkStart w:id="11" w:name="page12"/>
    <w:bookmarkEnd w:id="11"/>
    <w:p>
      <w:pPr>
        <w:ind w:right="80" w:firstLine="8"/>
        <w:spacing w:after="0" w:line="261" w:lineRule="auto"/>
        <w:tabs>
          <w:tab w:leader="none" w:pos="260" w:val="left"/>
        </w:tabs>
        <w:numPr>
          <w:ilvl w:val="0"/>
          <w:numId w:val="12"/>
        </w:numPr>
        <w:rPr>
          <w:rFonts w:ascii="Arial" w:cs="Arial" w:eastAsia="Arial" w:hAnsi="Arial"/>
          <w:sz w:val="18"/>
          <w:szCs w:val="18"/>
          <w:color w:val="0000FF"/>
        </w:rPr>
      </w:pPr>
      <w:r>
        <w:rPr>
          <w:rFonts w:ascii="Arial" w:cs="Arial" w:eastAsia="Arial" w:hAnsi="Arial"/>
          <w:sz w:val="18"/>
          <w:szCs w:val="18"/>
          <w:color w:val="auto"/>
        </w:rPr>
        <w:t xml:space="preserve">The description of the Registrant’s Class A common stock which is contained in a registration statement on </w:t>
      </w:r>
      <w:hyperlink r:id="rId21">
        <w:r>
          <w:rPr>
            <w:rFonts w:ascii="Arial" w:cs="Arial" w:eastAsia="Arial" w:hAnsi="Arial"/>
            <w:sz w:val="18"/>
            <w:szCs w:val="18"/>
            <w:u w:val="single" w:color="auto"/>
            <w:color w:val="0000FF"/>
          </w:rPr>
          <w:t>Form 8-A filed on November</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FF"/>
          </w:rPr>
          <w:t>8, 2021 (File No. 001-41043)</w:t>
        </w:r>
        <w:r>
          <w:rPr>
            <w:rFonts w:ascii="Arial" w:cs="Arial" w:eastAsia="Arial" w:hAnsi="Arial"/>
            <w:sz w:val="18"/>
            <w:szCs w:val="18"/>
            <w:color w:val="0000FF"/>
          </w:rPr>
          <w:t xml:space="preserve"> </w:t>
        </w:r>
      </w:hyperlink>
      <w:r>
        <w:rPr>
          <w:rFonts w:ascii="Arial" w:cs="Arial" w:eastAsia="Arial" w:hAnsi="Arial"/>
          <w:sz w:val="18"/>
          <w:szCs w:val="18"/>
          <w:color w:val="000000"/>
        </w:rPr>
        <w:t>under</w:t>
      </w:r>
      <w:r>
        <w:rPr>
          <w:rFonts w:ascii="Arial" w:cs="Arial" w:eastAsia="Arial" w:hAnsi="Arial"/>
          <w:sz w:val="18"/>
          <w:szCs w:val="18"/>
          <w:color w:val="0000FF"/>
        </w:rPr>
        <w:t xml:space="preserve"> </w:t>
      </w:r>
      <w:r>
        <w:rPr>
          <w:rFonts w:ascii="Arial" w:cs="Arial" w:eastAsia="Arial" w:hAnsi="Arial"/>
          <w:sz w:val="18"/>
          <w:szCs w:val="18"/>
          <w:color w:val="000000"/>
        </w:rPr>
        <w:t>the Exchange Act, including any amendment or report filed for the purpose of updating such description.</w:t>
      </w:r>
    </w:p>
    <w:p>
      <w:pPr>
        <w:spacing w:after="0" w:line="144" w:lineRule="exact"/>
        <w:rPr>
          <w:rFonts w:ascii="Arial" w:cs="Arial" w:eastAsia="Arial" w:hAnsi="Arial"/>
          <w:sz w:val="18"/>
          <w:szCs w:val="18"/>
          <w:color w:val="auto"/>
        </w:rPr>
      </w:pPr>
    </w:p>
    <w:p>
      <w:pPr>
        <w:spacing w:after="0" w:line="251" w:lineRule="auto"/>
        <w:rPr>
          <w:sz w:val="20"/>
          <w:szCs w:val="20"/>
          <w:color w:val="auto"/>
        </w:rPr>
      </w:pPr>
      <w:r>
        <w:rPr>
          <w:rFonts w:ascii="Arial" w:cs="Arial" w:eastAsia="Arial" w:hAnsi="Arial"/>
          <w:sz w:val="18"/>
          <w:szCs w:val="18"/>
          <w:color w:val="auto"/>
        </w:rPr>
        <w:t>All documents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SEC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35"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93" w:lineRule="exact"/>
        <w:rPr>
          <w:rFonts w:ascii="Arial" w:cs="Arial" w:eastAsia="Arial" w:hAnsi="Arial"/>
          <w:sz w:val="18"/>
          <w:szCs w:val="18"/>
          <w:color w:val="auto"/>
        </w:rPr>
      </w:pPr>
    </w:p>
    <w:p>
      <w:pPr>
        <w:spacing w:after="0" w:line="252" w:lineRule="auto"/>
        <w:rPr>
          <w:sz w:val="20"/>
          <w:szCs w:val="20"/>
          <w:color w:val="auto"/>
        </w:rPr>
      </w:pPr>
      <w:r>
        <w:rPr>
          <w:rFonts w:ascii="Arial" w:cs="Arial" w:eastAsia="Arial" w:hAnsi="Arial"/>
          <w:sz w:val="18"/>
          <w:szCs w:val="18"/>
          <w:color w:val="auto"/>
        </w:rPr>
        <w:t>We will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by linking directly from our website at use.expensify.com. These filings will be available as soon as reasonably practicable after we electronically file such material with, or furnish it to, the SEC. Information contained on our website is not part of this prospectus.</w:t>
      </w:r>
    </w:p>
    <w:p>
      <w:pPr>
        <w:spacing w:after="0" w:line="154" w:lineRule="exact"/>
        <w:rPr>
          <w:rFonts w:ascii="Arial" w:cs="Arial" w:eastAsia="Arial" w:hAnsi="Arial"/>
          <w:sz w:val="18"/>
          <w:szCs w:val="18"/>
          <w:color w:val="auto"/>
        </w:rPr>
      </w:pPr>
    </w:p>
    <w:p>
      <w:pPr>
        <w:ind w:right="120"/>
        <w:spacing w:after="0" w:line="256" w:lineRule="auto"/>
        <w:rPr>
          <w:sz w:val="20"/>
          <w:szCs w:val="20"/>
          <w:color w:val="auto"/>
        </w:rPr>
      </w:pPr>
      <w:r>
        <w:rPr>
          <w:rFonts w:ascii="Arial" w:cs="Arial" w:eastAsia="Arial" w:hAnsi="Arial"/>
          <w:sz w:val="18"/>
          <w:szCs w:val="18"/>
          <w:color w:val="auto"/>
        </w:rPr>
        <w:t>The Registrant hereby undertakes to provide without charge to each person, including any beneficial owner, to whom a copy of this prospectus is delivered, upon written or oral request of any such person, a copy of any and all of the information that has been incorporated by reference in this prospectus but not delivered with the prospectus other than the exhibits to those documents, unless the exhibits are specifically incorporated by reference into the information that this prospectus incorporates. Requests for documents should be directed to Expensify, Inc., Attention: Secretary, 401 SW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Ave, Portland, Oregon 97204, (971) 365-3939.</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0"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1435" w:right="359" w:bottom="1440" w:gutter="0" w:footer="0" w:header="0"/>
        </w:sectPr>
      </w:pPr>
    </w:p>
    <w:bookmarkStart w:id="12" w:name="page13"/>
    <w:bookmarkEnd w:id="12"/>
    <w:p>
      <w:pPr>
        <w:jc w:val="center"/>
        <w:ind w:right="-319"/>
        <w:spacing w:after="0"/>
        <w:rPr>
          <w:sz w:val="20"/>
          <w:szCs w:val="20"/>
          <w:color w:val="auto"/>
        </w:rPr>
      </w:pPr>
      <w:r>
        <w:rPr>
          <w:rFonts w:ascii="Arial" w:cs="Arial" w:eastAsia="Arial" w:hAnsi="Arial"/>
          <w:sz w:val="18"/>
          <w:szCs w:val="18"/>
          <w:b w:val="1"/>
          <w:bCs w:val="1"/>
          <w:color w:val="auto"/>
        </w:rPr>
        <w:t>PART I</w:t>
      </w:r>
    </w:p>
    <w:p>
      <w:pPr>
        <w:spacing w:after="0" w:line="3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Plan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Registration Information and Employee Plan Annual Information. *</w:t>
      </w:r>
    </w:p>
    <w:p>
      <w:pPr>
        <w:spacing w:after="0" w:line="139" w:lineRule="exact"/>
        <w:rPr>
          <w:sz w:val="20"/>
          <w:szCs w:val="20"/>
          <w:color w:val="auto"/>
        </w:rPr>
      </w:pPr>
    </w:p>
    <w:p>
      <w:pPr>
        <w:ind w:left="180" w:hanging="172"/>
        <w:spacing w:after="0" w:line="261" w:lineRule="auto"/>
        <w:tabs>
          <w:tab w:leader="none" w:pos="1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Information required by Part I to be contained in the Section 10(a) prospectus is omitted from this Registration Statement in accordance with Rule 428 under the Securities Act and the “Note” to Part I of Form S-8.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0920"/>
          </w:cols>
          <w:pgMar w:left="320" w:top="1413" w:right="65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CERTAIN DOCUMENTS BY REFERENCE.</w:t>
      </w:r>
    </w:p>
    <w:p>
      <w:pPr>
        <w:spacing w:after="0" w:line="171"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The following documents filed by Expensify, Inc. (the “</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 with the SEC are incorporated by reference into this Registration Statement:</w:t>
      </w:r>
    </w:p>
    <w:p>
      <w:pPr>
        <w:spacing w:after="0" w:line="121" w:lineRule="exact"/>
        <w:rPr>
          <w:sz w:val="20"/>
          <w:szCs w:val="20"/>
          <w:color w:val="auto"/>
        </w:rPr>
      </w:pPr>
    </w:p>
    <w:p>
      <w:pPr>
        <w:ind w:right="340" w:firstLine="8"/>
        <w:spacing w:after="0" w:line="261" w:lineRule="auto"/>
        <w:tabs>
          <w:tab w:leader="none" w:pos="270" w:val="left"/>
        </w:tabs>
        <w:numPr>
          <w:ilvl w:val="0"/>
          <w:numId w:val="14"/>
        </w:numPr>
        <w:rPr>
          <w:rFonts w:ascii="Arial" w:cs="Arial" w:eastAsia="Arial" w:hAnsi="Arial"/>
          <w:sz w:val="18"/>
          <w:szCs w:val="18"/>
          <w:color w:val="0000FF"/>
        </w:rPr>
      </w:pPr>
      <w:hyperlink r:id="rId20">
        <w:r>
          <w:rPr>
            <w:rFonts w:ascii="Arial" w:cs="Arial" w:eastAsia="Arial" w:hAnsi="Arial"/>
            <w:sz w:val="18"/>
            <w:szCs w:val="18"/>
            <w:u w:val="single" w:color="auto"/>
            <w:color w:val="0000FF"/>
          </w:rPr>
          <w:t>Amendment No. 3 to the Registrant’s Registration Statement on Form S-1 filed with the SEC on November 8, 2021 (File No. 333-</w:t>
        </w:r>
      </w:hyperlink>
      <w:hyperlink r:id="rId20">
        <w:r>
          <w:rPr>
            <w:rFonts w:ascii="Arial" w:cs="Arial" w:eastAsia="Arial" w:hAnsi="Arial"/>
            <w:sz w:val="18"/>
            <w:szCs w:val="18"/>
            <w:u w:val="single" w:color="auto"/>
            <w:color w:val="0000FF"/>
          </w:rPr>
          <w:t>260297),</w:t>
        </w:r>
        <w:r>
          <w:rPr>
            <w:rFonts w:ascii="Arial" w:cs="Arial" w:eastAsia="Arial" w:hAnsi="Arial"/>
            <w:sz w:val="18"/>
            <w:szCs w:val="18"/>
            <w:color w:val="0000FF"/>
          </w:rPr>
          <w:t xml:space="preserve"> </w:t>
        </w:r>
        <w:r>
          <w:rPr>
            <w:rFonts w:ascii="Arial" w:cs="Arial" w:eastAsia="Arial" w:hAnsi="Arial"/>
            <w:sz w:val="18"/>
            <w:szCs w:val="18"/>
            <w:color w:val="000000"/>
          </w:rPr>
          <w:t xml:space="preserve">which contains the Registrant’s audited financial statements for the latest fiscal year for which such statements have been </w:t>
        </w:r>
      </w:hyperlink>
      <w:r>
        <w:rPr>
          <w:rFonts w:ascii="Arial" w:cs="Arial" w:eastAsia="Arial" w:hAnsi="Arial"/>
          <w:sz w:val="18"/>
          <w:szCs w:val="18"/>
          <w:color w:val="0000FF"/>
        </w:rPr>
        <w:t>filed.</w:t>
      </w:r>
    </w:p>
    <w:p>
      <w:pPr>
        <w:spacing w:after="0" w:line="143" w:lineRule="exact"/>
        <w:rPr>
          <w:rFonts w:ascii="Arial" w:cs="Arial" w:eastAsia="Arial" w:hAnsi="Arial"/>
          <w:sz w:val="18"/>
          <w:szCs w:val="18"/>
          <w:color w:val="0000FF"/>
        </w:rPr>
      </w:pPr>
    </w:p>
    <w:p>
      <w:pPr>
        <w:ind w:right="180" w:firstLine="8"/>
        <w:spacing w:after="0" w:line="261" w:lineRule="auto"/>
        <w:tabs>
          <w:tab w:leader="none" w:pos="2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Prospectus to be filed on or about November 12, 2021 pursuant to Rule 424(b) under the Securities Act, relating to the Registration Statement on Form S-1, as amended (File No. 333-260297).</w:t>
      </w:r>
    </w:p>
    <w:p>
      <w:pPr>
        <w:spacing w:after="0" w:line="143" w:lineRule="exact"/>
        <w:rPr>
          <w:rFonts w:ascii="Arial" w:cs="Arial" w:eastAsia="Arial" w:hAnsi="Arial"/>
          <w:sz w:val="18"/>
          <w:szCs w:val="18"/>
          <w:color w:val="auto"/>
        </w:rPr>
      </w:pPr>
    </w:p>
    <w:p>
      <w:pPr>
        <w:jc w:val="both"/>
        <w:ind w:right="80" w:firstLine="8"/>
        <w:spacing w:after="0" w:line="261" w:lineRule="auto"/>
        <w:tabs>
          <w:tab w:leader="none" w:pos="260" w:val="left"/>
        </w:tabs>
        <w:numPr>
          <w:ilvl w:val="0"/>
          <w:numId w:val="14"/>
        </w:numPr>
        <w:rPr>
          <w:rFonts w:ascii="Arial" w:cs="Arial" w:eastAsia="Arial" w:hAnsi="Arial"/>
          <w:sz w:val="18"/>
          <w:szCs w:val="18"/>
          <w:color w:val="0000FF"/>
        </w:rPr>
      </w:pPr>
      <w:r>
        <w:rPr>
          <w:rFonts w:ascii="Arial" w:cs="Arial" w:eastAsia="Arial" w:hAnsi="Arial"/>
          <w:sz w:val="18"/>
          <w:szCs w:val="18"/>
          <w:color w:val="auto"/>
        </w:rPr>
        <w:t xml:space="preserve">The description of the Registrant’s Class A common stock which is contained in a registration statement on </w:t>
      </w:r>
      <w:hyperlink r:id="rId21">
        <w:r>
          <w:rPr>
            <w:rFonts w:ascii="Arial" w:cs="Arial" w:eastAsia="Arial" w:hAnsi="Arial"/>
            <w:sz w:val="18"/>
            <w:szCs w:val="18"/>
            <w:u w:val="single" w:color="auto"/>
            <w:color w:val="0000FF"/>
          </w:rPr>
          <w:t>Form 8-A filed on November</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FF"/>
          </w:rPr>
          <w:t>8, 2021 (File No. 001-41043)</w:t>
        </w:r>
        <w:r>
          <w:rPr>
            <w:rFonts w:ascii="Arial" w:cs="Arial" w:eastAsia="Arial" w:hAnsi="Arial"/>
            <w:sz w:val="18"/>
            <w:szCs w:val="18"/>
            <w:color w:val="0000FF"/>
          </w:rPr>
          <w:t xml:space="preserve"> </w:t>
        </w:r>
      </w:hyperlink>
      <w:r>
        <w:rPr>
          <w:rFonts w:ascii="Arial" w:cs="Arial" w:eastAsia="Arial" w:hAnsi="Arial"/>
          <w:sz w:val="18"/>
          <w:szCs w:val="18"/>
          <w:color w:val="000000"/>
        </w:rPr>
        <w:t>under</w:t>
      </w:r>
      <w:r>
        <w:rPr>
          <w:rFonts w:ascii="Arial" w:cs="Arial" w:eastAsia="Arial" w:hAnsi="Arial"/>
          <w:sz w:val="18"/>
          <w:szCs w:val="18"/>
          <w:color w:val="0000FF"/>
        </w:rPr>
        <w:t xml:space="preserve"> </w:t>
      </w:r>
      <w:r>
        <w:rPr>
          <w:rFonts w:ascii="Arial" w:cs="Arial" w:eastAsia="Arial" w:hAnsi="Arial"/>
          <w:sz w:val="18"/>
          <w:szCs w:val="18"/>
          <w:color w:val="000000"/>
        </w:rPr>
        <w:t>the Exchange Act, including any amendment or report filed for the purpose of updating such description.</w:t>
      </w:r>
    </w:p>
    <w:p>
      <w:pPr>
        <w:spacing w:after="0" w:line="144" w:lineRule="exact"/>
        <w:rPr>
          <w:rFonts w:ascii="Arial" w:cs="Arial" w:eastAsia="Arial" w:hAnsi="Arial"/>
          <w:sz w:val="18"/>
          <w:szCs w:val="18"/>
          <w:color w:val="auto"/>
        </w:rPr>
      </w:pPr>
    </w:p>
    <w:p>
      <w:pPr>
        <w:spacing w:after="0" w:line="251" w:lineRule="auto"/>
        <w:rPr>
          <w:sz w:val="20"/>
          <w:szCs w:val="20"/>
          <w:color w:val="auto"/>
        </w:rPr>
      </w:pPr>
      <w:r>
        <w:rPr>
          <w:rFonts w:ascii="Arial" w:cs="Arial" w:eastAsia="Arial" w:hAnsi="Arial"/>
          <w:sz w:val="18"/>
          <w:szCs w:val="18"/>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documents or information deemed to have been furnished and not filed in accordance with the rules of the SEC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3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9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Not applicable.</w:t>
      </w:r>
    </w:p>
    <w:p>
      <w:pPr>
        <w:spacing w:after="0" w:line="14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9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Not applicable.</w:t>
      </w:r>
    </w:p>
    <w:p>
      <w:pPr>
        <w:spacing w:after="0" w:line="14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93" w:lineRule="exact"/>
        <w:rPr>
          <w:rFonts w:ascii="Arial" w:cs="Arial" w:eastAsia="Arial" w:hAnsi="Arial"/>
          <w:sz w:val="18"/>
          <w:szCs w:val="18"/>
          <w:color w:val="auto"/>
        </w:rPr>
      </w:pPr>
    </w:p>
    <w:p>
      <w:pPr>
        <w:ind w:right="240"/>
        <w:spacing w:after="0" w:line="253" w:lineRule="auto"/>
        <w:rPr>
          <w:sz w:val="20"/>
          <w:szCs w:val="20"/>
          <w:color w:val="auto"/>
        </w:rPr>
      </w:pPr>
      <w:r>
        <w:rPr>
          <w:rFonts w:ascii="Arial" w:cs="Arial" w:eastAsia="Arial" w:hAnsi="Arial"/>
          <w:sz w:val="18"/>
          <w:szCs w:val="18"/>
          <w:color w:val="auto"/>
        </w:rPr>
        <w:t>The Registrant expects to adopt an amended and restated certificate of incorporation, which will become effective immediately prior to the completion of the Registrant’s initial public offering and will contain provisions authorized by the General Corporation Law of the State of Delaware (the “</w:t>
      </w:r>
      <w:r>
        <w:rPr>
          <w:rFonts w:ascii="Arial" w:cs="Arial" w:eastAsia="Arial" w:hAnsi="Arial"/>
          <w:sz w:val="18"/>
          <w:szCs w:val="18"/>
          <w:b w:val="1"/>
          <w:bCs w:val="1"/>
          <w:i w:val="1"/>
          <w:iCs w:val="1"/>
          <w:color w:val="auto"/>
        </w:rPr>
        <w:t>Delaware General Corporation Law</w:t>
      </w:r>
      <w:r>
        <w:rPr>
          <w:rFonts w:ascii="Arial" w:cs="Arial" w:eastAsia="Arial" w:hAnsi="Arial"/>
          <w:sz w:val="18"/>
          <w:szCs w:val="18"/>
          <w:color w:val="auto"/>
        </w:rPr>
        <w:t>”) that limit the personal liability of the Registrant’s directors for monetary damages to the fullest extent permitted by Delaware law. Consequently, the Registrant’s directors will not be personally liable to the Registrant or its stockholders for monetary damages for breach of fiduciary duty as directors, except liability for the following:</w:t>
      </w:r>
    </w:p>
    <w:p>
      <w:pPr>
        <w:spacing w:after="0" w:line="15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5"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20"/>
          </w:cols>
          <w:pgMar w:left="320" w:top="1413" w:right="359" w:bottom="1440" w:gutter="0" w:footer="0" w:header="0"/>
        </w:sectPr>
      </w:pPr>
    </w:p>
    <w:bookmarkStart w:id="14" w:name="page15"/>
    <w:bookmarkEnd w:id="14"/>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in violation of Delaware law;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the Registrant’s directors will be further limited to the greatest extent permitted by the Delaware General Corporation Law.</w:t>
      </w:r>
    </w:p>
    <w:p>
      <w:pPr>
        <w:spacing w:after="0" w:line="15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Section 145 of the Delaware General Corporation Law, among other things, grants a Delaware corporation the power to, and authorizes a court to award, indemnification and advancement of expenses to officers, directors, and other corporate agents.</w:t>
      </w:r>
    </w:p>
    <w:p>
      <w:pPr>
        <w:spacing w:after="0" w:line="14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Registrant expects to adopt amended and restated bylaws, which will become effective immediately prior to the completion of the Registrant’s initial public offering and will provide that the Registrant will indemnify, to the fullest extent permitted by law, any person who is or was a party or is threatened to be made a party to any action, suit, or proceeding by reason of the fact that he or she is or was one of the Registrant’s directors or officers or is or was serving at the Registrant’s request as a director or officer of another corporation, partnership, joint venture, trust, or other enterprise. The Registrant’s amended and restated bylaws are expected to provide that the Registrant may indemnify to the fullest extent permitted by law any person who is or was a party or is threatened to be made a party to any action, suit, or proceeding by reason of the fact that he or she is or was one of the Registrant’s employees or agents or is or was serving at the Registrant’s request as an employee or agent of another corporation, partnership, joint venture, trust, or other enterprise. The Registrant’s amended and restated bylaws will also provide that the Registrant must advance expenses incurred by or on behalf of a director or officer in advance of the final disposition of any action or proceeding, subject to very limited exceptions.</w:t>
      </w:r>
    </w:p>
    <w:p>
      <w:pPr>
        <w:spacing w:after="0" w:line="15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the Delaware General Corporation Law provides that to the extent a present or former director or officer of the corporation has been successful on the merits or otherwise in defense of any generally indemnifiable action, suit, or proceeding, that such person will be indemnified by the corporation against expenses (including attorneys’ fees) actually and reasonably incurred by such person in connection with such action, suit, or proceeding. For any acts or omissions occurring after December 31, 2020, the officers referenced in the immediately preceding sentence could be more limited as a matter of Delaware law.</w:t>
      </w:r>
    </w:p>
    <w:p>
      <w:pPr>
        <w:spacing w:after="0" w:line="1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Further, the Registrant has entered into or intends to enter into indemnification agreements with each of the Registrant’s directors, executive officers, and certain other employees. Subject to certain limitations, these indemnification agreements will require the Registrant, among other things, to indemnify such directors and executive officers for certain expenses and against certain liabilities including, among other things, attorneys’ fees, judgments, fines, and settlement amounts actually and reasonably paid or incurred by such director or officer in any action, suit, or proceeding arising out of their services as a director or officer or any other company or enterprise to which the person provides services at the Registrant’s request. Subject to certain exceptions, these indemnification agreements will also require the Registrant to advance certain expenses (including attorneys’ fees and disbursements) actually and reasonably paid or incurred by these persons in advance of the final disposition of the action, suit, or proceeding. The Registrant believes that these indemnification agreements are necessary to attract and retain qualified individuals to serve as directors and executive officers.</w:t>
      </w:r>
    </w:p>
    <w:p>
      <w:pPr>
        <w:spacing w:after="0" w:line="15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limitation of liability and indemnification provisions that are expected to be included, or are included, in the Registrant’s amended and restated certificate of incorporation, amended and restated bylaws, and in indemnification agreements that the Registrant enters into with its directors and executive officers may discourage stockholders from bringing a lawsuit against the Registrant’s directors and executive officers for breach of their fiduciary duties. They may also reduce the likelihood of derivative litigation against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35" w:right="339" w:bottom="1440" w:gutter="0" w:footer="0" w:header="0"/>
        </w:sectPr>
      </w:pPr>
    </w:p>
    <w:bookmarkStart w:id="15" w:name="page16"/>
    <w:bookmarkEnd w:id="15"/>
    <w:p>
      <w:pPr>
        <w:ind w:right="180"/>
        <w:spacing w:after="0" w:line="252" w:lineRule="auto"/>
        <w:rPr>
          <w:sz w:val="20"/>
          <w:szCs w:val="20"/>
          <w:color w:val="auto"/>
        </w:rPr>
      </w:pPr>
      <w:r>
        <w:rPr>
          <w:rFonts w:ascii="Arial" w:cs="Arial" w:eastAsia="Arial" w:hAnsi="Arial"/>
          <w:sz w:val="18"/>
          <w:szCs w:val="18"/>
          <w:color w:val="auto"/>
        </w:rPr>
        <w:t>Registrant’s directors and executive officers, even though an action, if successful, might benefit the Registrant and other stockholders. Further, a stockholder’s investment may be harmed to the extent that the Registrant pays the costs of settlement and damage awards against directors and executive officers as required by these indemnification provisions. At present, the Registrant is not aware of any pending litigation or proceeding involving any person who is or was one of its directors, officers, employees, or other agents or is or was serving at the Registrant’s request as a director, officer, employee, or agent of another corporation, partnership, joint venture, trust, or other enterprise, for which indemnification is sought, and the Registrant is not aware of any threatened litigation that may result in claims for indemnification.</w:t>
      </w:r>
    </w:p>
    <w:p>
      <w:pPr>
        <w:spacing w:after="0" w:line="153"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The Registrant expects to obtain insurance policies under which, subject to the limitations of the policies, coverage is provided to the Registrant’s directors and executive officers against loss arising from claims made by reason of breach of fiduciary duty or other wrongful acts as a director or executive officer, including claims relating to public securities matters, and to the Registrant with respect to payments that may be made by the Registrant to these directors and executive officers pursuant to the Registrant’s indemnification obligations or otherwise as a matter of law.</w:t>
      </w:r>
    </w:p>
    <w:p>
      <w:pPr>
        <w:spacing w:after="0" w:line="151"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Certain of the Registrant’s non-employee directors may, through their relationships with their employers, be insured and/or indemnified against certain liabilities incurred in their capacity as members of the Registrant’s board of directors.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9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issuance of the Shares being offered by the Form S-3 resale prospectus were deemed to be exempt from registration under the Securities Act in reliance upon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the Registrant.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ectPr>
          <w:pgSz w:w="11900" w:h="16838" w:orient="portrait"/>
          <w:cols w:equalWidth="0" w:num="1">
            <w:col w:w="11220"/>
          </w:cols>
          <w:pgMar w:left="320" w:top="1435" w:right="359" w:bottom="1440" w:gutter="0" w:footer="0" w:header="0"/>
        </w:sectPr>
      </w:pPr>
    </w:p>
    <w:p>
      <w:pPr>
        <w:spacing w:after="0" w:line="225" w:lineRule="exact"/>
        <w:rPr>
          <w:sz w:val="20"/>
          <w:szCs w:val="20"/>
          <w:color w:val="auto"/>
        </w:rPr>
      </w:pPr>
    </w:p>
    <w:p>
      <w:pPr>
        <w:ind w:left="20"/>
        <w:spacing w:after="0" w:line="301" w:lineRule="auto"/>
        <w:rPr>
          <w:sz w:val="20"/>
          <w:szCs w:val="20"/>
          <w:color w:val="auto"/>
        </w:rPr>
      </w:pPr>
      <w:r>
        <w:rPr>
          <w:rFonts w:ascii="Arial" w:cs="Arial" w:eastAsia="Arial" w:hAnsi="Arial"/>
          <w:sz w:val="17"/>
          <w:szCs w:val="17"/>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769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20320</wp:posOffset>
            </wp:positionV>
            <wp:extent cx="63950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79" w:lineRule="exact"/>
        <w:rPr>
          <w:sz w:val="20"/>
          <w:szCs w:val="20"/>
          <w:color w:val="auto"/>
        </w:rPr>
      </w:pPr>
    </w:p>
    <w:p>
      <w:pPr>
        <w:jc w:val="both"/>
        <w:ind w:right="140"/>
        <w:spacing w:after="0" w:line="227" w:lineRule="auto"/>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Amended and Restated Certificate of Incorporation of the Registrant, currently in effect (incorporated by reference to Exhibit</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3.1 to the Registrant’s Registration Statement on Form S-1 (File No. 333-260297), filed on November 1, 2021 with the SEC).</w:t>
        </w:r>
      </w:hyperlink>
    </w:p>
    <w:p>
      <w:pPr>
        <w:spacing w:after="0" w:line="37" w:lineRule="exact"/>
        <w:rPr>
          <w:sz w:val="20"/>
          <w:szCs w:val="20"/>
          <w:color w:val="auto"/>
        </w:rPr>
      </w:pPr>
    </w:p>
    <w:p>
      <w:pPr>
        <w:sectPr>
          <w:pgSz w:w="11900" w:h="16838" w:orient="portrait"/>
          <w:cols w:equalWidth="0" w:num="2">
            <w:col w:w="700" w:space="480"/>
            <w:col w:w="10040"/>
          </w:cols>
          <w:pgMar w:left="320" w:top="1435" w:right="3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160" w:type="dxa"/>
            <w:vAlign w:val="bottom"/>
          </w:tcPr>
          <w:p>
            <w:pPr>
              <w:jc w:val="right"/>
              <w:ind w:right="810"/>
              <w:spacing w:after="0"/>
              <w:rPr>
                <w:sz w:val="20"/>
                <w:szCs w:val="20"/>
                <w:color w:val="auto"/>
              </w:rPr>
            </w:pPr>
            <w:r>
              <w:rPr>
                <w:rFonts w:ascii="Arial" w:cs="Arial" w:eastAsia="Arial" w:hAnsi="Arial"/>
                <w:sz w:val="18"/>
                <w:szCs w:val="18"/>
                <w:color w:val="auto"/>
                <w:w w:val="95"/>
              </w:rPr>
              <w:t>3.2</w:t>
            </w:r>
          </w:p>
        </w:tc>
        <w:tc>
          <w:tcPr>
            <w:tcW w:w="10040" w:type="dxa"/>
            <w:vAlign w:val="bottom"/>
            <w:gridSpan w:val="9"/>
          </w:tcPr>
          <w:p>
            <w:pPr>
              <w:spacing w:after="0"/>
              <w:rPr>
                <w:rFonts w:ascii="Arial" w:cs="Arial" w:eastAsia="Arial" w:hAnsi="Arial"/>
                <w:sz w:val="18"/>
                <w:szCs w:val="18"/>
                <w:color w:val="0000FF"/>
              </w:rPr>
            </w:pPr>
            <w:hyperlink r:id="rId25">
              <w:r>
                <w:rPr>
                  <w:rFonts w:ascii="Arial" w:cs="Arial" w:eastAsia="Arial" w:hAnsi="Arial"/>
                  <w:sz w:val="18"/>
                  <w:szCs w:val="18"/>
                  <w:color w:val="0000FF"/>
                </w:rPr>
                <w:t>Form of Amendment to Amended and Restated Certificate of Incorporation of the Registrant, to be in effect immediately prior</w:t>
              </w:r>
            </w:hyperlink>
          </w:p>
        </w:tc>
      </w:tr>
      <w:tr>
        <w:trPr>
          <w:trHeight w:val="156"/>
        </w:trPr>
        <w:tc>
          <w:tcPr>
            <w:tcW w:w="116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25">
              <w:r>
                <w:rPr>
                  <w:rFonts w:ascii="Arial" w:cs="Arial" w:eastAsia="Arial" w:hAnsi="Arial"/>
                  <w:sz w:val="18"/>
                  <w:szCs w:val="18"/>
                  <w:color w:val="0000FF"/>
                  <w:w w:val="99"/>
                </w:rPr>
                <w:t>to the effectiveness of the Registrant’s Registration Statement on Form S-1 (File No. 333-260297) (incorporated by reference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1160" w:type="dxa"/>
            <w:vAlign w:val="bottom"/>
          </w:tcPr>
          <w:p>
            <w:pPr>
              <w:spacing w:after="0"/>
              <w:rPr>
                <w:sz w:val="13"/>
                <w:szCs w:val="13"/>
                <w:color w:val="auto"/>
              </w:rPr>
            </w:pPr>
          </w:p>
        </w:tc>
        <w:tc>
          <w:tcPr>
            <w:tcW w:w="9960" w:type="dxa"/>
            <w:vAlign w:val="bottom"/>
            <w:gridSpan w:val="8"/>
          </w:tcPr>
          <w:p>
            <w:pPr>
              <w:spacing w:after="0" w:line="156" w:lineRule="exact"/>
              <w:rPr>
                <w:rFonts w:ascii="Arial" w:cs="Arial" w:eastAsia="Arial" w:hAnsi="Arial"/>
                <w:sz w:val="18"/>
                <w:szCs w:val="18"/>
                <w:color w:val="0000FF"/>
              </w:rPr>
            </w:pPr>
            <w:hyperlink r:id="rId25">
              <w:r>
                <w:rPr>
                  <w:rFonts w:ascii="Arial" w:cs="Arial" w:eastAsia="Arial" w:hAnsi="Arial"/>
                  <w:sz w:val="18"/>
                  <w:szCs w:val="18"/>
                  <w:color w:val="0000FF"/>
                </w:rPr>
                <w:t>to Exhibit 3.2 to the Registrant’s Registration Statement on Form S-1 (File No. 333-260297), filed on November 1, 2021 with</w:t>
              </w:r>
            </w:hyperlink>
          </w:p>
        </w:tc>
        <w:tc>
          <w:tcPr>
            <w:tcW w:w="80" w:type="dxa"/>
            <w:vAlign w:val="bottom"/>
          </w:tcPr>
          <w:p>
            <w:pPr>
              <w:spacing w:after="0"/>
              <w:rPr>
                <w:sz w:val="13"/>
                <w:szCs w:val="13"/>
                <w:color w:val="auto"/>
              </w:rPr>
            </w:pPr>
          </w:p>
        </w:tc>
      </w:tr>
      <w:tr>
        <w:trPr>
          <w:trHeight w:val="155"/>
        </w:trPr>
        <w:tc>
          <w:tcPr>
            <w:tcW w:w="1160" w:type="dxa"/>
            <w:vAlign w:val="bottom"/>
          </w:tcPr>
          <w:p>
            <w:pPr>
              <w:spacing w:after="0"/>
              <w:rPr>
                <w:sz w:val="13"/>
                <w:szCs w:val="13"/>
                <w:color w:val="auto"/>
              </w:rPr>
            </w:pPr>
          </w:p>
        </w:tc>
        <w:tc>
          <w:tcPr>
            <w:tcW w:w="986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r:id="rId25">
              <w:r>
                <w:rPr>
                  <w:rFonts w:ascii="Arial" w:cs="Arial" w:eastAsia="Arial" w:hAnsi="Arial"/>
                  <w:sz w:val="18"/>
                  <w:szCs w:val="18"/>
                  <w:color w:val="0000FF"/>
                </w:rPr>
                <w:t>the SEC).</w:t>
              </w:r>
            </w:hyperlink>
          </w:p>
        </w:tc>
        <w:tc>
          <w:tcPr>
            <w:tcW w:w="8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3"/>
        </w:trPr>
        <w:tc>
          <w:tcPr>
            <w:tcW w:w="1160" w:type="dxa"/>
            <w:vAlign w:val="bottom"/>
          </w:tcPr>
          <w:p>
            <w:pPr>
              <w:jc w:val="right"/>
              <w:ind w:right="810"/>
              <w:spacing w:after="0"/>
              <w:rPr>
                <w:sz w:val="20"/>
                <w:szCs w:val="20"/>
                <w:color w:val="auto"/>
              </w:rPr>
            </w:pPr>
            <w:r>
              <w:rPr>
                <w:rFonts w:ascii="Arial" w:cs="Arial" w:eastAsia="Arial" w:hAnsi="Arial"/>
                <w:sz w:val="18"/>
                <w:szCs w:val="18"/>
                <w:color w:val="auto"/>
                <w:w w:val="95"/>
              </w:rPr>
              <w:t>3.3</w:t>
            </w:r>
          </w:p>
        </w:tc>
        <w:tc>
          <w:tcPr>
            <w:tcW w:w="10040" w:type="dxa"/>
            <w:vAlign w:val="bottom"/>
            <w:gridSpan w:val="9"/>
          </w:tcPr>
          <w:p>
            <w:pPr>
              <w:spacing w:after="0"/>
              <w:rPr>
                <w:rFonts w:ascii="Arial" w:cs="Arial" w:eastAsia="Arial" w:hAnsi="Arial"/>
                <w:sz w:val="18"/>
                <w:szCs w:val="18"/>
                <w:color w:val="0000FF"/>
              </w:rPr>
            </w:pPr>
            <w:hyperlink r:id="rId26">
              <w:r>
                <w:rPr>
                  <w:rFonts w:ascii="Arial" w:cs="Arial" w:eastAsia="Arial" w:hAnsi="Arial"/>
                  <w:sz w:val="18"/>
                  <w:szCs w:val="18"/>
                  <w:color w:val="0000FF"/>
                </w:rPr>
                <w:t>Form of Amended and Restated Certificate of Incorporation of the Registrant, to be in effect upon completion of the</w:t>
              </w:r>
            </w:hyperlink>
          </w:p>
        </w:tc>
      </w:tr>
      <w:tr>
        <w:trPr>
          <w:trHeight w:val="156"/>
        </w:trPr>
        <w:tc>
          <w:tcPr>
            <w:tcW w:w="1160" w:type="dxa"/>
            <w:vAlign w:val="bottom"/>
          </w:tcPr>
          <w:p>
            <w:pPr>
              <w:spacing w:after="0"/>
              <w:rPr>
                <w:sz w:val="13"/>
                <w:szCs w:val="13"/>
                <w:color w:val="auto"/>
              </w:rPr>
            </w:pPr>
          </w:p>
        </w:tc>
        <w:tc>
          <w:tcPr>
            <w:tcW w:w="9140" w:type="dxa"/>
            <w:vAlign w:val="bottom"/>
            <w:tcBorders>
              <w:top w:val="single" w:sz="8" w:color="0000FF"/>
            </w:tcBorders>
            <w:gridSpan w:val="4"/>
          </w:tcPr>
          <w:p>
            <w:pPr>
              <w:spacing w:after="0" w:line="157" w:lineRule="exact"/>
              <w:rPr>
                <w:rFonts w:ascii="Arial" w:cs="Arial" w:eastAsia="Arial" w:hAnsi="Arial"/>
                <w:sz w:val="18"/>
                <w:szCs w:val="18"/>
                <w:color w:val="0000FF"/>
                <w:w w:val="98"/>
              </w:rPr>
            </w:pPr>
            <w:hyperlink r:id="rId26">
              <w:r>
                <w:rPr>
                  <w:rFonts w:ascii="Arial" w:cs="Arial" w:eastAsia="Arial" w:hAnsi="Arial"/>
                  <w:sz w:val="18"/>
                  <w:szCs w:val="18"/>
                  <w:color w:val="0000FF"/>
                  <w:w w:val="98"/>
                </w:rPr>
                <w:t>Registrant’s initial public offering (incorporated by reference to Exhibit 3.3 to the Registrant’s Registration Statement</w:t>
              </w:r>
            </w:hyperlink>
          </w:p>
        </w:tc>
        <w:tc>
          <w:tcPr>
            <w:tcW w:w="900" w:type="dxa"/>
            <w:vAlign w:val="bottom"/>
            <w:gridSpan w:val="5"/>
          </w:tcPr>
          <w:p>
            <w:pPr>
              <w:ind w:left="120"/>
              <w:spacing w:after="0" w:line="157" w:lineRule="exact"/>
              <w:rPr>
                <w:rFonts w:ascii="Arial" w:cs="Arial" w:eastAsia="Arial" w:hAnsi="Arial"/>
                <w:sz w:val="18"/>
                <w:szCs w:val="18"/>
                <w:color w:val="0000FF"/>
              </w:rPr>
            </w:pPr>
            <w:hyperlink r:id="rId26">
              <w:r>
                <w:rPr>
                  <w:rFonts w:ascii="Arial" w:cs="Arial" w:eastAsia="Arial" w:hAnsi="Arial"/>
                  <w:sz w:val="18"/>
                  <w:szCs w:val="18"/>
                  <w:color w:val="0000FF"/>
                </w:rPr>
                <w:t>on Form</w:t>
              </w:r>
            </w:hyperlink>
          </w:p>
        </w:tc>
      </w:tr>
      <w:tr>
        <w:trPr>
          <w:trHeight w:val="155"/>
        </w:trPr>
        <w:tc>
          <w:tcPr>
            <w:tcW w:w="1160" w:type="dxa"/>
            <w:vAlign w:val="bottom"/>
          </w:tcPr>
          <w:p>
            <w:pPr>
              <w:spacing w:after="0"/>
              <w:rPr>
                <w:sz w:val="13"/>
                <w:szCs w:val="13"/>
                <w:color w:val="auto"/>
              </w:rPr>
            </w:pPr>
          </w:p>
        </w:tc>
        <w:tc>
          <w:tcPr>
            <w:tcW w:w="55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26">
              <w:r>
                <w:rPr>
                  <w:rFonts w:ascii="Arial" w:cs="Arial" w:eastAsia="Arial" w:hAnsi="Arial"/>
                  <w:sz w:val="18"/>
                  <w:szCs w:val="18"/>
                  <w:color w:val="0000FF"/>
                  <w:w w:val="99"/>
                </w:rPr>
                <w:t>S-1 (File No. 333-260297), filed on November 1, 2021 with the SEC).</w:t>
              </w:r>
            </w:hyperlink>
          </w:p>
        </w:tc>
        <w:tc>
          <w:tcPr>
            <w:tcW w:w="4440" w:type="dxa"/>
            <w:vAlign w:val="bottom"/>
            <w:tcBorders>
              <w:top w:val="single" w:sz="8" w:color="0000FF"/>
            </w:tcBorders>
            <w:gridSpan w:val="5"/>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77"/>
        </w:trPr>
        <w:tc>
          <w:tcPr>
            <w:tcW w:w="1160" w:type="dxa"/>
            <w:vAlign w:val="bottom"/>
          </w:tcPr>
          <w:p>
            <w:pPr>
              <w:jc w:val="right"/>
              <w:ind w:right="810"/>
              <w:spacing w:after="0"/>
              <w:rPr>
                <w:sz w:val="20"/>
                <w:szCs w:val="20"/>
                <w:color w:val="auto"/>
              </w:rPr>
            </w:pPr>
            <w:r>
              <w:rPr>
                <w:rFonts w:ascii="Arial" w:cs="Arial" w:eastAsia="Arial" w:hAnsi="Arial"/>
                <w:sz w:val="18"/>
                <w:szCs w:val="18"/>
                <w:color w:val="auto"/>
                <w:w w:val="95"/>
              </w:rPr>
              <w:t>3.4</w:t>
            </w:r>
          </w:p>
        </w:tc>
        <w:tc>
          <w:tcPr>
            <w:tcW w:w="10040" w:type="dxa"/>
            <w:vAlign w:val="bottom"/>
            <w:tcBorders>
              <w:bottom w:val="single" w:sz="8" w:color="0000FF"/>
            </w:tcBorders>
            <w:gridSpan w:val="9"/>
          </w:tcPr>
          <w:p>
            <w:pPr>
              <w:spacing w:after="0"/>
              <w:rPr>
                <w:rFonts w:ascii="Arial" w:cs="Arial" w:eastAsia="Arial" w:hAnsi="Arial"/>
                <w:sz w:val="18"/>
                <w:szCs w:val="18"/>
                <w:color w:val="0000FF"/>
                <w:w w:val="99"/>
              </w:rPr>
            </w:pPr>
            <w:hyperlink r:id="rId27">
              <w:r>
                <w:rPr>
                  <w:rFonts w:ascii="Arial" w:cs="Arial" w:eastAsia="Arial" w:hAnsi="Arial"/>
                  <w:sz w:val="18"/>
                  <w:szCs w:val="18"/>
                  <w:color w:val="0000FF"/>
                  <w:w w:val="99"/>
                </w:rPr>
                <w:t>Bylaws of the Registrant, currently in effect (incorporated by reference to Exhibit 3.4 to the Registrant’s Registration Statement</w:t>
              </w:r>
            </w:hyperlink>
          </w:p>
        </w:tc>
      </w:tr>
      <w:tr>
        <w:trPr>
          <w:trHeight w:val="183"/>
        </w:trPr>
        <w:tc>
          <w:tcPr>
            <w:tcW w:w="1160" w:type="dxa"/>
            <w:vAlign w:val="bottom"/>
          </w:tcPr>
          <w:p>
            <w:pPr>
              <w:spacing w:after="0"/>
              <w:rPr>
                <w:sz w:val="15"/>
                <w:szCs w:val="15"/>
                <w:color w:val="auto"/>
              </w:rPr>
            </w:pPr>
          </w:p>
        </w:tc>
        <w:tc>
          <w:tcPr>
            <w:tcW w:w="622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27">
              <w:r>
                <w:rPr>
                  <w:rFonts w:ascii="Arial" w:cs="Arial" w:eastAsia="Arial" w:hAnsi="Arial"/>
                  <w:sz w:val="18"/>
                  <w:szCs w:val="18"/>
                  <w:color w:val="0000FF"/>
                  <w:w w:val="99"/>
                </w:rPr>
                <w:t>on Form S-1 (File No. 333-260297), filed on November 1, 2021 with the SEC).</w:t>
              </w:r>
            </w:hyperlink>
          </w:p>
        </w:tc>
        <w:tc>
          <w:tcPr>
            <w:tcW w:w="3820" w:type="dxa"/>
            <w:vAlign w:val="bottom"/>
            <w:gridSpan w:val="6"/>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320" w:top="1435" w:right="359" w:bottom="1440" w:gutter="0" w:footer="0" w:header="0"/>
          <w:type w:val="continuous"/>
        </w:sectPr>
      </w:pPr>
    </w:p>
    <w:bookmarkStart w:id="16" w:name="page17"/>
    <w:bookmarkEnd w:id="16"/>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3.5</w:t>
            </w:r>
          </w:p>
        </w:tc>
        <w:tc>
          <w:tcPr>
            <w:tcW w:w="10040" w:type="dxa"/>
            <w:vAlign w:val="bottom"/>
            <w:gridSpan w:val="31"/>
          </w:tcPr>
          <w:p>
            <w:pPr>
              <w:spacing w:after="0"/>
              <w:rPr>
                <w:rFonts w:ascii="Arial" w:cs="Arial" w:eastAsia="Arial" w:hAnsi="Arial"/>
                <w:sz w:val="18"/>
                <w:szCs w:val="18"/>
                <w:color w:val="0000FF"/>
              </w:rPr>
            </w:pPr>
            <w:hyperlink r:id="rId28">
              <w:r>
                <w:rPr>
                  <w:rFonts w:ascii="Arial" w:cs="Arial" w:eastAsia="Arial" w:hAnsi="Arial"/>
                  <w:sz w:val="18"/>
                  <w:szCs w:val="18"/>
                  <w:color w:val="0000FF"/>
                </w:rPr>
                <w:t>Form of Amended and Restated Bylaws of the Registrant, to be in effect upon the completion of the Registrant’s initial public</w:t>
              </w:r>
            </w:hyperlink>
          </w:p>
        </w:tc>
      </w:tr>
      <w:tr>
        <w:trPr>
          <w:trHeight w:val="196"/>
        </w:trPr>
        <w:tc>
          <w:tcPr>
            <w:tcW w:w="1160" w:type="dxa"/>
            <w:vAlign w:val="bottom"/>
          </w:tcPr>
          <w:p>
            <w:pPr>
              <w:spacing w:after="0"/>
              <w:rPr>
                <w:sz w:val="17"/>
                <w:szCs w:val="17"/>
                <w:color w:val="auto"/>
              </w:rPr>
            </w:pPr>
          </w:p>
        </w:tc>
        <w:tc>
          <w:tcPr>
            <w:tcW w:w="944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9"/>
              </w:rPr>
            </w:pPr>
            <w:hyperlink r:id="rId28">
              <w:r>
                <w:rPr>
                  <w:rFonts w:ascii="Arial" w:cs="Arial" w:eastAsia="Arial" w:hAnsi="Arial"/>
                  <w:sz w:val="18"/>
                  <w:szCs w:val="18"/>
                  <w:color w:val="0000FF"/>
                  <w:w w:val="99"/>
                </w:rPr>
                <w:t>offering (incorporated by reference to Exhibit 3.5 to the Registrant’s Registration Statement on Form S-1 (File No. 333-</w:t>
              </w:r>
            </w:hyperlink>
          </w:p>
        </w:tc>
        <w:tc>
          <w:tcPr>
            <w:tcW w:w="440" w:type="dxa"/>
            <w:vAlign w:val="bottom"/>
            <w:tcBorders>
              <w:top w:val="single" w:sz="8" w:color="0000FF"/>
            </w:tcBorders>
            <w:gridSpan w:val="9"/>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4080" w:type="dxa"/>
            <w:vAlign w:val="bottom"/>
            <w:tcBorders>
              <w:bottom w:val="single" w:sz="8" w:color="0000FF"/>
            </w:tcBorders>
            <w:gridSpan w:val="4"/>
          </w:tcPr>
          <w:p>
            <w:pPr>
              <w:spacing w:after="0" w:line="196" w:lineRule="exact"/>
              <w:rPr>
                <w:rFonts w:ascii="Arial" w:cs="Arial" w:eastAsia="Arial" w:hAnsi="Arial"/>
                <w:sz w:val="18"/>
                <w:szCs w:val="18"/>
                <w:color w:val="0000FF"/>
                <w:w w:val="99"/>
              </w:rPr>
            </w:pPr>
            <w:hyperlink r:id="rId28">
              <w:r>
                <w:rPr>
                  <w:rFonts w:ascii="Arial" w:cs="Arial" w:eastAsia="Arial" w:hAnsi="Arial"/>
                  <w:sz w:val="18"/>
                  <w:szCs w:val="18"/>
                  <w:color w:val="0000FF"/>
                  <w:w w:val="99"/>
                </w:rPr>
                <w:t>260297)</w:t>
              </w:r>
              <w:r>
                <w:rPr>
                  <w:rFonts w:ascii="Arial" w:cs="Arial" w:eastAsia="Arial" w:hAnsi="Arial"/>
                  <w:sz w:val="18"/>
                  <w:szCs w:val="18"/>
                  <w:u w:val="single" w:color="auto"/>
                  <w:color w:val="0000FF"/>
                  <w:w w:val="99"/>
                </w:rPr>
                <w:t>,</w:t>
              </w:r>
              <w:r>
                <w:rPr>
                  <w:rFonts w:ascii="Arial" w:cs="Arial" w:eastAsia="Arial" w:hAnsi="Arial"/>
                  <w:sz w:val="18"/>
                  <w:szCs w:val="18"/>
                  <w:color w:val="0000FF"/>
                  <w:w w:val="99"/>
                </w:rPr>
                <w:t xml:space="preserve"> filed on November 1, 2021 with the SEC).</w:t>
              </w:r>
            </w:hyperlink>
          </w:p>
        </w:tc>
        <w:tc>
          <w:tcPr>
            <w:tcW w:w="5960" w:type="dxa"/>
            <w:vAlign w:val="bottom"/>
            <w:gridSpan w:val="27"/>
          </w:tcPr>
          <w:p>
            <w:pPr>
              <w:spacing w:after="0"/>
              <w:rPr>
                <w:sz w:val="17"/>
                <w:szCs w:val="17"/>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10040" w:type="dxa"/>
            <w:vAlign w:val="bottom"/>
            <w:gridSpan w:val="31"/>
          </w:tcPr>
          <w:p>
            <w:pPr>
              <w:spacing w:after="0"/>
              <w:rPr>
                <w:rFonts w:ascii="Arial" w:cs="Arial" w:eastAsia="Arial" w:hAnsi="Arial"/>
                <w:sz w:val="18"/>
                <w:szCs w:val="18"/>
                <w:color w:val="0000FF"/>
              </w:rPr>
            </w:pPr>
            <w:hyperlink r:id="rId29">
              <w:r>
                <w:rPr>
                  <w:rFonts w:ascii="Arial" w:cs="Arial" w:eastAsia="Arial" w:hAnsi="Arial"/>
                  <w:sz w:val="18"/>
                  <w:szCs w:val="18"/>
                  <w:color w:val="0000FF"/>
                </w:rPr>
                <w:t>Form of Class A Common Stock Certificate (incorporated by reference to Exhibit 4.1 to the Registrant’s Registration</w:t>
              </w:r>
            </w:hyperlink>
          </w:p>
        </w:tc>
      </w:tr>
      <w:tr>
        <w:trPr>
          <w:trHeight w:val="183"/>
        </w:trPr>
        <w:tc>
          <w:tcPr>
            <w:tcW w:w="1160" w:type="dxa"/>
            <w:vAlign w:val="bottom"/>
          </w:tcPr>
          <w:p>
            <w:pPr>
              <w:spacing w:after="0"/>
              <w:rPr>
                <w:sz w:val="15"/>
                <w:szCs w:val="15"/>
                <w:color w:val="auto"/>
              </w:rPr>
            </w:pPr>
          </w:p>
        </w:tc>
        <w:tc>
          <w:tcPr>
            <w:tcW w:w="918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9">
              <w:r>
                <w:rPr>
                  <w:rFonts w:ascii="Arial" w:cs="Arial" w:eastAsia="Arial" w:hAnsi="Arial"/>
                  <w:sz w:val="18"/>
                  <w:szCs w:val="18"/>
                  <w:color w:val="0000FF"/>
                </w:rPr>
                <w:t>Statement on Form S-1 (File No. 333-260297), filed on November 1, 2021 with the SEC).</w:t>
              </w:r>
            </w:hyperlink>
          </w:p>
        </w:tc>
        <w:tc>
          <w:tcPr>
            <w:tcW w:w="860" w:type="dxa"/>
            <w:vAlign w:val="bottom"/>
            <w:gridSpan w:val="17"/>
          </w:tcPr>
          <w:p>
            <w:pPr>
              <w:spacing w:after="0"/>
              <w:rPr>
                <w:sz w:val="15"/>
                <w:szCs w:val="15"/>
                <w:color w:val="auto"/>
              </w:rPr>
            </w:pPr>
          </w:p>
        </w:tc>
      </w:tr>
      <w:tr>
        <w:trPr>
          <w:trHeight w:val="277"/>
        </w:trPr>
        <w:tc>
          <w:tcPr>
            <w:tcW w:w="1160" w:type="dxa"/>
            <w:vAlign w:val="bottom"/>
          </w:tcPr>
          <w:p>
            <w:pPr>
              <w:spacing w:after="0"/>
              <w:rPr>
                <w:sz w:val="20"/>
                <w:szCs w:val="20"/>
                <w:color w:val="auto"/>
              </w:rPr>
            </w:pPr>
            <w:r>
              <w:rPr>
                <w:rFonts w:ascii="Arial" w:cs="Arial" w:eastAsia="Arial" w:hAnsi="Arial"/>
                <w:sz w:val="18"/>
                <w:szCs w:val="18"/>
                <w:color w:val="auto"/>
              </w:rPr>
              <w:t>5.1*</w:t>
            </w:r>
          </w:p>
        </w:tc>
        <w:tc>
          <w:tcPr>
            <w:tcW w:w="7080" w:type="dxa"/>
            <w:vAlign w:val="bottom"/>
            <w:tcBorders>
              <w:top w:val="single" w:sz="8" w:color="0000FF"/>
            </w:tcBorders>
            <w:gridSpan w:val="10"/>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Opinion of Latham &amp; Watkins LLP.</w:t>
              </w:r>
            </w:hyperlink>
          </w:p>
        </w:tc>
        <w:tc>
          <w:tcPr>
            <w:tcW w:w="2960" w:type="dxa"/>
            <w:vAlign w:val="bottom"/>
            <w:gridSpan w:val="21"/>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60" w:type="dxa"/>
            <w:vAlign w:val="bottom"/>
          </w:tcPr>
          <w:p>
            <w:pPr>
              <w:spacing w:after="0"/>
              <w:rPr>
                <w:sz w:val="20"/>
                <w:szCs w:val="20"/>
                <w:color w:val="auto"/>
              </w:rPr>
            </w:pPr>
            <w:r>
              <w:rPr>
                <w:rFonts w:ascii="Arial" w:cs="Arial" w:eastAsia="Arial" w:hAnsi="Arial"/>
                <w:sz w:val="18"/>
                <w:szCs w:val="18"/>
                <w:color w:val="auto"/>
              </w:rPr>
              <w:t>23.1*</w:t>
            </w:r>
          </w:p>
        </w:tc>
        <w:tc>
          <w:tcPr>
            <w:tcW w:w="6200" w:type="dxa"/>
            <w:vAlign w:val="bottom"/>
            <w:tcBorders>
              <w:bottom w:val="single" w:sz="8" w:color="0000FF"/>
            </w:tcBorders>
            <w:gridSpan w:val="9"/>
          </w:tcPr>
          <w:p>
            <w:pPr>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Consent of Ernst &amp; Young LLP, independent registered public accounting firm.</w:t>
              </w:r>
            </w:hyperlink>
          </w:p>
        </w:tc>
        <w:tc>
          <w:tcPr>
            <w:tcW w:w="3840" w:type="dxa"/>
            <w:vAlign w:val="bottom"/>
            <w:gridSpan w:val="22"/>
          </w:tcPr>
          <w:p>
            <w:pPr>
              <w:spacing w:after="0"/>
              <w:rPr>
                <w:sz w:val="22"/>
                <w:szCs w:val="22"/>
                <w:color w:val="auto"/>
              </w:rPr>
            </w:pPr>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23.2*</w:t>
            </w:r>
          </w:p>
        </w:tc>
        <w:tc>
          <w:tcPr>
            <w:tcW w:w="10040" w:type="dxa"/>
            <w:vAlign w:val="bottom"/>
            <w:gridSpan w:val="31"/>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Consent of Latham &amp; Watkins LLP (included in Exhibit 5.1).</w:t>
              </w:r>
            </w:hyperlink>
          </w:p>
        </w:tc>
      </w:tr>
      <w:tr>
        <w:trPr>
          <w:trHeight w:val="263"/>
        </w:trPr>
        <w:tc>
          <w:tcPr>
            <w:tcW w:w="1160" w:type="dxa"/>
            <w:vAlign w:val="bottom"/>
          </w:tcPr>
          <w:p>
            <w:pPr>
              <w:spacing w:after="0"/>
              <w:rPr>
                <w:sz w:val="20"/>
                <w:szCs w:val="20"/>
                <w:color w:val="auto"/>
              </w:rPr>
            </w:pPr>
            <w:r>
              <w:rPr>
                <w:rFonts w:ascii="Arial" w:cs="Arial" w:eastAsia="Arial" w:hAnsi="Arial"/>
                <w:sz w:val="18"/>
                <w:szCs w:val="18"/>
                <w:color w:val="auto"/>
              </w:rPr>
              <w:t>24.1*</w:t>
            </w:r>
          </w:p>
        </w:tc>
        <w:tc>
          <w:tcPr>
            <w:tcW w:w="4720" w:type="dxa"/>
            <w:vAlign w:val="bottom"/>
            <w:tcBorders>
              <w:top w:val="single" w:sz="8" w:color="0000FF"/>
            </w:tcBorders>
            <w:gridSpan w:val="6"/>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Power of Attorney (included on the signature page hereto)</w:t>
              </w:r>
            </w:hyperlink>
            <w:r>
              <w:rPr>
                <w:rFonts w:ascii="Arial" w:cs="Arial" w:eastAsia="Arial" w:hAnsi="Arial"/>
                <w:sz w:val="18"/>
                <w:szCs w:val="18"/>
                <w:color w:val="000000"/>
              </w:rPr>
              <w:t>.</w:t>
            </w:r>
          </w:p>
        </w:tc>
        <w:tc>
          <w:tcPr>
            <w:tcW w:w="5320" w:type="dxa"/>
            <w:vAlign w:val="bottom"/>
            <w:gridSpan w:val="25"/>
          </w:tcPr>
          <w:p>
            <w:pPr>
              <w:spacing w:after="0"/>
              <w:rPr>
                <w:sz w:val="22"/>
                <w:szCs w:val="22"/>
                <w:color w:val="auto"/>
              </w:rPr>
            </w:pPr>
          </w:p>
        </w:tc>
      </w:tr>
      <w:tr>
        <w:trPr>
          <w:trHeight w:val="20"/>
        </w:trPr>
        <w:tc>
          <w:tcPr>
            <w:tcW w:w="1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040" w:type="dxa"/>
            <w:vAlign w:val="bottom"/>
            <w:gridSpan w:val="31"/>
          </w:tcPr>
          <w:p>
            <w:pPr>
              <w:spacing w:after="0"/>
              <w:rPr>
                <w:rFonts w:ascii="Arial" w:cs="Arial" w:eastAsia="Arial" w:hAnsi="Arial"/>
                <w:sz w:val="18"/>
                <w:szCs w:val="18"/>
                <w:color w:val="0000FF"/>
              </w:rPr>
            </w:pPr>
            <w:hyperlink r:id="rId30">
              <w:r>
                <w:rPr>
                  <w:rFonts w:ascii="Arial" w:cs="Arial" w:eastAsia="Arial" w:hAnsi="Arial"/>
                  <w:sz w:val="18"/>
                  <w:szCs w:val="18"/>
                  <w:color w:val="0000FF"/>
                </w:rPr>
                <w:t>Expensify, Inc. 2009 Stock Plan (incorporated by reference to Exhibit 10.6 to the Registrant’s Registration Statement on Form</w:t>
              </w:r>
            </w:hyperlink>
          </w:p>
        </w:tc>
      </w:tr>
      <w:tr>
        <w:trPr>
          <w:trHeight w:val="156"/>
        </w:trPr>
        <w:tc>
          <w:tcPr>
            <w:tcW w:w="1160" w:type="dxa"/>
            <w:vAlign w:val="bottom"/>
          </w:tcPr>
          <w:p>
            <w:pPr>
              <w:spacing w:after="0"/>
              <w:rPr>
                <w:sz w:val="13"/>
                <w:szCs w:val="13"/>
                <w:color w:val="auto"/>
              </w:rPr>
            </w:pPr>
          </w:p>
        </w:tc>
        <w:tc>
          <w:tcPr>
            <w:tcW w:w="55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rPr>
            </w:pPr>
            <w:hyperlink r:id="rId30">
              <w:r>
                <w:rPr>
                  <w:rFonts w:ascii="Arial" w:cs="Arial" w:eastAsia="Arial" w:hAnsi="Arial"/>
                  <w:sz w:val="18"/>
                  <w:szCs w:val="18"/>
                  <w:color w:val="0000FF"/>
                </w:rPr>
                <w:t>S-1 (File No. 333-260297), filed on November 1, 2021 with the SEC).</w:t>
              </w:r>
            </w:hyperlink>
          </w:p>
        </w:tc>
        <w:tc>
          <w:tcPr>
            <w:tcW w:w="4460" w:type="dxa"/>
            <w:vAlign w:val="bottom"/>
            <w:tcBorders>
              <w:top w:val="single" w:sz="8" w:color="0000FF"/>
            </w:tcBorders>
            <w:gridSpan w:val="21"/>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160" w:type="dxa"/>
            <w:vAlign w:val="bottom"/>
          </w:tcPr>
          <w:p>
            <w:pPr>
              <w:spacing w:after="0"/>
              <w:rPr>
                <w:sz w:val="20"/>
                <w:szCs w:val="20"/>
                <w:color w:val="auto"/>
              </w:rPr>
            </w:pPr>
            <w:r>
              <w:rPr>
                <w:rFonts w:ascii="Arial" w:cs="Arial" w:eastAsia="Arial" w:hAnsi="Arial"/>
                <w:sz w:val="18"/>
                <w:szCs w:val="18"/>
                <w:color w:val="auto"/>
              </w:rPr>
              <w:t>99.2</w:t>
            </w:r>
          </w:p>
        </w:tc>
        <w:tc>
          <w:tcPr>
            <w:tcW w:w="10040" w:type="dxa"/>
            <w:vAlign w:val="bottom"/>
            <w:gridSpan w:val="31"/>
          </w:tcPr>
          <w:p>
            <w:pPr>
              <w:spacing w:after="0"/>
              <w:rPr>
                <w:rFonts w:ascii="Arial" w:cs="Arial" w:eastAsia="Arial" w:hAnsi="Arial"/>
                <w:sz w:val="18"/>
                <w:szCs w:val="18"/>
                <w:color w:val="0000FF"/>
                <w:w w:val="99"/>
              </w:rPr>
            </w:pPr>
            <w:hyperlink r:id="rId31">
              <w:r>
                <w:rPr>
                  <w:rFonts w:ascii="Arial" w:cs="Arial" w:eastAsia="Arial" w:hAnsi="Arial"/>
                  <w:sz w:val="18"/>
                  <w:szCs w:val="18"/>
                  <w:color w:val="0000FF"/>
                  <w:w w:val="99"/>
                </w:rPr>
                <w:t>Expensify, Inc. 2009 Stock Plan – Form of Notice of Stock Option Grant (EMI) (incorporated by reference to Exhibit 10.7 to the</w:t>
              </w:r>
            </w:hyperlink>
          </w:p>
        </w:tc>
      </w:tr>
      <w:tr>
        <w:trPr>
          <w:trHeight w:val="156"/>
        </w:trPr>
        <w:tc>
          <w:tcPr>
            <w:tcW w:w="1160" w:type="dxa"/>
            <w:vAlign w:val="bottom"/>
          </w:tcPr>
          <w:p>
            <w:pPr>
              <w:spacing w:after="0"/>
              <w:rPr>
                <w:sz w:val="13"/>
                <w:szCs w:val="13"/>
                <w:color w:val="auto"/>
              </w:rPr>
            </w:pPr>
          </w:p>
        </w:tc>
        <w:tc>
          <w:tcPr>
            <w:tcW w:w="91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9"/>
              </w:rPr>
            </w:pPr>
            <w:hyperlink r:id="rId31">
              <w:r>
                <w:rPr>
                  <w:rFonts w:ascii="Arial" w:cs="Arial" w:eastAsia="Arial" w:hAnsi="Arial"/>
                  <w:sz w:val="18"/>
                  <w:szCs w:val="18"/>
                  <w:color w:val="0000FF"/>
                  <w:w w:val="99"/>
                </w:rPr>
                <w:t>Registrant’s Registration Statement on Form S-1 (File No. 333-260297), filed on November 1, 2021 with the SEC).</w:t>
              </w:r>
            </w:hyperlink>
          </w:p>
        </w:tc>
        <w:tc>
          <w:tcPr>
            <w:tcW w:w="92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99.3</w:t>
            </w:r>
          </w:p>
        </w:tc>
        <w:tc>
          <w:tcPr>
            <w:tcW w:w="10040" w:type="dxa"/>
            <w:vAlign w:val="bottom"/>
            <w:gridSpan w:val="31"/>
          </w:tcPr>
          <w:p>
            <w:pPr>
              <w:spacing w:after="0"/>
              <w:rPr>
                <w:rFonts w:ascii="Arial" w:cs="Arial" w:eastAsia="Arial" w:hAnsi="Arial"/>
                <w:sz w:val="18"/>
                <w:szCs w:val="18"/>
                <w:color w:val="0000FF"/>
              </w:rPr>
            </w:pPr>
            <w:hyperlink r:id="rId32">
              <w:r>
                <w:rPr>
                  <w:rFonts w:ascii="Arial" w:cs="Arial" w:eastAsia="Arial" w:hAnsi="Arial"/>
                  <w:sz w:val="18"/>
                  <w:szCs w:val="18"/>
                  <w:color w:val="0000FF"/>
                </w:rPr>
                <w:t>Expensify, Inc. 2009 Stock Plan – Form of Option Agreement (incorporated by reference to Exhibit 10.8 to the Registrant’s</w:t>
              </w:r>
            </w:hyperlink>
          </w:p>
        </w:tc>
      </w:tr>
      <w:tr>
        <w:trPr>
          <w:trHeight w:val="155"/>
        </w:trPr>
        <w:tc>
          <w:tcPr>
            <w:tcW w:w="1160" w:type="dxa"/>
            <w:vAlign w:val="bottom"/>
          </w:tcPr>
          <w:p>
            <w:pPr>
              <w:spacing w:after="0"/>
              <w:rPr>
                <w:sz w:val="13"/>
                <w:szCs w:val="13"/>
                <w:color w:val="auto"/>
              </w:rPr>
            </w:pPr>
          </w:p>
        </w:tc>
        <w:tc>
          <w:tcPr>
            <w:tcW w:w="81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r:id="rId32">
              <w:r>
                <w:rPr>
                  <w:rFonts w:ascii="Arial" w:cs="Arial" w:eastAsia="Arial" w:hAnsi="Arial"/>
                  <w:sz w:val="18"/>
                  <w:szCs w:val="18"/>
                  <w:color w:val="0000FF"/>
                  <w:w w:val="99"/>
                </w:rPr>
                <w:t>Registration Statement on Form S-1 (File No. 333-260297), filed on November 1, 2021 with the SEC).</w:t>
              </w:r>
            </w:hyperlink>
          </w:p>
        </w:tc>
        <w:tc>
          <w:tcPr>
            <w:tcW w:w="160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99.4</w:t>
            </w:r>
          </w:p>
        </w:tc>
        <w:tc>
          <w:tcPr>
            <w:tcW w:w="10040" w:type="dxa"/>
            <w:vAlign w:val="bottom"/>
            <w:gridSpan w:val="31"/>
          </w:tcPr>
          <w:p>
            <w:pPr>
              <w:spacing w:after="0"/>
              <w:rPr>
                <w:rFonts w:ascii="Arial" w:cs="Arial" w:eastAsia="Arial" w:hAnsi="Arial"/>
                <w:sz w:val="18"/>
                <w:szCs w:val="18"/>
                <w:color w:val="0000FF"/>
              </w:rPr>
            </w:pPr>
            <w:hyperlink r:id="rId33">
              <w:r>
                <w:rPr>
                  <w:rFonts w:ascii="Arial" w:cs="Arial" w:eastAsia="Arial" w:hAnsi="Arial"/>
                  <w:sz w:val="18"/>
                  <w:szCs w:val="18"/>
                  <w:color w:val="0000FF"/>
                </w:rPr>
                <w:t>Expensify, Inc. 2019 Stock Plan (incorporated by reference to Exhibit 10.9 to the Registrant’s Registration Statement on Form</w:t>
              </w:r>
            </w:hyperlink>
          </w:p>
        </w:tc>
      </w:tr>
      <w:tr>
        <w:trPr>
          <w:trHeight w:val="156"/>
        </w:trPr>
        <w:tc>
          <w:tcPr>
            <w:tcW w:w="1160" w:type="dxa"/>
            <w:vAlign w:val="bottom"/>
          </w:tcPr>
          <w:p>
            <w:pPr>
              <w:spacing w:after="0"/>
              <w:rPr>
                <w:sz w:val="13"/>
                <w:szCs w:val="13"/>
                <w:color w:val="auto"/>
              </w:rPr>
            </w:pPr>
          </w:p>
        </w:tc>
        <w:tc>
          <w:tcPr>
            <w:tcW w:w="55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33">
              <w:r>
                <w:rPr>
                  <w:rFonts w:ascii="Arial" w:cs="Arial" w:eastAsia="Arial" w:hAnsi="Arial"/>
                  <w:sz w:val="18"/>
                  <w:szCs w:val="18"/>
                  <w:color w:val="0000FF"/>
                  <w:w w:val="99"/>
                </w:rPr>
                <w:t>S-1 (File No. 333-260297), filed on November 1, 2021 with the SEC).</w:t>
              </w:r>
            </w:hyperlink>
          </w:p>
        </w:tc>
        <w:tc>
          <w:tcPr>
            <w:tcW w:w="4480" w:type="dxa"/>
            <w:vAlign w:val="bottom"/>
            <w:tcBorders>
              <w:top w:val="single" w:sz="8" w:color="0000FF"/>
            </w:tcBorders>
            <w:gridSpan w:val="2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63"/>
        </w:trPr>
        <w:tc>
          <w:tcPr>
            <w:tcW w:w="1160" w:type="dxa"/>
            <w:vAlign w:val="bottom"/>
          </w:tcPr>
          <w:p>
            <w:pPr>
              <w:spacing w:after="0"/>
              <w:rPr>
                <w:sz w:val="20"/>
                <w:szCs w:val="20"/>
                <w:color w:val="auto"/>
              </w:rPr>
            </w:pPr>
            <w:r>
              <w:rPr>
                <w:rFonts w:ascii="Arial" w:cs="Arial" w:eastAsia="Arial" w:hAnsi="Arial"/>
                <w:sz w:val="18"/>
                <w:szCs w:val="18"/>
                <w:color w:val="auto"/>
              </w:rPr>
              <w:t>99.5</w:t>
            </w:r>
          </w:p>
        </w:tc>
        <w:tc>
          <w:tcPr>
            <w:tcW w:w="10040" w:type="dxa"/>
            <w:vAlign w:val="bottom"/>
            <w:gridSpan w:val="31"/>
          </w:tcPr>
          <w:p>
            <w:pPr>
              <w:spacing w:after="0"/>
              <w:rPr>
                <w:rFonts w:ascii="Arial" w:cs="Arial" w:eastAsia="Arial" w:hAnsi="Arial"/>
                <w:sz w:val="18"/>
                <w:szCs w:val="18"/>
                <w:color w:val="0000FF"/>
              </w:rPr>
            </w:pPr>
            <w:hyperlink r:id="rId34">
              <w:r>
                <w:rPr>
                  <w:rFonts w:ascii="Arial" w:cs="Arial" w:eastAsia="Arial" w:hAnsi="Arial"/>
                  <w:sz w:val="18"/>
                  <w:szCs w:val="18"/>
                  <w:color w:val="0000FF"/>
                </w:rPr>
                <w:t>Expensify, Inc. 2019 Stock Plan – Form of Early Exercise Notice and Restricted Stock Purchase Agreement (incorporated by</w:t>
              </w:r>
            </w:hyperlink>
          </w:p>
        </w:tc>
      </w:tr>
      <w:tr>
        <w:trPr>
          <w:trHeight w:val="156"/>
        </w:trPr>
        <w:tc>
          <w:tcPr>
            <w:tcW w:w="1160" w:type="dxa"/>
            <w:vAlign w:val="bottom"/>
          </w:tcPr>
          <w:p>
            <w:pPr>
              <w:spacing w:after="0"/>
              <w:rPr>
                <w:sz w:val="13"/>
                <w:szCs w:val="13"/>
                <w:color w:val="auto"/>
              </w:rPr>
            </w:pPr>
          </w:p>
        </w:tc>
        <w:tc>
          <w:tcPr>
            <w:tcW w:w="99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34">
              <w:r>
                <w:rPr>
                  <w:rFonts w:ascii="Arial" w:cs="Arial" w:eastAsia="Arial" w:hAnsi="Arial"/>
                  <w:sz w:val="18"/>
                  <w:szCs w:val="18"/>
                  <w:color w:val="0000FF"/>
                </w:rPr>
                <w:t>reference to Exhibit 10.10 to the Registrant’s Registration Statement on Form S-1 (File No. 333-260297), filed on November</w:t>
              </w:r>
            </w:hyperlink>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98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34">
              <w:r>
                <w:rPr>
                  <w:rFonts w:ascii="Arial" w:cs="Arial" w:eastAsia="Arial" w:hAnsi="Arial"/>
                  <w:sz w:val="18"/>
                  <w:szCs w:val="18"/>
                  <w:color w:val="0000FF"/>
                </w:rPr>
                <w:t>1, 2021 with the SEC).</w:t>
              </w:r>
            </w:hyperlink>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99.6</w:t>
            </w:r>
          </w:p>
        </w:tc>
        <w:tc>
          <w:tcPr>
            <w:tcW w:w="10040" w:type="dxa"/>
            <w:vAlign w:val="bottom"/>
            <w:gridSpan w:val="31"/>
          </w:tcPr>
          <w:p>
            <w:pPr>
              <w:spacing w:after="0"/>
              <w:rPr>
                <w:rFonts w:ascii="Arial" w:cs="Arial" w:eastAsia="Arial" w:hAnsi="Arial"/>
                <w:sz w:val="18"/>
                <w:szCs w:val="18"/>
                <w:color w:val="0000FF"/>
              </w:rPr>
            </w:pPr>
            <w:hyperlink r:id="rId35">
              <w:r>
                <w:rPr>
                  <w:rFonts w:ascii="Arial" w:cs="Arial" w:eastAsia="Arial" w:hAnsi="Arial"/>
                  <w:sz w:val="18"/>
                  <w:szCs w:val="18"/>
                  <w:color w:val="0000FF"/>
                </w:rPr>
                <w:t>Expensify, Inc. 2019 Stock Plan – Form of Exercise Agreement (EMI) (incorporated by reference to Exhibit 10.11 to the</w:t>
              </w:r>
            </w:hyperlink>
          </w:p>
        </w:tc>
      </w:tr>
      <w:tr>
        <w:trPr>
          <w:trHeight w:val="155"/>
        </w:trPr>
        <w:tc>
          <w:tcPr>
            <w:tcW w:w="1160" w:type="dxa"/>
            <w:vAlign w:val="bottom"/>
          </w:tcPr>
          <w:p>
            <w:pPr>
              <w:spacing w:after="0"/>
              <w:rPr>
                <w:sz w:val="13"/>
                <w:szCs w:val="13"/>
                <w:color w:val="auto"/>
              </w:rPr>
            </w:pPr>
          </w:p>
        </w:tc>
        <w:tc>
          <w:tcPr>
            <w:tcW w:w="94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35">
              <w:r>
                <w:rPr>
                  <w:rFonts w:ascii="Arial" w:cs="Arial" w:eastAsia="Arial" w:hAnsi="Arial"/>
                  <w:sz w:val="18"/>
                  <w:szCs w:val="18"/>
                  <w:color w:val="0000FF"/>
                </w:rPr>
                <w:t>Registrant’s Registration Statement on Form S-1 (File No. 333-260297), filed on November 1, 2021 with the SEC)</w:t>
              </w:r>
              <w:r>
                <w:rPr>
                  <w:rFonts w:ascii="Arial" w:cs="Arial" w:eastAsia="Arial" w:hAnsi="Arial"/>
                  <w:sz w:val="18"/>
                  <w:szCs w:val="18"/>
                  <w:color w:val="000000"/>
                </w:rPr>
                <w:t>.</w:t>
              </w:r>
            </w:hyperlink>
          </w:p>
        </w:tc>
        <w:tc>
          <w:tcPr>
            <w:tcW w:w="10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560" w:type="dxa"/>
            <w:vAlign w:val="bottom"/>
            <w:gridSpan w:val="11"/>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99.7</w:t>
            </w:r>
          </w:p>
        </w:tc>
        <w:tc>
          <w:tcPr>
            <w:tcW w:w="10040" w:type="dxa"/>
            <w:vAlign w:val="bottom"/>
            <w:gridSpan w:val="31"/>
          </w:tcPr>
          <w:p>
            <w:pPr>
              <w:spacing w:after="0"/>
              <w:rPr>
                <w:rFonts w:ascii="Arial" w:cs="Arial" w:eastAsia="Arial" w:hAnsi="Arial"/>
                <w:sz w:val="18"/>
                <w:szCs w:val="18"/>
                <w:color w:val="0000FF"/>
              </w:rPr>
            </w:pPr>
            <w:hyperlink r:id="rId36">
              <w:r>
                <w:rPr>
                  <w:rFonts w:ascii="Arial" w:cs="Arial" w:eastAsia="Arial" w:hAnsi="Arial"/>
                  <w:sz w:val="18"/>
                  <w:szCs w:val="18"/>
                  <w:color w:val="0000FF"/>
                </w:rPr>
                <w:t>Expensify, Inc. 2019 Stock Plan – Form of Exercise Agreement (incorporated by reference to Exhibit 10.12 to the Registrant’s</w:t>
              </w:r>
            </w:hyperlink>
          </w:p>
        </w:tc>
      </w:tr>
      <w:tr>
        <w:trPr>
          <w:trHeight w:val="155"/>
        </w:trPr>
        <w:tc>
          <w:tcPr>
            <w:tcW w:w="1160" w:type="dxa"/>
            <w:vAlign w:val="bottom"/>
          </w:tcPr>
          <w:p>
            <w:pPr>
              <w:spacing w:after="0"/>
              <w:rPr>
                <w:sz w:val="13"/>
                <w:szCs w:val="13"/>
                <w:color w:val="auto"/>
              </w:rPr>
            </w:pPr>
          </w:p>
        </w:tc>
        <w:tc>
          <w:tcPr>
            <w:tcW w:w="81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r:id="rId36">
              <w:r>
                <w:rPr>
                  <w:rFonts w:ascii="Arial" w:cs="Arial" w:eastAsia="Arial" w:hAnsi="Arial"/>
                  <w:sz w:val="18"/>
                  <w:szCs w:val="18"/>
                  <w:color w:val="0000FF"/>
                  <w:w w:val="99"/>
                </w:rPr>
                <w:t>Registration Statement on Form S-1 (File No. 333-260297), filed on November 1, 2021 with the SEC).</w:t>
              </w:r>
            </w:hyperlink>
          </w:p>
        </w:tc>
        <w:tc>
          <w:tcPr>
            <w:tcW w:w="1860" w:type="dxa"/>
            <w:vAlign w:val="bottom"/>
            <w:tcBorders>
              <w:top w:val="single" w:sz="8" w:color="0000FF"/>
            </w:tcBorders>
            <w:gridSpan w:val="17"/>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63"/>
        </w:trPr>
        <w:tc>
          <w:tcPr>
            <w:tcW w:w="1160" w:type="dxa"/>
            <w:vAlign w:val="bottom"/>
          </w:tcPr>
          <w:p>
            <w:pPr>
              <w:spacing w:after="0"/>
              <w:rPr>
                <w:sz w:val="20"/>
                <w:szCs w:val="20"/>
                <w:color w:val="auto"/>
              </w:rPr>
            </w:pPr>
            <w:r>
              <w:rPr>
                <w:rFonts w:ascii="Arial" w:cs="Arial" w:eastAsia="Arial" w:hAnsi="Arial"/>
                <w:sz w:val="18"/>
                <w:szCs w:val="18"/>
                <w:color w:val="auto"/>
              </w:rPr>
              <w:t>99.8</w:t>
            </w:r>
          </w:p>
        </w:tc>
        <w:tc>
          <w:tcPr>
            <w:tcW w:w="10040" w:type="dxa"/>
            <w:vAlign w:val="bottom"/>
            <w:gridSpan w:val="31"/>
          </w:tcPr>
          <w:p>
            <w:pPr>
              <w:spacing w:after="0"/>
              <w:rPr>
                <w:rFonts w:ascii="Arial" w:cs="Arial" w:eastAsia="Arial" w:hAnsi="Arial"/>
                <w:sz w:val="18"/>
                <w:szCs w:val="18"/>
                <w:color w:val="0000FF"/>
              </w:rPr>
            </w:pPr>
            <w:hyperlink r:id="rId37">
              <w:r>
                <w:rPr>
                  <w:rFonts w:ascii="Arial" w:cs="Arial" w:eastAsia="Arial" w:hAnsi="Arial"/>
                  <w:sz w:val="18"/>
                  <w:szCs w:val="18"/>
                  <w:color w:val="0000FF"/>
                </w:rPr>
                <w:t>Expensify, Inc. 2019 Stock Plan – Form of Option Agreement (early exercise) (Reg S) (incorporated by reference to Exhibit</w:t>
              </w:r>
            </w:hyperlink>
          </w:p>
        </w:tc>
      </w:tr>
      <w:tr>
        <w:trPr>
          <w:trHeight w:val="155"/>
        </w:trPr>
        <w:tc>
          <w:tcPr>
            <w:tcW w:w="1160" w:type="dxa"/>
            <w:vAlign w:val="bottom"/>
          </w:tcPr>
          <w:p>
            <w:pPr>
              <w:spacing w:after="0"/>
              <w:rPr>
                <w:sz w:val="13"/>
                <w:szCs w:val="13"/>
                <w:color w:val="auto"/>
              </w:rPr>
            </w:pPr>
          </w:p>
        </w:tc>
        <w:tc>
          <w:tcPr>
            <w:tcW w:w="97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37">
              <w:r>
                <w:rPr>
                  <w:rFonts w:ascii="Arial" w:cs="Arial" w:eastAsia="Arial" w:hAnsi="Arial"/>
                  <w:sz w:val="18"/>
                  <w:szCs w:val="18"/>
                  <w:color w:val="0000FF"/>
                </w:rPr>
                <w:t>10.</w:t>
              </w:r>
              <w:r>
                <w:rPr>
                  <w:rFonts w:ascii="Arial" w:cs="Arial" w:eastAsia="Arial" w:hAnsi="Arial"/>
                  <w:sz w:val="18"/>
                  <w:szCs w:val="18"/>
                  <w:u w:val="single" w:color="auto"/>
                  <w:color w:val="0000FF"/>
                </w:rPr>
                <w:t>13</w:t>
              </w:r>
              <w:r>
                <w:rPr>
                  <w:rFonts w:ascii="Arial" w:cs="Arial" w:eastAsia="Arial" w:hAnsi="Arial"/>
                  <w:sz w:val="18"/>
                  <w:szCs w:val="18"/>
                  <w:color w:val="0000FF"/>
                </w:rPr>
                <w:t xml:space="preserve"> to the Registrant’s Registration Statement on Form S-1 (File No. 333-260297), filed on November 1, 2021 with the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95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37">
              <w:r>
                <w:rPr>
                  <w:rFonts w:ascii="Arial" w:cs="Arial" w:eastAsia="Arial" w:hAnsi="Arial"/>
                  <w:sz w:val="18"/>
                  <w:szCs w:val="18"/>
                  <w:color w:val="0000FF"/>
                </w:rPr>
                <w:t>SEC).</w:t>
              </w:r>
            </w:hyperlink>
          </w:p>
        </w:tc>
        <w:tc>
          <w:tcPr>
            <w:tcW w:w="1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92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63"/>
        </w:trPr>
        <w:tc>
          <w:tcPr>
            <w:tcW w:w="1160" w:type="dxa"/>
            <w:vAlign w:val="bottom"/>
          </w:tcPr>
          <w:p>
            <w:pPr>
              <w:spacing w:after="0"/>
              <w:rPr>
                <w:sz w:val="20"/>
                <w:szCs w:val="20"/>
                <w:color w:val="auto"/>
              </w:rPr>
            </w:pPr>
            <w:r>
              <w:rPr>
                <w:rFonts w:ascii="Arial" w:cs="Arial" w:eastAsia="Arial" w:hAnsi="Arial"/>
                <w:sz w:val="18"/>
                <w:szCs w:val="18"/>
                <w:color w:val="auto"/>
              </w:rPr>
              <w:t>99.9</w:t>
            </w:r>
          </w:p>
        </w:tc>
        <w:tc>
          <w:tcPr>
            <w:tcW w:w="10040" w:type="dxa"/>
            <w:vAlign w:val="bottom"/>
            <w:gridSpan w:val="31"/>
          </w:tcPr>
          <w:p>
            <w:pPr>
              <w:spacing w:after="0"/>
              <w:rPr>
                <w:rFonts w:ascii="Arial" w:cs="Arial" w:eastAsia="Arial" w:hAnsi="Arial"/>
                <w:sz w:val="18"/>
                <w:szCs w:val="18"/>
                <w:color w:val="0000FF"/>
              </w:rPr>
            </w:pPr>
            <w:hyperlink r:id="rId38">
              <w:r>
                <w:rPr>
                  <w:rFonts w:ascii="Arial" w:cs="Arial" w:eastAsia="Arial" w:hAnsi="Arial"/>
                  <w:sz w:val="18"/>
                  <w:szCs w:val="18"/>
                  <w:color w:val="0000FF"/>
                </w:rPr>
                <w:t>Expensify, Inc. 2019 Stock Plan – Form of Option Agreement (early exercise) (incorporated by reference to Exhibit 10.14 to</w:t>
              </w:r>
            </w:hyperlink>
          </w:p>
        </w:tc>
      </w:tr>
      <w:tr>
        <w:trPr>
          <w:trHeight w:val="155"/>
        </w:trPr>
        <w:tc>
          <w:tcPr>
            <w:tcW w:w="116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rPr>
            </w:pPr>
            <w:hyperlink r:id="rId38">
              <w:r>
                <w:rPr>
                  <w:rFonts w:ascii="Arial" w:cs="Arial" w:eastAsia="Arial" w:hAnsi="Arial"/>
                  <w:sz w:val="18"/>
                  <w:szCs w:val="18"/>
                  <w:color w:val="0000FF"/>
                </w:rPr>
                <w:t>the Registrant’s Registration Statement on Form S-1 (File No. 333-260297), filed on November 1, 2021 with the SEC).</w:t>
              </w:r>
            </w:hyperlink>
          </w:p>
        </w:tc>
        <w:tc>
          <w:tcPr>
            <w:tcW w:w="36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263"/>
        </w:trPr>
        <w:tc>
          <w:tcPr>
            <w:tcW w:w="1160" w:type="dxa"/>
            <w:vAlign w:val="bottom"/>
          </w:tcPr>
          <w:p>
            <w:pPr>
              <w:spacing w:after="0"/>
              <w:rPr>
                <w:sz w:val="20"/>
                <w:szCs w:val="20"/>
                <w:color w:val="auto"/>
              </w:rPr>
            </w:pPr>
            <w:r>
              <w:rPr>
                <w:rFonts w:ascii="Arial" w:cs="Arial" w:eastAsia="Arial" w:hAnsi="Arial"/>
                <w:sz w:val="18"/>
                <w:szCs w:val="18"/>
                <w:color w:val="auto"/>
              </w:rPr>
              <w:t>99.10</w:t>
            </w:r>
          </w:p>
        </w:tc>
        <w:tc>
          <w:tcPr>
            <w:tcW w:w="10040" w:type="dxa"/>
            <w:vAlign w:val="bottom"/>
            <w:gridSpan w:val="31"/>
          </w:tcPr>
          <w:p>
            <w:pPr>
              <w:spacing w:after="0"/>
              <w:rPr>
                <w:rFonts w:ascii="Arial" w:cs="Arial" w:eastAsia="Arial" w:hAnsi="Arial"/>
                <w:sz w:val="18"/>
                <w:szCs w:val="18"/>
                <w:color w:val="0000FF"/>
              </w:rPr>
            </w:pPr>
            <w:hyperlink r:id="rId39">
              <w:r>
                <w:rPr>
                  <w:rFonts w:ascii="Arial" w:cs="Arial" w:eastAsia="Arial" w:hAnsi="Arial"/>
                  <w:sz w:val="18"/>
                  <w:szCs w:val="18"/>
                  <w:color w:val="0000FF"/>
                </w:rPr>
                <w:t>Expensify, Inc. 2019 Stock Plan – Form of Notice of Stock Option Grant (EMI) (incorporated by reference to Exhibit 10.15 to</w:t>
              </w:r>
            </w:hyperlink>
          </w:p>
        </w:tc>
      </w:tr>
      <w:tr>
        <w:trPr>
          <w:trHeight w:val="156"/>
        </w:trPr>
        <w:tc>
          <w:tcPr>
            <w:tcW w:w="1160" w:type="dxa"/>
            <w:vAlign w:val="bottom"/>
          </w:tcPr>
          <w:p>
            <w:pPr>
              <w:spacing w:after="0"/>
              <w:rPr>
                <w:sz w:val="13"/>
                <w:szCs w:val="13"/>
                <w:color w:val="auto"/>
              </w:rPr>
            </w:pPr>
          </w:p>
        </w:tc>
        <w:tc>
          <w:tcPr>
            <w:tcW w:w="94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9"/>
              </w:rPr>
            </w:pPr>
            <w:hyperlink r:id="rId39">
              <w:r>
                <w:rPr>
                  <w:rFonts w:ascii="Arial" w:cs="Arial" w:eastAsia="Arial" w:hAnsi="Arial"/>
                  <w:sz w:val="18"/>
                  <w:szCs w:val="18"/>
                  <w:color w:val="0000FF"/>
                  <w:w w:val="99"/>
                </w:rPr>
                <w:t>the Registrant’s Registration Statement on Form S-1 (File No. 333-260297), filed on November 1, 2021 with the SEC).</w:t>
              </w:r>
            </w:hyperlink>
          </w:p>
        </w:tc>
        <w:tc>
          <w:tcPr>
            <w:tcW w:w="420" w:type="dxa"/>
            <w:vAlign w:val="bottom"/>
            <w:tcBorders>
              <w:top w:val="single" w:sz="8" w:color="0000FF"/>
            </w:tcBorders>
            <w:gridSpan w:val="9"/>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263"/>
        </w:trPr>
        <w:tc>
          <w:tcPr>
            <w:tcW w:w="1160" w:type="dxa"/>
            <w:vAlign w:val="bottom"/>
          </w:tcPr>
          <w:p>
            <w:pPr>
              <w:spacing w:after="0"/>
              <w:rPr>
                <w:sz w:val="20"/>
                <w:szCs w:val="20"/>
                <w:color w:val="auto"/>
              </w:rPr>
            </w:pPr>
            <w:r>
              <w:rPr>
                <w:rFonts w:ascii="Arial" w:cs="Arial" w:eastAsia="Arial" w:hAnsi="Arial"/>
                <w:sz w:val="18"/>
                <w:szCs w:val="18"/>
                <w:color w:val="auto"/>
              </w:rPr>
              <w:t>99.11</w:t>
            </w:r>
          </w:p>
        </w:tc>
        <w:tc>
          <w:tcPr>
            <w:tcW w:w="10040" w:type="dxa"/>
            <w:vAlign w:val="bottom"/>
            <w:gridSpan w:val="31"/>
          </w:tcPr>
          <w:p>
            <w:pPr>
              <w:spacing w:after="0"/>
              <w:rPr>
                <w:rFonts w:ascii="Arial" w:cs="Arial" w:eastAsia="Arial" w:hAnsi="Arial"/>
                <w:sz w:val="18"/>
                <w:szCs w:val="18"/>
                <w:color w:val="0000FF"/>
              </w:rPr>
            </w:pPr>
            <w:hyperlink r:id="rId40">
              <w:r>
                <w:rPr>
                  <w:rFonts w:ascii="Arial" w:cs="Arial" w:eastAsia="Arial" w:hAnsi="Arial"/>
                  <w:sz w:val="18"/>
                  <w:szCs w:val="18"/>
                  <w:color w:val="0000FF"/>
                </w:rPr>
                <w:t>Expensify, Inc. 2019 Stock Plan – Form of Contingent Exercise Agreement (incorporated by reference to Exhibit 10.16 to the</w:t>
              </w:r>
            </w:hyperlink>
          </w:p>
        </w:tc>
      </w:tr>
      <w:tr>
        <w:trPr>
          <w:trHeight w:val="155"/>
        </w:trPr>
        <w:tc>
          <w:tcPr>
            <w:tcW w:w="1160" w:type="dxa"/>
            <w:vAlign w:val="bottom"/>
          </w:tcPr>
          <w:p>
            <w:pPr>
              <w:spacing w:after="0"/>
              <w:rPr>
                <w:sz w:val="13"/>
                <w:szCs w:val="13"/>
                <w:color w:val="auto"/>
              </w:rPr>
            </w:pPr>
          </w:p>
        </w:tc>
        <w:tc>
          <w:tcPr>
            <w:tcW w:w="91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9"/>
              </w:rPr>
            </w:pPr>
            <w:hyperlink r:id="rId40">
              <w:r>
                <w:rPr>
                  <w:rFonts w:ascii="Arial" w:cs="Arial" w:eastAsia="Arial" w:hAnsi="Arial"/>
                  <w:sz w:val="18"/>
                  <w:szCs w:val="18"/>
                  <w:color w:val="0000FF"/>
                  <w:w w:val="99"/>
                </w:rPr>
                <w:t>Registrant’s Registration Statement on Form S-1 (File No. 333-260297), filed on November 1, 2021 with the SEC).</w:t>
              </w:r>
            </w:hyperlink>
          </w:p>
        </w:tc>
        <w:tc>
          <w:tcPr>
            <w:tcW w:w="780" w:type="dxa"/>
            <w:vAlign w:val="bottom"/>
            <w:tcBorders>
              <w:top w:val="single" w:sz="8" w:color="0000FF"/>
            </w:tcBorders>
            <w:gridSpan w:val="13"/>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263"/>
        </w:trPr>
        <w:tc>
          <w:tcPr>
            <w:tcW w:w="1160" w:type="dxa"/>
            <w:vAlign w:val="bottom"/>
          </w:tcPr>
          <w:p>
            <w:pPr>
              <w:spacing w:after="0"/>
              <w:rPr>
                <w:sz w:val="20"/>
                <w:szCs w:val="20"/>
                <w:color w:val="auto"/>
              </w:rPr>
            </w:pPr>
            <w:r>
              <w:rPr>
                <w:rFonts w:ascii="Arial" w:cs="Arial" w:eastAsia="Arial" w:hAnsi="Arial"/>
                <w:sz w:val="18"/>
                <w:szCs w:val="18"/>
                <w:color w:val="auto"/>
              </w:rPr>
              <w:t>99.12</w:t>
            </w:r>
          </w:p>
        </w:tc>
        <w:tc>
          <w:tcPr>
            <w:tcW w:w="10040" w:type="dxa"/>
            <w:vAlign w:val="bottom"/>
            <w:gridSpan w:val="31"/>
          </w:tcPr>
          <w:p>
            <w:pPr>
              <w:spacing w:after="0"/>
              <w:rPr>
                <w:rFonts w:ascii="Arial" w:cs="Arial" w:eastAsia="Arial" w:hAnsi="Arial"/>
                <w:sz w:val="18"/>
                <w:szCs w:val="18"/>
                <w:color w:val="0000FF"/>
              </w:rPr>
            </w:pPr>
            <w:hyperlink r:id="rId41">
              <w:r>
                <w:rPr>
                  <w:rFonts w:ascii="Arial" w:cs="Arial" w:eastAsia="Arial" w:hAnsi="Arial"/>
                  <w:sz w:val="18"/>
                  <w:szCs w:val="18"/>
                  <w:color w:val="0000FF"/>
                </w:rPr>
                <w:t>Expensify, Inc. 2019 Stock Plan - Form of Restricted Stock Unit Grant Notice (incorporated by reference to Exhibit 10.17 to</w:t>
              </w:r>
            </w:hyperlink>
          </w:p>
        </w:tc>
      </w:tr>
      <w:tr>
        <w:trPr>
          <w:trHeight w:val="156"/>
        </w:trPr>
        <w:tc>
          <w:tcPr>
            <w:tcW w:w="116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rPr>
            </w:pPr>
            <w:hyperlink r:id="rId41">
              <w:r>
                <w:rPr>
                  <w:rFonts w:ascii="Arial" w:cs="Arial" w:eastAsia="Arial" w:hAnsi="Arial"/>
                  <w:sz w:val="18"/>
                  <w:szCs w:val="18"/>
                  <w:color w:val="0000FF"/>
                </w:rPr>
                <w:t>the Registrant’s Registration Statement on Form S-1 (File No. 333-260297), filed on November 1, 2021 with the SEC).</w:t>
              </w:r>
            </w:hyperlink>
          </w:p>
        </w:tc>
        <w:tc>
          <w:tcPr>
            <w:tcW w:w="320" w:type="dxa"/>
            <w:vAlign w:val="bottom"/>
            <w:tcBorders>
              <w:top w:val="single" w:sz="8" w:color="0000FF"/>
            </w:tcBorders>
            <w:gridSpan w:val="5"/>
          </w:tcPr>
          <w:p>
            <w:pPr>
              <w:spacing w:after="0"/>
              <w:rPr>
                <w:sz w:val="13"/>
                <w:szCs w:val="13"/>
                <w:color w:val="auto"/>
              </w:rPr>
            </w:pPr>
          </w:p>
        </w:tc>
        <w:tc>
          <w:tcPr>
            <w:tcW w:w="300" w:type="dxa"/>
            <w:vAlign w:val="bottom"/>
            <w:gridSpan w:val="10"/>
          </w:tcPr>
          <w:p>
            <w:pPr>
              <w:spacing w:after="0"/>
              <w:rPr>
                <w:sz w:val="13"/>
                <w:szCs w:val="13"/>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00"/>
          </w:cols>
          <w:pgMar w:left="320" w:top="1440"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9. UNDERTAKINGS.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1. The undersigned Registrant hereby undertakes:</w:t>
      </w:r>
    </w:p>
    <w:p>
      <w:pPr>
        <w:spacing w:after="0" w:line="171"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1" w:lineRule="exact"/>
        <w:rPr>
          <w:rFonts w:ascii="Arial" w:cs="Arial" w:eastAsia="Arial" w:hAnsi="Arial"/>
          <w:sz w:val="18"/>
          <w:szCs w:val="18"/>
          <w:color w:val="auto"/>
        </w:rPr>
      </w:pPr>
    </w:p>
    <w:p>
      <w:pPr>
        <w:ind w:left="220" w:hanging="212"/>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71" w:lineRule="exact"/>
        <w:rPr>
          <w:sz w:val="20"/>
          <w:szCs w:val="20"/>
          <w:color w:val="auto"/>
        </w:rPr>
      </w:pPr>
    </w:p>
    <w:p>
      <w:pPr>
        <w:ind w:firstLine="8"/>
        <w:spacing w:after="0" w:line="252" w:lineRule="auto"/>
        <w:tabs>
          <w:tab w:leader="none" w:pos="2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52" w:lineRule="exact"/>
        <w:rPr>
          <w:rFonts w:ascii="Arial" w:cs="Arial" w:eastAsia="Arial" w:hAnsi="Arial"/>
          <w:sz w:val="18"/>
          <w:szCs w:val="18"/>
          <w:color w:val="auto"/>
        </w:rPr>
      </w:pPr>
    </w:p>
    <w:p>
      <w:pPr>
        <w:ind w:right="240" w:firstLine="8"/>
        <w:spacing w:after="0" w:line="261" w:lineRule="auto"/>
        <w:tabs>
          <w:tab w:leader="none" w:pos="2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26"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periodic reports filed with or furnished to the SEC by the Registrant pursuant to Section 13 or Section 15(d) of the Exchange Act that are incorporated by reference in this Registration Statement.</w:t>
      </w:r>
    </w:p>
    <w:p>
      <w:pPr>
        <w:spacing w:after="0" w:line="140" w:lineRule="exact"/>
        <w:rPr>
          <w:sz w:val="20"/>
          <w:szCs w:val="20"/>
          <w:color w:val="auto"/>
        </w:rPr>
      </w:pPr>
    </w:p>
    <w:p>
      <w:pPr>
        <w:ind w:right="100" w:firstLine="8"/>
        <w:spacing w:after="0" w:line="256" w:lineRule="auto"/>
        <w:tabs>
          <w:tab w:leader="none" w:pos="2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47" w:lineRule="exact"/>
        <w:rPr>
          <w:rFonts w:ascii="Arial" w:cs="Arial" w:eastAsia="Arial" w:hAnsi="Arial"/>
          <w:sz w:val="18"/>
          <w:szCs w:val="18"/>
          <w:color w:val="auto"/>
        </w:rPr>
      </w:pPr>
    </w:p>
    <w:p>
      <w:pPr>
        <w:ind w:right="280" w:firstLine="8"/>
        <w:spacing w:after="0" w:line="261"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44" w:lineRule="exact"/>
        <w:rPr>
          <w:sz w:val="20"/>
          <w:szCs w:val="20"/>
          <w:color w:val="auto"/>
        </w:rPr>
      </w:pPr>
    </w:p>
    <w:p>
      <w:pPr>
        <w:ind w:right="40" w:firstLine="8"/>
        <w:spacing w:after="0" w:line="253" w:lineRule="auto"/>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1" w:lineRule="exact"/>
        <w:rPr>
          <w:rFonts w:ascii="Arial" w:cs="Arial" w:eastAsia="Arial" w:hAnsi="Arial"/>
          <w:sz w:val="18"/>
          <w:szCs w:val="18"/>
          <w:color w:val="auto"/>
        </w:rPr>
      </w:pPr>
    </w:p>
    <w:p>
      <w:pPr>
        <w:ind w:right="180" w:firstLine="8"/>
        <w:spacing w:after="0" w:line="252" w:lineRule="auto"/>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20"/>
          </w:cols>
          <w:pgMar w:left="320" w:top="1413" w:right="35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Portland, State of Oregon, on this 9th day of November, 2021.</w:t>
      </w:r>
    </w:p>
    <w:p>
      <w:pPr>
        <w:spacing w:after="0" w:line="32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EXPENSIFY, INC.</w:t>
      </w:r>
    </w:p>
    <w:p>
      <w:pPr>
        <w:spacing w:after="0" w:line="30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6350</wp:posOffset>
            </wp:positionV>
            <wp:extent cx="13970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David Barrett</w:t>
      </w:r>
    </w:p>
    <w:p>
      <w:pPr>
        <w:spacing w:after="0" w:line="10"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each person whose signature appears below constitutes and appoints David Barrett</w:t>
      </w:r>
      <w:r>
        <w:rPr>
          <w:rFonts w:ascii="Arial" w:cs="Arial" w:eastAsia="Arial" w:hAnsi="Arial"/>
          <w:sz w:val="18"/>
          <w:szCs w:val="18"/>
          <w:b w:val="1"/>
          <w:bCs w:val="1"/>
          <w:color w:val="auto"/>
        </w:rPr>
        <w:t xml:space="preserve"> </w:t>
      </w:r>
      <w:r>
        <w:rPr>
          <w:rFonts w:ascii="Arial" w:cs="Arial" w:eastAsia="Arial" w:hAnsi="Arial"/>
          <w:sz w:val="18"/>
          <w:szCs w:val="18"/>
          <w:color w:val="auto"/>
        </w:rPr>
        <w:t>and Ryan Schaffer, and each of them, as his or her true and lawful attorneys-in-fact and agents, each with the full power of substitution and resubstitution, for him or her and in their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15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Arial" w:cs="Arial" w:eastAsia="Arial" w:hAnsi="Arial"/>
                <w:sz w:val="14"/>
                <w:szCs w:val="14"/>
                <w:b w:val="1"/>
                <w:bCs w:val="1"/>
                <w:color w:val="auto"/>
              </w:rPr>
              <w:t>Signature</w:t>
            </w:r>
          </w:p>
        </w:tc>
        <w:tc>
          <w:tcPr>
            <w:tcW w:w="4600" w:type="dxa"/>
            <w:vAlign w:val="bottom"/>
          </w:tcPr>
          <w:p>
            <w:pPr>
              <w:jc w:val="center"/>
              <w:ind w:left="52"/>
              <w:spacing w:after="0"/>
              <w:rPr>
                <w:sz w:val="20"/>
                <w:szCs w:val="20"/>
                <w:color w:val="auto"/>
              </w:rPr>
            </w:pPr>
            <w:r>
              <w:rPr>
                <w:rFonts w:ascii="Arial" w:cs="Arial" w:eastAsia="Arial" w:hAnsi="Arial"/>
                <w:sz w:val="14"/>
                <w:szCs w:val="14"/>
                <w:b w:val="1"/>
                <w:bCs w:val="1"/>
                <w:color w:val="auto"/>
              </w:rPr>
              <w:t>Title</w:t>
            </w:r>
          </w:p>
        </w:tc>
        <w:tc>
          <w:tcPr>
            <w:tcW w:w="2100" w:type="dxa"/>
            <w:vAlign w:val="bottom"/>
          </w:tcPr>
          <w:p>
            <w:pPr>
              <w:jc w:val="center"/>
              <w:ind w:left="534"/>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505"/>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David Barrett</w:t>
            </w:r>
          </w:p>
        </w:tc>
        <w:tc>
          <w:tcPr>
            <w:tcW w:w="4600" w:type="dxa"/>
            <w:vAlign w:val="bottom"/>
          </w:tcPr>
          <w:p>
            <w:pPr>
              <w:jc w:val="center"/>
              <w:ind w:left="52"/>
              <w:spacing w:after="0"/>
              <w:rPr>
                <w:sz w:val="20"/>
                <w:szCs w:val="20"/>
                <w:color w:val="auto"/>
              </w:rPr>
            </w:pPr>
            <w:r>
              <w:rPr>
                <w:rFonts w:ascii="Arial" w:cs="Arial" w:eastAsia="Arial" w:hAnsi="Arial"/>
                <w:sz w:val="18"/>
                <w:szCs w:val="18"/>
                <w:color w:val="auto"/>
                <w:w w:val="99"/>
              </w:rPr>
              <w:t>Chief Executive Officer and Director</w:t>
            </w:r>
          </w:p>
        </w:tc>
        <w:tc>
          <w:tcPr>
            <w:tcW w:w="2100" w:type="dxa"/>
            <w:vAlign w:val="bottom"/>
          </w:tcPr>
          <w:p>
            <w:pPr>
              <w:jc w:val="center"/>
              <w:ind w:left="534"/>
              <w:spacing w:after="0"/>
              <w:rPr>
                <w:sz w:val="20"/>
                <w:szCs w:val="20"/>
                <w:color w:val="auto"/>
              </w:rPr>
            </w:pPr>
            <w:r>
              <w:rPr>
                <w:rFonts w:ascii="Arial" w:cs="Arial" w:eastAsia="Arial" w:hAnsi="Arial"/>
                <w:sz w:val="18"/>
                <w:szCs w:val="18"/>
                <w:color w:val="auto"/>
                <w:w w:val="99"/>
              </w:rPr>
              <w:t>November 9, 2021</w:t>
            </w:r>
          </w:p>
        </w:tc>
        <w:tc>
          <w:tcPr>
            <w:tcW w:w="0" w:type="dxa"/>
            <w:vAlign w:val="bottom"/>
          </w:tcPr>
          <w:p>
            <w:pPr>
              <w:spacing w:after="0"/>
              <w:rPr>
                <w:sz w:val="1"/>
                <w:szCs w:val="1"/>
                <w:color w:val="auto"/>
              </w:rPr>
            </w:pPr>
          </w:p>
        </w:tc>
      </w:tr>
      <w:tr>
        <w:trPr>
          <w:trHeight w:val="243"/>
        </w:trPr>
        <w:tc>
          <w:tcPr>
            <w:tcW w:w="4060" w:type="dxa"/>
            <w:vAlign w:val="bottom"/>
          </w:tcPr>
          <w:p>
            <w:pPr>
              <w:jc w:val="center"/>
              <w:spacing w:after="0"/>
              <w:rPr>
                <w:sz w:val="20"/>
                <w:szCs w:val="20"/>
                <w:color w:val="auto"/>
              </w:rPr>
            </w:pPr>
            <w:r>
              <w:rPr>
                <w:rFonts w:ascii="Arial" w:cs="Arial" w:eastAsia="Arial" w:hAnsi="Arial"/>
                <w:sz w:val="18"/>
                <w:szCs w:val="18"/>
                <w:color w:val="auto"/>
              </w:rPr>
              <w:t>David Barrett</w:t>
            </w:r>
          </w:p>
        </w:tc>
        <w:tc>
          <w:tcPr>
            <w:tcW w:w="4600" w:type="dxa"/>
            <w:vAlign w:val="bottom"/>
          </w:tcPr>
          <w:p>
            <w:pPr>
              <w:jc w:val="center"/>
              <w:ind w:left="52"/>
              <w:spacing w:after="0"/>
              <w:rPr>
                <w:sz w:val="20"/>
                <w:szCs w:val="20"/>
                <w:color w:val="auto"/>
              </w:rPr>
            </w:pPr>
            <w:r>
              <w:rPr>
                <w:rFonts w:ascii="Arial" w:cs="Arial" w:eastAsia="Arial" w:hAnsi="Arial"/>
                <w:sz w:val="18"/>
                <w:szCs w:val="18"/>
                <w:color w:val="auto"/>
                <w:w w:val="99"/>
              </w:rPr>
              <w:t>(Principal Executive Officer)</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9"/>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Ryan Schaffer</w:t>
            </w:r>
          </w:p>
        </w:tc>
        <w:tc>
          <w:tcPr>
            <w:tcW w:w="4600" w:type="dxa"/>
            <w:vAlign w:val="bottom"/>
          </w:tcPr>
          <w:p>
            <w:pPr>
              <w:ind w:left="120"/>
              <w:spacing w:after="0"/>
              <w:rPr>
                <w:sz w:val="20"/>
                <w:szCs w:val="20"/>
                <w:color w:val="auto"/>
              </w:rPr>
            </w:pPr>
            <w:r>
              <w:rPr>
                <w:rFonts w:ascii="Arial" w:cs="Arial" w:eastAsia="Arial" w:hAnsi="Arial"/>
                <w:sz w:val="18"/>
                <w:szCs w:val="18"/>
                <w:color w:val="auto"/>
              </w:rPr>
              <w:t>Chief Financial Officer (Principal Financial</w:t>
            </w:r>
          </w:p>
        </w:tc>
        <w:tc>
          <w:tcPr>
            <w:tcW w:w="2100" w:type="dxa"/>
            <w:vAlign w:val="bottom"/>
          </w:tcPr>
          <w:p>
            <w:pPr>
              <w:jc w:val="center"/>
              <w:ind w:left="534"/>
              <w:spacing w:after="0"/>
              <w:rPr>
                <w:sz w:val="20"/>
                <w:szCs w:val="20"/>
                <w:color w:val="auto"/>
              </w:rPr>
            </w:pPr>
            <w:r>
              <w:rPr>
                <w:rFonts w:ascii="Arial" w:cs="Arial" w:eastAsia="Arial" w:hAnsi="Arial"/>
                <w:sz w:val="18"/>
                <w:szCs w:val="18"/>
                <w:color w:val="auto"/>
                <w:w w:val="99"/>
              </w:rPr>
              <w:t>November 9, 2021</w:t>
            </w:r>
          </w:p>
        </w:tc>
        <w:tc>
          <w:tcPr>
            <w:tcW w:w="0" w:type="dxa"/>
            <w:vAlign w:val="bottom"/>
          </w:tcPr>
          <w:p>
            <w:pPr>
              <w:spacing w:after="0"/>
              <w:rPr>
                <w:sz w:val="1"/>
                <w:szCs w:val="1"/>
                <w:color w:val="auto"/>
              </w:rPr>
            </w:pPr>
          </w:p>
        </w:tc>
      </w:tr>
      <w:tr>
        <w:trPr>
          <w:trHeight w:val="237"/>
        </w:trPr>
        <w:tc>
          <w:tcPr>
            <w:tcW w:w="4060" w:type="dxa"/>
            <w:vAlign w:val="bottom"/>
          </w:tcPr>
          <w:p>
            <w:pPr>
              <w:jc w:val="center"/>
              <w:spacing w:after="0"/>
              <w:rPr>
                <w:sz w:val="20"/>
                <w:szCs w:val="20"/>
                <w:color w:val="auto"/>
              </w:rPr>
            </w:pPr>
            <w:r>
              <w:rPr>
                <w:rFonts w:ascii="Arial" w:cs="Arial" w:eastAsia="Arial" w:hAnsi="Arial"/>
                <w:sz w:val="18"/>
                <w:szCs w:val="18"/>
                <w:color w:val="auto"/>
                <w:w w:val="99"/>
              </w:rPr>
              <w:t>Ryan Schaffer</w:t>
            </w:r>
          </w:p>
        </w:tc>
        <w:tc>
          <w:tcPr>
            <w:tcW w:w="4600" w:type="dxa"/>
            <w:vAlign w:val="bottom"/>
          </w:tcPr>
          <w:p>
            <w:pPr>
              <w:jc w:val="center"/>
              <w:ind w:left="72"/>
              <w:spacing w:after="0"/>
              <w:rPr>
                <w:sz w:val="20"/>
                <w:szCs w:val="20"/>
                <w:color w:val="auto"/>
              </w:rPr>
            </w:pPr>
            <w:r>
              <w:rPr>
                <w:rFonts w:ascii="Arial" w:cs="Arial" w:eastAsia="Arial" w:hAnsi="Arial"/>
                <w:sz w:val="18"/>
                <w:szCs w:val="18"/>
                <w:color w:val="auto"/>
                <w:w w:val="99"/>
              </w:rPr>
              <w:t>Officer and Principal Accounting Officer)</w:t>
            </w: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Blake Bartlett</w:t>
            </w:r>
          </w:p>
        </w:tc>
        <w:tc>
          <w:tcPr>
            <w:tcW w:w="4600" w:type="dxa"/>
            <w:vAlign w:val="bottom"/>
            <w:vMerge w:val="restart"/>
          </w:tcPr>
          <w:p>
            <w:pPr>
              <w:jc w:val="center"/>
              <w:ind w:left="52"/>
              <w:spacing w:after="0"/>
              <w:rPr>
                <w:sz w:val="20"/>
                <w:szCs w:val="20"/>
                <w:color w:val="auto"/>
              </w:rPr>
            </w:pPr>
            <w:r>
              <w:rPr>
                <w:rFonts w:ascii="Arial" w:cs="Arial" w:eastAsia="Arial" w:hAnsi="Arial"/>
                <w:sz w:val="18"/>
                <w:szCs w:val="18"/>
                <w:color w:val="auto"/>
                <w:w w:val="98"/>
              </w:rPr>
              <w:t>Director</w:t>
            </w:r>
          </w:p>
        </w:tc>
        <w:tc>
          <w:tcPr>
            <w:tcW w:w="2100" w:type="dxa"/>
            <w:vAlign w:val="bottom"/>
          </w:tcPr>
          <w:p>
            <w:pPr>
              <w:jc w:val="center"/>
              <w:ind w:left="534"/>
              <w:spacing w:after="0"/>
              <w:rPr>
                <w:sz w:val="20"/>
                <w:szCs w:val="20"/>
                <w:color w:val="auto"/>
              </w:rPr>
            </w:pPr>
            <w:r>
              <w:rPr>
                <w:rFonts w:ascii="Arial" w:cs="Arial" w:eastAsia="Arial" w:hAnsi="Arial"/>
                <w:sz w:val="18"/>
                <w:szCs w:val="18"/>
                <w:color w:val="auto"/>
                <w:w w:val="99"/>
              </w:rPr>
              <w:t>November 9, 2021</w:t>
            </w:r>
          </w:p>
        </w:tc>
        <w:tc>
          <w:tcPr>
            <w:tcW w:w="0" w:type="dxa"/>
            <w:vAlign w:val="bottom"/>
          </w:tcPr>
          <w:p>
            <w:pPr>
              <w:spacing w:after="0"/>
              <w:rPr>
                <w:sz w:val="1"/>
                <w:szCs w:val="1"/>
                <w:color w:val="auto"/>
              </w:rPr>
            </w:pPr>
          </w:p>
        </w:tc>
      </w:tr>
      <w:tr>
        <w:trPr>
          <w:trHeight w:val="102"/>
        </w:trPr>
        <w:tc>
          <w:tcPr>
            <w:tcW w:w="4060" w:type="dxa"/>
            <w:vAlign w:val="bottom"/>
            <w:vMerge w:val="restart"/>
          </w:tcPr>
          <w:p>
            <w:pPr>
              <w:jc w:val="center"/>
              <w:spacing w:after="0"/>
              <w:rPr>
                <w:sz w:val="20"/>
                <w:szCs w:val="20"/>
                <w:color w:val="auto"/>
              </w:rPr>
            </w:pPr>
            <w:r>
              <w:rPr>
                <w:rFonts w:ascii="Arial" w:cs="Arial" w:eastAsia="Arial" w:hAnsi="Arial"/>
                <w:sz w:val="18"/>
                <w:szCs w:val="18"/>
                <w:color w:val="auto"/>
                <w:w w:val="98"/>
              </w:rPr>
              <w:t>Blake Bartlett</w:t>
            </w:r>
          </w:p>
        </w:tc>
        <w:tc>
          <w:tcPr>
            <w:tcW w:w="4600" w:type="dxa"/>
            <w:vAlign w:val="bottom"/>
            <w:vMerge w:val="continue"/>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060" w:type="dxa"/>
            <w:vAlign w:val="bottom"/>
            <w:vMerge w:val="continue"/>
          </w:tcPr>
          <w:p>
            <w:pPr>
              <w:spacing w:after="0"/>
              <w:rPr>
                <w:sz w:val="11"/>
                <w:szCs w:val="11"/>
                <w:color w:val="auto"/>
              </w:rPr>
            </w:pPr>
          </w:p>
        </w:tc>
        <w:tc>
          <w:tcPr>
            <w:tcW w:w="46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6"/>
        </w:trPr>
        <w:tc>
          <w:tcPr>
            <w:tcW w:w="4060" w:type="dxa"/>
            <w:vAlign w:val="bottom"/>
            <w:tcBorders>
              <w:bottom w:val="single" w:sz="8" w:color="auto"/>
            </w:tcBorders>
          </w:tcPr>
          <w:p>
            <w:pPr>
              <w:spacing w:after="0"/>
              <w:rPr>
                <w:sz w:val="24"/>
                <w:szCs w:val="24"/>
                <w:color w:val="auto"/>
              </w:rPr>
            </w:pPr>
          </w:p>
        </w:tc>
        <w:tc>
          <w:tcPr>
            <w:tcW w:w="4600" w:type="dxa"/>
            <w:vAlign w:val="bottom"/>
            <w:vMerge w:val="restart"/>
          </w:tcPr>
          <w:p>
            <w:pPr>
              <w:jc w:val="center"/>
              <w:ind w:left="52"/>
              <w:spacing w:after="0"/>
              <w:rPr>
                <w:sz w:val="20"/>
                <w:szCs w:val="20"/>
                <w:color w:val="auto"/>
              </w:rPr>
            </w:pPr>
            <w:r>
              <w:rPr>
                <w:rFonts w:ascii="Arial" w:cs="Arial" w:eastAsia="Arial" w:hAnsi="Arial"/>
                <w:sz w:val="18"/>
                <w:szCs w:val="18"/>
                <w:color w:val="auto"/>
                <w:w w:val="98"/>
              </w:rPr>
              <w:t>Director</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060" w:type="dxa"/>
            <w:vAlign w:val="bottom"/>
            <w:vMerge w:val="restart"/>
          </w:tcPr>
          <w:p>
            <w:pPr>
              <w:jc w:val="center"/>
              <w:spacing w:after="0"/>
              <w:rPr>
                <w:sz w:val="20"/>
                <w:szCs w:val="20"/>
                <w:color w:val="auto"/>
              </w:rPr>
            </w:pPr>
            <w:r>
              <w:rPr>
                <w:rFonts w:ascii="Arial" w:cs="Arial" w:eastAsia="Arial" w:hAnsi="Arial"/>
                <w:sz w:val="18"/>
                <w:szCs w:val="18"/>
                <w:color w:val="auto"/>
                <w:w w:val="98"/>
              </w:rPr>
              <w:t>Timothy Christen</w:t>
            </w:r>
          </w:p>
        </w:tc>
        <w:tc>
          <w:tcPr>
            <w:tcW w:w="4600" w:type="dxa"/>
            <w:vAlign w:val="bottom"/>
            <w:vMerge w:val="continue"/>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060" w:type="dxa"/>
            <w:vAlign w:val="bottom"/>
            <w:vMerge w:val="continue"/>
          </w:tcPr>
          <w:p>
            <w:pPr>
              <w:spacing w:after="0"/>
              <w:rPr>
                <w:sz w:val="11"/>
                <w:szCs w:val="11"/>
                <w:color w:val="auto"/>
              </w:rPr>
            </w:pPr>
          </w:p>
        </w:tc>
        <w:tc>
          <w:tcPr>
            <w:tcW w:w="46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6"/>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Robert Lent</w:t>
            </w:r>
          </w:p>
        </w:tc>
        <w:tc>
          <w:tcPr>
            <w:tcW w:w="4600" w:type="dxa"/>
            <w:vAlign w:val="bottom"/>
            <w:vMerge w:val="restart"/>
          </w:tcPr>
          <w:p>
            <w:pPr>
              <w:jc w:val="center"/>
              <w:ind w:left="52"/>
              <w:spacing w:after="0"/>
              <w:rPr>
                <w:sz w:val="20"/>
                <w:szCs w:val="20"/>
                <w:color w:val="auto"/>
              </w:rPr>
            </w:pPr>
            <w:r>
              <w:rPr>
                <w:rFonts w:ascii="Arial" w:cs="Arial" w:eastAsia="Arial" w:hAnsi="Arial"/>
                <w:sz w:val="18"/>
                <w:szCs w:val="18"/>
                <w:color w:val="auto"/>
                <w:w w:val="98"/>
              </w:rPr>
              <w:t>Director</w:t>
            </w:r>
          </w:p>
        </w:tc>
        <w:tc>
          <w:tcPr>
            <w:tcW w:w="2100" w:type="dxa"/>
            <w:vAlign w:val="bottom"/>
          </w:tcPr>
          <w:p>
            <w:pPr>
              <w:jc w:val="center"/>
              <w:ind w:left="534"/>
              <w:spacing w:after="0"/>
              <w:rPr>
                <w:sz w:val="20"/>
                <w:szCs w:val="20"/>
                <w:color w:val="auto"/>
              </w:rPr>
            </w:pPr>
            <w:r>
              <w:rPr>
                <w:rFonts w:ascii="Arial" w:cs="Arial" w:eastAsia="Arial" w:hAnsi="Arial"/>
                <w:sz w:val="18"/>
                <w:szCs w:val="18"/>
                <w:color w:val="auto"/>
                <w:w w:val="99"/>
              </w:rPr>
              <w:t>November 9, 2021</w:t>
            </w:r>
          </w:p>
        </w:tc>
        <w:tc>
          <w:tcPr>
            <w:tcW w:w="0" w:type="dxa"/>
            <w:vAlign w:val="bottom"/>
          </w:tcPr>
          <w:p>
            <w:pPr>
              <w:spacing w:after="0"/>
              <w:rPr>
                <w:sz w:val="1"/>
                <w:szCs w:val="1"/>
                <w:color w:val="auto"/>
              </w:rPr>
            </w:pPr>
          </w:p>
        </w:tc>
      </w:tr>
      <w:tr>
        <w:trPr>
          <w:trHeight w:val="102"/>
        </w:trPr>
        <w:tc>
          <w:tcPr>
            <w:tcW w:w="4060" w:type="dxa"/>
            <w:vAlign w:val="bottom"/>
            <w:vMerge w:val="restart"/>
          </w:tcPr>
          <w:p>
            <w:pPr>
              <w:jc w:val="center"/>
              <w:spacing w:after="0"/>
              <w:rPr>
                <w:sz w:val="20"/>
                <w:szCs w:val="20"/>
                <w:color w:val="auto"/>
              </w:rPr>
            </w:pPr>
            <w:r>
              <w:rPr>
                <w:rFonts w:ascii="Arial" w:cs="Arial" w:eastAsia="Arial" w:hAnsi="Arial"/>
                <w:sz w:val="18"/>
                <w:szCs w:val="18"/>
                <w:color w:val="auto"/>
                <w:w w:val="99"/>
              </w:rPr>
              <w:t>Robert Lent</w:t>
            </w:r>
          </w:p>
        </w:tc>
        <w:tc>
          <w:tcPr>
            <w:tcW w:w="4600" w:type="dxa"/>
            <w:vAlign w:val="bottom"/>
            <w:vMerge w:val="continue"/>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060" w:type="dxa"/>
            <w:vAlign w:val="bottom"/>
            <w:vMerge w:val="continue"/>
          </w:tcPr>
          <w:p>
            <w:pPr>
              <w:spacing w:after="0"/>
              <w:rPr>
                <w:sz w:val="11"/>
                <w:szCs w:val="11"/>
                <w:color w:val="auto"/>
              </w:rPr>
            </w:pPr>
          </w:p>
        </w:tc>
        <w:tc>
          <w:tcPr>
            <w:tcW w:w="46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80"/>
          </w:cols>
          <w:pgMar w:left="320" w:top="1413" w:right="399" w:bottom="1440" w:gutter="0" w:footer="0" w:header="0"/>
        </w:sectPr>
      </w:pPr>
    </w:p>
    <w:bookmarkStart w:id="19" w:name="page20"/>
    <w:bookmarkEnd w:id="19"/>
    <w:p>
      <w:pPr>
        <w:ind w:left="10400"/>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9"/>
          <w:szCs w:val="19"/>
          <w:color w:val="auto"/>
        </w:rPr>
        <w:t>November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-1076325</wp:posOffset>
            </wp:positionV>
            <wp:extent cx="257175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extLst>
                        <a:ext uri="{28A0092B-C50C-407E-A947-70E740481C1C}"/>
                      </a:extLst>
                    </a:blip>
                    <a:srcRect/>
                    <a:stretch>
                      <a:fillRect/>
                    </a:stretch>
                  </pic:blipFill>
                  <pic:spPr bwMode="auto">
                    <a:xfrm>
                      <a:off x="0" y="0"/>
                      <a:ext cx="25717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330 North Wabash Avenue</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Suite 2800</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Chicago, Illinois 60611</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color w:val="auto"/>
        </w:rPr>
        <w:t>Tel: +1.312.876.7700 Fax: +1.312.993.9767</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color w:val="auto"/>
        </w:rPr>
        <w:t>www.lw.com</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FIRM / AFFILIATE OFFICES</w:t>
      </w:r>
    </w:p>
    <w:p>
      <w:pPr>
        <w:spacing w:after="0" w:line="53" w:lineRule="exact"/>
        <w:rPr>
          <w:sz w:val="20"/>
          <w:szCs w:val="20"/>
          <w:color w:val="auto"/>
        </w:rPr>
      </w:pPr>
    </w:p>
    <w:p>
      <w:pPr>
        <w:spacing w:after="0"/>
        <w:tabs>
          <w:tab w:leader="none" w:pos="1200" w:val="left"/>
        </w:tabs>
        <w:rPr>
          <w:sz w:val="20"/>
          <w:szCs w:val="20"/>
          <w:color w:val="auto"/>
        </w:rPr>
      </w:pPr>
      <w:r>
        <w:rPr>
          <w:rFonts w:ascii="Arial" w:cs="Arial" w:eastAsia="Arial" w:hAnsi="Arial"/>
          <w:sz w:val="13"/>
          <w:szCs w:val="13"/>
          <w:color w:val="auto"/>
        </w:rPr>
        <w:t>Austin</w:t>
      </w:r>
      <w:r>
        <w:rPr>
          <w:sz w:val="20"/>
          <w:szCs w:val="20"/>
          <w:color w:val="auto"/>
        </w:rPr>
        <w:tab/>
      </w:r>
      <w:r>
        <w:rPr>
          <w:rFonts w:ascii="Arial" w:cs="Arial" w:eastAsia="Arial" w:hAnsi="Arial"/>
          <w:sz w:val="13"/>
          <w:szCs w:val="13"/>
          <w:color w:val="auto"/>
        </w:rPr>
        <w:t>Milan</w:t>
      </w:r>
    </w:p>
    <w:p>
      <w:pPr>
        <w:spacing w:after="0" w:line="53" w:lineRule="exact"/>
        <w:rPr>
          <w:sz w:val="20"/>
          <w:szCs w:val="20"/>
          <w:color w:val="auto"/>
        </w:rPr>
      </w:pPr>
    </w:p>
    <w:p>
      <w:pPr>
        <w:spacing w:after="0"/>
        <w:tabs>
          <w:tab w:leader="none" w:pos="1200" w:val="left"/>
        </w:tabs>
        <w:rPr>
          <w:sz w:val="20"/>
          <w:szCs w:val="20"/>
          <w:color w:val="auto"/>
        </w:rPr>
      </w:pPr>
      <w:r>
        <w:rPr>
          <w:rFonts w:ascii="Arial" w:cs="Arial" w:eastAsia="Arial" w:hAnsi="Arial"/>
          <w:sz w:val="13"/>
          <w:szCs w:val="13"/>
          <w:color w:val="auto"/>
        </w:rPr>
        <w:t>Beijing</w:t>
      </w:r>
      <w:r>
        <w:rPr>
          <w:sz w:val="20"/>
          <w:szCs w:val="20"/>
          <w:color w:val="auto"/>
        </w:rPr>
        <w:tab/>
      </w:r>
      <w:r>
        <w:rPr>
          <w:rFonts w:ascii="Arial" w:cs="Arial" w:eastAsia="Arial" w:hAnsi="Arial"/>
          <w:sz w:val="13"/>
          <w:szCs w:val="13"/>
          <w:color w:val="auto"/>
        </w:rPr>
        <w:t>Moscow</w:t>
      </w:r>
    </w:p>
    <w:p>
      <w:pPr>
        <w:spacing w:after="0" w:line="53" w:lineRule="exact"/>
        <w:rPr>
          <w:sz w:val="20"/>
          <w:szCs w:val="20"/>
          <w:color w:val="auto"/>
        </w:rPr>
      </w:pPr>
    </w:p>
    <w:p>
      <w:pPr>
        <w:spacing w:after="0"/>
        <w:tabs>
          <w:tab w:leader="none" w:pos="1200" w:val="left"/>
        </w:tabs>
        <w:rPr>
          <w:sz w:val="20"/>
          <w:szCs w:val="20"/>
          <w:color w:val="auto"/>
        </w:rPr>
      </w:pPr>
      <w:r>
        <w:rPr>
          <w:rFonts w:ascii="Arial" w:cs="Arial" w:eastAsia="Arial" w:hAnsi="Arial"/>
          <w:sz w:val="13"/>
          <w:szCs w:val="13"/>
          <w:color w:val="auto"/>
        </w:rPr>
        <w:t>Boston</w:t>
      </w:r>
      <w:r>
        <w:rPr>
          <w:sz w:val="20"/>
          <w:szCs w:val="20"/>
          <w:color w:val="auto"/>
        </w:rPr>
        <w:tab/>
      </w:r>
      <w:r>
        <w:rPr>
          <w:rFonts w:ascii="Arial" w:cs="Arial" w:eastAsia="Arial" w:hAnsi="Arial"/>
          <w:sz w:val="13"/>
          <w:szCs w:val="13"/>
          <w:color w:val="auto"/>
        </w:rPr>
        <w:t>Munich</w:t>
      </w:r>
    </w:p>
    <w:p>
      <w:pPr>
        <w:spacing w:after="0" w:line="53" w:lineRule="exact"/>
        <w:rPr>
          <w:sz w:val="20"/>
          <w:szCs w:val="20"/>
          <w:color w:val="auto"/>
        </w:rPr>
      </w:pPr>
    </w:p>
    <w:p>
      <w:pPr>
        <w:spacing w:after="0"/>
        <w:tabs>
          <w:tab w:leader="none" w:pos="1200" w:val="left"/>
        </w:tabs>
        <w:rPr>
          <w:sz w:val="20"/>
          <w:szCs w:val="20"/>
          <w:color w:val="auto"/>
        </w:rPr>
      </w:pPr>
      <w:r>
        <w:rPr>
          <w:rFonts w:ascii="Arial" w:cs="Arial" w:eastAsia="Arial" w:hAnsi="Arial"/>
          <w:sz w:val="13"/>
          <w:szCs w:val="13"/>
          <w:color w:val="auto"/>
        </w:rPr>
        <w:t>Brussels</w:t>
      </w:r>
      <w:r>
        <w:rPr>
          <w:sz w:val="20"/>
          <w:szCs w:val="20"/>
          <w:color w:val="auto"/>
        </w:rPr>
        <w:tab/>
      </w:r>
      <w:r>
        <w:rPr>
          <w:rFonts w:ascii="Arial" w:cs="Arial" w:eastAsia="Arial" w:hAnsi="Arial"/>
          <w:sz w:val="13"/>
          <w:szCs w:val="13"/>
          <w:color w:val="auto"/>
        </w:rPr>
        <w:t>New York</w:t>
      </w:r>
    </w:p>
    <w:p>
      <w:pPr>
        <w:spacing w:after="0" w:line="26" w:lineRule="exact"/>
        <w:rPr>
          <w:sz w:val="20"/>
          <w:szCs w:val="20"/>
          <w:color w:val="auto"/>
        </w:rPr>
      </w:pPr>
    </w:p>
    <w:p>
      <w:pPr>
        <w:spacing w:after="0"/>
        <w:tabs>
          <w:tab w:leader="none" w:pos="1200" w:val="left"/>
        </w:tabs>
        <w:rPr>
          <w:sz w:val="20"/>
          <w:szCs w:val="20"/>
          <w:color w:val="auto"/>
        </w:rPr>
      </w:pPr>
      <w:r>
        <w:rPr>
          <w:rFonts w:ascii="Arial" w:cs="Arial" w:eastAsia="Arial" w:hAnsi="Arial"/>
          <w:sz w:val="13"/>
          <w:szCs w:val="13"/>
          <w:color w:val="auto"/>
        </w:rPr>
        <w:t>Century City</w:t>
      </w:r>
      <w:r>
        <w:rPr>
          <w:sz w:val="20"/>
          <w:szCs w:val="20"/>
          <w:color w:val="auto"/>
        </w:rPr>
        <w:tab/>
      </w:r>
      <w:r>
        <w:rPr>
          <w:rFonts w:ascii="Arial" w:cs="Arial" w:eastAsia="Arial" w:hAnsi="Arial"/>
          <w:sz w:val="12"/>
          <w:szCs w:val="12"/>
          <w:color w:val="auto"/>
        </w:rPr>
        <w:t>Orange County</w:t>
      </w:r>
    </w:p>
    <w:p>
      <w:pPr>
        <w:spacing w:after="0" w:line="53" w:lineRule="exact"/>
        <w:rPr>
          <w:sz w:val="20"/>
          <w:szCs w:val="20"/>
          <w:color w:val="auto"/>
        </w:rPr>
      </w:pPr>
    </w:p>
    <w:p>
      <w:pPr>
        <w:spacing w:after="0"/>
        <w:tabs>
          <w:tab w:leader="none" w:pos="1200" w:val="left"/>
        </w:tabs>
        <w:rPr>
          <w:sz w:val="20"/>
          <w:szCs w:val="20"/>
          <w:color w:val="auto"/>
        </w:rPr>
      </w:pPr>
      <w:r>
        <w:rPr>
          <w:rFonts w:ascii="Arial" w:cs="Arial" w:eastAsia="Arial" w:hAnsi="Arial"/>
          <w:sz w:val="13"/>
          <w:szCs w:val="13"/>
          <w:color w:val="auto"/>
        </w:rPr>
        <w:t>Chicago</w:t>
      </w:r>
      <w:r>
        <w:rPr>
          <w:sz w:val="20"/>
          <w:szCs w:val="20"/>
          <w:color w:val="auto"/>
        </w:rPr>
        <w:tab/>
      </w:r>
      <w:r>
        <w:rPr>
          <w:rFonts w:ascii="Arial" w:cs="Arial" w:eastAsia="Arial" w:hAnsi="Arial"/>
          <w:sz w:val="13"/>
          <w:szCs w:val="13"/>
          <w:color w:val="auto"/>
        </w:rPr>
        <w:t>Paris</w:t>
      </w:r>
    </w:p>
    <w:p>
      <w:pPr>
        <w:spacing w:after="0" w:line="53" w:lineRule="exact"/>
        <w:rPr>
          <w:sz w:val="20"/>
          <w:szCs w:val="20"/>
          <w:color w:val="auto"/>
        </w:rPr>
      </w:pPr>
    </w:p>
    <w:p>
      <w:pPr>
        <w:spacing w:after="0"/>
        <w:tabs>
          <w:tab w:leader="none" w:pos="1200" w:val="left"/>
        </w:tabs>
        <w:rPr>
          <w:sz w:val="20"/>
          <w:szCs w:val="20"/>
          <w:color w:val="auto"/>
        </w:rPr>
      </w:pPr>
      <w:r>
        <w:rPr>
          <w:rFonts w:ascii="Arial" w:cs="Arial" w:eastAsia="Arial" w:hAnsi="Arial"/>
          <w:sz w:val="13"/>
          <w:szCs w:val="13"/>
          <w:color w:val="auto"/>
        </w:rPr>
        <w:t>Dubai</w:t>
      </w:r>
      <w:r>
        <w:rPr>
          <w:sz w:val="20"/>
          <w:szCs w:val="20"/>
          <w:color w:val="auto"/>
        </w:rPr>
        <w:tab/>
      </w:r>
      <w:r>
        <w:rPr>
          <w:rFonts w:ascii="Arial" w:cs="Arial" w:eastAsia="Arial" w:hAnsi="Arial"/>
          <w:sz w:val="13"/>
          <w:szCs w:val="13"/>
          <w:color w:val="auto"/>
        </w:rPr>
        <w:t>Riyadh</w:t>
      </w:r>
    </w:p>
    <w:p>
      <w:pPr>
        <w:spacing w:after="0" w:line="26" w:lineRule="exact"/>
        <w:rPr>
          <w:sz w:val="20"/>
          <w:szCs w:val="20"/>
          <w:color w:val="auto"/>
        </w:rPr>
      </w:pPr>
    </w:p>
    <w:p>
      <w:pPr>
        <w:spacing w:after="0"/>
        <w:tabs>
          <w:tab w:leader="none" w:pos="1200" w:val="left"/>
        </w:tabs>
        <w:rPr>
          <w:sz w:val="20"/>
          <w:szCs w:val="20"/>
          <w:color w:val="auto"/>
        </w:rPr>
      </w:pPr>
      <w:r>
        <w:rPr>
          <w:rFonts w:ascii="Arial" w:cs="Arial" w:eastAsia="Arial" w:hAnsi="Arial"/>
          <w:sz w:val="13"/>
          <w:szCs w:val="13"/>
          <w:color w:val="auto"/>
        </w:rPr>
        <w:t>Düsseldorf</w:t>
      </w:r>
      <w:r>
        <w:rPr>
          <w:sz w:val="20"/>
          <w:szCs w:val="20"/>
          <w:color w:val="auto"/>
        </w:rPr>
        <w:tab/>
      </w:r>
      <w:r>
        <w:rPr>
          <w:rFonts w:ascii="Arial" w:cs="Arial" w:eastAsia="Arial" w:hAnsi="Arial"/>
          <w:sz w:val="13"/>
          <w:szCs w:val="13"/>
          <w:color w:val="auto"/>
        </w:rPr>
        <w:t>San Diego</w:t>
      </w:r>
    </w:p>
    <w:p>
      <w:pPr>
        <w:spacing w:after="0" w:line="26" w:lineRule="exact"/>
        <w:rPr>
          <w:sz w:val="20"/>
          <w:szCs w:val="20"/>
          <w:color w:val="auto"/>
        </w:rPr>
      </w:pPr>
    </w:p>
    <w:p>
      <w:pPr>
        <w:spacing w:after="0"/>
        <w:tabs>
          <w:tab w:leader="none" w:pos="1200" w:val="left"/>
        </w:tabs>
        <w:rPr>
          <w:sz w:val="20"/>
          <w:szCs w:val="20"/>
          <w:color w:val="auto"/>
        </w:rPr>
      </w:pPr>
      <w:r>
        <w:rPr>
          <w:rFonts w:ascii="Arial" w:cs="Arial" w:eastAsia="Arial" w:hAnsi="Arial"/>
          <w:sz w:val="13"/>
          <w:szCs w:val="13"/>
          <w:color w:val="auto"/>
        </w:rPr>
        <w:t>Frankfurt</w:t>
      </w:r>
      <w:r>
        <w:rPr>
          <w:sz w:val="20"/>
          <w:szCs w:val="20"/>
          <w:color w:val="auto"/>
        </w:rPr>
        <w:tab/>
      </w:r>
      <w:r>
        <w:rPr>
          <w:rFonts w:ascii="Arial" w:cs="Arial" w:eastAsia="Arial" w:hAnsi="Arial"/>
          <w:sz w:val="13"/>
          <w:szCs w:val="13"/>
          <w:color w:val="auto"/>
        </w:rPr>
        <w:t>San Francisco</w:t>
      </w:r>
    </w:p>
    <w:p>
      <w:pPr>
        <w:spacing w:after="0" w:line="26" w:lineRule="exact"/>
        <w:rPr>
          <w:sz w:val="20"/>
          <w:szCs w:val="20"/>
          <w:color w:val="auto"/>
        </w:rPr>
      </w:pPr>
    </w:p>
    <w:p>
      <w:pPr>
        <w:spacing w:after="0"/>
        <w:tabs>
          <w:tab w:leader="none" w:pos="1200" w:val="left"/>
        </w:tabs>
        <w:rPr>
          <w:sz w:val="20"/>
          <w:szCs w:val="20"/>
          <w:color w:val="auto"/>
        </w:rPr>
      </w:pPr>
      <w:r>
        <w:rPr>
          <w:rFonts w:ascii="Arial" w:cs="Arial" w:eastAsia="Arial" w:hAnsi="Arial"/>
          <w:sz w:val="13"/>
          <w:szCs w:val="13"/>
          <w:color w:val="auto"/>
        </w:rPr>
        <w:t>Hamburg</w:t>
      </w:r>
      <w:r>
        <w:rPr>
          <w:sz w:val="20"/>
          <w:szCs w:val="20"/>
          <w:color w:val="auto"/>
        </w:rPr>
        <w:tab/>
      </w:r>
      <w:r>
        <w:rPr>
          <w:rFonts w:ascii="Arial" w:cs="Arial" w:eastAsia="Arial" w:hAnsi="Arial"/>
          <w:sz w:val="13"/>
          <w:szCs w:val="13"/>
          <w:color w:val="auto"/>
        </w:rPr>
        <w:t>Seoul</w:t>
      </w:r>
    </w:p>
    <w:p>
      <w:pPr>
        <w:spacing w:after="0" w:line="26" w:lineRule="exact"/>
        <w:rPr>
          <w:sz w:val="20"/>
          <w:szCs w:val="20"/>
          <w:color w:val="auto"/>
        </w:rPr>
      </w:pPr>
    </w:p>
    <w:p>
      <w:pPr>
        <w:spacing w:after="0"/>
        <w:tabs>
          <w:tab w:leader="none" w:pos="1200" w:val="left"/>
        </w:tabs>
        <w:rPr>
          <w:sz w:val="20"/>
          <w:szCs w:val="20"/>
          <w:color w:val="auto"/>
        </w:rPr>
      </w:pPr>
      <w:r>
        <w:rPr>
          <w:rFonts w:ascii="Arial" w:cs="Arial" w:eastAsia="Arial" w:hAnsi="Arial"/>
          <w:sz w:val="13"/>
          <w:szCs w:val="13"/>
          <w:color w:val="auto"/>
        </w:rPr>
        <w:t>Hong Kong</w:t>
      </w:r>
      <w:r>
        <w:rPr>
          <w:sz w:val="20"/>
          <w:szCs w:val="20"/>
          <w:color w:val="auto"/>
        </w:rPr>
        <w:tab/>
      </w:r>
      <w:r>
        <w:rPr>
          <w:rFonts w:ascii="Arial" w:cs="Arial" w:eastAsia="Arial" w:hAnsi="Arial"/>
          <w:sz w:val="12"/>
          <w:szCs w:val="12"/>
          <w:color w:val="auto"/>
        </w:rPr>
        <w:t>Shanghai</w:t>
      </w:r>
    </w:p>
    <w:p>
      <w:pPr>
        <w:spacing w:after="0" w:line="26" w:lineRule="exact"/>
        <w:rPr>
          <w:sz w:val="20"/>
          <w:szCs w:val="20"/>
          <w:color w:val="auto"/>
        </w:rPr>
      </w:pPr>
    </w:p>
    <w:p>
      <w:pPr>
        <w:spacing w:after="0"/>
        <w:tabs>
          <w:tab w:leader="none" w:pos="1200" w:val="left"/>
        </w:tabs>
        <w:rPr>
          <w:sz w:val="20"/>
          <w:szCs w:val="20"/>
          <w:color w:val="auto"/>
        </w:rPr>
      </w:pPr>
      <w:r>
        <w:rPr>
          <w:rFonts w:ascii="Arial" w:cs="Arial" w:eastAsia="Arial" w:hAnsi="Arial"/>
          <w:sz w:val="13"/>
          <w:szCs w:val="13"/>
          <w:color w:val="auto"/>
        </w:rPr>
        <w:t>Houston</w:t>
      </w:r>
      <w:r>
        <w:rPr>
          <w:sz w:val="20"/>
          <w:szCs w:val="20"/>
          <w:color w:val="auto"/>
        </w:rPr>
        <w:tab/>
      </w:r>
      <w:r>
        <w:rPr>
          <w:rFonts w:ascii="Arial" w:cs="Arial" w:eastAsia="Arial" w:hAnsi="Arial"/>
          <w:sz w:val="13"/>
          <w:szCs w:val="13"/>
          <w:color w:val="auto"/>
        </w:rPr>
        <w:t>Silicon Valley</w:t>
      </w:r>
    </w:p>
    <w:p>
      <w:pPr>
        <w:spacing w:after="0" w:line="26" w:lineRule="exact"/>
        <w:rPr>
          <w:sz w:val="20"/>
          <w:szCs w:val="20"/>
          <w:color w:val="auto"/>
        </w:rPr>
      </w:pPr>
    </w:p>
    <w:p>
      <w:pPr>
        <w:spacing w:after="0"/>
        <w:tabs>
          <w:tab w:leader="none" w:pos="1200" w:val="left"/>
        </w:tabs>
        <w:rPr>
          <w:sz w:val="20"/>
          <w:szCs w:val="20"/>
          <w:color w:val="auto"/>
        </w:rPr>
      </w:pPr>
      <w:r>
        <w:rPr>
          <w:rFonts w:ascii="Arial" w:cs="Arial" w:eastAsia="Arial" w:hAnsi="Arial"/>
          <w:sz w:val="13"/>
          <w:szCs w:val="13"/>
          <w:color w:val="auto"/>
        </w:rPr>
        <w:t>London</w:t>
      </w:r>
      <w:r>
        <w:rPr>
          <w:sz w:val="20"/>
          <w:szCs w:val="20"/>
          <w:color w:val="auto"/>
        </w:rPr>
        <w:tab/>
      </w:r>
      <w:r>
        <w:rPr>
          <w:rFonts w:ascii="Arial" w:cs="Arial" w:eastAsia="Arial" w:hAnsi="Arial"/>
          <w:sz w:val="13"/>
          <w:szCs w:val="13"/>
          <w:color w:val="auto"/>
        </w:rPr>
        <w:t>Singapore</w:t>
      </w:r>
    </w:p>
    <w:p>
      <w:pPr>
        <w:spacing w:after="0" w:line="26" w:lineRule="exact"/>
        <w:rPr>
          <w:sz w:val="20"/>
          <w:szCs w:val="20"/>
          <w:color w:val="auto"/>
        </w:rPr>
      </w:pPr>
    </w:p>
    <w:p>
      <w:pPr>
        <w:spacing w:after="0"/>
        <w:tabs>
          <w:tab w:leader="none" w:pos="1200" w:val="left"/>
        </w:tabs>
        <w:rPr>
          <w:sz w:val="20"/>
          <w:szCs w:val="20"/>
          <w:color w:val="auto"/>
        </w:rPr>
      </w:pPr>
      <w:r>
        <w:rPr>
          <w:rFonts w:ascii="Arial" w:cs="Arial" w:eastAsia="Arial" w:hAnsi="Arial"/>
          <w:sz w:val="13"/>
          <w:szCs w:val="13"/>
          <w:color w:val="auto"/>
        </w:rPr>
        <w:t>Los Angeles</w:t>
      </w:r>
      <w:r>
        <w:rPr>
          <w:sz w:val="20"/>
          <w:szCs w:val="20"/>
          <w:color w:val="auto"/>
        </w:rPr>
        <w:tab/>
      </w:r>
      <w:r>
        <w:rPr>
          <w:rFonts w:ascii="Arial" w:cs="Arial" w:eastAsia="Arial" w:hAnsi="Arial"/>
          <w:sz w:val="12"/>
          <w:szCs w:val="12"/>
          <w:color w:val="auto"/>
        </w:rPr>
        <w:t>Tokyo</w:t>
      </w:r>
    </w:p>
    <w:p>
      <w:pPr>
        <w:spacing w:after="0" w:line="26" w:lineRule="exact"/>
        <w:rPr>
          <w:sz w:val="20"/>
          <w:szCs w:val="20"/>
          <w:color w:val="auto"/>
        </w:rPr>
      </w:pPr>
    </w:p>
    <w:p>
      <w:pPr>
        <w:spacing w:after="0"/>
        <w:tabs>
          <w:tab w:leader="none" w:pos="1200" w:val="left"/>
        </w:tabs>
        <w:rPr>
          <w:sz w:val="20"/>
          <w:szCs w:val="20"/>
          <w:color w:val="auto"/>
        </w:rPr>
      </w:pPr>
      <w:r>
        <w:rPr>
          <w:rFonts w:ascii="Arial" w:cs="Arial" w:eastAsia="Arial" w:hAnsi="Arial"/>
          <w:sz w:val="13"/>
          <w:szCs w:val="13"/>
          <w:color w:val="auto"/>
        </w:rPr>
        <w:t>Madrid</w:t>
      </w:r>
      <w:r>
        <w:rPr>
          <w:sz w:val="20"/>
          <w:szCs w:val="20"/>
          <w:color w:val="auto"/>
        </w:rPr>
        <w:tab/>
      </w:r>
      <w:r>
        <w:rPr>
          <w:rFonts w:ascii="Arial" w:cs="Arial" w:eastAsia="Arial" w:hAnsi="Arial"/>
          <w:sz w:val="13"/>
          <w:szCs w:val="13"/>
          <w:color w:val="auto"/>
        </w:rPr>
        <w:t>Washington, D.C.</w:t>
      </w:r>
    </w:p>
    <w:p>
      <w:pPr>
        <w:spacing w:after="0" w:line="200" w:lineRule="exact"/>
        <w:rPr>
          <w:sz w:val="20"/>
          <w:szCs w:val="20"/>
          <w:color w:val="auto"/>
        </w:rPr>
      </w:pPr>
    </w:p>
    <w:p>
      <w:pPr>
        <w:sectPr>
          <w:pgSz w:w="11900" w:h="16838" w:orient="portrait"/>
          <w:cols w:equalWidth="0" w:num="2">
            <w:col w:w="7020" w:space="720"/>
            <w:col w:w="35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Expensify, Inc.</w:t>
      </w:r>
    </w:p>
    <w:p>
      <w:pPr>
        <w:spacing w:after="0" w:line="187" w:lineRule="auto"/>
        <w:rPr>
          <w:sz w:val="20"/>
          <w:szCs w:val="20"/>
          <w:color w:val="auto"/>
        </w:rPr>
      </w:pPr>
      <w:r>
        <w:rPr>
          <w:rFonts w:ascii="Arial" w:cs="Arial" w:eastAsia="Arial" w:hAnsi="Arial"/>
          <w:sz w:val="22"/>
          <w:szCs w:val="22"/>
          <w:color w:val="auto"/>
        </w:rPr>
        <w:t>401 SW 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Ave</w:t>
      </w:r>
    </w:p>
    <w:p>
      <w:pPr>
        <w:spacing w:after="0"/>
        <w:rPr>
          <w:sz w:val="20"/>
          <w:szCs w:val="20"/>
          <w:color w:val="auto"/>
        </w:rPr>
      </w:pPr>
      <w:r>
        <w:rPr>
          <w:rFonts w:ascii="Arial" w:cs="Arial" w:eastAsia="Arial" w:hAnsi="Arial"/>
          <w:sz w:val="22"/>
          <w:szCs w:val="22"/>
          <w:color w:val="auto"/>
        </w:rPr>
        <w:t>Portland, Oregon 97204</w:t>
      </w:r>
    </w:p>
    <w:p>
      <w:pPr>
        <w:spacing w:after="0" w:line="18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Registration Statement on Form S-8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To the addressees set forth above:</w:t>
      </w:r>
    </w:p>
    <w:p>
      <w:pPr>
        <w:spacing w:after="0" w:line="206" w:lineRule="exact"/>
        <w:rPr>
          <w:sz w:val="20"/>
          <w:szCs w:val="20"/>
          <w:color w:val="auto"/>
        </w:rPr>
      </w:pPr>
    </w:p>
    <w:p>
      <w:pPr>
        <w:ind w:right="160" w:firstLine="648"/>
        <w:spacing w:after="0" w:line="274" w:lineRule="auto"/>
        <w:rPr>
          <w:sz w:val="20"/>
          <w:szCs w:val="20"/>
          <w:color w:val="auto"/>
        </w:rPr>
      </w:pPr>
      <w:r>
        <w:rPr>
          <w:rFonts w:ascii="Arial" w:cs="Arial" w:eastAsia="Arial" w:hAnsi="Arial"/>
          <w:sz w:val="19"/>
          <w:szCs w:val="19"/>
          <w:color w:val="auto"/>
        </w:rPr>
        <w:t>We have acted as special counsel to Expensify,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in connection with the registration for resale from time to time by certain selling stockholders (the “</w:t>
      </w:r>
      <w:r>
        <w:rPr>
          <w:rFonts w:ascii="Arial" w:cs="Arial" w:eastAsia="Arial" w:hAnsi="Arial"/>
          <w:sz w:val="19"/>
          <w:szCs w:val="19"/>
          <w:b w:val="1"/>
          <w:bCs w:val="1"/>
          <w:i w:val="1"/>
          <w:iCs w:val="1"/>
          <w:color w:val="auto"/>
        </w:rPr>
        <w:t>Selling Stockholders</w:t>
      </w:r>
      <w:r>
        <w:rPr>
          <w:rFonts w:ascii="Arial" w:cs="Arial" w:eastAsia="Arial" w:hAnsi="Arial"/>
          <w:sz w:val="19"/>
          <w:szCs w:val="19"/>
          <w:color w:val="auto"/>
        </w:rPr>
        <w:t>”) of up to 1,638,755 shares (the “</w:t>
      </w:r>
      <w:r>
        <w:rPr>
          <w:rFonts w:ascii="Arial" w:cs="Arial" w:eastAsia="Arial" w:hAnsi="Arial"/>
          <w:sz w:val="19"/>
          <w:szCs w:val="19"/>
          <w:b w:val="1"/>
          <w:bCs w:val="1"/>
          <w:i w:val="1"/>
          <w:iCs w:val="1"/>
          <w:color w:val="auto"/>
        </w:rPr>
        <w:t>Shares</w:t>
      </w:r>
      <w:r>
        <w:rPr>
          <w:rFonts w:ascii="Arial" w:cs="Arial" w:eastAsia="Arial" w:hAnsi="Arial"/>
          <w:sz w:val="19"/>
          <w:szCs w:val="19"/>
          <w:i w:val="1"/>
          <w:iCs w:val="1"/>
          <w:color w:val="auto"/>
        </w:rPr>
        <w:t>”</w:t>
      </w:r>
      <w:r>
        <w:rPr>
          <w:rFonts w:ascii="Arial" w:cs="Arial" w:eastAsia="Arial" w:hAnsi="Arial"/>
          <w:sz w:val="19"/>
          <w:szCs w:val="19"/>
          <w:color w:val="auto"/>
        </w:rPr>
        <w:t>) of the Company’s Class A common stock, $0.0001 par value per share, issued to the Selling Stockholders by the Company. The Shares are included in a registration statement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on Form S-8 under the Securities Act of 1933, as amended (the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and the related prospectus included in the Registration Statement (the “</w:t>
      </w: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 filed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on November 9, 2021. This opinion is being furnished in connection with the requirements of Item 601(b)(5) of Regulation S-K under the Act, and no opinion is expressed herein as to any matter pertaining to the contents of the Registration Statement or the Prospectus, other than as expressly stated herein with respect to the issue of the Shares.</w:t>
      </w:r>
    </w:p>
    <w:p>
      <w:pPr>
        <w:spacing w:after="0" w:line="158" w:lineRule="exact"/>
        <w:rPr>
          <w:sz w:val="20"/>
          <w:szCs w:val="20"/>
          <w:color w:val="auto"/>
        </w:rPr>
      </w:pPr>
    </w:p>
    <w:p>
      <w:pPr>
        <w:ind w:right="240" w:firstLine="648"/>
        <w:spacing w:after="0" w:line="287" w:lineRule="auto"/>
        <w:rPr>
          <w:sz w:val="20"/>
          <w:szCs w:val="20"/>
          <w:color w:val="auto"/>
        </w:rPr>
      </w:pPr>
      <w:r>
        <w:rPr>
          <w:rFonts w:ascii="Arial" w:cs="Arial" w:eastAsia="Arial" w:hAnsi="Arial"/>
          <w:sz w:val="19"/>
          <w:szCs w:val="19"/>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w:t>
      </w:r>
    </w:p>
    <w:p>
      <w:pPr>
        <w:spacing w:after="0" w:line="143" w:lineRule="exact"/>
        <w:rPr>
          <w:sz w:val="20"/>
          <w:szCs w:val="20"/>
          <w:color w:val="auto"/>
        </w:rPr>
      </w:pPr>
    </w:p>
    <w:p>
      <w:pPr>
        <w:ind w:right="80" w:firstLine="648"/>
        <w:spacing w:after="0" w:line="328" w:lineRule="auto"/>
        <w:rPr>
          <w:sz w:val="20"/>
          <w:szCs w:val="20"/>
          <w:color w:val="auto"/>
        </w:rPr>
      </w:pPr>
      <w:r>
        <w:rPr>
          <w:rFonts w:ascii="Arial" w:cs="Arial" w:eastAsia="Arial" w:hAnsi="Arial"/>
          <w:sz w:val="19"/>
          <w:szCs w:val="19"/>
          <w:color w:val="auto"/>
        </w:rPr>
        <w:t>Subject to the foregoing and the other matters set forth herein, it is our opinion that, as of the date hereof, the Shares have been duly authorized by all necessary corporate action of the Company, and are validly issued, fully paid and nonassessable.</w:t>
      </w:r>
    </w:p>
    <w:p>
      <w:pPr>
        <w:sectPr>
          <w:pgSz w:w="11900" w:h="16838" w:orient="portrait"/>
          <w:cols w:equalWidth="0" w:num="1">
            <w:col w:w="11240"/>
          </w:cols>
          <w:pgMar w:left="320" w:top="121" w:right="339" w:bottom="1440" w:gutter="0" w:footer="0" w:header="0"/>
          <w:type w:val="continuous"/>
        </w:sectPr>
      </w:pPr>
    </w:p>
    <w:bookmarkStart w:id="20" w:name="page21"/>
    <w:bookmarkEnd w:id="20"/>
    <w:p>
      <w:pPr>
        <w:ind w:left="20"/>
        <w:spacing w:after="0"/>
        <w:rPr>
          <w:sz w:val="20"/>
          <w:szCs w:val="20"/>
          <w:color w:val="auto"/>
        </w:rPr>
      </w:pPr>
      <w:r>
        <w:rPr>
          <w:rFonts w:ascii="Arial" w:cs="Arial" w:eastAsia="Arial" w:hAnsi="Arial"/>
          <w:sz w:val="13"/>
          <w:szCs w:val="13"/>
          <w:b w:val="1"/>
          <w:bCs w:val="1"/>
          <w:color w:val="auto"/>
        </w:rPr>
        <w:t>November 9, 2021</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388745" cy="93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extLst>
                    </a:blip>
                    <a:srcRect/>
                    <a:stretch>
                      <a:fillRect/>
                    </a:stretch>
                  </pic:blipFill>
                  <pic:spPr bwMode="auto">
                    <a:xfrm>
                      <a:off x="0" y="0"/>
                      <a:ext cx="1388745"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228"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Sincerely,</w:t>
      </w:r>
    </w:p>
    <w:p>
      <w:pPr>
        <w:spacing w:after="0" w:line="27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/s/ Latham &amp; Watkins LLP</w:t>
      </w:r>
    </w:p>
    <w:p>
      <w:pPr>
        <w:sectPr>
          <w:pgSz w:w="11900" w:h="16838" w:orient="portrait"/>
          <w:cols w:equalWidth="0" w:num="1">
            <w:col w:w="11160"/>
          </w:cols>
          <w:pgMar w:left="320" w:top="172" w:right="41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We consent to the reference to our firm under the caption “Experts” and to the incorporation by reference in the Registration Statement (Form S-8) pertaining to the Expensify, Inc. 2009 Stock Plan and Expensify, Inc. 2019 Stock Plan of our reports dated April 28, 2021, except for the reclassification of employee and employee related expenses disclosed in Note 1, as to which the date is September 24, 2021, and the retrospective stock split disclosed in Note 1 as to which the date is November 1, 2021, with respect to the consolidated financial statements of Expensify, Inc. for the years ended December 31, 2020 and 2019 included in Amendment No. 3 to the Registration Statement (Form S-1 No. 333-260297), and related Prospectus of Expensify, Inc. for the registration of shares of its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San Francisco, California</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November 9,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lowerLetter"/>
      <w:start w:val="3"/>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9"/>
    </w:lvl>
  </w:abstractNum>
  <w:abstractNum w:abstractNumId="18">
    <w:nsid w:val="62BBD95A"/>
    <w:multiLevelType w:val="hybridMultilevel"/>
    <w:lvl w:ilvl="0">
      <w:lvlJc w:val="left"/>
      <w:lvlText w:val="(%1)"/>
      <w:numFmt w:val="lowerRoman"/>
      <w:start w:val="2"/>
    </w:lvl>
  </w:abstractNum>
  <w:abstractNum w:abstractNumId="19">
    <w:nsid w:val="436C6125"/>
    <w:multiLevelType w:val="hybridMultilevel"/>
    <w:lvl w:ilvl="0">
      <w:lvlJc w:val="left"/>
      <w:lvlText w:val="(%1)"/>
      <w:numFmt w:val="lowerLetter"/>
      <w:start w:val="2"/>
    </w:lvl>
  </w:abstractNum>
  <w:abstractNum w:abstractNumId="20">
    <w:nsid w:val="628C895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42" Type="http://schemas.openxmlformats.org/officeDocument/2006/relationships/image" Target="media/image15.png"/><Relationship Id="rId43" Type="http://schemas.openxmlformats.org/officeDocument/2006/relationships/image" Target="media/image16.jpeg"/><Relationship Id="rId44" Type="http://schemas.openxmlformats.org/officeDocument/2006/relationships/image" Target="media/image17.jpeg"/><Relationship Id="rId20" Type="http://schemas.openxmlformats.org/officeDocument/2006/relationships/hyperlink" Target="http://www.sec.gov/Archives/edgar/data/1476840/000162828021022126/expensifys-1a3.htm" TargetMode="External"/><Relationship Id="rId21" Type="http://schemas.openxmlformats.org/officeDocument/2006/relationships/hyperlink" Target="http://www.sec.gov/Archives/edgar/data/1476840/000162828021022291/expensify-form8xa.htm" TargetMode="External"/><Relationship Id="rId24" Type="http://schemas.openxmlformats.org/officeDocument/2006/relationships/hyperlink" Target="https://www.sec.gov/Archives/edgar/data/1476840/000162828021020900/exhibit31-sx1a2.htm" TargetMode="External"/><Relationship Id="rId25" Type="http://schemas.openxmlformats.org/officeDocument/2006/relationships/hyperlink" Target="https://www.sec.gov/Archives/edgar/data/1476840/000162828021020900/exhibit32-sx1a2.htm" TargetMode="External"/><Relationship Id="rId26" Type="http://schemas.openxmlformats.org/officeDocument/2006/relationships/hyperlink" Target="https://www.sec.gov/Archives/edgar/data/1476840/000162828021020900/exhibit33-sx1a2.htm" TargetMode="External"/><Relationship Id="rId27" Type="http://schemas.openxmlformats.org/officeDocument/2006/relationships/hyperlink" Target="https://www.sec.gov/Archives/edgar/data/1476840/000162828021020900/exhibit34-sx1a2.htm" TargetMode="External"/><Relationship Id="rId28" Type="http://schemas.openxmlformats.org/officeDocument/2006/relationships/hyperlink" Target="https://www.sec.gov/Archives/edgar/data/1476840/000162828021020900/exhibit35-sx1a2.htm" TargetMode="External"/><Relationship Id="rId29" Type="http://schemas.openxmlformats.org/officeDocument/2006/relationships/hyperlink" Target="https://www.sec.gov/Archives/edgar/data/1476840/000162828021020900/exhibit41-sx1a2.htm" TargetMode="External"/><Relationship Id="rId30" Type="http://schemas.openxmlformats.org/officeDocument/2006/relationships/hyperlink" Target="https://www.sec.gov/Archives/edgar/data/1476840/000162828021020900/exhibit106-sx1a2.htm" TargetMode="External"/><Relationship Id="rId31" Type="http://schemas.openxmlformats.org/officeDocument/2006/relationships/hyperlink" Target="https://www.sec.gov/Archives/edgar/data/1476840/000162828021020900/exhibit107-sx1a2.htm" TargetMode="External"/><Relationship Id="rId32" Type="http://schemas.openxmlformats.org/officeDocument/2006/relationships/hyperlink" Target="https://www.sec.gov/Archives/edgar/data/1476840/000162828021020900/exhibit108-sx1a2.htm" TargetMode="External"/><Relationship Id="rId33" Type="http://schemas.openxmlformats.org/officeDocument/2006/relationships/hyperlink" Target="https://www.sec.gov/Archives/edgar/data/1476840/000162828021020900/exhibit109-sx1a2.htm" TargetMode="External"/><Relationship Id="rId34" Type="http://schemas.openxmlformats.org/officeDocument/2006/relationships/hyperlink" Target="https://www.sec.gov/Archives/edgar/data/1476840/000162828021020900/exhibit1010-sx1a2.htm" TargetMode="External"/><Relationship Id="rId35" Type="http://schemas.openxmlformats.org/officeDocument/2006/relationships/hyperlink" Target="https://www.sec.gov/Archives/edgar/data/1476840/000162828021020900/exhibit1011s-1a2.htm" TargetMode="External"/><Relationship Id="rId36" Type="http://schemas.openxmlformats.org/officeDocument/2006/relationships/hyperlink" Target="https://www.sec.gov/Archives/edgar/data/1476840/000162828021020900/exhibit1012-sx1a2.htm" TargetMode="External"/><Relationship Id="rId37" Type="http://schemas.openxmlformats.org/officeDocument/2006/relationships/hyperlink" Target="https://www.sec.gov/Archives/edgar/data/1476840/000162828021020900/exhibit1013-sx1a2.htm" TargetMode="External"/><Relationship Id="rId38" Type="http://schemas.openxmlformats.org/officeDocument/2006/relationships/hyperlink" Target="https://www.sec.gov/Archives/edgar/data/1476840/000162828021020900/exhibit1014-sx1a2.htm" TargetMode="External"/><Relationship Id="rId39" Type="http://schemas.openxmlformats.org/officeDocument/2006/relationships/hyperlink" Target="https://www.sec.gov/Archives/edgar/data/1476840/000162828021020900/exhibit1015-sx1a2.htm" TargetMode="External"/><Relationship Id="rId40" Type="http://schemas.openxmlformats.org/officeDocument/2006/relationships/hyperlink" Target="https://www.sec.gov/Archives/edgar/data/1476840/000162828021020900/exhibit1016-sx1a2.htm" TargetMode="External"/><Relationship Id="rId41" Type="http://schemas.openxmlformats.org/officeDocument/2006/relationships/hyperlink" Target="https://www.sec.gov/Archives/edgar/data/1476840/000162828021020900/exhibit1017-sx1a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2021-11-10T05:20:53Z</dcterms:created>
  <dcterms:modified xsi:type="dcterms:W3CDTF">2021-11-10T05:20:53Z</dcterms:modified>
</cp:coreProperties>
</file>