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11/08/2023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901"/>
        <w:gridCol w:w="773"/>
        <w:gridCol w:w="599"/>
        <w:gridCol w:w="338"/>
        <w:gridCol w:w="1135"/>
        <w:gridCol w:w="424"/>
        <w:gridCol w:w="692"/>
        <w:gridCol w:w="1240"/>
        <w:gridCol w:w="96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1,014,197</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w:t>
            </w:r>
            <w:r>
              <w:rPr>
                <w:rFonts w:ascii="Times;serif" w:hAnsi="Times;serif"/>
                <w:color w:val="008000"/>
                <w:position w:val="7"/>
                <w:sz w:val="16"/>
                <w:sz w:val="20"/>
                <w:shd w:fill="FFFFFF" w:val="clear"/>
              </w:rPr>
              <w:t>(1)</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8,109,222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$1.57 to $1.99, inclusive. The Reporting Persons undertake to provide the Issuer, any security holder of the Issuer or the staff of the Securities and Exchange Commission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819</Words>
  <Characters>4406</Characters>
  <CharactersWithSpaces>5112</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