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0001891061</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0001891061-23-000002</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294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294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5212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12456.68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5212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10/31/2023 4000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10680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09/29/2023 4000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13120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08/31/2023 3900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17121</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Form 144 amends and supersedes the prior Form 144 filed on November 29, 2023. The number of securities to be sold has been corrected. Note for 3(e): As of November 3, 2023, as stated in Issuer's quarterly report on Form 10-Q for the quarterly period ending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2023-12-08T18:56:33Z</dcterms:created>
  <dcterms:modified xsi:type="dcterms:W3CDTF">2023-12-08T18:56:33Z</dcterms:modified>
</cp:coreProperties>
</file>