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28, 2024</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Expensify, Inc.</w:t>
      </w:r>
    </w:p>
    <w:p>
      <w:pPr>
        <w:spacing w:after="0" w:line="72" w:lineRule="exact"/>
        <w:rPr>
          <w:sz w:val="24"/>
          <w:szCs w:val="24"/>
          <w:color w:val="auto"/>
        </w:rPr>
      </w:pPr>
    </w:p>
    <w:tbl>
      <w:tblPr>
        <w:tblLayout w:type="fixed"/>
        <w:tblInd w:w="104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680" w:type="dxa"/>
            <w:vAlign w:val="bottom"/>
          </w:tcPr>
          <w:p>
            <w:pPr>
              <w:spacing w:after="0"/>
              <w:rPr>
                <w:sz w:val="20"/>
                <w:szCs w:val="20"/>
                <w:color w:val="auto"/>
              </w:rPr>
            </w:pPr>
          </w:p>
        </w:tc>
      </w:tr>
      <w:tr>
        <w:trPr>
          <w:trHeight w:val="246"/>
        </w:trPr>
        <w:tc>
          <w:tcPr>
            <w:tcW w:w="2100" w:type="dxa"/>
            <w:vAlign w:val="bottom"/>
          </w:tcPr>
          <w:p>
            <w:pPr>
              <w:jc w:val="center"/>
              <w:ind w:right="3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8"/>
                <w:szCs w:val="18"/>
                <w:b w:val="1"/>
                <w:bCs w:val="1"/>
                <w:color w:val="auto"/>
                <w:w w:val="99"/>
              </w:rPr>
              <w:t>001-41043</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8"/>
                <w:szCs w:val="18"/>
                <w:b w:val="1"/>
                <w:bCs w:val="1"/>
                <w:color w:val="auto"/>
                <w:w w:val="98"/>
              </w:rPr>
              <w:t>27-0239450</w:t>
            </w:r>
          </w:p>
        </w:tc>
      </w:tr>
      <w:tr>
        <w:trPr>
          <w:trHeight w:val="178"/>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00" w:type="dxa"/>
            <w:vAlign w:val="bottom"/>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100" w:type="dxa"/>
            <w:vAlign w:val="bottom"/>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80" w:type="dxa"/>
            <w:vAlign w:val="bottom"/>
          </w:tcPr>
          <w:p>
            <w:pPr>
              <w:jc w:val="center"/>
              <w:ind w:left="4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3"/>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5"/>
              </w:rPr>
              <w:t>401 SW 5</w:t>
            </w:r>
            <w:r>
              <w:rPr>
                <w:rFonts w:ascii="Times New Roman" w:cs="Times New Roman" w:eastAsia="Times New Roman" w:hAnsi="Times New Roman"/>
                <w:sz w:val="23"/>
                <w:szCs w:val="23"/>
                <w:b w:val="1"/>
                <w:bCs w:val="1"/>
                <w:color w:val="auto"/>
                <w:w w:val="95"/>
                <w:vertAlign w:val="superscript"/>
              </w:rPr>
              <w:t>th</w:t>
            </w:r>
            <w:r>
              <w:rPr>
                <w:rFonts w:ascii="Times New Roman" w:cs="Times New Roman" w:eastAsia="Times New Roman" w:hAnsi="Times New Roman"/>
                <w:sz w:val="18"/>
                <w:szCs w:val="18"/>
                <w:b w:val="1"/>
                <w:bCs w:val="1"/>
                <w:color w:val="auto"/>
                <w:w w:val="95"/>
              </w:rPr>
              <w:t xml:space="preserve"> Ave</w:t>
            </w:r>
          </w:p>
        </w:tc>
        <w:tc>
          <w:tcPr>
            <w:tcW w:w="1680" w:type="dxa"/>
            <w:vAlign w:val="bottom"/>
          </w:tcPr>
          <w:p>
            <w:pPr>
              <w:spacing w:after="0"/>
              <w:rPr>
                <w:sz w:val="24"/>
                <w:szCs w:val="24"/>
                <w:color w:val="auto"/>
              </w:rPr>
            </w:pPr>
          </w:p>
        </w:tc>
      </w:tr>
      <w:tr>
        <w:trPr>
          <w:trHeight w:val="214"/>
        </w:trPr>
        <w:tc>
          <w:tcPr>
            <w:tcW w:w="2100" w:type="dxa"/>
            <w:vAlign w:val="bottom"/>
          </w:tcPr>
          <w:p>
            <w:pPr>
              <w:spacing w:after="0"/>
              <w:rPr>
                <w:sz w:val="18"/>
                <w:szCs w:val="18"/>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Portland, Oregon 97204</w:t>
            </w:r>
          </w:p>
        </w:tc>
        <w:tc>
          <w:tcPr>
            <w:tcW w:w="1680" w:type="dxa"/>
            <w:vAlign w:val="bottom"/>
          </w:tcPr>
          <w:p>
            <w:pPr>
              <w:spacing w:after="0"/>
              <w:rPr>
                <w:sz w:val="18"/>
                <w:szCs w:val="18"/>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w w:val="99"/>
              </w:rPr>
              <w:t>(971) 365-3939</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680" w:type="dxa"/>
            <w:vAlign w:val="bottom"/>
          </w:tcPr>
          <w:p>
            <w:pPr>
              <w:spacing w:after="0"/>
              <w:rPr>
                <w:sz w:val="16"/>
                <w:szCs w:val="16"/>
                <w:color w:val="auto"/>
              </w:rPr>
            </w:pPr>
          </w:p>
        </w:tc>
      </w:tr>
      <w:tr>
        <w:trPr>
          <w:trHeight w:val="309"/>
        </w:trPr>
        <w:tc>
          <w:tcPr>
            <w:tcW w:w="2100" w:type="dxa"/>
            <w:vAlign w:val="bottom"/>
          </w:tcPr>
          <w:p>
            <w:pPr>
              <w:spacing w:after="0"/>
              <w:rPr>
                <w:sz w:val="24"/>
                <w:szCs w:val="24"/>
                <w:color w:val="auto"/>
              </w:rPr>
            </w:pPr>
          </w:p>
        </w:tc>
        <w:tc>
          <w:tcPr>
            <w:tcW w:w="5100" w:type="dxa"/>
            <w:vAlign w:val="bottom"/>
          </w:tcPr>
          <w:p>
            <w:pPr>
              <w:jc w:val="center"/>
              <w:ind w:right="58"/>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190"/>
        </w:trPr>
        <w:tc>
          <w:tcPr>
            <w:tcW w:w="2100" w:type="dxa"/>
            <w:vAlign w:val="bottom"/>
          </w:tcPr>
          <w:p>
            <w:pPr>
              <w:spacing w:after="0"/>
              <w:rPr>
                <w:sz w:val="16"/>
                <w:szCs w:val="16"/>
                <w:color w:val="auto"/>
              </w:rPr>
            </w:pPr>
          </w:p>
        </w:tc>
        <w:tc>
          <w:tcPr>
            <w:tcW w:w="510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680" w:type="dxa"/>
            <w:vAlign w:val="bottom"/>
          </w:tcPr>
          <w:p>
            <w:pPr>
              <w:spacing w:after="0"/>
              <w:rPr>
                <w:sz w:val="16"/>
                <w:szCs w:val="16"/>
                <w:color w:val="auto"/>
              </w:rPr>
            </w:pPr>
          </w:p>
        </w:tc>
      </w:tr>
    </w:tbl>
    <w:p>
      <w:pPr>
        <w:spacing w:after="0" w:line="100"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36"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420" w:hanging="394"/>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7"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14"/>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EXFY</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r>
        <w:trPr>
          <w:trHeight w:val="2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0" w:type="dxa"/>
            <w:vAlign w:val="bottom"/>
          </w:tcPr>
          <w:p>
            <w:pPr>
              <w:spacing w:after="0"/>
              <w:rPr>
                <w:sz w:val="20"/>
                <w:szCs w:val="20"/>
                <w:color w:val="auto"/>
              </w:rPr>
            </w:pPr>
          </w:p>
        </w:tc>
      </w:tr>
    </w:tbl>
    <w:p>
      <w:pPr>
        <w:spacing w:after="0" w:line="9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1.02 Termination of a Material Definitive Agreement.</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On August 29, 2024, Expensify, Inc. (the “Company”) repaid in full the mortgage for its commercial building in Portland, Oregon and terminated the associated Loan Agreement, dated August 22, 2019, by and between the Company as guarantor, 401 SW 5th Ave LLC, as borrower, and Canadian Imperial Bank of Commerce (“CIBC”), as lender (the “Loan Agreement”), and the Secured Promissory Note issued thereunder (together with the Loan Agreement, the “Loan Documents”). A summary of the material features of the Loan Documents can be found in the section entitled “Management’s Discussion and Analysis of Financial Condition and Results of Operation—Liquidity and Capital Resources—Credit Facilities—Amortizing Term Mortgage” in the Company’s Quarterly Report on Form 10-Q for the Quarterly Period ended June 30, 2024, and such summary is incorporated by reference into this Item</w:t>
      </w:r>
    </w:p>
    <w:p>
      <w:pPr>
        <w:spacing w:after="0" w:line="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1.02 in its entirety. Upon receipt of such repayment and termination of the Loan Documents,, (i) all obligations of each party arising under or related to the Loan Documents were paid in full; (ii) all related liens were released; and (iii) any collateral which was held by CIBC, securing the outstanding obligations under the Loan Documents, was returned.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48"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8"/>
          <w:szCs w:val="18"/>
          <w:color w:val="auto"/>
        </w:rPr>
        <w:t>On August 28, 2024, the Company entered into a Purchase and Sale Agreement (the “Purchase and Sale Agreement”) with Barrett Trust LLC (“Seller”), pursuant to which the Company agreed to purchase an aggregate of 645,938 shares of Class A common stock, par value $0.0001 per share (the “Class A Common Stock”) of the Company owned by Seller at a price of $2.33839 per share, which represents a weighted average price for the Class A Common Stock of the Company for the three (3) trading-day period ending August 27, 2024 as reported by Nasdaq. The aggregate purchase price for this repurchase transaction was $1,510,455.90. The closing of such repurchase transaction is expected to occur on or about September 3, 2024. Upon closing of the repurchase, the 645,938 shares of Class A Common Stock will be retired and will resume the status of authorized but unissued shares. The shares repurchased were repurchased under the Company’s previously announced repurchase program. Following this repurchase, the Company has approximately $39.5 million remaining under its repurchase authorization.</w:t>
      </w:r>
    </w:p>
    <w:p>
      <w:pPr>
        <w:spacing w:after="0" w:line="11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Purchase and Sale Agreement is qualified in its entirety by reference to the text of the Purchase and Sale Agreement, a copy of which is attached hereto as Exhibit 99.1 and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4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8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Exhibit No.</w:t>
        <w:tab/>
        <w:t>Description</w:t>
      </w:r>
    </w:p>
    <w:p>
      <w:pPr>
        <w:spacing w:after="0" w:line="115" w:lineRule="exact"/>
        <w:rPr>
          <w:sz w:val="20"/>
          <w:szCs w:val="20"/>
          <w:color w:val="auto"/>
        </w:rPr>
      </w:pPr>
    </w:p>
    <w:p>
      <w:pPr>
        <w:ind w:left="260"/>
        <w:spacing w:after="0"/>
        <w:tabs>
          <w:tab w:leader="none" w:pos="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Purchase and Sale Agreement, dated as of August 28, 2024, by and between Expensify, Inc. and Barrett Trust LLC.</w:t>
      </w:r>
    </w:p>
    <w:p>
      <w:pPr>
        <w:spacing w:after="0" w:line="104" w:lineRule="exact"/>
        <w:rPr>
          <w:sz w:val="20"/>
          <w:szCs w:val="20"/>
          <w:color w:val="auto"/>
        </w:rPr>
      </w:pPr>
    </w:p>
    <w:p>
      <w:pPr>
        <w:ind w:left="30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964565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SIGNATURE</w:t>
      </w:r>
    </w:p>
    <w:p>
      <w:pPr>
        <w:spacing w:after="0" w:line="216"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color w:val="auto"/>
        </w:rPr>
        <w:t>Expensify, Inc.</w:t>
      </w:r>
    </w:p>
    <w:p>
      <w:pPr>
        <w:spacing w:after="0" w:line="266"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26035</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30"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color w:val="auto"/>
        </w:rPr>
        <w:t>Ryan Schaffer</w:t>
      </w:r>
    </w:p>
    <w:p>
      <w:pPr>
        <w:spacing w:after="0" w:line="63" w:lineRule="exact"/>
        <w:rPr>
          <w:sz w:val="20"/>
          <w:szCs w:val="20"/>
          <w:color w:val="auto"/>
        </w:rPr>
      </w:pPr>
    </w:p>
    <w:p>
      <w:pPr>
        <w:ind w:left="8700"/>
        <w:spacing w:after="0"/>
        <w:tabs>
          <w:tab w:leader="none" w:pos="930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3, 2024</w:t>
      </w:r>
    </w:p>
    <w:p>
      <w:pPr>
        <w:sectPr>
          <w:pgSz w:w="11900" w:h="16838" w:orient="portrait"/>
          <w:cols w:equalWidth="0" w:num="1">
            <w:col w:w="11200"/>
          </w:cols>
          <w:pgMar w:left="320" w:top="1413"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 AND SALE AGREEMENT</w:t>
      </w:r>
    </w:p>
    <w:p>
      <w:pPr>
        <w:spacing w:after="0" w:line="148" w:lineRule="exact"/>
        <w:rPr>
          <w:sz w:val="20"/>
          <w:szCs w:val="20"/>
          <w:color w:val="auto"/>
        </w:rPr>
      </w:pPr>
    </w:p>
    <w:p>
      <w:pPr>
        <w:ind w:right="280" w:firstLine="324"/>
        <w:spacing w:after="0" w:line="242" w:lineRule="auto"/>
        <w:rPr>
          <w:sz w:val="20"/>
          <w:szCs w:val="20"/>
          <w:color w:val="auto"/>
        </w:rPr>
      </w:pPr>
      <w:r>
        <w:rPr>
          <w:rFonts w:ascii="Times New Roman" w:cs="Times New Roman" w:eastAsia="Times New Roman" w:hAnsi="Times New Roman"/>
          <w:sz w:val="18"/>
          <w:szCs w:val="18"/>
          <w:color w:val="auto"/>
        </w:rPr>
        <w:t>This Purchase and Sale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by and between Barrett Trust LLC, a Delaware limited liability company (the “</w:t>
      </w:r>
      <w:r>
        <w:rPr>
          <w:rFonts w:ascii="Times New Roman" w:cs="Times New Roman" w:eastAsia="Times New Roman" w:hAnsi="Times New Roman"/>
          <w:sz w:val="18"/>
          <w:szCs w:val="18"/>
          <w:u w:val="single" w:color="auto"/>
          <w:color w:val="auto"/>
        </w:rPr>
        <w:t>Seller”</w:t>
      </w:r>
      <w:r>
        <w:rPr>
          <w:rFonts w:ascii="Times New Roman" w:cs="Times New Roman" w:eastAsia="Times New Roman" w:hAnsi="Times New Roman"/>
          <w:sz w:val="18"/>
          <w:szCs w:val="18"/>
          <w:color w:val="auto"/>
        </w:rPr>
        <w:t>), and Expensify, Inc. a Delaware corporation (the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as of August 28, 2024. Each of Seller and Purchaser is sometimes referred to herein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“Parties” to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144" w:lineRule="exact"/>
        <w:rPr>
          <w:sz w:val="20"/>
          <w:szCs w:val="20"/>
          <w:color w:val="auto"/>
        </w:rPr>
      </w:pPr>
    </w:p>
    <w:p>
      <w:pPr>
        <w:ind w:right="560"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owns an aggregate of 645,938 shares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 of Class A Common Stock, par value $0.0001 per share,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and</w:t>
      </w:r>
    </w:p>
    <w:p>
      <w:pPr>
        <w:spacing w:after="0" w:line="73" w:lineRule="exact"/>
        <w:rPr>
          <w:sz w:val="20"/>
          <w:szCs w:val="20"/>
          <w:color w:val="auto"/>
        </w:rPr>
      </w:pPr>
    </w:p>
    <w:p>
      <w:pPr>
        <w:ind w:right="400"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Seller desires to sell and Purchaser desires to purchase the Subject Shares for a price per share of $2.33839, subject to the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this Agreement.</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131" w:lineRule="exact"/>
        <w:rPr>
          <w:sz w:val="20"/>
          <w:szCs w:val="20"/>
          <w:color w:val="auto"/>
        </w:rPr>
      </w:pPr>
    </w:p>
    <w:p>
      <w:pPr>
        <w:ind w:right="420" w:firstLine="324"/>
        <w:spacing w:after="0" w:line="271"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mutual covenants and agreements contained herein and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hereby agree as follows:</w:t>
      </w:r>
    </w:p>
    <w:p>
      <w:pPr>
        <w:spacing w:after="0" w:line="90" w:lineRule="exact"/>
        <w:rPr>
          <w:sz w:val="20"/>
          <w:szCs w:val="20"/>
          <w:color w:val="auto"/>
        </w:rPr>
      </w:pPr>
    </w:p>
    <w:p>
      <w:pPr>
        <w:ind w:right="60" w:firstLine="332"/>
        <w:spacing w:after="0"/>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and Sale.</w:t>
      </w:r>
      <w:r>
        <w:rPr>
          <w:rFonts w:ascii="Times New Roman" w:cs="Times New Roman" w:eastAsia="Times New Roman" w:hAnsi="Times New Roman"/>
          <w:sz w:val="18"/>
          <w:szCs w:val="18"/>
          <w:color w:val="auto"/>
        </w:rPr>
        <w:t xml:space="preserve"> Seller agrees to sell the Subject Shares to Purchaser, and Purchaser agrees to purchase the Subject Shares on the Closing Date (as defined in Section 2 below). The total purchase price for the Subject Shares shall be $1,510,455.90 due to Seller from Purchaser (the “</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reflecting a price per share of $2.33839, which represents the weighted average price for the Class A common stock, par value $0.0001 per share, of the Company for the three (3) trading-day period ending August 27, 2024, calculated as follows:</w:t>
      </w:r>
    </w:p>
    <w:p>
      <w:pPr>
        <w:spacing w:after="0" w:line="117" w:lineRule="exact"/>
        <w:rPr>
          <w:sz w:val="20"/>
          <w:szCs w:val="20"/>
          <w:color w:val="auto"/>
        </w:rPr>
      </w:pPr>
    </w:p>
    <w:p>
      <w:pPr>
        <w:ind w:left="5040" w:right="1420" w:hanging="3281"/>
        <w:spacing w:after="0" w:line="266" w:lineRule="auto"/>
        <w:tabs>
          <w:tab w:leader="none" w:pos="1861" w:val="left"/>
        </w:tabs>
        <w:numPr>
          <w:ilvl w:val="0"/>
          <w:numId w:val="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 xml:space="preserve">( ( CP1 + HP1 + LP1 ) / 3 ) * V1 ) + ( ( ( CP2 + HP2 + LP2 ) / 3 ) * V2 ) + ( ( ( CP3 + HP3 + LP3 ) / 3 ) * V3) </w:t>
      </w:r>
      <w:r>
        <w:rPr>
          <w:rFonts w:ascii="Times New Roman" w:cs="Times New Roman" w:eastAsia="Times New Roman" w:hAnsi="Times New Roman"/>
          <w:sz w:val="18"/>
          <w:szCs w:val="18"/>
          <w:color w:val="auto"/>
        </w:rPr>
        <w:t>(V1 + V2 + V3)</w:t>
      </w:r>
    </w:p>
    <w:p>
      <w:pPr>
        <w:spacing w:after="0" w:line="95"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where CP1, HP1, LP1, and V1 represent the closing price, high price, low price, and volume on August 23, 2024, respectively, CP2, HP2, LP2, and V2 represent the closing price, high price, low price, and volume on August 26, 2024, respectively, and CP3, HP3, LP3, and V3 represent the closing price, high price, low price, and volume on August 27, 2024, respectively, in each case as reported by Nasdaq.</w:t>
      </w:r>
    </w:p>
    <w:p>
      <w:pPr>
        <w:spacing w:after="0" w:line="1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Purchase Price shall be payable in cash at the closing of such sale in accordance with the provisions of Section 3 hereof.</w:t>
      </w:r>
    </w:p>
    <w:p>
      <w:pPr>
        <w:spacing w:after="0" w:line="141" w:lineRule="exact"/>
        <w:rPr>
          <w:sz w:val="20"/>
          <w:szCs w:val="20"/>
          <w:color w:val="auto"/>
        </w:rPr>
      </w:pPr>
    </w:p>
    <w:p>
      <w:pPr>
        <w:ind w:right="220" w:firstLine="332"/>
        <w:spacing w:after="0" w:line="217"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The closing of the transactions contemplated by this Agreement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shall take place at the offices of Purchaser, 401 SW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Ave, Portland, OR 97204, on August 28, 2024, or on such other date as the Parties may mutually determine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0" w:firstLine="332"/>
        <w:spacing w:after="0" w:line="266"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Deliveries of Purchaser.</w:t>
      </w:r>
      <w:r>
        <w:rPr>
          <w:rFonts w:ascii="Times New Roman" w:cs="Times New Roman" w:eastAsia="Times New Roman" w:hAnsi="Times New Roman"/>
          <w:sz w:val="18"/>
          <w:szCs w:val="18"/>
          <w:color w:val="auto"/>
        </w:rPr>
        <w:t xml:space="preserve"> At the Closing, Purchaser shall deliver the Purchase Price to Seller by wire transfer of immediately available funds to the account designated in writing by Seller.</w:t>
      </w:r>
    </w:p>
    <w:p>
      <w:pPr>
        <w:spacing w:after="0" w:line="94" w:lineRule="exact"/>
        <w:rPr>
          <w:rFonts w:ascii="Times New Roman" w:cs="Times New Roman" w:eastAsia="Times New Roman" w:hAnsi="Times New Roman"/>
          <w:sz w:val="18"/>
          <w:szCs w:val="18"/>
          <w:color w:val="auto"/>
        </w:rPr>
      </w:pPr>
    </w:p>
    <w:p>
      <w:pPr>
        <w:ind w:right="20" w:firstLine="332"/>
        <w:spacing w:after="0" w:line="242" w:lineRule="auto"/>
        <w:tabs>
          <w:tab w:leader="none" w:pos="64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Deliveries by Seller.</w:t>
      </w:r>
      <w:r>
        <w:rPr>
          <w:rFonts w:ascii="Times New Roman" w:cs="Times New Roman" w:eastAsia="Times New Roman" w:hAnsi="Times New Roman"/>
          <w:sz w:val="18"/>
          <w:szCs w:val="18"/>
          <w:color w:val="auto"/>
        </w:rPr>
        <w:t xml:space="preserve"> At the Closing, Seller shall deliver, or cause to be delivered, to Purchaser, certificates representing the Subject Shares together with transfers and assignments separate from certificate with respect to the Subject Shares sufficient to transfer title to the Subject Shares to Purchaser on the books of the Company, including, as necessary, lien releases or Medallion Guarantees.</w:t>
      </w:r>
    </w:p>
    <w:p>
      <w:pPr>
        <w:spacing w:after="0" w:line="116" w:lineRule="exact"/>
        <w:rPr>
          <w:rFonts w:ascii="Times New Roman" w:cs="Times New Roman" w:eastAsia="Times New Roman" w:hAnsi="Times New Roman"/>
          <w:sz w:val="18"/>
          <w:szCs w:val="18"/>
          <w:color w:val="auto"/>
        </w:rPr>
      </w:pPr>
    </w:p>
    <w:p>
      <w:pPr>
        <w:ind w:right="240" w:firstLine="332"/>
        <w:spacing w:after="0" w:line="296" w:lineRule="auto"/>
        <w:tabs>
          <w:tab w:leader="none" w:pos="64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Representations and Warranties of Seller.</w:t>
      </w:r>
      <w:r>
        <w:rPr>
          <w:rFonts w:ascii="Times New Roman" w:cs="Times New Roman" w:eastAsia="Times New Roman" w:hAnsi="Times New Roman"/>
          <w:sz w:val="17"/>
          <w:szCs w:val="17"/>
          <w:color w:val="auto"/>
        </w:rPr>
        <w:t xml:space="preserve"> Seller represents and warrants to Purchaser that the statements contained in this Section 5 are true and correct as of the date of this Agreement and shall be true and correct as of the Closing Date, it being agreed that Purchaser is relying on each statement.</w:t>
      </w:r>
    </w:p>
    <w:p>
      <w:pPr>
        <w:spacing w:after="0" w:line="57" w:lineRule="exact"/>
        <w:rPr>
          <w:rFonts w:ascii="Times New Roman" w:cs="Times New Roman" w:eastAsia="Times New Roman" w:hAnsi="Times New Roman"/>
          <w:sz w:val="17"/>
          <w:szCs w:val="17"/>
          <w:color w:val="auto"/>
        </w:rPr>
      </w:pPr>
    </w:p>
    <w:p>
      <w:pPr>
        <w:ind w:right="60" w:firstLine="656"/>
        <w:spacing w:after="0" w:line="241" w:lineRule="auto"/>
        <w:tabs>
          <w:tab w:leader="none" w:pos="129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Legal, Valid and Binding Obligations.</w:t>
      </w:r>
      <w:r>
        <w:rPr>
          <w:rFonts w:ascii="Times New Roman" w:cs="Times New Roman" w:eastAsia="Times New Roman" w:hAnsi="Times New Roman"/>
          <w:sz w:val="18"/>
          <w:szCs w:val="18"/>
          <w:color w:val="auto"/>
        </w:rPr>
        <w:t xml:space="preserve"> Seller (i) is duly organized and validly existing and (ii) has all necessary power and capacity to execute and deliver this Agreement and each of the other agreements and instruments contemplated hereby (collectively, the “</w:t>
      </w:r>
      <w:r>
        <w:rPr>
          <w:rFonts w:ascii="Times New Roman" w:cs="Times New Roman" w:eastAsia="Times New Roman" w:hAnsi="Times New Roman"/>
          <w:sz w:val="18"/>
          <w:szCs w:val="18"/>
          <w:u w:val="single" w:color="auto"/>
          <w:color w:val="auto"/>
        </w:rPr>
        <w:t>Ancillary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Documents”</w:t>
      </w:r>
      <w:r>
        <w:rPr>
          <w:rFonts w:ascii="Times New Roman" w:cs="Times New Roman" w:eastAsia="Times New Roman" w:hAnsi="Times New Roman"/>
          <w:sz w:val="18"/>
          <w:szCs w:val="18"/>
          <w:color w:val="auto"/>
        </w:rPr>
        <w:t>) and to perform, observe and comply with all of its agreements and obligations hereunder and thereunder and to consummate the transactions contemplated hereby and thereby. The execution, delivery and performance of this Agreement and the Ancillary Documents have been duly and validly authorized by all necessary action on the part of Seller. This Agreement and the Ancillary Documents to which Seller is or will be a party have been or will be duly and validly executed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-668020</wp:posOffset>
            </wp:positionV>
            <wp:extent cx="285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5285105</wp:posOffset>
            </wp:positionH>
            <wp:positionV relativeFrom="paragraph">
              <wp:posOffset>-668020</wp:posOffset>
            </wp:positionV>
            <wp:extent cx="168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4" w:name="page5"/>
    <w:bookmarkEnd w:id="4"/>
    <w:p>
      <w:pPr>
        <w:ind w:right="220"/>
        <w:spacing w:after="0" w:line="266" w:lineRule="auto"/>
        <w:rPr>
          <w:sz w:val="20"/>
          <w:szCs w:val="20"/>
          <w:color w:val="auto"/>
        </w:rPr>
      </w:pPr>
      <w:r>
        <w:rPr>
          <w:rFonts w:ascii="Times New Roman" w:cs="Times New Roman" w:eastAsia="Times New Roman" w:hAnsi="Times New Roman"/>
          <w:sz w:val="18"/>
          <w:szCs w:val="18"/>
          <w:color w:val="auto"/>
        </w:rPr>
        <w:t>Seller and, upon delivery thereof by Seller, will constitute the legal, valid and binding obligations of Seller, enforceable against Seller in accordance with their terms.</w:t>
      </w:r>
    </w:p>
    <w:p>
      <w:pPr>
        <w:spacing w:after="0" w:line="95" w:lineRule="exact"/>
        <w:rPr>
          <w:sz w:val="20"/>
          <w:szCs w:val="20"/>
          <w:color w:val="auto"/>
        </w:rPr>
      </w:pPr>
    </w:p>
    <w:p>
      <w:pPr>
        <w:ind w:right="20" w:firstLine="656"/>
        <w:spacing w:after="0" w:line="238" w:lineRule="auto"/>
        <w:tabs>
          <w:tab w:leader="none" w:pos="129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xml:space="preserve"> None of the execution, delivery or performance by Seller of this Agreement or any Ancillary Document to which it is or will be a party will (with or without the giving of notice, the lapse of time or both) conflict with, result in a breach or violation of or constitute a default under</w:t>
      </w:r>
    </w:p>
    <w:p>
      <w:pPr>
        <w:ind w:right="60" w:firstLine="8"/>
        <w:spacing w:after="0" w:line="243" w:lineRule="auto"/>
        <w:tabs>
          <w:tab w:leader="none" w:pos="24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agreement or other instrument to which Seller is a party or by which its assets or property is bound or (b) any law, statute, rule, regulation, ordinance, writ, order or judgment to which Seller is subject or by which it or its assets or property is bound.</w:t>
      </w:r>
    </w:p>
    <w:p>
      <w:pPr>
        <w:spacing w:after="0" w:line="114" w:lineRule="exact"/>
        <w:rPr>
          <w:rFonts w:ascii="Times New Roman" w:cs="Times New Roman" w:eastAsia="Times New Roman" w:hAnsi="Times New Roman"/>
          <w:sz w:val="18"/>
          <w:szCs w:val="18"/>
          <w:color w:val="auto"/>
        </w:rPr>
      </w:pPr>
    </w:p>
    <w:p>
      <w:pPr>
        <w:ind w:right="80" w:firstLine="656"/>
        <w:spacing w:after="0" w:line="250" w:lineRule="auto"/>
        <w:tabs>
          <w:tab w:leader="none" w:pos="129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approval, consent, waiver or filing of or with any third party, including, but not limited to, any governmental bodies, agencies or instrumentalities, is required for the execution, delivery and performance by Seller of this Agreement or any Ancillary Document to which it is or will be a party other than such approvals, consents, waivers or filings previously obtained or made.</w:t>
      </w:r>
    </w:p>
    <w:p>
      <w:pPr>
        <w:spacing w:after="0" w:line="95" w:lineRule="exact"/>
        <w:rPr>
          <w:rFonts w:ascii="Times New Roman" w:cs="Times New Roman" w:eastAsia="Times New Roman" w:hAnsi="Times New Roman"/>
          <w:sz w:val="18"/>
          <w:szCs w:val="18"/>
          <w:color w:val="auto"/>
        </w:rPr>
      </w:pPr>
    </w:p>
    <w:p>
      <w:pPr>
        <w:ind w:right="20" w:firstLine="656"/>
        <w:spacing w:after="0" w:line="264" w:lineRule="auto"/>
        <w:tabs>
          <w:tab w:leader="none" w:pos="1290" w:val="left"/>
        </w:tabs>
        <w:numPr>
          <w:ilvl w:val="2"/>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Title to Shares; Liens and Encumbrances</w:t>
      </w:r>
      <w:r>
        <w:rPr>
          <w:rFonts w:ascii="Times New Roman" w:cs="Times New Roman" w:eastAsia="Times New Roman" w:hAnsi="Times New Roman"/>
          <w:sz w:val="17"/>
          <w:szCs w:val="17"/>
          <w:color w:val="auto"/>
        </w:rPr>
        <w:t>. Seller is the legal and beneficial owner of the Subject Shares and holds such Subject Shares free and clear of all liens, pledges, options, claims, encumbrances and other security arrangements or restrictions of any kind other than restrictions under that certain secured promissory note dated as of July 25, 2023, as disclosed by Seller to Purchaser (collectively, “</w:t>
      </w:r>
      <w:r>
        <w:rPr>
          <w:rFonts w:ascii="Times New Roman" w:cs="Times New Roman" w:eastAsia="Times New Roman" w:hAnsi="Times New Roman"/>
          <w:sz w:val="17"/>
          <w:szCs w:val="17"/>
          <w:u w:val="single" w:color="auto"/>
          <w:color w:val="auto"/>
        </w:rPr>
        <w:t>Liens</w:t>
      </w:r>
      <w:r>
        <w:rPr>
          <w:rFonts w:ascii="Times New Roman" w:cs="Times New Roman" w:eastAsia="Times New Roman" w:hAnsi="Times New Roman"/>
          <w:sz w:val="17"/>
          <w:szCs w:val="17"/>
          <w:color w:val="auto"/>
        </w:rPr>
        <w:t>”), and upon delivery of such Subject Shares to Purchaser pursuant to the terms of this Agreement, Purchaser will receive good and marketable title thereto, free and clear of any and all Lien.</w:t>
      </w:r>
    </w:p>
    <w:p>
      <w:pPr>
        <w:spacing w:after="0" w:line="98" w:lineRule="exact"/>
        <w:rPr>
          <w:rFonts w:ascii="Times New Roman" w:cs="Times New Roman" w:eastAsia="Times New Roman" w:hAnsi="Times New Roman"/>
          <w:sz w:val="17"/>
          <w:szCs w:val="17"/>
          <w:color w:val="auto"/>
        </w:rPr>
      </w:pPr>
    </w:p>
    <w:p>
      <w:pPr>
        <w:ind w:right="520" w:firstLine="656"/>
        <w:spacing w:after="0" w:line="266" w:lineRule="auto"/>
        <w:tabs>
          <w:tab w:leader="none" w:pos="1293"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Seller has no liability or obligation to pay any fees or commissions to any broker, finder or agent with respect to the transactions contemplated by this Agreement for which Purchaser could become liable or otherwise obligated.</w:t>
      </w:r>
    </w:p>
    <w:p>
      <w:pPr>
        <w:spacing w:after="0" w:line="81" w:lineRule="exact"/>
        <w:rPr>
          <w:rFonts w:ascii="Times New Roman" w:cs="Times New Roman" w:eastAsia="Times New Roman" w:hAnsi="Times New Roman"/>
          <w:sz w:val="18"/>
          <w:szCs w:val="18"/>
          <w:color w:val="auto"/>
        </w:rPr>
      </w:pPr>
    </w:p>
    <w:p>
      <w:pPr>
        <w:ind w:right="40" w:firstLine="656"/>
        <w:spacing w:after="0" w:line="236" w:lineRule="auto"/>
        <w:tabs>
          <w:tab w:leader="none" w:pos="1287"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Independent Decision to Sell; Etc</w:t>
      </w:r>
      <w:r>
        <w:rPr>
          <w:rFonts w:ascii="Times New Roman" w:cs="Times New Roman" w:eastAsia="Times New Roman" w:hAnsi="Times New Roman"/>
          <w:sz w:val="18"/>
          <w:szCs w:val="18"/>
          <w:color w:val="auto"/>
        </w:rPr>
        <w:t>. Seller has made an independent decision to sell the Subject Shares to Purchaser and has determined that it has adequate information concerning the business and financial condition of the Company in connection with its decision to sell the Subject Shares. Seller understands the disadvantage to which it may be subject on account of the disparity of information between it and Purchaser, and further acknowledges that the Company and its affiliates may possess material, non-public information not known to Seller regarding or relating to the Company, its affiliates or the Subject Shares. Seller is capable, by reason of its business or financial knowledge and experience, of evaluating the merits and risks of the sale of the Subject Shares and of protecting its own interest in connection with the sale of the Subject Shares, and Seller acknowledges that it has had the opportunity to discuss the information available to it relating to the sale of the Subject Shares with such advisors as Seller has deemed appropriate. Seller acknowledges that Purchaser has not given it any investment advice or rendered any opinion to it as to whether the sale of the Subject Shares is prudent or suitable, and, except as expressly provided in Section 6 of this Agreement, it is not relying on any representation or warranty made by Purchaser in connection with its decision to sell the Subject Shares to Purchaser.</w:t>
      </w:r>
    </w:p>
    <w:p>
      <w:pPr>
        <w:spacing w:after="0" w:line="124" w:lineRule="exact"/>
        <w:rPr>
          <w:rFonts w:ascii="Times New Roman" w:cs="Times New Roman" w:eastAsia="Times New Roman" w:hAnsi="Times New Roman"/>
          <w:sz w:val="18"/>
          <w:szCs w:val="18"/>
          <w:color w:val="auto"/>
        </w:rPr>
      </w:pPr>
    </w:p>
    <w:p>
      <w:pPr>
        <w:ind w:right="240" w:firstLine="332"/>
        <w:spacing w:after="0" w:line="250" w:lineRule="auto"/>
        <w:tabs>
          <w:tab w:leader="none" w:pos="648"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Purchaser</w:t>
      </w:r>
      <w:r>
        <w:rPr>
          <w:rFonts w:ascii="Times New Roman" w:cs="Times New Roman" w:eastAsia="Times New Roman" w:hAnsi="Times New Roman"/>
          <w:sz w:val="18"/>
          <w:szCs w:val="18"/>
          <w:color w:val="auto"/>
        </w:rPr>
        <w:t>. Purchaser represents and warrants to Seller that the statements contained in this Section 6 are true and correct as of the date of this Agreement and shall be true and correct as of the Closing Date, it being agreed that Seller is relying on each such statement.</w:t>
      </w:r>
    </w:p>
    <w:p>
      <w:pPr>
        <w:spacing w:after="0" w:line="95" w:lineRule="exact"/>
        <w:rPr>
          <w:rFonts w:ascii="Times New Roman" w:cs="Times New Roman" w:eastAsia="Times New Roman" w:hAnsi="Times New Roman"/>
          <w:sz w:val="18"/>
          <w:szCs w:val="18"/>
          <w:color w:val="auto"/>
        </w:rPr>
      </w:pPr>
    </w:p>
    <w:p>
      <w:pPr>
        <w:ind w:firstLine="656"/>
        <w:spacing w:after="0"/>
        <w:tabs>
          <w:tab w:leader="none" w:pos="129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 Legal, Valid and Binding Obligations</w:t>
      </w:r>
      <w:r>
        <w:rPr>
          <w:rFonts w:ascii="Times New Roman" w:cs="Times New Roman" w:eastAsia="Times New Roman" w:hAnsi="Times New Roman"/>
          <w:sz w:val="18"/>
          <w:szCs w:val="18"/>
          <w:color w:val="auto"/>
        </w:rPr>
        <w:t>. Purchaser is a duly incorporated and validly existing corporation organized under the laws of the State of Delaware. Purchaser has all necessary power and capacity to execute and deliver this Agreement and the Ancillary Documents, and to perform, observe and comply with all of its agreements and obligations hereunder and thereunder and to consummate the transactions contemplated hereby and thereby. The execution, delivery and performance of this Agreement and the Ancillary Documents have been duly and validly authorized by all necessary action on the part of Purchaser. This Agreement and each of the Ancillary Documents to which it is or will be a party have been or will be duly and validly executed by Purchaser and, upon delivery thereof by Purchaser, will constitute the legal, valid and binding obligations of Purchaser, enforceable against it in accordance with their terms.</w:t>
      </w:r>
    </w:p>
    <w:p>
      <w:pPr>
        <w:spacing w:after="0" w:line="117" w:lineRule="exact"/>
        <w:rPr>
          <w:rFonts w:ascii="Times New Roman" w:cs="Times New Roman" w:eastAsia="Times New Roman" w:hAnsi="Times New Roman"/>
          <w:sz w:val="18"/>
          <w:szCs w:val="18"/>
          <w:color w:val="auto"/>
        </w:rPr>
      </w:pPr>
    </w:p>
    <w:p>
      <w:pPr>
        <w:ind w:right="120" w:firstLine="656"/>
        <w:spacing w:after="0"/>
        <w:tabs>
          <w:tab w:leader="none" w:pos="129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Conflict</w:t>
      </w:r>
      <w:r>
        <w:rPr>
          <w:rFonts w:ascii="Times New Roman" w:cs="Times New Roman" w:eastAsia="Times New Roman" w:hAnsi="Times New Roman"/>
          <w:sz w:val="18"/>
          <w:szCs w:val="18"/>
          <w:color w:val="auto"/>
        </w:rPr>
        <w:t>. None of the execution, delivery or performance by Purchaser of this Agreement or any Ancillary Document to which it is a party will (with or without the giving of notice, the lapse of time or both) conflict with, result in a breach or violation of or constitute a default under (a) any contract, agreement or other instrument to which Purchaser is a party or by which it or its assets or property is bound or (b) any law, statute, rule, regulation, ordinance, writ, order or judgment to which Purchaser is subject or by which it or its assets or property is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04" w:right="339" w:bottom="1440" w:gutter="0" w:footer="0" w:header="0"/>
        </w:sectPr>
      </w:pPr>
    </w:p>
    <w:bookmarkStart w:id="5" w:name="page6"/>
    <w:bookmarkEnd w:id="5"/>
    <w:p>
      <w:pPr>
        <w:ind w:right="100" w:firstLine="656"/>
        <w:spacing w:after="0" w:line="250" w:lineRule="auto"/>
        <w:tabs>
          <w:tab w:leader="none" w:pos="12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Consents</w:t>
      </w:r>
      <w:r>
        <w:rPr>
          <w:rFonts w:ascii="Times New Roman" w:cs="Times New Roman" w:eastAsia="Times New Roman" w:hAnsi="Times New Roman"/>
          <w:sz w:val="18"/>
          <w:szCs w:val="18"/>
          <w:color w:val="auto"/>
        </w:rPr>
        <w:t>. No approval, consent, waiver or filing of or with any third party, including, but not limited to, any governmental bodies, agencies or instrumentalities, is required for the execution, delivery and performance by Purchaser of this Agreement or any Ancillary Document to which it is or will be a party other than such approvals, consents, waivers or filings previously obtained or made.</w:t>
      </w:r>
    </w:p>
    <w:p>
      <w:pPr>
        <w:spacing w:after="0" w:line="95" w:lineRule="exact"/>
        <w:rPr>
          <w:rFonts w:ascii="Times New Roman" w:cs="Times New Roman" w:eastAsia="Times New Roman" w:hAnsi="Times New Roman"/>
          <w:sz w:val="18"/>
          <w:szCs w:val="18"/>
          <w:color w:val="auto"/>
        </w:rPr>
      </w:pPr>
    </w:p>
    <w:p>
      <w:pPr>
        <w:ind w:firstLine="656"/>
        <w:spacing w:after="0" w:line="242" w:lineRule="auto"/>
        <w:tabs>
          <w:tab w:leader="none" w:pos="129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Matters</w:t>
      </w:r>
      <w:r>
        <w:rPr>
          <w:rFonts w:ascii="Times New Roman" w:cs="Times New Roman" w:eastAsia="Times New Roman" w:hAnsi="Times New Roman"/>
          <w:sz w:val="18"/>
          <w:szCs w:val="18"/>
          <w:color w:val="auto"/>
        </w:rPr>
        <w:t>. There is no action, suit or proceeding by or before any court or governmental or other regulatory or administrative agency or commission pending, or, to the best of Purchaser’s knowledge, threatened against or involving Purchaser which challenges the validity of this Agreement or any action taken or to be taken by Purchaser pursuant to this Agreement or in connection with the transactions contemplated hereby. Purchaser is not subject to any judgment, order or decree entered into in any lawsuit or proceeding which will have an adverse effect on the transactions contemplated hereby.</w:t>
      </w:r>
    </w:p>
    <w:p>
      <w:pPr>
        <w:spacing w:after="0" w:line="117" w:lineRule="exact"/>
        <w:rPr>
          <w:rFonts w:ascii="Times New Roman" w:cs="Times New Roman" w:eastAsia="Times New Roman" w:hAnsi="Times New Roman"/>
          <w:sz w:val="18"/>
          <w:szCs w:val="18"/>
          <w:color w:val="auto"/>
        </w:rPr>
      </w:pPr>
    </w:p>
    <w:p>
      <w:pPr>
        <w:ind w:right="200" w:firstLine="656"/>
        <w:spacing w:after="0" w:line="266" w:lineRule="auto"/>
        <w:tabs>
          <w:tab w:leader="none" w:pos="1293"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Broker’s Fees</w:t>
      </w:r>
      <w:r>
        <w:rPr>
          <w:rFonts w:ascii="Times New Roman" w:cs="Times New Roman" w:eastAsia="Times New Roman" w:hAnsi="Times New Roman"/>
          <w:sz w:val="18"/>
          <w:szCs w:val="18"/>
          <w:color w:val="auto"/>
        </w:rPr>
        <w:t>. Purchaser has no liability or obligation to pay any fees or commissions to any broker, finder, or agent with respect to the transactions contemplated by this Agreement for which Seller could become liable or otherwise obligated.</w:t>
      </w:r>
    </w:p>
    <w:p>
      <w:pPr>
        <w:spacing w:after="0" w:line="77" w:lineRule="exact"/>
        <w:rPr>
          <w:rFonts w:ascii="Times New Roman" w:cs="Times New Roman" w:eastAsia="Times New Roman" w:hAnsi="Times New Roman"/>
          <w:sz w:val="18"/>
          <w:szCs w:val="18"/>
          <w:color w:val="auto"/>
        </w:rPr>
      </w:pPr>
    </w:p>
    <w:p>
      <w:pPr>
        <w:jc w:val="both"/>
        <w:ind w:right="120" w:firstLine="656"/>
        <w:spacing w:after="0" w:line="246" w:lineRule="auto"/>
        <w:tabs>
          <w:tab w:leader="none" w:pos="1287"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Non-Public Information</w:t>
      </w:r>
      <w:r>
        <w:rPr>
          <w:rFonts w:ascii="Times New Roman" w:cs="Times New Roman" w:eastAsia="Times New Roman" w:hAnsi="Times New Roman"/>
          <w:sz w:val="18"/>
          <w:szCs w:val="18"/>
          <w:color w:val="auto"/>
        </w:rPr>
        <w:t>. Purchaser acknowledges that it has not provided an</w:t>
      </w:r>
      <w:r>
        <w:rPr>
          <w:rFonts w:ascii="Times New Roman" w:cs="Times New Roman" w:eastAsia="Times New Roman" w:hAnsi="Times New Roman"/>
          <w:sz w:val="18"/>
          <w:szCs w:val="18"/>
          <w:b w:val="1"/>
          <w:bCs w:val="1"/>
          <w:color w:val="auto"/>
        </w:rPr>
        <w:t>y</w:t>
      </w:r>
      <w:r>
        <w:rPr>
          <w:rFonts w:ascii="Times New Roman" w:cs="Times New Roman" w:eastAsia="Times New Roman" w:hAnsi="Times New Roman"/>
          <w:sz w:val="18"/>
          <w:szCs w:val="18"/>
          <w:color w:val="auto"/>
        </w:rPr>
        <w:t xml:space="preserve"> information that currently constitutes material, non-public information relating to the Company to Seller, and further acknowledges that Seller has not requested any such information from the Company. Purchaser represents that its purchase of the Subject Shares is being made during an “open window” period under the Expensify, Inc. Insider Trading Compliance Program.</w:t>
      </w:r>
    </w:p>
    <w:p>
      <w:pPr>
        <w:spacing w:after="0" w:line="11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Representations and Warranties Herein</w:t>
      </w:r>
      <w:r>
        <w:rPr>
          <w:rFonts w:ascii="Times New Roman" w:cs="Times New Roman" w:eastAsia="Times New Roman" w:hAnsi="Times New Roman"/>
          <w:sz w:val="18"/>
          <w:szCs w:val="18"/>
          <w:color w:val="auto"/>
        </w:rPr>
        <w:t>. All representations, warranties and covenants set forth herein shall survive the</w:t>
      </w:r>
    </w:p>
    <w:p>
      <w:pPr>
        <w:spacing w:after="0" w:line="1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Date.</w:t>
      </w:r>
    </w:p>
    <w:p>
      <w:pPr>
        <w:spacing w:after="0" w:line="124" w:lineRule="exact"/>
        <w:rPr>
          <w:rFonts w:ascii="Times New Roman" w:cs="Times New Roman" w:eastAsia="Times New Roman" w:hAnsi="Times New Roman"/>
          <w:sz w:val="18"/>
          <w:szCs w:val="18"/>
          <w:color w:val="auto"/>
        </w:rPr>
      </w:pPr>
    </w:p>
    <w:p>
      <w:pPr>
        <w:ind w:firstLine="656"/>
        <w:spacing w:after="0" w:line="24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Documents</w:t>
      </w:r>
      <w:r>
        <w:rPr>
          <w:rFonts w:ascii="Times New Roman" w:cs="Times New Roman" w:eastAsia="Times New Roman" w:hAnsi="Times New Roman"/>
          <w:sz w:val="18"/>
          <w:szCs w:val="18"/>
          <w:color w:val="auto"/>
        </w:rPr>
        <w:t>. From time to time after execution of this Agreement, each Party hereto shall, without additional consideration, execute and deliver such further agreements and instruments and take such other action as may be reasonably requested by the other Party hereto in order to carry out the purposes of this Agreement.</w:t>
      </w:r>
    </w:p>
    <w:p>
      <w:pPr>
        <w:spacing w:after="0" w:line="116" w:lineRule="exact"/>
        <w:rPr>
          <w:rFonts w:ascii="Times New Roman" w:cs="Times New Roman" w:eastAsia="Times New Roman" w:hAnsi="Times New Roman"/>
          <w:sz w:val="18"/>
          <w:szCs w:val="18"/>
          <w:color w:val="auto"/>
        </w:rPr>
      </w:pPr>
    </w:p>
    <w:p>
      <w:pPr>
        <w:ind w:right="20" w:firstLine="656"/>
        <w:spacing w:after="0" w:line="266" w:lineRule="auto"/>
        <w:tabs>
          <w:tab w:leader="none" w:pos="12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Waiver</w:t>
      </w:r>
      <w:r>
        <w:rPr>
          <w:rFonts w:ascii="Times New Roman" w:cs="Times New Roman" w:eastAsia="Times New Roman" w:hAnsi="Times New Roman"/>
          <w:sz w:val="18"/>
          <w:szCs w:val="18"/>
          <w:color w:val="auto"/>
        </w:rPr>
        <w:t>. This Agreement cannot be amended, supplemented or modified, nor can any provision hereof be waived, except by a written instrument signed by the Party against whom enforcement of such amendment, supplement, modification or waiver is sought.</w:t>
      </w:r>
    </w:p>
    <w:p>
      <w:pPr>
        <w:spacing w:after="0" w:line="94" w:lineRule="exact"/>
        <w:rPr>
          <w:rFonts w:ascii="Times New Roman" w:cs="Times New Roman" w:eastAsia="Times New Roman" w:hAnsi="Times New Roman"/>
          <w:sz w:val="18"/>
          <w:szCs w:val="18"/>
          <w:color w:val="auto"/>
        </w:rPr>
      </w:pPr>
    </w:p>
    <w:p>
      <w:pPr>
        <w:jc w:val="both"/>
        <w:ind w:right="40" w:firstLine="656"/>
        <w:spacing w:after="0" w:line="239"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or other communication required or permitted to be given hereunder shall be in writing and shall be deemed to have been properly given (a) when delivered by hand; (b) when sent by facsimile or email (with acknowledgment of complete transmission); (c) three days after being sent by certified mail, return receipt requested or (d) one day after deposit with a nationally-recognized overnight delivery service, in each case to the addresses or facsimile numbers set forth on the signature page hereof. Each Party hereto shall be entitled to specify a different address or facsimile number for the receipt of subsequent notices or other communications by giving written notice thereof to the other Party in accordance with this Paragraph (d).</w:t>
      </w:r>
    </w:p>
    <w:p>
      <w:pPr>
        <w:spacing w:after="0" w:line="116" w:lineRule="exact"/>
        <w:rPr>
          <w:rFonts w:ascii="Times New Roman" w:cs="Times New Roman" w:eastAsia="Times New Roman" w:hAnsi="Times New Roman"/>
          <w:sz w:val="18"/>
          <w:szCs w:val="18"/>
          <w:color w:val="auto"/>
        </w:rPr>
      </w:pPr>
    </w:p>
    <w:p>
      <w:pPr>
        <w:ind w:right="20" w:firstLine="656"/>
        <w:spacing w:after="0" w:line="245" w:lineRule="auto"/>
        <w:tabs>
          <w:tab w:leader="none" w:pos="1293"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or provision of this Agreement, or the application thereof to any person, entity or circumstance, shall, to any extent, be determined to be contrary to law and unenforceable by any court of law, the remaining terms and provisions of this Agreement, and the application thereof to other persons, entities and circumstances, shall not be invalidated thereby, and each term and provision hereof shall be construed with all other remaining terms and provisions hereof to effect the intent of the parties to the fullest extent of the law.</w:t>
      </w:r>
    </w:p>
    <w:p>
      <w:pPr>
        <w:spacing w:after="0" w:line="99" w:lineRule="exact"/>
        <w:rPr>
          <w:rFonts w:ascii="Times New Roman" w:cs="Times New Roman" w:eastAsia="Times New Roman" w:hAnsi="Times New Roman"/>
          <w:sz w:val="18"/>
          <w:szCs w:val="18"/>
          <w:color w:val="auto"/>
        </w:rPr>
      </w:pPr>
    </w:p>
    <w:p>
      <w:pPr>
        <w:ind w:right="180" w:firstLine="656"/>
        <w:spacing w:after="0" w:line="266" w:lineRule="auto"/>
        <w:tabs>
          <w:tab w:leader="none" w:pos="128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shall not confer any rights or remedies upon any person other than the parties hereto and their respective successors and permitted assigns.</w:t>
      </w:r>
    </w:p>
    <w:p>
      <w:pPr>
        <w:spacing w:after="0" w:line="94" w:lineRule="exact"/>
        <w:rPr>
          <w:rFonts w:ascii="Times New Roman" w:cs="Times New Roman" w:eastAsia="Times New Roman" w:hAnsi="Times New Roman"/>
          <w:sz w:val="18"/>
          <w:szCs w:val="18"/>
          <w:color w:val="auto"/>
        </w:rPr>
      </w:pPr>
    </w:p>
    <w:p>
      <w:pPr>
        <w:ind w:right="360" w:firstLine="656"/>
        <w:spacing w:after="0" w:line="242"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domestic laws of the State of Delaware without giving effect to any choice or conflict of law provision or rule (whether of the State of Delaware or any other jurisdiction) that would cause the application of the laws of any jurisdiction other than the State of Delaware.</w:t>
      </w:r>
    </w:p>
    <w:p>
      <w:pPr>
        <w:spacing w:after="0" w:line="116" w:lineRule="exact"/>
        <w:rPr>
          <w:rFonts w:ascii="Times New Roman" w:cs="Times New Roman" w:eastAsia="Times New Roman" w:hAnsi="Times New Roman"/>
          <w:sz w:val="18"/>
          <w:szCs w:val="18"/>
          <w:color w:val="auto"/>
        </w:rPr>
      </w:pPr>
    </w:p>
    <w:p>
      <w:pPr>
        <w:ind w:right="380" w:firstLine="656"/>
        <w:spacing w:after="0" w:line="266" w:lineRule="auto"/>
        <w:tabs>
          <w:tab w:leader="none" w:pos="129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other writings referred to herein or delivered pursuant hereto, constitutes the entire agreement between the Parties hereto with respect to the subject matter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404" w:right="339" w:bottom="1440" w:gutter="0" w:footer="0" w:header="0"/>
        </w:sectPr>
      </w:pPr>
    </w:p>
    <w:bookmarkStart w:id="6" w:name="page7"/>
    <w:bookmarkEnd w:id="6"/>
    <w:p>
      <w:pPr>
        <w:ind w:left="-60" w:right="480" w:firstLine="656"/>
        <w:spacing w:after="0" w:line="266" w:lineRule="auto"/>
        <w:tabs>
          <w:tab w:leader="none" w:pos="12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all the provisions hereof shall be binding upon and inure to the benefit of the Parties and their respective successors and permitted assigns.</w:t>
      </w:r>
    </w:p>
    <w:p>
      <w:pPr>
        <w:spacing w:after="0" w:line="94" w:lineRule="exact"/>
        <w:rPr>
          <w:rFonts w:ascii="Times New Roman" w:cs="Times New Roman" w:eastAsia="Times New Roman" w:hAnsi="Times New Roman"/>
          <w:sz w:val="18"/>
          <w:szCs w:val="18"/>
          <w:color w:val="auto"/>
        </w:rPr>
      </w:pPr>
    </w:p>
    <w:p>
      <w:pPr>
        <w:ind w:left="-60" w:right="140" w:firstLine="656"/>
        <w:spacing w:after="0"/>
        <w:tabs>
          <w:tab w:leader="none" w:pos="12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separate counterparts, each of which, when so executed, shall be deemed an original, and all of said counterparts taken together shall be deemed to constitute but one and the same instrument and, any signed counterpart shall be deemed delivered by the Party signing it if sent to the other Party hereto by facsimile transmission or electronic transmission and shall be as effective as original ink signatures for the purposes of the execution and delivery of this Agreement.</w:t>
      </w:r>
    </w:p>
    <w:p>
      <w:pPr>
        <w:spacing w:after="0" w:line="117" w:lineRule="exact"/>
        <w:rPr>
          <w:rFonts w:ascii="Times New Roman" w:cs="Times New Roman" w:eastAsia="Times New Roman" w:hAnsi="Times New Roman"/>
          <w:sz w:val="18"/>
          <w:szCs w:val="18"/>
          <w:color w:val="auto"/>
        </w:rPr>
      </w:pPr>
    </w:p>
    <w:p>
      <w:pPr>
        <w:ind w:left="-60" w:firstLine="656"/>
        <w:spacing w:after="0" w:line="245" w:lineRule="auto"/>
        <w:tabs>
          <w:tab w:leader="none" w:pos="12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Unless the prior written consent of the other Party is obtained, the sale and purchase of the Subject Shares and all provisions of this Agreement shall be and remain confidential to the Parties, except to the extent that such information is in the public domain or disclosure is required by law or by any regulatory body whether public or not. For the avoidance of doubt, the Parties shall be permitted to disclose the terms of this Agreement to their professional or financial advisors who are aware of its confidential nature.</w:t>
      </w:r>
    </w:p>
    <w:p>
      <w:pPr>
        <w:spacing w:after="0" w:line="99" w:lineRule="exact"/>
        <w:rPr>
          <w:rFonts w:ascii="Times New Roman" w:cs="Times New Roman" w:eastAsia="Times New Roman" w:hAnsi="Times New Roman"/>
          <w:sz w:val="18"/>
          <w:szCs w:val="18"/>
          <w:color w:val="auto"/>
        </w:rPr>
      </w:pPr>
    </w:p>
    <w:p>
      <w:pPr>
        <w:ind w:left="-60" w:right="440" w:firstLine="656"/>
        <w:spacing w:after="0" w:line="266" w:lineRule="auto"/>
        <w:tabs>
          <w:tab w:leader="none" w:pos="123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Purchaser may not, without the prior written consent of Seller, assign, grant any security interest over, hold on trust or otherwise transfer the benefit of the whole or any part of this Agreement.</w:t>
      </w:r>
    </w:p>
    <w:p>
      <w:pPr>
        <w:spacing w:after="0" w:line="94" w:lineRule="exact"/>
        <w:rPr>
          <w:rFonts w:ascii="Times New Roman" w:cs="Times New Roman" w:eastAsia="Times New Roman" w:hAnsi="Times New Roman"/>
          <w:sz w:val="18"/>
          <w:szCs w:val="18"/>
          <w:color w:val="auto"/>
        </w:rPr>
      </w:pPr>
    </w:p>
    <w:p>
      <w:pPr>
        <w:ind w:left="-60" w:right="480" w:firstLine="656"/>
        <w:spacing w:after="0" w:line="266" w:lineRule="auto"/>
        <w:tabs>
          <w:tab w:leader="none" w:pos="12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Costs</w:t>
      </w:r>
      <w:r>
        <w:rPr>
          <w:rFonts w:ascii="Times New Roman" w:cs="Times New Roman" w:eastAsia="Times New Roman" w:hAnsi="Times New Roman"/>
          <w:sz w:val="18"/>
          <w:szCs w:val="18"/>
          <w:color w:val="auto"/>
        </w:rPr>
        <w:t>. All costs in connection with the negotiation, preparation, execution and performance of this Agreement, and any documents referred to in it, will be borne by the Party that incurred the costs.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80" w:top="1404"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t>IN WITNESS WHEREOF, each of the Parties hereto has duly executed this Agreement as of the date first above written.</w:t>
      </w:r>
    </w:p>
    <w:p>
      <w:pPr>
        <w:spacing w:after="0" w:line="19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SELLER:</w:t>
      </w:r>
    </w:p>
    <w:p>
      <w:pPr>
        <w:spacing w:after="0" w:line="3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Barrett Trust LLC, a Delaware limited liability company</w:t>
      </w:r>
    </w:p>
    <w:p>
      <w:pPr>
        <w:spacing w:after="0" w:line="320" w:lineRule="exact"/>
        <w:rPr>
          <w:sz w:val="20"/>
          <w:szCs w:val="20"/>
          <w:color w:val="auto"/>
        </w:rPr>
      </w:pPr>
    </w:p>
    <w:tbl>
      <w:tblPr>
        <w:tblLayout w:type="fixed"/>
        <w:tblInd w:w="4240" w:type="dxa"/>
        <w:tblCellMar>
          <w:top w:w="0" w:type="dxa"/>
          <w:left w:w="0" w:type="dxa"/>
          <w:bottom w:w="0" w:type="dxa"/>
          <w:right w:w="0" w:type="dxa"/>
        </w:tblCellMar>
      </w:tblPr>
      <w:tr>
        <w:trPr>
          <w:trHeight w:val="25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/s/ David Barrett</w:t>
            </w:r>
          </w:p>
        </w:tc>
        <w:tc>
          <w:tcPr>
            <w:tcW w:w="3600" w:type="dxa"/>
            <w:vAlign w:val="bottom"/>
            <w:tcBorders>
              <w:bottom w:val="single" w:sz="8" w:color="auto"/>
            </w:tcBorders>
          </w:tcPr>
          <w:p>
            <w:pPr>
              <w:spacing w:after="0"/>
              <w:rPr>
                <w:sz w:val="22"/>
                <w:szCs w:val="22"/>
                <w:color w:val="auto"/>
              </w:rPr>
            </w:pPr>
          </w:p>
        </w:tc>
      </w:tr>
      <w:tr>
        <w:trPr>
          <w:trHeight w:val="243"/>
        </w:trPr>
        <w:tc>
          <w:tcPr>
            <w:tcW w:w="1160" w:type="dxa"/>
            <w:vAlign w:val="bottom"/>
          </w:tcPr>
          <w:p>
            <w:pPr>
              <w:spacing w:after="0"/>
              <w:rPr>
                <w:sz w:val="21"/>
                <w:szCs w:val="21"/>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David Barrett</w:t>
            </w:r>
          </w:p>
        </w:tc>
      </w:tr>
      <w:tr>
        <w:trPr>
          <w:trHeight w:val="257"/>
        </w:trPr>
        <w:tc>
          <w:tcPr>
            <w:tcW w:w="116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257"/>
        </w:trPr>
        <w:tc>
          <w:tcPr>
            <w:tcW w:w="1160" w:type="dxa"/>
            <w:vAlign w:val="bottom"/>
          </w:tcPr>
          <w:p>
            <w:pPr>
              <w:spacing w:after="0"/>
              <w:rPr>
                <w:sz w:val="22"/>
                <w:szCs w:val="22"/>
                <w:color w:val="auto"/>
              </w:rPr>
            </w:pPr>
          </w:p>
        </w:tc>
        <w:tc>
          <w:tcPr>
            <w:tcW w:w="1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157 Church St, 12th Floor</w:t>
            </w:r>
          </w:p>
        </w:tc>
      </w:tr>
      <w:tr>
        <w:trPr>
          <w:trHeight w:val="243"/>
        </w:trPr>
        <w:tc>
          <w:tcPr>
            <w:tcW w:w="1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New Haven, CT 06510</w:t>
            </w: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PURCHASER:</w:t>
      </w:r>
    </w:p>
    <w:p>
      <w:pPr>
        <w:spacing w:after="0" w:line="32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color w:val="auto"/>
        </w:rPr>
        <w:t>Expensify, Inc., a Delaware corporation</w:t>
      </w:r>
    </w:p>
    <w:p>
      <w:pPr>
        <w:spacing w:after="0" w:line="320" w:lineRule="exact"/>
        <w:rPr>
          <w:sz w:val="20"/>
          <w:szCs w:val="20"/>
          <w:color w:val="auto"/>
        </w:rPr>
      </w:pPr>
    </w:p>
    <w:tbl>
      <w:tblPr>
        <w:tblLayout w:type="fixed"/>
        <w:tblInd w:w="4240" w:type="dxa"/>
        <w:tblCellMar>
          <w:top w:w="0" w:type="dxa"/>
          <w:left w:w="0" w:type="dxa"/>
          <w:bottom w:w="0" w:type="dxa"/>
          <w:right w:w="0" w:type="dxa"/>
        </w:tblCellMar>
      </w:tblPr>
      <w:tr>
        <w:trPr>
          <w:trHeight w:val="255"/>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Ryan Schaffer</w:t>
            </w:r>
          </w:p>
        </w:tc>
      </w:tr>
      <w:tr>
        <w:trPr>
          <w:trHeight w:val="243"/>
        </w:trPr>
        <w:tc>
          <w:tcPr>
            <w:tcW w:w="116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Ryan Schaffer</w:t>
            </w:r>
          </w:p>
        </w:tc>
      </w:tr>
      <w:tr>
        <w:trPr>
          <w:trHeight w:val="256"/>
        </w:trPr>
        <w:tc>
          <w:tcPr>
            <w:tcW w:w="116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1160" w:type="dxa"/>
            <w:vAlign w:val="bottom"/>
          </w:tcPr>
          <w:p>
            <w:pPr>
              <w:spacing w:after="0"/>
              <w:rPr>
                <w:sz w:val="22"/>
                <w:szCs w:val="22"/>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Address:</w:t>
            </w: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401 SW 5th Ave</w:t>
            </w:r>
          </w:p>
        </w:tc>
      </w:tr>
      <w:tr>
        <w:trPr>
          <w:trHeight w:val="243"/>
        </w:trPr>
        <w:tc>
          <w:tcPr>
            <w:tcW w:w="1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Portland, OR 97204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i w:val="1"/>
          <w:iCs w:val="1"/>
          <w:color w:val="auto"/>
        </w:rPr>
        <w:t>[Signature Page to Purchase and Sale Agreement (Barrett Trust LLC)]</w:t>
      </w:r>
    </w:p>
    <w:sectPr>
      <w:pgSz w:w="11900" w:h="16838" w:orient="portrait"/>
      <w:cols w:equalWidth="0" w:num="1">
        <w:col w:w="10240"/>
      </w:cols>
      <w:pgMar w:left="1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4"/>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2"/>
    </w:lvl>
    <w:lvl w:ilvl="1">
      <w:lvlJc w:val="left"/>
      <w:lvlText w:val="(%2)"/>
      <w:numFmt w:val="lowerLetter"/>
      <w:start w:val="1"/>
    </w:lvl>
  </w:abstractNum>
  <w:abstractNum w:abstractNumId="5">
    <w:nsid w:val="515F007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6">
    <w:nsid w:val="5BD062C2"/>
    <w:multiLevelType w:val="hybridMultilevel"/>
    <w:lvl w:ilvl="0">
      <w:lvlJc w:val="left"/>
      <w:lvlText w:val="(%1)"/>
      <w:numFmt w:val="lowerLetter"/>
      <w:start w:val="1"/>
    </w:lvl>
    <w:lvl w:ilvl="1">
      <w:lvlJc w:val="left"/>
      <w:lvlText w:val="%2."/>
      <w:numFmt w:val="decimal"/>
      <w:start w:val="5"/>
    </w:lvl>
    <w:lvl w:ilvl="2">
      <w:lvlJc w:val="left"/>
      <w:lvlText w:val="(%3)"/>
      <w:numFmt w:val="lowerLetter"/>
      <w:start w:val="3"/>
    </w:lvl>
  </w:abstractNum>
  <w:abstractNum w:abstractNumId="7">
    <w:nsid w:val="122008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3"/>
    </w:lvl>
  </w:abstractNum>
  <w:abstractNum w:abstractNumId="9">
    <w:nsid w:val="216231B"/>
    <w:multiLevelType w:val="hybridMultilevel"/>
    <w:lvl w:ilvl="0">
      <w:lvlJc w:val="left"/>
      <w:lvlText w:val="%1."/>
      <w:numFmt w:val="decimal"/>
      <w:start w:val="7"/>
    </w:lvl>
    <w:lvl w:ilvl="1">
      <w:lvlJc w:val="left"/>
      <w:lvlText w:val="(%2)"/>
      <w:numFmt w:val="lowerLetter"/>
      <w:start w:val="1"/>
    </w:lvl>
  </w:abstractNum>
  <w:abstractNum w:abstractNumId="10">
    <w:nsid w:val="1F16E9E8"/>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2024-09-03T09:15:48Z</dcterms:created>
  <dcterms:modified xsi:type="dcterms:W3CDTF">2024-09-03T09:15:48Z</dcterms:modified>
</cp:coreProperties>
</file>