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4951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495109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tcPr>
          <w:p>
            <w:pPr>
              <w:spacing w:after="0" w:line="181" w:lineRule="exact"/>
              <w:rPr>
                <w:rFonts w:ascii="Arial" w:cs="Arial" w:eastAsia="Arial" w:hAnsi="Arial"/>
                <w:sz w:val="16"/>
                <w:szCs w:val="16"/>
                <w:color w:val="0000EE"/>
                <w:w w:val="91"/>
              </w:rPr>
            </w:pPr>
            <w:hyperlink r:id="rId11">
              <w:r>
                <w:rPr>
                  <w:rFonts w:ascii="Arial" w:cs="Arial" w:eastAsia="Arial" w:hAnsi="Arial"/>
                  <w:sz w:val="16"/>
                  <w:szCs w:val="16"/>
                  <w:color w:val="0000EE"/>
                  <w:w w:val="91"/>
                </w:rPr>
                <w:t>Vidal Daniel</w:t>
              </w:r>
            </w:hyperlink>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0000EE"/>
            </w:tcBorders>
            <w:vMerge w:val="continue"/>
          </w:tcPr>
          <w:p>
            <w:pPr>
              <w:spacing w:after="0"/>
              <w:rPr>
                <w:sz w:val="9"/>
                <w:szCs w:val="9"/>
                <w:color w:val="auto"/>
              </w:rPr>
            </w:pPr>
          </w:p>
        </w:tc>
        <w:tc>
          <w:tcPr>
            <w:tcW w:w="20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11/15/2021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0"/>
                <w:szCs w:val="10"/>
                <w:color w:val="auto"/>
              </w:rPr>
              <w:t>(Last)</w:t>
            </w:r>
          </w:p>
        </w:tc>
        <w:tc>
          <w:tcPr>
            <w:tcW w:w="1000" w:type="dxa"/>
            <w:vAlign w:val="bottom"/>
          </w:tcPr>
          <w:p>
            <w:pPr>
              <w:ind w:left="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C/O EXPENSIFY, INC.</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3"/>
                <w:szCs w:val="13"/>
                <w:color w:val="0000FF"/>
                <w:w w:val="94"/>
              </w:rPr>
              <w:t>401 SW 5TH AVE</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4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3"/>
                <w:szCs w:val="13"/>
                <w:color w:val="0000FF"/>
              </w:rPr>
              <w:t>PORTLAND</w:t>
            </w:r>
          </w:p>
        </w:tc>
        <w:tc>
          <w:tcPr>
            <w:tcW w:w="1000" w:type="dxa"/>
            <w:vAlign w:val="bottom"/>
          </w:tcPr>
          <w:p>
            <w:pPr>
              <w:ind w:left="40"/>
              <w:spacing w:after="0"/>
              <w:rPr>
                <w:sz w:val="20"/>
                <w:szCs w:val="20"/>
                <w:color w:val="auto"/>
              </w:rPr>
            </w:pPr>
            <w:r>
              <w:rPr>
                <w:rFonts w:ascii="Arial" w:cs="Arial" w:eastAsia="Arial" w:hAnsi="Arial"/>
                <w:sz w:val="13"/>
                <w:szCs w:val="13"/>
                <w:color w:val="0000FF"/>
              </w:rPr>
              <w:t>OR</w:t>
            </w:r>
          </w:p>
        </w:tc>
        <w:tc>
          <w:tcPr>
            <w:tcW w:w="1140" w:type="dxa"/>
            <w:vAlign w:val="bottom"/>
          </w:tcPr>
          <w:p>
            <w:pPr>
              <w:ind w:left="100"/>
              <w:spacing w:after="0"/>
              <w:rPr>
                <w:sz w:val="20"/>
                <w:szCs w:val="20"/>
                <w:color w:val="auto"/>
              </w:rPr>
            </w:pPr>
            <w:r>
              <w:rPr>
                <w:rFonts w:ascii="Arial" w:cs="Arial" w:eastAsia="Arial" w:hAnsi="Arial"/>
                <w:sz w:val="13"/>
                <w:szCs w:val="13"/>
                <w:color w:val="0000FF"/>
              </w:rPr>
              <w:t>97204</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060" w:type="dxa"/>
            <w:vAlign w:val="bottom"/>
            <w:gridSpan w:val="4"/>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560" w:type="dxa"/>
            <w:vAlign w:val="bottom"/>
            <w:tcBorders>
              <w:top w:val="single" w:sz="8" w:color="0000EE"/>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jc w:val="right"/>
              <w:ind w:right="966"/>
              <w:spacing w:after="0"/>
              <w:rPr>
                <w:sz w:val="20"/>
                <w:szCs w:val="20"/>
                <w:color w:val="auto"/>
              </w:rPr>
            </w:pPr>
            <w:r>
              <w:rPr>
                <w:rFonts w:ascii="Arial" w:cs="Arial" w:eastAsia="Arial" w:hAnsi="Arial"/>
                <w:sz w:val="13"/>
                <w:szCs w:val="13"/>
                <w:color w:val="0000FF"/>
              </w:rPr>
              <w:t>61,590</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020"/>
          </w:cols>
          <w:pgMar w:left="440" w:top="203" w:right="439" w:bottom="1440" w:gutter="0" w:footer="0" w:header="0"/>
          <w:type w:val="continuous"/>
        </w:sectPr>
      </w:pPr>
    </w:p>
    <w:p>
      <w:pPr>
        <w:jc w:val="right"/>
        <w:ind w:right="2080"/>
        <w:spacing w:after="0"/>
        <w:rPr>
          <w:sz w:val="20"/>
          <w:szCs w:val="20"/>
          <w:color w:val="auto"/>
        </w:rPr>
      </w:pPr>
      <w:r>
        <w:rPr>
          <w:sz w:val="1"/>
          <w:szCs w:val="1"/>
          <w:color w:val="auto"/>
        </w:rPr>
        <w:drawing>
          <wp:inline distT="0" distB="0" distL="0" distR="0">
            <wp:extent cx="31750" cy="180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750" cy="180975"/>
                    </a:xfrm>
                    <a:prstGeom prst="rect">
                      <a:avLst/>
                    </a:prstGeom>
                    <a:noFill/>
                    <a:ln>
                      <a:noFill/>
                    </a:ln>
                  </pic:spPr>
                </pic:pic>
              </a:graphicData>
            </a:graphic>
          </wp:inline>
        </w:drawing>
      </w:r>
      <w:r>
        <w:rPr>
          <w:rFonts w:ascii="Arial" w:cs="Arial" w:eastAsia="Arial" w:hAnsi="Arial"/>
          <w:sz w:val="11"/>
          <w:szCs w:val="11"/>
          <w:color w:val="0000FF"/>
        </w:rPr>
        <w:t xml:space="preserve"> LT10 Common Stock</w:t>
      </w:r>
    </w:p>
    <w:p>
      <w:pPr>
        <w:spacing w:after="0" w:line="34" w:lineRule="exact"/>
        <w:rPr>
          <w:sz w:val="24"/>
          <w:szCs w:val="24"/>
          <w:color w:val="auto"/>
        </w:rPr>
      </w:pPr>
    </w:p>
    <w:p>
      <w:pPr>
        <w:jc w:val="right"/>
        <w:ind w:right="2080"/>
        <w:spacing w:after="0"/>
        <w:rPr>
          <w:sz w:val="20"/>
          <w:szCs w:val="20"/>
          <w:color w:val="auto"/>
        </w:rPr>
      </w:pPr>
      <w:r>
        <w:rPr>
          <w:rFonts w:ascii="Arial" w:cs="Arial" w:eastAsia="Arial" w:hAnsi="Arial"/>
          <w:sz w:val="12"/>
          <w:szCs w:val="12"/>
          <w:color w:val="0000FF"/>
        </w:rPr>
        <w:t>LT50 Common Stock</w:t>
      </w:r>
    </w:p>
    <w:p>
      <w:pPr>
        <w:spacing w:after="0" w:line="35" w:lineRule="exact"/>
        <w:rPr>
          <w:sz w:val="24"/>
          <w:szCs w:val="24"/>
          <w:color w:val="auto"/>
        </w:rPr>
      </w:pPr>
    </w:p>
    <w:p>
      <w:pPr>
        <w:jc w:val="right"/>
        <w:ind w:right="2500"/>
        <w:spacing w:after="0"/>
        <w:rPr>
          <w:sz w:val="20"/>
          <w:szCs w:val="20"/>
          <w:color w:val="auto"/>
        </w:rPr>
      </w:pPr>
      <w:r>
        <w:rPr>
          <w:sz w:val="1"/>
          <w:szCs w:val="1"/>
          <w:color w:val="auto"/>
        </w:rPr>
        <w:drawing>
          <wp:inline distT="0" distB="0" distL="0" distR="0">
            <wp:extent cx="31750" cy="19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0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500"/>
        <w:spacing w:after="0"/>
        <w:rPr>
          <w:sz w:val="20"/>
          <w:szCs w:val="20"/>
          <w:color w:val="auto"/>
        </w:rPr>
      </w:pPr>
      <w:r>
        <w:rPr>
          <w:sz w:val="1"/>
          <w:szCs w:val="1"/>
          <w:color w:val="auto"/>
        </w:rPr>
        <w:drawing>
          <wp:inline distT="0" distB="0" distL="0" distR="0">
            <wp:extent cx="31750"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0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500"/>
        <w:spacing w:after="0"/>
        <w:rPr>
          <w:sz w:val="20"/>
          <w:szCs w:val="20"/>
          <w:color w:val="auto"/>
        </w:rPr>
      </w:pPr>
      <w:r>
        <w:rPr>
          <w:sz w:val="1"/>
          <w:szCs w:val="1"/>
          <w:color w:val="auto"/>
        </w:rPr>
        <w:drawing>
          <wp:inline distT="0" distB="0" distL="0" distR="0">
            <wp:extent cx="31750" cy="190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0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500"/>
        <w:spacing w:after="0"/>
        <w:rPr>
          <w:sz w:val="20"/>
          <w:szCs w:val="20"/>
          <w:color w:val="auto"/>
        </w:rPr>
      </w:pPr>
      <w:r>
        <w:rPr>
          <w:sz w:val="1"/>
          <w:szCs w:val="1"/>
          <w:color w:val="auto"/>
        </w:rPr>
        <w:drawing>
          <wp:inline distT="0" distB="0" distL="0" distR="0">
            <wp:extent cx="31750" cy="190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00"/>
        <w:spacing w:after="0"/>
        <w:rPr>
          <w:sz w:val="20"/>
          <w:szCs w:val="20"/>
          <w:color w:val="auto"/>
        </w:rPr>
      </w:pPr>
      <w:r>
        <w:rPr>
          <w:rFonts w:ascii="Arial" w:cs="Arial" w:eastAsia="Arial" w:hAnsi="Arial"/>
          <w:sz w:val="13"/>
          <w:szCs w:val="13"/>
          <w:color w:val="0000FF"/>
        </w:rPr>
        <w:t>Stock Option</w:t>
      </w:r>
    </w:p>
    <w:p>
      <w:pPr>
        <w:spacing w:after="0" w:line="19" w:lineRule="exact"/>
        <w:rPr>
          <w:sz w:val="24"/>
          <w:szCs w:val="24"/>
          <w:color w:val="auto"/>
        </w:rPr>
      </w:pPr>
    </w:p>
    <w:p>
      <w:pPr>
        <w:spacing w:after="0"/>
        <w:rPr>
          <w:sz w:val="20"/>
          <w:szCs w:val="20"/>
          <w:color w:val="auto"/>
        </w:rPr>
      </w:pPr>
      <w:r>
        <w:rPr>
          <w:sz w:val="1"/>
          <w:szCs w:val="1"/>
          <w:color w:val="auto"/>
        </w:rPr>
        <w:drawing>
          <wp:inline distT="0" distB="0" distL="0" distR="0">
            <wp:extent cx="31750" cy="190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3"/>
          <w:szCs w:val="13"/>
          <w:color w:val="0000FF"/>
        </w:rPr>
        <w:t xml:space="preserve"> Stock Option</w:t>
      </w:r>
    </w:p>
    <w:p>
      <w:pPr>
        <w:spacing w:after="0" w:line="24" w:lineRule="exact"/>
        <w:rPr>
          <w:sz w:val="24"/>
          <w:szCs w:val="24"/>
          <w:color w:val="auto"/>
        </w:rPr>
      </w:pPr>
    </w:p>
    <w:p>
      <w:pPr>
        <w:ind w:left="60"/>
        <w:spacing w:after="0"/>
        <w:rPr>
          <w:sz w:val="20"/>
          <w:szCs w:val="20"/>
          <w:color w:val="auto"/>
        </w:rPr>
      </w:pPr>
      <w:r>
        <w:rPr>
          <w:rFonts w:ascii="Arial" w:cs="Arial" w:eastAsia="Arial" w:hAnsi="Arial"/>
          <w:sz w:val="12"/>
          <w:szCs w:val="12"/>
          <w:color w:val="0000FF"/>
        </w:rPr>
        <w:t>Restricted Stock Units</w:t>
      </w:r>
    </w:p>
    <w:p>
      <w:pPr>
        <w:spacing w:after="0" w:line="33" w:lineRule="exact"/>
        <w:rPr>
          <w:sz w:val="24"/>
          <w:szCs w:val="24"/>
          <w:color w:val="auto"/>
        </w:rPr>
      </w:pPr>
    </w:p>
    <w:p>
      <w:pPr>
        <w:spacing w:after="0"/>
        <w:rPr>
          <w:sz w:val="20"/>
          <w:szCs w:val="20"/>
          <w:color w:val="auto"/>
        </w:rPr>
      </w:pPr>
      <w:r>
        <w:rPr>
          <w:sz w:val="1"/>
          <w:szCs w:val="1"/>
          <w:color w:val="auto"/>
        </w:rPr>
        <w:drawing>
          <wp:inline distT="0" distB="0" distL="0" distR="0">
            <wp:extent cx="31750" cy="190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2"/>
          <w:szCs w:val="12"/>
          <w:color w:val="0000FF"/>
        </w:rPr>
        <w:t xml:space="preserve"> Restricted Stock Units</w:t>
      </w:r>
    </w:p>
    <w:p>
      <w:pPr>
        <w:spacing w:after="0" w:line="8" w:lineRule="exact"/>
        <w:rPr>
          <w:sz w:val="24"/>
          <w:szCs w:val="24"/>
          <w:color w:val="auto"/>
        </w:rPr>
      </w:pPr>
    </w:p>
    <w:p>
      <w:pPr>
        <w:ind w:left="40"/>
        <w:spacing w:after="0"/>
        <w:rPr>
          <w:sz w:val="20"/>
          <w:szCs w:val="20"/>
          <w:color w:val="auto"/>
        </w:rPr>
      </w:pPr>
      <w:r>
        <w:rPr>
          <w:rFonts w:ascii="Arial" w:cs="Arial" w:eastAsia="Arial" w:hAnsi="Arial"/>
          <w:sz w:val="9"/>
          <w:szCs w:val="9"/>
          <w:b w:val="1"/>
          <w:bCs w:val="1"/>
          <w:color w:val="auto"/>
        </w:rPr>
        <w:t>Explanation of Responses: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(1)</w:t>
            </w:r>
          </w:p>
        </w:tc>
        <w:tc>
          <w:tcPr>
            <w:tcW w:w="880" w:type="dxa"/>
            <w:vAlign w:val="bottom"/>
          </w:tcPr>
          <w:p>
            <w:pPr>
              <w:jc w:val="center"/>
              <w:ind w:right="31"/>
              <w:spacing w:after="0"/>
              <w:rPr>
                <w:sz w:val="20"/>
                <w:szCs w:val="20"/>
                <w:color w:val="auto"/>
              </w:rPr>
            </w:pPr>
            <w:r>
              <w:rPr>
                <w:rFonts w:ascii="Arial" w:cs="Arial" w:eastAsia="Arial" w:hAnsi="Arial"/>
                <w:sz w:val="8"/>
                <w:szCs w:val="8"/>
                <w:color w:val="008000"/>
                <w:w w:val="81"/>
              </w:rPr>
              <w:t>(1)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112,650</w:t>
            </w:r>
          </w:p>
        </w:tc>
        <w:tc>
          <w:tcPr>
            <w:tcW w:w="780" w:type="dxa"/>
            <w:vAlign w:val="bottom"/>
          </w:tcPr>
          <w:p>
            <w:pPr>
              <w:jc w:val="center"/>
              <w:ind w:right="62"/>
              <w:spacing w:after="0"/>
              <w:rPr>
                <w:sz w:val="20"/>
                <w:szCs w:val="20"/>
                <w:color w:val="auto"/>
              </w:rPr>
            </w:pPr>
            <w:r>
              <w:rPr>
                <w:rFonts w:ascii="Arial" w:cs="Arial" w:eastAsia="Arial" w:hAnsi="Arial"/>
                <w:sz w:val="8"/>
                <w:szCs w:val="8"/>
                <w:color w:val="008000"/>
              </w:rPr>
              <w:t>(1)</w:t>
            </w:r>
          </w:p>
        </w:tc>
        <w:tc>
          <w:tcPr>
            <w:tcW w:w="620" w:type="dxa"/>
            <w:vAlign w:val="bottom"/>
          </w:tcPr>
          <w:p>
            <w:pPr>
              <w:jc w:val="center"/>
              <w:ind w:left="35"/>
              <w:spacing w:after="0"/>
              <w:rPr>
                <w:sz w:val="20"/>
                <w:szCs w:val="20"/>
                <w:color w:val="auto"/>
              </w:rPr>
            </w:pPr>
            <w:r>
              <w:rPr>
                <w:rFonts w:ascii="Arial" w:cs="Arial" w:eastAsia="Arial" w:hAnsi="Arial"/>
                <w:sz w:val="13"/>
                <w:szCs w:val="13"/>
                <w:color w:val="0000FF"/>
              </w:rPr>
              <w:t>I</w:t>
            </w:r>
          </w:p>
        </w:tc>
        <w:tc>
          <w:tcPr>
            <w:tcW w:w="780" w:type="dxa"/>
            <w:vAlign w:val="bottom"/>
          </w:tcPr>
          <w:p>
            <w:pPr>
              <w:ind w:left="220"/>
              <w:spacing w:after="0"/>
              <w:rPr>
                <w:sz w:val="20"/>
                <w:szCs w:val="20"/>
                <w:color w:val="auto"/>
              </w:rPr>
            </w:pPr>
            <w:r>
              <w:rPr>
                <w:rFonts w:ascii="Arial" w:cs="Arial" w:eastAsia="Arial" w:hAnsi="Arial"/>
                <w:sz w:val="13"/>
                <w:szCs w:val="13"/>
                <w:color w:val="0000FF"/>
                <w:w w:val="82"/>
              </w:rPr>
              <w:t>See note</w:t>
            </w:r>
            <w:r>
              <w:rPr>
                <w:rFonts w:ascii="Arial" w:cs="Arial" w:eastAsia="Arial" w:hAnsi="Arial"/>
                <w:sz w:val="16"/>
                <w:szCs w:val="16"/>
                <w:color w:val="008000"/>
                <w:w w:val="82"/>
                <w:vertAlign w:val="superscript"/>
              </w:rPr>
              <w:t>(2)</w:t>
            </w: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(3)</w:t>
            </w:r>
          </w:p>
        </w:tc>
        <w:tc>
          <w:tcPr>
            <w:tcW w:w="880" w:type="dxa"/>
            <w:vAlign w:val="bottom"/>
          </w:tcPr>
          <w:p>
            <w:pPr>
              <w:jc w:val="center"/>
              <w:ind w:right="31"/>
              <w:spacing w:after="0"/>
              <w:rPr>
                <w:sz w:val="20"/>
                <w:szCs w:val="20"/>
                <w:color w:val="auto"/>
              </w:rPr>
            </w:pPr>
            <w:r>
              <w:rPr>
                <w:rFonts w:ascii="Arial" w:cs="Arial" w:eastAsia="Arial" w:hAnsi="Arial"/>
                <w:sz w:val="8"/>
                <w:szCs w:val="8"/>
                <w:color w:val="008000"/>
                <w:w w:val="81"/>
              </w:rPr>
              <w:t>(3)</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112,640</w:t>
            </w:r>
          </w:p>
        </w:tc>
        <w:tc>
          <w:tcPr>
            <w:tcW w:w="780" w:type="dxa"/>
            <w:vAlign w:val="bottom"/>
          </w:tcPr>
          <w:p>
            <w:pPr>
              <w:jc w:val="center"/>
              <w:ind w:right="62"/>
              <w:spacing w:after="0"/>
              <w:rPr>
                <w:sz w:val="20"/>
                <w:szCs w:val="20"/>
                <w:color w:val="auto"/>
              </w:rPr>
            </w:pPr>
            <w:r>
              <w:rPr>
                <w:rFonts w:ascii="Arial" w:cs="Arial" w:eastAsia="Arial" w:hAnsi="Arial"/>
                <w:sz w:val="8"/>
                <w:szCs w:val="8"/>
                <w:color w:val="008000"/>
              </w:rPr>
              <w:t>(3)</w:t>
            </w:r>
          </w:p>
        </w:tc>
        <w:tc>
          <w:tcPr>
            <w:tcW w:w="620" w:type="dxa"/>
            <w:vAlign w:val="bottom"/>
          </w:tcPr>
          <w:p>
            <w:pPr>
              <w:jc w:val="center"/>
              <w:ind w:left="35"/>
              <w:spacing w:after="0"/>
              <w:rPr>
                <w:sz w:val="20"/>
                <w:szCs w:val="20"/>
                <w:color w:val="auto"/>
              </w:rPr>
            </w:pPr>
            <w:r>
              <w:rPr>
                <w:rFonts w:ascii="Arial" w:cs="Arial" w:eastAsia="Arial" w:hAnsi="Arial"/>
                <w:sz w:val="13"/>
                <w:szCs w:val="13"/>
                <w:color w:val="0000FF"/>
              </w:rPr>
              <w:t>I</w:t>
            </w:r>
          </w:p>
        </w:tc>
        <w:tc>
          <w:tcPr>
            <w:tcW w:w="780" w:type="dxa"/>
            <w:vAlign w:val="bottom"/>
          </w:tcPr>
          <w:p>
            <w:pPr>
              <w:ind w:left="220"/>
              <w:spacing w:after="0"/>
              <w:rPr>
                <w:sz w:val="20"/>
                <w:szCs w:val="20"/>
                <w:color w:val="auto"/>
              </w:rPr>
            </w:pPr>
            <w:r>
              <w:rPr>
                <w:rFonts w:ascii="Arial" w:cs="Arial" w:eastAsia="Arial" w:hAnsi="Arial"/>
                <w:sz w:val="13"/>
                <w:szCs w:val="13"/>
                <w:color w:val="0000FF"/>
                <w:w w:val="82"/>
              </w:rPr>
              <w:t>See note</w:t>
            </w:r>
            <w:r>
              <w:rPr>
                <w:rFonts w:ascii="Arial" w:cs="Arial" w:eastAsia="Arial" w:hAnsi="Arial"/>
                <w:sz w:val="16"/>
                <w:szCs w:val="16"/>
                <w:color w:val="008000"/>
                <w:w w:val="82"/>
                <w:vertAlign w:val="superscript"/>
              </w:rPr>
              <w:t>(2)</w:t>
            </w:r>
          </w:p>
        </w:tc>
      </w:tr>
      <w:tr>
        <w:trPr>
          <w:trHeight w:val="203"/>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(4)</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04/12/2029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9,550</w:t>
            </w:r>
          </w:p>
        </w:tc>
        <w:tc>
          <w:tcPr>
            <w:tcW w:w="780" w:type="dxa"/>
            <w:vAlign w:val="bottom"/>
          </w:tcPr>
          <w:p>
            <w:pPr>
              <w:jc w:val="center"/>
              <w:ind w:right="62"/>
              <w:spacing w:after="0"/>
              <w:rPr>
                <w:sz w:val="20"/>
                <w:szCs w:val="20"/>
                <w:color w:val="auto"/>
              </w:rPr>
            </w:pPr>
            <w:r>
              <w:rPr>
                <w:rFonts w:ascii="Arial" w:cs="Arial" w:eastAsia="Arial" w:hAnsi="Arial"/>
                <w:sz w:val="13"/>
                <w:szCs w:val="13"/>
                <w:color w:val="0000FF"/>
                <w:w w:val="86"/>
              </w:rPr>
              <w:t>0.97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(5)</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04/12/2029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152,310</w:t>
            </w:r>
          </w:p>
        </w:tc>
        <w:tc>
          <w:tcPr>
            <w:tcW w:w="780" w:type="dxa"/>
            <w:vAlign w:val="bottom"/>
          </w:tcPr>
          <w:p>
            <w:pPr>
              <w:jc w:val="center"/>
              <w:ind w:right="62"/>
              <w:spacing w:after="0"/>
              <w:rPr>
                <w:sz w:val="20"/>
                <w:szCs w:val="20"/>
                <w:color w:val="auto"/>
              </w:rPr>
            </w:pPr>
            <w:r>
              <w:rPr>
                <w:rFonts w:ascii="Arial" w:cs="Arial" w:eastAsia="Arial" w:hAnsi="Arial"/>
                <w:sz w:val="13"/>
                <w:szCs w:val="13"/>
                <w:color w:val="0000FF"/>
                <w:w w:val="86"/>
              </w:rPr>
              <w:t>0.97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(6)</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06/21/2030</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13,230</w:t>
            </w:r>
          </w:p>
        </w:tc>
        <w:tc>
          <w:tcPr>
            <w:tcW w:w="780" w:type="dxa"/>
            <w:vAlign w:val="bottom"/>
          </w:tcPr>
          <w:p>
            <w:pPr>
              <w:jc w:val="center"/>
              <w:ind w:right="82"/>
              <w:spacing w:after="0"/>
              <w:rPr>
                <w:sz w:val="20"/>
                <w:szCs w:val="20"/>
                <w:color w:val="auto"/>
              </w:rPr>
            </w:pPr>
            <w:r>
              <w:rPr>
                <w:rFonts w:ascii="Arial" w:cs="Arial" w:eastAsia="Arial" w:hAnsi="Arial"/>
                <w:sz w:val="13"/>
                <w:szCs w:val="13"/>
                <w:color w:val="0000FF"/>
                <w:w w:val="88"/>
              </w:rPr>
              <w:t>1.6</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(7)</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06/21/2030</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1,690</w:t>
            </w:r>
          </w:p>
        </w:tc>
        <w:tc>
          <w:tcPr>
            <w:tcW w:w="780" w:type="dxa"/>
            <w:vAlign w:val="bottom"/>
          </w:tcPr>
          <w:p>
            <w:pPr>
              <w:jc w:val="center"/>
              <w:ind w:right="82"/>
              <w:spacing w:after="0"/>
              <w:rPr>
                <w:sz w:val="20"/>
                <w:szCs w:val="20"/>
                <w:color w:val="auto"/>
              </w:rPr>
            </w:pPr>
            <w:r>
              <w:rPr>
                <w:rFonts w:ascii="Arial" w:cs="Arial" w:eastAsia="Arial" w:hAnsi="Arial"/>
                <w:sz w:val="13"/>
                <w:szCs w:val="13"/>
                <w:color w:val="0000FF"/>
                <w:w w:val="88"/>
              </w:rPr>
              <w:t>1.6</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(8)</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06/21/2030</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15,800</w:t>
            </w:r>
          </w:p>
        </w:tc>
        <w:tc>
          <w:tcPr>
            <w:tcW w:w="780" w:type="dxa"/>
            <w:vAlign w:val="bottom"/>
          </w:tcPr>
          <w:p>
            <w:pPr>
              <w:jc w:val="center"/>
              <w:ind w:right="82"/>
              <w:spacing w:after="0"/>
              <w:rPr>
                <w:sz w:val="20"/>
                <w:szCs w:val="20"/>
                <w:color w:val="auto"/>
              </w:rPr>
            </w:pPr>
            <w:r>
              <w:rPr>
                <w:rFonts w:ascii="Arial" w:cs="Arial" w:eastAsia="Arial" w:hAnsi="Arial"/>
                <w:sz w:val="13"/>
                <w:szCs w:val="13"/>
                <w:color w:val="0000FF"/>
                <w:w w:val="88"/>
              </w:rPr>
              <w:t>1.6</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(9)</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06/21/2030</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6,120</w:t>
            </w:r>
          </w:p>
        </w:tc>
        <w:tc>
          <w:tcPr>
            <w:tcW w:w="780" w:type="dxa"/>
            <w:vAlign w:val="bottom"/>
          </w:tcPr>
          <w:p>
            <w:pPr>
              <w:jc w:val="center"/>
              <w:ind w:right="82"/>
              <w:spacing w:after="0"/>
              <w:rPr>
                <w:sz w:val="20"/>
                <w:szCs w:val="20"/>
                <w:color w:val="auto"/>
              </w:rPr>
            </w:pPr>
            <w:r>
              <w:rPr>
                <w:rFonts w:ascii="Arial" w:cs="Arial" w:eastAsia="Arial" w:hAnsi="Arial"/>
                <w:sz w:val="13"/>
                <w:szCs w:val="13"/>
                <w:color w:val="0000FF"/>
                <w:w w:val="88"/>
              </w:rPr>
              <w:t>1.6</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(10)</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03/15/2031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15,080</w:t>
            </w:r>
          </w:p>
        </w:tc>
        <w:tc>
          <w:tcPr>
            <w:tcW w:w="780" w:type="dxa"/>
            <w:vAlign w:val="bottom"/>
          </w:tcPr>
          <w:p>
            <w:pPr>
              <w:jc w:val="center"/>
              <w:ind w:right="62"/>
              <w:spacing w:after="0"/>
              <w:rPr>
                <w:sz w:val="20"/>
                <w:szCs w:val="20"/>
                <w:color w:val="auto"/>
              </w:rPr>
            </w:pPr>
            <w:r>
              <w:rPr>
                <w:rFonts w:ascii="Arial" w:cs="Arial" w:eastAsia="Arial" w:hAnsi="Arial"/>
                <w:sz w:val="13"/>
                <w:szCs w:val="13"/>
                <w:color w:val="0000FF"/>
                <w:w w:val="86"/>
              </w:rPr>
              <w:t>7.21</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(11)</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10/12/2031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2,000</w:t>
            </w:r>
          </w:p>
        </w:tc>
        <w:tc>
          <w:tcPr>
            <w:tcW w:w="780" w:type="dxa"/>
            <w:vAlign w:val="bottom"/>
          </w:tcPr>
          <w:p>
            <w:pPr>
              <w:jc w:val="center"/>
              <w:ind w:right="62"/>
              <w:spacing w:after="0"/>
              <w:rPr>
                <w:sz w:val="20"/>
                <w:szCs w:val="20"/>
                <w:color w:val="auto"/>
              </w:rPr>
            </w:pPr>
            <w:r>
              <w:rPr>
                <w:rFonts w:ascii="Arial" w:cs="Arial" w:eastAsia="Arial" w:hAnsi="Arial"/>
                <w:sz w:val="13"/>
                <w:szCs w:val="13"/>
                <w:color w:val="0000FF"/>
                <w:w w:val="92"/>
              </w:rPr>
              <w:t>12.97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(12)</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10/12/2031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6,700</w:t>
            </w:r>
          </w:p>
        </w:tc>
        <w:tc>
          <w:tcPr>
            <w:tcW w:w="780" w:type="dxa"/>
            <w:vAlign w:val="bottom"/>
          </w:tcPr>
          <w:p>
            <w:pPr>
              <w:jc w:val="center"/>
              <w:ind w:right="62"/>
              <w:spacing w:after="0"/>
              <w:rPr>
                <w:sz w:val="20"/>
                <w:szCs w:val="20"/>
                <w:color w:val="auto"/>
              </w:rPr>
            </w:pPr>
            <w:r>
              <w:rPr>
                <w:rFonts w:ascii="Arial" w:cs="Arial" w:eastAsia="Arial" w:hAnsi="Arial"/>
                <w:sz w:val="13"/>
                <w:szCs w:val="13"/>
                <w:color w:val="0000FF"/>
                <w:w w:val="92"/>
              </w:rPr>
              <w:t>12.97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(13)</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12/15/2029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90,410</w:t>
            </w:r>
          </w:p>
        </w:tc>
        <w:tc>
          <w:tcPr>
            <w:tcW w:w="780" w:type="dxa"/>
            <w:vAlign w:val="bottom"/>
          </w:tcPr>
          <w:p>
            <w:pPr>
              <w:jc w:val="center"/>
              <w:ind w:right="62"/>
              <w:spacing w:after="0"/>
              <w:rPr>
                <w:sz w:val="20"/>
                <w:szCs w:val="20"/>
                <w:color w:val="auto"/>
              </w:rPr>
            </w:pPr>
            <w:r>
              <w:rPr>
                <w:rFonts w:ascii="Arial" w:cs="Arial" w:eastAsia="Arial" w:hAnsi="Arial"/>
                <w:sz w:val="8"/>
                <w:szCs w:val="8"/>
                <w:color w:val="008000"/>
                <w:w w:val="98"/>
              </w:rPr>
              <w:t>(14)</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(13)</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12/15/2029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LT50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90,410</w:t>
            </w:r>
          </w:p>
        </w:tc>
        <w:tc>
          <w:tcPr>
            <w:tcW w:w="780" w:type="dxa"/>
            <w:vAlign w:val="bottom"/>
          </w:tcPr>
          <w:p>
            <w:pPr>
              <w:jc w:val="center"/>
              <w:ind w:right="62"/>
              <w:spacing w:after="0"/>
              <w:rPr>
                <w:sz w:val="20"/>
                <w:szCs w:val="20"/>
                <w:color w:val="auto"/>
              </w:rPr>
            </w:pPr>
            <w:r>
              <w:rPr>
                <w:rFonts w:ascii="Arial" w:cs="Arial" w:eastAsia="Arial" w:hAnsi="Arial"/>
                <w:sz w:val="8"/>
                <w:szCs w:val="8"/>
                <w:color w:val="008000"/>
                <w:w w:val="98"/>
              </w:rPr>
              <w:t>(15)</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bl>
    <w:p>
      <w:pPr>
        <w:spacing w:after="0" w:line="235" w:lineRule="exact"/>
        <w:rPr>
          <w:sz w:val="24"/>
          <w:szCs w:val="24"/>
          <w:color w:val="auto"/>
        </w:rPr>
      </w:pPr>
    </w:p>
    <w:p>
      <w:pPr>
        <w:sectPr>
          <w:pgSz w:w="11900" w:h="16838" w:orient="portrait"/>
          <w:cols w:equalWidth="0" w:num="2">
            <w:col w:w="3260" w:space="720"/>
            <w:col w:w="7040"/>
          </w:cols>
          <w:pgMar w:left="440" w:top="203" w:right="439" w:bottom="1440" w:gutter="0" w:footer="0" w:header="0"/>
          <w:type w:val="continuous"/>
        </w:sect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Deposited into the Expensify Voting Trust (the "Voting Trust"). The Reporting Person retains investment control and dispositive power over the shares deposited into the Voting Trust.</w:t>
      </w:r>
    </w:p>
    <w:p>
      <w:pPr>
        <w:spacing w:after="0" w:line="35" w:lineRule="exact"/>
        <w:rPr>
          <w:rFonts w:ascii="Arial" w:cs="Arial" w:eastAsia="Arial" w:hAnsi="Arial"/>
          <w:sz w:val="10"/>
          <w:szCs w:val="10"/>
          <w:color w:val="008000"/>
        </w:r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April 1, 2019.</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Reflects remaining portion of the stock option that originally vested in 72 equal monthly installments beginning on May 12, 2019.</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April 1,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August 1, 2019.</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March 11, 2018.</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October 1, 2019.</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April 1, 2021.</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August 1, 2021.</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October 16, 2021.</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restricted stock units vest 12.5% on September 15, 2022 and 1/32nd each quarter thereafter, on December 15th, March 15th, June 15th and September 15th.</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Class A common stock.</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LT50 common stock.</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Ryan Schaffer,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11/15/2021</w:t>
            </w:r>
          </w:p>
        </w:tc>
      </w:tr>
      <w:tr>
        <w:trPr>
          <w:trHeight w:val="170"/>
        </w:trPr>
        <w:tc>
          <w:tcPr>
            <w:tcW w:w="6580" w:type="dxa"/>
            <w:vAlign w:val="bottom"/>
          </w:tcPr>
          <w:p>
            <w:pPr>
              <w:spacing w:after="0"/>
              <w:rPr>
                <w:sz w:val="14"/>
                <w:szCs w:val="14"/>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Filings under Section 16 of 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(Expensify, Inc.)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David Michael Barrett, Chief Executive Officer of Expensify, Inc. (the "Company") and Ryan Sch</w:t>
      </w:r>
    </w:p>
    <w:p>
      <w:pPr>
        <w:spacing w:after="0" w:line="153" w:lineRule="exact"/>
        <w:rPr>
          <w:sz w:val="20"/>
          <w:szCs w:val="20"/>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the Company, Forms 3, 4 a</w:t>
      </w:r>
    </w:p>
    <w:p>
      <w:pPr>
        <w:spacing w:after="0" w:line="152" w:lineRule="exact"/>
        <w:rPr>
          <w:rFonts w:ascii="Courier New" w:cs="Courier New" w:eastAsia="Courier New" w:hAnsi="Courier New"/>
          <w:sz w:val="13"/>
          <w:szCs w:val="13"/>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488" w:lineRule="auto"/>
        <w:tabs>
          <w:tab w:leader="none" w:pos="62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solely in connection with the foregoing which, in the opinion of such attorney-in-fact, may be of benefit to, in The undersigned hereby grants to each such attorney-in-fact full power and authority to do and perform any and every act and thing whatsoever This Limited Power of Attorney shall remain in full force and effect until the undersigned is no longer required to file Forms 3, 4 and 5 with IN WITNESS WHEREOF, the undersigned has executed this Limited Power of Attorney this 5th day of November 2021.</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/s/Daniel Vidal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Daniel Vidal</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891862" TargetMode="External"/><Relationship Id="rId12"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2021-11-15T18:12:28Z</dcterms:created>
  <dcterms:modified xsi:type="dcterms:W3CDTF">2021-11-15T18:12:28Z</dcterms:modified>
</cp:coreProperties>
</file>