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1366520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13G</w:t>
      </w:r>
    </w:p>
    <w:p>
      <w:pPr>
        <w:spacing w:after="0" w:line="18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(Rule 13d-102)</w:t>
      </w:r>
    </w:p>
    <w:p>
      <w:pPr>
        <w:spacing w:after="0" w:line="188"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Information to be Included in Statements Filed Pursuant</w:t>
      </w:r>
    </w:p>
    <w:p>
      <w:pPr>
        <w:ind w:left="3280"/>
        <w:spacing w:after="0" w:line="205" w:lineRule="auto"/>
        <w:rPr>
          <w:sz w:val="20"/>
          <w:szCs w:val="20"/>
          <w:color w:val="auto"/>
        </w:rPr>
      </w:pPr>
      <w:r>
        <w:rPr>
          <w:rFonts w:ascii="Arial" w:cs="Arial" w:eastAsia="Arial" w:hAnsi="Arial"/>
          <w:sz w:val="18"/>
          <w:szCs w:val="18"/>
          <w:b w:val="1"/>
          <w:bCs w:val="1"/>
          <w:color w:val="auto"/>
        </w:rPr>
        <w:t>to § 240.13d-1(b), (c) and (d) and Amendments Thereto Filed</w:t>
      </w:r>
    </w:p>
    <w:p>
      <w:pPr>
        <w:spacing w:after="0" w:line="1"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Pursuant to § 240.13d-2</w:t>
      </w:r>
    </w:p>
    <w:p>
      <w:pPr>
        <w:spacing w:after="0" w:line="155"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79"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Expensify, Inc.</w:t>
      </w:r>
    </w:p>
    <w:p>
      <w:pPr>
        <w:jc w:val="center"/>
        <w:ind w:right="-259"/>
        <w:spacing w:after="0"/>
        <w:rPr>
          <w:sz w:val="20"/>
          <w:szCs w:val="20"/>
          <w:color w:val="auto"/>
        </w:rPr>
      </w:pPr>
      <w:r>
        <w:rPr>
          <w:rFonts w:ascii="Arial" w:cs="Arial" w:eastAsia="Arial" w:hAnsi="Arial"/>
          <w:sz w:val="18"/>
          <w:szCs w:val="18"/>
          <w:b w:val="1"/>
          <w:bCs w:val="1"/>
          <w:color w:val="auto"/>
        </w:rPr>
        <w:t>(Name of Issuer)</w:t>
      </w:r>
    </w:p>
    <w:p>
      <w:pPr>
        <w:spacing w:after="0" w:line="374"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Class A Common Stock, par value $0.0001</w:t>
      </w:r>
    </w:p>
    <w:p>
      <w:pPr>
        <w:jc w:val="center"/>
        <w:ind w:right="-259"/>
        <w:spacing w:after="0"/>
        <w:rPr>
          <w:sz w:val="20"/>
          <w:szCs w:val="20"/>
          <w:color w:val="auto"/>
        </w:rPr>
      </w:pPr>
      <w:r>
        <w:rPr>
          <w:rFonts w:ascii="Arial" w:cs="Arial" w:eastAsia="Arial" w:hAnsi="Arial"/>
          <w:sz w:val="14"/>
          <w:szCs w:val="14"/>
          <w:b w:val="1"/>
          <w:bCs w:val="1"/>
          <w:color w:val="auto"/>
        </w:rPr>
        <w:t>(Title of Class of Securities)</w:t>
      </w:r>
    </w:p>
    <w:p>
      <w:pPr>
        <w:spacing w:after="0" w:line="388"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30219Q106</w:t>
      </w:r>
    </w:p>
    <w:p>
      <w:pPr>
        <w:jc w:val="center"/>
        <w:ind w:right="-259"/>
        <w:spacing w:after="0"/>
        <w:rPr>
          <w:sz w:val="20"/>
          <w:szCs w:val="20"/>
          <w:color w:val="auto"/>
        </w:rPr>
      </w:pPr>
      <w:r>
        <w:rPr>
          <w:rFonts w:ascii="Arial" w:cs="Arial" w:eastAsia="Arial" w:hAnsi="Arial"/>
          <w:sz w:val="14"/>
          <w:szCs w:val="14"/>
          <w:b w:val="1"/>
          <w:bCs w:val="1"/>
          <w:color w:val="auto"/>
        </w:rPr>
        <w:t>(CUSIP Number)</w:t>
      </w:r>
    </w:p>
    <w:p>
      <w:pPr>
        <w:spacing w:after="0" w:line="388"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December 31, 2022</w:t>
      </w:r>
    </w:p>
    <w:p>
      <w:pPr>
        <w:jc w:val="center"/>
        <w:ind w:right="-2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44"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347" w:lineRule="exact"/>
        <w:rPr>
          <w:sz w:val="24"/>
          <w:szCs w:val="24"/>
          <w:color w:val="auto"/>
        </w:rPr>
      </w:pPr>
    </w:p>
    <w:p>
      <w:pPr>
        <w:ind w:left="480" w:hanging="454"/>
        <w:spacing w:after="0" w:line="274" w:lineRule="auto"/>
        <w:tabs>
          <w:tab w:leader="none" w:pos="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ectPr>
          <w:pgSz w:w="11900" w:h="16838" w:orient="portrait"/>
          <w:cols w:equalWidth="0" w:num="1">
            <w:col w:w="10980"/>
          </w:cols>
          <w:pgMar w:left="320" w:top="1440" w:right="599" w:bottom="1440" w:gutter="0" w:footer="0" w:header="0"/>
        </w:sectPr>
      </w:pPr>
    </w:p>
    <w:bookmarkStart w:id="1" w:name="page2"/>
    <w:bookmarkEnd w:id="1"/>
    <w:p>
      <w:pPr>
        <w:spacing w:after="0" w:line="18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w:t>
      </w:r>
    </w:p>
    <w:p>
      <w:pPr>
        <w:spacing w:after="0"/>
        <w:rPr>
          <w:sz w:val="20"/>
          <w:szCs w:val="20"/>
          <w:color w:val="auto"/>
        </w:rPr>
      </w:pPr>
      <w:r>
        <w:rPr>
          <w:rFonts w:ascii="Arial" w:cs="Arial" w:eastAsia="Arial" w:hAnsi="Arial"/>
          <w:sz w:val="18"/>
          <w:szCs w:val="18"/>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spacing w:after="0"/>
        <w:tabs>
          <w:tab w:leader="none" w:pos="5080" w:val="left"/>
          <w:tab w:leader="none" w:pos="9920" w:val="left"/>
        </w:tabs>
        <w:rPr>
          <w:sz w:val="20"/>
          <w:szCs w:val="20"/>
          <w:color w:val="auto"/>
        </w:rPr>
      </w:pPr>
      <w:r>
        <w:rPr>
          <w:rFonts w:ascii="Arial" w:cs="Arial" w:eastAsia="Arial" w:hAnsi="Arial"/>
          <w:sz w:val="18"/>
          <w:szCs w:val="18"/>
          <w:color w:val="auto"/>
        </w:rPr>
        <w:t>CUSIP No. 30219Q106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846455</wp:posOffset>
            </wp:positionV>
            <wp:extent cx="7140575" cy="5332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0575" cy="5332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hanging="454"/>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71" w:lineRule="exact"/>
        <w:rPr>
          <w:sz w:val="20"/>
          <w:szCs w:val="20"/>
          <w:color w:val="auto"/>
        </w:rPr>
      </w:pPr>
    </w:p>
    <w:p>
      <w:pPr>
        <w:ind w:left="660" w:right="800"/>
        <w:spacing w:after="0" w:line="235" w:lineRule="auto"/>
        <w:rPr>
          <w:sz w:val="20"/>
          <w:szCs w:val="20"/>
          <w:color w:val="auto"/>
        </w:rPr>
      </w:pPr>
      <w:r>
        <w:rPr>
          <w:rFonts w:ascii="Arial" w:cs="Arial" w:eastAsia="Arial" w:hAnsi="Arial"/>
          <w:sz w:val="22"/>
          <w:szCs w:val="22"/>
          <w:b w:val="1"/>
          <w:bCs w:val="1"/>
          <w:color w:val="auto"/>
        </w:rPr>
        <w:t>David Barrett, individually and as trustee of the Barrett Family Trust, solely in such trust’s capacity as the controlling member of Barrett Trust LLC</w:t>
      </w:r>
    </w:p>
    <w:p>
      <w:pPr>
        <w:spacing w:after="0" w:line="22" w:lineRule="exact"/>
        <w:rPr>
          <w:sz w:val="20"/>
          <w:szCs w:val="20"/>
          <w:color w:val="auto"/>
        </w:rPr>
      </w:pPr>
    </w:p>
    <w:p>
      <w:pPr>
        <w:ind w:left="660" w:hanging="454"/>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ind w:left="660"/>
        <w:spacing w:after="0" w:line="207"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5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60" w:hanging="45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United States</w:t>
      </w:r>
    </w:p>
    <w:p>
      <w:pPr>
        <w:spacing w:after="0" w:line="71" w:lineRule="exact"/>
        <w:rPr>
          <w:sz w:val="20"/>
          <w:szCs w:val="20"/>
          <w:color w:val="auto"/>
        </w:rPr>
      </w:pPr>
    </w:p>
    <w:tbl>
      <w:tblPr>
        <w:tblLayout w:type="fixed"/>
        <w:tblInd w:w="1660" w:type="dxa"/>
        <w:tblCellMar>
          <w:top w:w="0" w:type="dxa"/>
          <w:left w:w="0" w:type="dxa"/>
          <w:bottom w:w="0" w:type="dxa"/>
          <w:right w:w="0" w:type="dxa"/>
        </w:tblCellMar>
      </w:tblPr>
      <w:tr>
        <w:trPr>
          <w:trHeight w:val="230"/>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5</w:t>
            </w:r>
          </w:p>
        </w:tc>
        <w:tc>
          <w:tcPr>
            <w:tcW w:w="1500" w:type="dxa"/>
            <w:vAlign w:val="bottom"/>
          </w:tcPr>
          <w:p>
            <w:pPr>
              <w:ind w:left="160"/>
              <w:spacing w:after="0"/>
              <w:rPr>
                <w:sz w:val="20"/>
                <w:szCs w:val="20"/>
                <w:color w:val="auto"/>
              </w:rPr>
            </w:pPr>
            <w:r>
              <w:rPr>
                <w:rFonts w:ascii="Arial" w:cs="Arial" w:eastAsia="Arial" w:hAnsi="Arial"/>
                <w:sz w:val="18"/>
                <w:szCs w:val="18"/>
                <w:color w:val="auto"/>
                <w:w w:val="89"/>
              </w:rPr>
              <w:t>Sole Voting Power</w:t>
            </w:r>
          </w:p>
        </w:tc>
      </w:tr>
    </w:tbl>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280"/>
        </w:trPr>
        <w:tc>
          <w:tcPr>
            <w:tcW w:w="1160" w:type="dxa"/>
            <w:vAlign w:val="bottom"/>
            <w:vMerge w:val="restart"/>
          </w:tcPr>
          <w:p>
            <w:pPr>
              <w:jc w:val="center"/>
              <w:ind w:right="212"/>
              <w:spacing w:after="0"/>
              <w:rPr>
                <w:sz w:val="20"/>
                <w:szCs w:val="20"/>
                <w:color w:val="auto"/>
              </w:rPr>
            </w:pPr>
            <w:r>
              <w:rPr>
                <w:rFonts w:ascii="Arial" w:cs="Arial" w:eastAsia="Arial" w:hAnsi="Arial"/>
                <w:sz w:val="18"/>
                <w:szCs w:val="18"/>
                <w:color w:val="auto"/>
                <w:w w:val="92"/>
              </w:rPr>
              <w:t>Number of</w:t>
            </w:r>
          </w:p>
        </w:tc>
        <w:tc>
          <w:tcPr>
            <w:tcW w:w="460" w:type="dxa"/>
            <w:vAlign w:val="bottom"/>
          </w:tcPr>
          <w:p>
            <w:pPr>
              <w:spacing w:after="0"/>
              <w:rPr>
                <w:sz w:val="24"/>
                <w:szCs w:val="24"/>
                <w:color w:val="auto"/>
              </w:rPr>
            </w:pPr>
          </w:p>
        </w:tc>
        <w:tc>
          <w:tcPr>
            <w:tcW w:w="9320" w:type="dxa"/>
            <w:vAlign w:val="bottom"/>
          </w:tcPr>
          <w:p>
            <w:pPr>
              <w:ind w:left="160"/>
              <w:spacing w:after="0"/>
              <w:rPr>
                <w:sz w:val="20"/>
                <w:szCs w:val="20"/>
                <w:color w:val="auto"/>
              </w:rPr>
            </w:pPr>
            <w:r>
              <w:rPr>
                <w:rFonts w:ascii="Arial" w:cs="Arial" w:eastAsia="Arial" w:hAnsi="Arial"/>
                <w:sz w:val="22"/>
                <w:szCs w:val="22"/>
                <w:b w:val="1"/>
                <w:bCs w:val="1"/>
                <w:color w:val="auto"/>
              </w:rPr>
              <w:t>2,974,788</w:t>
            </w:r>
          </w:p>
        </w:tc>
        <w:tc>
          <w:tcPr>
            <w:tcW w:w="0" w:type="dxa"/>
            <w:vAlign w:val="bottom"/>
          </w:tcPr>
          <w:p>
            <w:pPr>
              <w:spacing w:after="0"/>
              <w:rPr>
                <w:sz w:val="1"/>
                <w:szCs w:val="1"/>
                <w:color w:val="auto"/>
              </w:rPr>
            </w:pPr>
          </w:p>
        </w:tc>
      </w:tr>
      <w:tr>
        <w:trPr>
          <w:trHeight w:val="31"/>
        </w:trPr>
        <w:tc>
          <w:tcPr>
            <w:tcW w:w="1160" w:type="dxa"/>
            <w:vAlign w:val="bottom"/>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1160" w:type="dxa"/>
            <w:vAlign w:val="bottom"/>
            <w:vMerge w:val="continue"/>
          </w:tcPr>
          <w:p>
            <w:pPr>
              <w:spacing w:after="0"/>
              <w:rPr>
                <w:sz w:val="8"/>
                <w:szCs w:val="8"/>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6</w:t>
            </w:r>
          </w:p>
        </w:tc>
        <w:tc>
          <w:tcPr>
            <w:tcW w:w="932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192"/>
              <w:spacing w:after="0" w:line="189" w:lineRule="exact"/>
              <w:rPr>
                <w:sz w:val="20"/>
                <w:szCs w:val="20"/>
                <w:color w:val="auto"/>
              </w:rPr>
            </w:pPr>
            <w:r>
              <w:rPr>
                <w:rFonts w:ascii="Arial" w:cs="Arial" w:eastAsia="Arial" w:hAnsi="Arial"/>
                <w:sz w:val="18"/>
                <w:szCs w:val="18"/>
                <w:color w:val="auto"/>
                <w:w w:val="84"/>
              </w:rPr>
              <w:t>Shares</w:t>
            </w:r>
          </w:p>
        </w:tc>
        <w:tc>
          <w:tcPr>
            <w:tcW w:w="460" w:type="dxa"/>
            <w:vAlign w:val="bottom"/>
            <w:vMerge w:val="continue"/>
          </w:tcPr>
          <w:p>
            <w:pPr>
              <w:spacing w:after="0"/>
              <w:rPr>
                <w:sz w:val="10"/>
                <w:szCs w:val="10"/>
                <w:color w:val="auto"/>
              </w:rPr>
            </w:pPr>
          </w:p>
        </w:tc>
        <w:tc>
          <w:tcPr>
            <w:tcW w:w="9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11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160" w:type="dxa"/>
            <w:vAlign w:val="bottom"/>
          </w:tcPr>
          <w:p>
            <w:pPr>
              <w:jc w:val="center"/>
              <w:ind w:right="192"/>
              <w:spacing w:after="0" w:line="176" w:lineRule="exact"/>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5"/>
                <w:szCs w:val="15"/>
                <w:color w:val="auto"/>
              </w:rPr>
            </w:pPr>
          </w:p>
        </w:tc>
        <w:tc>
          <w:tcPr>
            <w:tcW w:w="93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3,502,003</w:t>
            </w:r>
          </w:p>
        </w:tc>
        <w:tc>
          <w:tcPr>
            <w:tcW w:w="0" w:type="dxa"/>
            <w:vAlign w:val="bottom"/>
          </w:tcPr>
          <w:p>
            <w:pPr>
              <w:spacing w:after="0"/>
              <w:rPr>
                <w:sz w:val="1"/>
                <w:szCs w:val="1"/>
                <w:color w:val="auto"/>
              </w:rPr>
            </w:pPr>
          </w:p>
        </w:tc>
      </w:tr>
      <w:tr>
        <w:trPr>
          <w:trHeight w:val="175"/>
        </w:trPr>
        <w:tc>
          <w:tcPr>
            <w:tcW w:w="1160" w:type="dxa"/>
            <w:vAlign w:val="bottom"/>
          </w:tcPr>
          <w:p>
            <w:pPr>
              <w:jc w:val="center"/>
              <w:ind w:right="212"/>
              <w:spacing w:after="0" w:line="176" w:lineRule="exact"/>
              <w:rPr>
                <w:sz w:val="20"/>
                <w:szCs w:val="20"/>
                <w:color w:val="auto"/>
              </w:rPr>
            </w:pPr>
            <w:r>
              <w:rPr>
                <w:rFonts w:ascii="Arial" w:cs="Arial" w:eastAsia="Arial" w:hAnsi="Arial"/>
                <w:sz w:val="18"/>
                <w:szCs w:val="18"/>
                <w:color w:val="auto"/>
                <w:w w:val="91"/>
              </w:rPr>
              <w:t>Owned by</w:t>
            </w:r>
          </w:p>
        </w:tc>
        <w:tc>
          <w:tcPr>
            <w:tcW w:w="460" w:type="dxa"/>
            <w:vAlign w:val="bottom"/>
          </w:tcPr>
          <w:p>
            <w:pPr>
              <w:spacing w:after="0"/>
              <w:rPr>
                <w:sz w:val="15"/>
                <w:szCs w:val="15"/>
                <w:color w:val="auto"/>
              </w:rPr>
            </w:pPr>
          </w:p>
        </w:tc>
        <w:tc>
          <w:tcPr>
            <w:tcW w:w="9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160" w:type="dxa"/>
            <w:vAlign w:val="bottom"/>
            <w:vMerge w:val="restart"/>
          </w:tcPr>
          <w:p>
            <w:pPr>
              <w:jc w:val="center"/>
              <w:ind w:right="192"/>
              <w:spacing w:after="0"/>
              <w:rPr>
                <w:sz w:val="20"/>
                <w:szCs w:val="20"/>
                <w:color w:val="auto"/>
              </w:rPr>
            </w:pPr>
            <w:r>
              <w:rPr>
                <w:rFonts w:ascii="Arial" w:cs="Arial" w:eastAsia="Arial" w:hAnsi="Arial"/>
                <w:sz w:val="18"/>
                <w:szCs w:val="18"/>
                <w:color w:val="auto"/>
                <w:w w:val="87"/>
              </w:rPr>
              <w:t>Each</w:t>
            </w:r>
          </w:p>
        </w:tc>
        <w:tc>
          <w:tcPr>
            <w:tcW w:w="460" w:type="dxa"/>
            <w:vAlign w:val="bottom"/>
            <w:tcBorders>
              <w:bottom w:val="single" w:sz="8" w:color="auto"/>
            </w:tcBorders>
          </w:tcPr>
          <w:p>
            <w:pPr>
              <w:spacing w:after="0"/>
              <w:rPr>
                <w:sz w:val="3"/>
                <w:szCs w:val="3"/>
                <w:color w:val="auto"/>
              </w:rPr>
            </w:pPr>
          </w:p>
        </w:tc>
        <w:tc>
          <w:tcPr>
            <w:tcW w:w="9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460" w:type="dxa"/>
            <w:vAlign w:val="bottom"/>
          </w:tcPr>
          <w:p>
            <w:pPr>
              <w:jc w:val="right"/>
              <w:ind w:right="70"/>
              <w:spacing w:after="0" w:line="169" w:lineRule="exact"/>
              <w:rPr>
                <w:sz w:val="20"/>
                <w:szCs w:val="20"/>
                <w:color w:val="auto"/>
              </w:rPr>
            </w:pPr>
            <w:r>
              <w:rPr>
                <w:rFonts w:ascii="Arial" w:cs="Arial" w:eastAsia="Arial" w:hAnsi="Arial"/>
                <w:sz w:val="18"/>
                <w:szCs w:val="18"/>
                <w:color w:val="auto"/>
              </w:rPr>
              <w:t>7</w:t>
            </w:r>
          </w:p>
        </w:tc>
        <w:tc>
          <w:tcPr>
            <w:tcW w:w="9320" w:type="dxa"/>
            <w:vAlign w:val="bottom"/>
          </w:tcPr>
          <w:p>
            <w:pPr>
              <w:ind w:left="160"/>
              <w:spacing w:after="0" w:line="16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5"/>
        </w:trPr>
        <w:tc>
          <w:tcPr>
            <w:tcW w:w="1160" w:type="dxa"/>
            <w:vAlign w:val="bottom"/>
          </w:tcPr>
          <w:p>
            <w:pPr>
              <w:jc w:val="center"/>
              <w:ind w:right="192"/>
              <w:spacing w:after="0" w:line="135" w:lineRule="exact"/>
              <w:rPr>
                <w:sz w:val="20"/>
                <w:szCs w:val="20"/>
                <w:color w:val="auto"/>
              </w:rPr>
            </w:pPr>
            <w:r>
              <w:rPr>
                <w:rFonts w:ascii="Arial" w:cs="Arial" w:eastAsia="Arial" w:hAnsi="Arial"/>
                <w:sz w:val="15"/>
                <w:szCs w:val="15"/>
                <w:color w:val="auto"/>
              </w:rPr>
              <w:t>Reporting</w:t>
            </w:r>
          </w:p>
        </w:tc>
        <w:tc>
          <w:tcPr>
            <w:tcW w:w="460" w:type="dxa"/>
            <w:vAlign w:val="bottom"/>
          </w:tcPr>
          <w:p>
            <w:pPr>
              <w:spacing w:after="0"/>
              <w:rPr>
                <w:sz w:val="11"/>
                <w:szCs w:val="11"/>
                <w:color w:val="auto"/>
              </w:rPr>
            </w:pPr>
          </w:p>
        </w:tc>
        <w:tc>
          <w:tcPr>
            <w:tcW w:w="9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160" w:type="dxa"/>
            <w:vAlign w:val="bottom"/>
          </w:tcPr>
          <w:p>
            <w:pPr>
              <w:jc w:val="center"/>
              <w:ind w:right="212"/>
              <w:spacing w:after="0" w:line="176" w:lineRule="exact"/>
              <w:rPr>
                <w:sz w:val="20"/>
                <w:szCs w:val="20"/>
                <w:color w:val="auto"/>
              </w:rPr>
            </w:pPr>
            <w:r>
              <w:rPr>
                <w:rFonts w:ascii="Arial" w:cs="Arial" w:eastAsia="Arial" w:hAnsi="Arial"/>
                <w:sz w:val="18"/>
                <w:szCs w:val="18"/>
                <w:color w:val="auto"/>
                <w:w w:val="87"/>
              </w:rPr>
              <w:t>Person</w:t>
            </w:r>
          </w:p>
        </w:tc>
        <w:tc>
          <w:tcPr>
            <w:tcW w:w="460" w:type="dxa"/>
            <w:vAlign w:val="bottom"/>
          </w:tcPr>
          <w:p>
            <w:pPr>
              <w:spacing w:after="0"/>
              <w:rPr>
                <w:sz w:val="15"/>
                <w:szCs w:val="15"/>
                <w:color w:val="auto"/>
              </w:rPr>
            </w:pPr>
          </w:p>
        </w:tc>
        <w:tc>
          <w:tcPr>
            <w:tcW w:w="93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2,974,788</w:t>
            </w:r>
          </w:p>
        </w:tc>
        <w:tc>
          <w:tcPr>
            <w:tcW w:w="0" w:type="dxa"/>
            <w:vAlign w:val="bottom"/>
          </w:tcPr>
          <w:p>
            <w:pPr>
              <w:spacing w:after="0"/>
              <w:rPr>
                <w:sz w:val="1"/>
                <w:szCs w:val="1"/>
                <w:color w:val="auto"/>
              </w:rPr>
            </w:pPr>
          </w:p>
        </w:tc>
      </w:tr>
      <w:tr>
        <w:trPr>
          <w:trHeight w:val="203"/>
        </w:trPr>
        <w:tc>
          <w:tcPr>
            <w:tcW w:w="1160" w:type="dxa"/>
            <w:vAlign w:val="bottom"/>
          </w:tcPr>
          <w:p>
            <w:pPr>
              <w:jc w:val="center"/>
              <w:ind w:right="212"/>
              <w:spacing w:after="0" w:line="202" w:lineRule="exact"/>
              <w:rPr>
                <w:sz w:val="20"/>
                <w:szCs w:val="20"/>
                <w:color w:val="auto"/>
              </w:rPr>
            </w:pPr>
            <w:r>
              <w:rPr>
                <w:rFonts w:ascii="Arial" w:cs="Arial" w:eastAsia="Arial" w:hAnsi="Arial"/>
                <w:sz w:val="18"/>
                <w:szCs w:val="18"/>
                <w:color w:val="auto"/>
                <w:w w:val="94"/>
              </w:rPr>
              <w:t>With</w:t>
            </w:r>
          </w:p>
        </w:tc>
        <w:tc>
          <w:tcPr>
            <w:tcW w:w="460" w:type="dxa"/>
            <w:vAlign w:val="bottom"/>
            <w:tcBorders>
              <w:bottom w:val="single" w:sz="8" w:color="auto"/>
            </w:tcBorders>
          </w:tcPr>
          <w:p>
            <w:pPr>
              <w:spacing w:after="0"/>
              <w:rPr>
                <w:sz w:val="17"/>
                <w:szCs w:val="17"/>
                <w:color w:val="auto"/>
              </w:rPr>
            </w:pPr>
          </w:p>
        </w:tc>
        <w:tc>
          <w:tcPr>
            <w:tcW w:w="9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932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080"/>
        <w:spacing w:after="0"/>
        <w:rPr>
          <w:sz w:val="20"/>
          <w:szCs w:val="20"/>
          <w:color w:val="auto"/>
        </w:rPr>
      </w:pPr>
      <w:r>
        <w:rPr>
          <w:rFonts w:ascii="Arial" w:cs="Arial" w:eastAsia="Arial" w:hAnsi="Arial"/>
          <w:sz w:val="22"/>
          <w:szCs w:val="22"/>
          <w:b w:val="1"/>
          <w:bCs w:val="1"/>
          <w:color w:val="auto"/>
        </w:rPr>
        <w:t>3,502,003</w:t>
      </w:r>
    </w:p>
    <w:p>
      <w:pPr>
        <w:spacing w:after="0" w:line="71" w:lineRule="exact"/>
        <w:rPr>
          <w:sz w:val="20"/>
          <w:szCs w:val="20"/>
          <w:color w:val="auto"/>
        </w:rPr>
      </w:pPr>
    </w:p>
    <w:p>
      <w:pPr>
        <w:ind w:left="660" w:hanging="45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6,476,791</w:t>
      </w:r>
    </w:p>
    <w:p>
      <w:pPr>
        <w:spacing w:after="0" w:line="7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Not applicable</w:t>
      </w:r>
    </w:p>
    <w:p>
      <w:pPr>
        <w:spacing w:after="0" w:line="7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9.4%</w:t>
      </w:r>
    </w:p>
    <w:p>
      <w:pPr>
        <w:spacing w:after="0" w:line="7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IN; OO</w:t>
      </w:r>
    </w:p>
    <w:p>
      <w:pPr>
        <w:sectPr>
          <w:pgSz w:w="11900" w:h="16838" w:orient="portrait"/>
          <w:cols w:equalWidth="0" w:num="1">
            <w:col w:w="11240"/>
          </w:cols>
          <w:pgMar w:left="340" w:top="166" w:right="319" w:bottom="1440" w:gutter="0" w:footer="0" w:header="0"/>
        </w:sectPr>
      </w:pPr>
    </w:p>
    <w:bookmarkStart w:id="3" w:name="page4"/>
    <w:bookmarkEnd w:id="3"/>
    <w:p>
      <w:pPr>
        <w:spacing w:after="0"/>
        <w:tabs>
          <w:tab w:leader="none" w:pos="5080" w:val="left"/>
          <w:tab w:leader="none" w:pos="9920" w:val="left"/>
        </w:tabs>
        <w:rPr>
          <w:sz w:val="20"/>
          <w:szCs w:val="20"/>
          <w:color w:val="auto"/>
        </w:rPr>
      </w:pPr>
      <w:r>
        <w:rPr>
          <w:rFonts w:ascii="Arial" w:cs="Arial" w:eastAsia="Arial" w:hAnsi="Arial"/>
          <w:sz w:val="18"/>
          <w:szCs w:val="18"/>
          <w:color w:val="auto"/>
        </w:rPr>
        <w:t>CUSIP No. 30219Q106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2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1069340</wp:posOffset>
            </wp:positionV>
            <wp:extent cx="7140575" cy="51689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0575" cy="5168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hanging="45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Barrett Trust LLC</w:t>
      </w:r>
    </w:p>
    <w:p>
      <w:pPr>
        <w:spacing w:after="0" w:line="49" w:lineRule="exact"/>
        <w:rPr>
          <w:sz w:val="20"/>
          <w:szCs w:val="20"/>
          <w:color w:val="auto"/>
        </w:rPr>
      </w:pPr>
    </w:p>
    <w:p>
      <w:pPr>
        <w:ind w:left="660" w:hanging="45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ind w:left="660"/>
        <w:spacing w:after="0" w:line="207"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5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60" w:hanging="454"/>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United States</w:t>
      </w:r>
    </w:p>
    <w:p>
      <w:pPr>
        <w:spacing w:after="0" w:line="71" w:lineRule="exact"/>
        <w:rPr>
          <w:sz w:val="20"/>
          <w:szCs w:val="20"/>
          <w:color w:val="auto"/>
        </w:rPr>
      </w:pPr>
    </w:p>
    <w:tbl>
      <w:tblPr>
        <w:tblLayout w:type="fixed"/>
        <w:tblInd w:w="1660" w:type="dxa"/>
        <w:tblCellMar>
          <w:top w:w="0" w:type="dxa"/>
          <w:left w:w="0" w:type="dxa"/>
          <w:bottom w:w="0" w:type="dxa"/>
          <w:right w:w="0" w:type="dxa"/>
        </w:tblCellMar>
      </w:tblPr>
      <w:tr>
        <w:trPr>
          <w:trHeight w:val="230"/>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5</w:t>
            </w:r>
          </w:p>
        </w:tc>
        <w:tc>
          <w:tcPr>
            <w:tcW w:w="1500" w:type="dxa"/>
            <w:vAlign w:val="bottom"/>
          </w:tcPr>
          <w:p>
            <w:pPr>
              <w:ind w:left="160"/>
              <w:spacing w:after="0"/>
              <w:rPr>
                <w:sz w:val="20"/>
                <w:szCs w:val="20"/>
                <w:color w:val="auto"/>
              </w:rPr>
            </w:pPr>
            <w:r>
              <w:rPr>
                <w:rFonts w:ascii="Arial" w:cs="Arial" w:eastAsia="Arial" w:hAnsi="Arial"/>
                <w:sz w:val="18"/>
                <w:szCs w:val="18"/>
                <w:color w:val="auto"/>
                <w:w w:val="89"/>
              </w:rPr>
              <w:t>Sole Voting Power</w:t>
            </w:r>
          </w:p>
        </w:tc>
      </w:tr>
    </w:tbl>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280"/>
        </w:trPr>
        <w:tc>
          <w:tcPr>
            <w:tcW w:w="1160" w:type="dxa"/>
            <w:vAlign w:val="bottom"/>
            <w:vMerge w:val="restart"/>
          </w:tcPr>
          <w:p>
            <w:pPr>
              <w:jc w:val="center"/>
              <w:ind w:right="210"/>
              <w:spacing w:after="0"/>
              <w:rPr>
                <w:sz w:val="20"/>
                <w:szCs w:val="20"/>
                <w:color w:val="auto"/>
              </w:rPr>
            </w:pPr>
            <w:r>
              <w:rPr>
                <w:rFonts w:ascii="Arial" w:cs="Arial" w:eastAsia="Arial" w:hAnsi="Arial"/>
                <w:sz w:val="18"/>
                <w:szCs w:val="18"/>
                <w:color w:val="auto"/>
                <w:w w:val="92"/>
              </w:rPr>
              <w:t>Number of</w:t>
            </w:r>
          </w:p>
        </w:tc>
        <w:tc>
          <w:tcPr>
            <w:tcW w:w="460" w:type="dxa"/>
            <w:vAlign w:val="bottom"/>
          </w:tcPr>
          <w:p>
            <w:pPr>
              <w:spacing w:after="0"/>
              <w:rPr>
                <w:sz w:val="24"/>
                <w:szCs w:val="24"/>
                <w:color w:val="auto"/>
              </w:rPr>
            </w:pPr>
          </w:p>
        </w:tc>
        <w:tc>
          <w:tcPr>
            <w:tcW w:w="9320" w:type="dxa"/>
            <w:vAlign w:val="bottom"/>
          </w:tcPr>
          <w:p>
            <w:pPr>
              <w:ind w:left="16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31"/>
        </w:trPr>
        <w:tc>
          <w:tcPr>
            <w:tcW w:w="1160" w:type="dxa"/>
            <w:vAlign w:val="bottom"/>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160" w:type="dxa"/>
            <w:vAlign w:val="bottom"/>
            <w:vMerge w:val="continue"/>
          </w:tcPr>
          <w:p>
            <w:pPr>
              <w:spacing w:after="0"/>
              <w:rPr>
                <w:sz w:val="7"/>
                <w:szCs w:val="7"/>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6</w:t>
            </w:r>
          </w:p>
        </w:tc>
        <w:tc>
          <w:tcPr>
            <w:tcW w:w="932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6"/>
        </w:trPr>
        <w:tc>
          <w:tcPr>
            <w:tcW w:w="1160" w:type="dxa"/>
            <w:vAlign w:val="bottom"/>
            <w:vMerge w:val="restart"/>
          </w:tcPr>
          <w:p>
            <w:pPr>
              <w:jc w:val="center"/>
              <w:ind w:right="190"/>
              <w:spacing w:after="0" w:line="189" w:lineRule="exact"/>
              <w:rPr>
                <w:sz w:val="20"/>
                <w:szCs w:val="20"/>
                <w:color w:val="auto"/>
              </w:rPr>
            </w:pPr>
            <w:r>
              <w:rPr>
                <w:rFonts w:ascii="Arial" w:cs="Arial" w:eastAsia="Arial" w:hAnsi="Arial"/>
                <w:sz w:val="18"/>
                <w:szCs w:val="18"/>
                <w:color w:val="auto"/>
                <w:w w:val="84"/>
              </w:rPr>
              <w:t>Shares</w:t>
            </w:r>
          </w:p>
        </w:tc>
        <w:tc>
          <w:tcPr>
            <w:tcW w:w="460" w:type="dxa"/>
            <w:vAlign w:val="bottom"/>
            <w:vMerge w:val="continue"/>
          </w:tcPr>
          <w:p>
            <w:pPr>
              <w:spacing w:after="0"/>
              <w:rPr>
                <w:sz w:val="11"/>
                <w:szCs w:val="11"/>
                <w:color w:val="auto"/>
              </w:rPr>
            </w:pPr>
          </w:p>
        </w:tc>
        <w:tc>
          <w:tcPr>
            <w:tcW w:w="9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16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9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160" w:type="dxa"/>
            <w:vAlign w:val="bottom"/>
          </w:tcPr>
          <w:p>
            <w:pPr>
              <w:jc w:val="center"/>
              <w:ind w:right="190"/>
              <w:spacing w:after="0" w:line="176" w:lineRule="exact"/>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5"/>
                <w:szCs w:val="15"/>
                <w:color w:val="auto"/>
              </w:rPr>
            </w:pPr>
          </w:p>
        </w:tc>
        <w:tc>
          <w:tcPr>
            <w:tcW w:w="93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3,502,003</w:t>
            </w:r>
          </w:p>
        </w:tc>
        <w:tc>
          <w:tcPr>
            <w:tcW w:w="0" w:type="dxa"/>
            <w:vAlign w:val="bottom"/>
          </w:tcPr>
          <w:p>
            <w:pPr>
              <w:spacing w:after="0"/>
              <w:rPr>
                <w:sz w:val="1"/>
                <w:szCs w:val="1"/>
                <w:color w:val="auto"/>
              </w:rPr>
            </w:pPr>
          </w:p>
        </w:tc>
      </w:tr>
      <w:tr>
        <w:trPr>
          <w:trHeight w:val="176"/>
        </w:trPr>
        <w:tc>
          <w:tcPr>
            <w:tcW w:w="1160" w:type="dxa"/>
            <w:vAlign w:val="bottom"/>
          </w:tcPr>
          <w:p>
            <w:pPr>
              <w:jc w:val="center"/>
              <w:ind w:right="210"/>
              <w:spacing w:after="0" w:line="176" w:lineRule="exact"/>
              <w:rPr>
                <w:sz w:val="20"/>
                <w:szCs w:val="20"/>
                <w:color w:val="auto"/>
              </w:rPr>
            </w:pPr>
            <w:r>
              <w:rPr>
                <w:rFonts w:ascii="Arial" w:cs="Arial" w:eastAsia="Arial" w:hAnsi="Arial"/>
                <w:sz w:val="18"/>
                <w:szCs w:val="18"/>
                <w:color w:val="auto"/>
                <w:w w:val="91"/>
              </w:rPr>
              <w:t>Owned by</w:t>
            </w:r>
          </w:p>
        </w:tc>
        <w:tc>
          <w:tcPr>
            <w:tcW w:w="460" w:type="dxa"/>
            <w:vAlign w:val="bottom"/>
          </w:tcPr>
          <w:p>
            <w:pPr>
              <w:spacing w:after="0"/>
              <w:rPr>
                <w:sz w:val="15"/>
                <w:szCs w:val="15"/>
                <w:color w:val="auto"/>
              </w:rPr>
            </w:pPr>
          </w:p>
        </w:tc>
        <w:tc>
          <w:tcPr>
            <w:tcW w:w="9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160" w:type="dxa"/>
            <w:vAlign w:val="bottom"/>
            <w:vMerge w:val="restart"/>
          </w:tcPr>
          <w:p>
            <w:pPr>
              <w:jc w:val="center"/>
              <w:ind w:right="190"/>
              <w:spacing w:after="0" w:line="189" w:lineRule="exact"/>
              <w:rPr>
                <w:sz w:val="20"/>
                <w:szCs w:val="20"/>
                <w:color w:val="auto"/>
              </w:rPr>
            </w:pPr>
            <w:r>
              <w:rPr>
                <w:rFonts w:ascii="Arial" w:cs="Arial" w:eastAsia="Arial" w:hAnsi="Arial"/>
                <w:sz w:val="18"/>
                <w:szCs w:val="18"/>
                <w:color w:val="auto"/>
                <w:w w:val="87"/>
              </w:rPr>
              <w:t>Each</w:t>
            </w:r>
          </w:p>
        </w:tc>
        <w:tc>
          <w:tcPr>
            <w:tcW w:w="460" w:type="dxa"/>
            <w:vAlign w:val="bottom"/>
            <w:tcBorders>
              <w:bottom w:val="single" w:sz="8" w:color="auto"/>
            </w:tcBorders>
          </w:tcPr>
          <w:p>
            <w:pPr>
              <w:spacing w:after="0"/>
              <w:rPr>
                <w:sz w:val="4"/>
                <w:szCs w:val="4"/>
                <w:color w:val="auto"/>
              </w:rPr>
            </w:pPr>
          </w:p>
        </w:tc>
        <w:tc>
          <w:tcPr>
            <w:tcW w:w="9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1160" w:type="dxa"/>
            <w:vAlign w:val="bottom"/>
            <w:vMerge w:val="continue"/>
          </w:tcPr>
          <w:p>
            <w:pPr>
              <w:spacing w:after="0"/>
              <w:rPr>
                <w:sz w:val="9"/>
                <w:szCs w:val="9"/>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932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10"/>
        </w:trPr>
        <w:tc>
          <w:tcPr>
            <w:tcW w:w="1160" w:type="dxa"/>
            <w:vAlign w:val="bottom"/>
            <w:vMerge w:val="restart"/>
          </w:tcPr>
          <w:p>
            <w:pPr>
              <w:jc w:val="center"/>
              <w:ind w:right="190"/>
              <w:spacing w:after="0" w:line="176" w:lineRule="exact"/>
              <w:rPr>
                <w:sz w:val="20"/>
                <w:szCs w:val="20"/>
                <w:color w:val="auto"/>
              </w:rPr>
            </w:pPr>
            <w:r>
              <w:rPr>
                <w:rFonts w:ascii="Arial" w:cs="Arial" w:eastAsia="Arial" w:hAnsi="Arial"/>
                <w:sz w:val="18"/>
                <w:szCs w:val="18"/>
                <w:color w:val="auto"/>
                <w:w w:val="92"/>
              </w:rPr>
              <w:t>Reporting</w:t>
            </w:r>
          </w:p>
        </w:tc>
        <w:tc>
          <w:tcPr>
            <w:tcW w:w="460" w:type="dxa"/>
            <w:vAlign w:val="bottom"/>
            <w:vMerge w:val="continue"/>
          </w:tcPr>
          <w:p>
            <w:pPr>
              <w:spacing w:after="0"/>
              <w:rPr>
                <w:sz w:val="9"/>
                <w:szCs w:val="9"/>
                <w:color w:val="auto"/>
              </w:rPr>
            </w:pPr>
          </w:p>
        </w:tc>
        <w:tc>
          <w:tcPr>
            <w:tcW w:w="9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1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160" w:type="dxa"/>
            <w:vAlign w:val="bottom"/>
          </w:tcPr>
          <w:p>
            <w:pPr>
              <w:jc w:val="center"/>
              <w:ind w:right="210"/>
              <w:spacing w:after="0" w:line="176" w:lineRule="exact"/>
              <w:rPr>
                <w:sz w:val="20"/>
                <w:szCs w:val="20"/>
                <w:color w:val="auto"/>
              </w:rPr>
            </w:pPr>
            <w:r>
              <w:rPr>
                <w:rFonts w:ascii="Arial" w:cs="Arial" w:eastAsia="Arial" w:hAnsi="Arial"/>
                <w:sz w:val="18"/>
                <w:szCs w:val="18"/>
                <w:color w:val="auto"/>
                <w:w w:val="87"/>
              </w:rPr>
              <w:t>Person</w:t>
            </w:r>
          </w:p>
        </w:tc>
        <w:tc>
          <w:tcPr>
            <w:tcW w:w="460" w:type="dxa"/>
            <w:vAlign w:val="bottom"/>
          </w:tcPr>
          <w:p>
            <w:pPr>
              <w:spacing w:after="0"/>
              <w:rPr>
                <w:sz w:val="15"/>
                <w:szCs w:val="15"/>
                <w:color w:val="auto"/>
              </w:rPr>
            </w:pPr>
          </w:p>
        </w:tc>
        <w:tc>
          <w:tcPr>
            <w:tcW w:w="93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216"/>
        </w:trPr>
        <w:tc>
          <w:tcPr>
            <w:tcW w:w="1160" w:type="dxa"/>
            <w:vAlign w:val="bottom"/>
          </w:tcPr>
          <w:p>
            <w:pPr>
              <w:jc w:val="center"/>
              <w:ind w:right="210"/>
              <w:spacing w:after="0"/>
              <w:rPr>
                <w:sz w:val="20"/>
                <w:szCs w:val="20"/>
                <w:color w:val="auto"/>
              </w:rPr>
            </w:pPr>
            <w:r>
              <w:rPr>
                <w:rFonts w:ascii="Arial" w:cs="Arial" w:eastAsia="Arial" w:hAnsi="Arial"/>
                <w:sz w:val="18"/>
                <w:szCs w:val="18"/>
                <w:color w:val="auto"/>
                <w:w w:val="94"/>
              </w:rPr>
              <w:t>With</w:t>
            </w:r>
          </w:p>
        </w:tc>
        <w:tc>
          <w:tcPr>
            <w:tcW w:w="460" w:type="dxa"/>
            <w:vAlign w:val="bottom"/>
            <w:tcBorders>
              <w:bottom w:val="single" w:sz="8" w:color="auto"/>
            </w:tcBorders>
          </w:tcPr>
          <w:p>
            <w:pPr>
              <w:spacing w:after="0"/>
              <w:rPr>
                <w:sz w:val="18"/>
                <w:szCs w:val="18"/>
                <w:color w:val="auto"/>
              </w:rPr>
            </w:pPr>
          </w:p>
        </w:tc>
        <w:tc>
          <w:tcPr>
            <w:tcW w:w="9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932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3,502,003</w:t>
      </w:r>
    </w:p>
    <w:p>
      <w:pPr>
        <w:spacing w:after="0" w:line="67" w:lineRule="exact"/>
        <w:rPr>
          <w:sz w:val="20"/>
          <w:szCs w:val="20"/>
          <w:color w:val="auto"/>
        </w:rPr>
      </w:pPr>
    </w:p>
    <w:p>
      <w:pPr>
        <w:ind w:left="660" w:hanging="45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3,502,003</w:t>
      </w:r>
    </w:p>
    <w:p>
      <w:pPr>
        <w:spacing w:after="0" w:line="7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Not applicable</w:t>
      </w:r>
    </w:p>
    <w:p>
      <w:pPr>
        <w:spacing w:after="0" w:line="7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5.1%</w:t>
      </w:r>
    </w:p>
    <w:p>
      <w:pPr>
        <w:spacing w:after="0" w:line="7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OO</w:t>
      </w:r>
    </w:p>
    <w:p>
      <w:pPr>
        <w:sectPr>
          <w:pgSz w:w="11900" w:h="16838" w:orient="portrait"/>
          <w:cols w:equalWidth="0" w:num="1">
            <w:col w:w="11240"/>
          </w:cols>
          <w:pgMar w:left="340" w:top="166" w:right="319" w:bottom="1440" w:gutter="0" w:footer="0" w:header="0"/>
        </w:sectPr>
      </w:pPr>
    </w:p>
    <w:bookmarkStart w:id="4" w:name="page5"/>
    <w:bookmarkEnd w:id="4"/>
    <w:p>
      <w:pPr>
        <w:ind w:left="20"/>
        <w:spacing w:after="0"/>
        <w:tabs>
          <w:tab w:leader="none" w:pos="5100" w:val="left"/>
          <w:tab w:leader="none" w:pos="9940" w:val="left"/>
        </w:tabs>
        <w:rPr>
          <w:sz w:val="20"/>
          <w:szCs w:val="20"/>
          <w:color w:val="auto"/>
        </w:rPr>
      </w:pPr>
      <w:r>
        <w:rPr>
          <w:rFonts w:ascii="Arial" w:cs="Arial" w:eastAsia="Arial" w:hAnsi="Arial"/>
          <w:sz w:val="18"/>
          <w:szCs w:val="18"/>
          <w:color w:val="auto"/>
        </w:rPr>
        <w:t>CUSIP No. 30219Q106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3 of 6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(a) Name of Issuer:</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Expensify, Inc. (the “Issuer”).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401 SW 5th Avenue, Portland, Oregon 97204.</w:t>
      </w:r>
    </w:p>
    <w:p>
      <w:pPr>
        <w:spacing w:after="0" w:line="356"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(a)  Name of Person Filing:</w:t>
      </w:r>
    </w:p>
    <w:p>
      <w:pPr>
        <w:spacing w:after="0" w:line="297"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This statement is filed on behalf of David Barrett, individually and as trustee of the Barrett Family Trust, solely in such trust’s capacity as the controlling member of Barrett Trust LLC (collectively, the “Reporting Persons”).</w:t>
      </w:r>
    </w:p>
    <w:p>
      <w:pPr>
        <w:spacing w:after="0" w:line="18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Reporting Persons have entered into a Joint Filing Agreement, dated as of February 9, 2022, a copy of which was filed as Exhibit 1 to the Schedule 13G filed by the Reporting Persons on February 9,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Address or Principal Business Office: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business address of the Reporting Persons is C/O Expensify, Inc., 401 SW 5th Avenue, Portland, Oregon 97204.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Citizenship of each Reporting Person is: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David Barrett is a citizen of the United States, and Barrett Trust LLC is a Delaware limited liability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Title of Class of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par value $0.0001 per share (“Class A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CUSIP Number: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30219Q106.</w:t>
      </w:r>
    </w:p>
    <w:p>
      <w:pPr>
        <w:sectPr>
          <w:pgSz w:w="11900" w:h="16838" w:orient="portrait"/>
          <w:cols w:equalWidth="0" w:num="1">
            <w:col w:w="11220"/>
          </w:cols>
          <w:pgMar w:left="320" w:top="166" w:right="359" w:bottom="1440" w:gutter="0" w:footer="0" w:header="0"/>
        </w:sectPr>
      </w:pPr>
    </w:p>
    <w:bookmarkStart w:id="5" w:name="page6"/>
    <w:bookmarkEnd w:id="5"/>
    <w:p>
      <w:pPr>
        <w:ind w:left="20"/>
        <w:spacing w:after="0"/>
        <w:tabs>
          <w:tab w:leader="none" w:pos="5100" w:val="left"/>
          <w:tab w:leader="none" w:pos="9940" w:val="left"/>
        </w:tabs>
        <w:rPr>
          <w:sz w:val="20"/>
          <w:szCs w:val="20"/>
          <w:color w:val="auto"/>
        </w:rPr>
      </w:pPr>
      <w:r>
        <w:rPr>
          <w:rFonts w:ascii="Arial" w:cs="Arial" w:eastAsia="Arial" w:hAnsi="Arial"/>
          <w:sz w:val="18"/>
          <w:szCs w:val="18"/>
          <w:color w:val="auto"/>
        </w:rPr>
        <w:t>CUSIP No. 30219Q106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4 of 6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3.</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94"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ownership information below represents beneficial ownership of Class A Common Stock of the Issuer as of the date hereof, based upon 68,598,512 shares of Class A Common Stock outstanding as of November 8, 2022, as reported in the Issuer’s Quarterly Report on Form 10-Q for the quarterly period ended September 30, 2022.</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60" w:type="dxa"/>
            <w:vAlign w:val="bottom"/>
            <w:vMerge w:val="restart"/>
          </w:tcPr>
          <w:p>
            <w:pPr>
              <w:jc w:val="center"/>
              <w:ind w:right="264"/>
              <w:spacing w:after="0"/>
              <w:rPr>
                <w:sz w:val="20"/>
                <w:szCs w:val="20"/>
                <w:color w:val="auto"/>
              </w:rPr>
            </w:pPr>
            <w:r>
              <w:rPr>
                <w:rFonts w:ascii="Arial" w:cs="Arial" w:eastAsia="Arial" w:hAnsi="Arial"/>
                <w:sz w:val="14"/>
                <w:szCs w:val="14"/>
                <w:b w:val="1"/>
                <w:bCs w:val="1"/>
                <w:color w:val="auto"/>
                <w:w w:val="81"/>
              </w:rPr>
              <w:t>Sole</w:t>
            </w:r>
          </w:p>
        </w:tc>
        <w:tc>
          <w:tcPr>
            <w:tcW w:w="1400" w:type="dxa"/>
            <w:vAlign w:val="bottom"/>
          </w:tcPr>
          <w:p>
            <w:pPr>
              <w:jc w:val="center"/>
              <w:ind w:right="64"/>
              <w:spacing w:after="0"/>
              <w:rPr>
                <w:sz w:val="20"/>
                <w:szCs w:val="20"/>
                <w:color w:val="auto"/>
              </w:rPr>
            </w:pPr>
            <w:r>
              <w:rPr>
                <w:rFonts w:ascii="Arial" w:cs="Arial" w:eastAsia="Arial" w:hAnsi="Arial"/>
                <w:sz w:val="14"/>
                <w:szCs w:val="14"/>
                <w:b w:val="1"/>
                <w:bCs w:val="1"/>
                <w:color w:val="auto"/>
                <w:w w:val="88"/>
              </w:rPr>
              <w:t>Shared</w:t>
            </w: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1400" w:type="dxa"/>
            <w:vAlign w:val="bottom"/>
            <w:vMerge w:val="restart"/>
          </w:tcPr>
          <w:p>
            <w:pPr>
              <w:jc w:val="center"/>
              <w:ind w:right="64"/>
              <w:spacing w:after="0"/>
              <w:rPr>
                <w:sz w:val="20"/>
                <w:szCs w:val="20"/>
                <w:color w:val="auto"/>
              </w:rPr>
            </w:pPr>
            <w:r>
              <w:rPr>
                <w:rFonts w:ascii="Arial" w:cs="Arial" w:eastAsia="Arial" w:hAnsi="Arial"/>
                <w:sz w:val="14"/>
                <w:szCs w:val="14"/>
                <w:b w:val="1"/>
                <w:bCs w:val="1"/>
                <w:color w:val="auto"/>
                <w:w w:val="92"/>
              </w:rPr>
              <w:t>power to</w:t>
            </w: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160" w:type="dxa"/>
            <w:vAlign w:val="bottom"/>
            <w:vMerge w:val="restart"/>
          </w:tcPr>
          <w:p>
            <w:pPr>
              <w:jc w:val="center"/>
              <w:ind w:right="104"/>
              <w:spacing w:after="0" w:line="158" w:lineRule="exact"/>
              <w:rPr>
                <w:sz w:val="20"/>
                <w:szCs w:val="20"/>
                <w:color w:val="auto"/>
              </w:rPr>
            </w:pPr>
            <w:r>
              <w:rPr>
                <w:rFonts w:ascii="Arial" w:cs="Arial" w:eastAsia="Arial" w:hAnsi="Arial"/>
                <w:sz w:val="14"/>
                <w:szCs w:val="14"/>
                <w:b w:val="1"/>
                <w:bCs w:val="1"/>
                <w:color w:val="auto"/>
                <w:w w:val="87"/>
              </w:rPr>
              <w:t>Sole</w:t>
            </w:r>
          </w:p>
        </w:tc>
        <w:tc>
          <w:tcPr>
            <w:tcW w:w="1360" w:type="dxa"/>
            <w:vAlign w:val="bottom"/>
          </w:tcPr>
          <w:p>
            <w:pPr>
              <w:spacing w:after="0"/>
              <w:rPr>
                <w:sz w:val="7"/>
                <w:szCs w:val="7"/>
                <w:color w:val="auto"/>
              </w:rPr>
            </w:pPr>
          </w:p>
        </w:tc>
        <w:tc>
          <w:tcPr>
            <w:tcW w:w="1460" w:type="dxa"/>
            <w:vAlign w:val="bottom"/>
            <w:vMerge w:val="restart"/>
          </w:tcPr>
          <w:p>
            <w:pPr>
              <w:jc w:val="center"/>
              <w:ind w:right="284"/>
              <w:spacing w:after="0" w:line="158" w:lineRule="exact"/>
              <w:rPr>
                <w:sz w:val="20"/>
                <w:szCs w:val="20"/>
                <w:color w:val="auto"/>
              </w:rPr>
            </w:pPr>
            <w:r>
              <w:rPr>
                <w:rFonts w:ascii="Arial" w:cs="Arial" w:eastAsia="Arial" w:hAnsi="Arial"/>
                <w:sz w:val="14"/>
                <w:szCs w:val="14"/>
                <w:b w:val="1"/>
                <w:bCs w:val="1"/>
                <w:color w:val="auto"/>
                <w:w w:val="92"/>
              </w:rPr>
              <w:t>power to</w:t>
            </w: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3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360" w:type="dxa"/>
            <w:vAlign w:val="bottom"/>
            <w:vMerge w:val="restart"/>
          </w:tcPr>
          <w:p>
            <w:pPr>
              <w:jc w:val="center"/>
              <w:ind w:right="63"/>
              <w:spacing w:after="0"/>
              <w:rPr>
                <w:sz w:val="20"/>
                <w:szCs w:val="20"/>
                <w:color w:val="auto"/>
              </w:rPr>
            </w:pPr>
            <w:r>
              <w:rPr>
                <w:rFonts w:ascii="Arial" w:cs="Arial" w:eastAsia="Arial" w:hAnsi="Arial"/>
                <w:sz w:val="14"/>
                <w:szCs w:val="14"/>
                <w:b w:val="1"/>
                <w:bCs w:val="1"/>
                <w:color w:val="auto"/>
                <w:w w:val="92"/>
              </w:rPr>
              <w:t>Shared power to</w:t>
            </w:r>
          </w:p>
        </w:tc>
        <w:tc>
          <w:tcPr>
            <w:tcW w:w="1460" w:type="dxa"/>
            <w:vAlign w:val="bottom"/>
            <w:vMerge w:val="continue"/>
          </w:tcPr>
          <w:p>
            <w:pPr>
              <w:spacing w:after="0"/>
              <w:rPr>
                <w:sz w:val="6"/>
                <w:szCs w:val="6"/>
                <w:color w:val="auto"/>
              </w:rPr>
            </w:pPr>
          </w:p>
        </w:tc>
        <w:tc>
          <w:tcPr>
            <w:tcW w:w="1400" w:type="dxa"/>
            <w:vAlign w:val="bottom"/>
            <w:vMerge w:val="restart"/>
          </w:tcPr>
          <w:p>
            <w:pPr>
              <w:jc w:val="center"/>
              <w:ind w:right="64"/>
              <w:spacing w:after="0"/>
              <w:rPr>
                <w:sz w:val="20"/>
                <w:szCs w:val="20"/>
                <w:color w:val="auto"/>
              </w:rPr>
            </w:pPr>
            <w:r>
              <w:rPr>
                <w:rFonts w:ascii="Arial" w:cs="Arial" w:eastAsia="Arial" w:hAnsi="Arial"/>
                <w:sz w:val="14"/>
                <w:szCs w:val="14"/>
                <w:b w:val="1"/>
                <w:bCs w:val="1"/>
                <w:color w:val="auto"/>
                <w:w w:val="87"/>
              </w:rPr>
              <w:t>dispose or</w:t>
            </w:r>
          </w:p>
        </w:tc>
        <w:tc>
          <w:tcPr>
            <w:tcW w:w="0" w:type="dxa"/>
            <w:vAlign w:val="bottom"/>
          </w:tcPr>
          <w:p>
            <w:pPr>
              <w:spacing w:after="0"/>
              <w:rPr>
                <w:sz w:val="1"/>
                <w:szCs w:val="1"/>
                <w:color w:val="auto"/>
              </w:rPr>
            </w:pPr>
          </w:p>
        </w:tc>
      </w:tr>
      <w:tr>
        <w:trPr>
          <w:trHeight w:val="85"/>
        </w:trPr>
        <w:tc>
          <w:tcPr>
            <w:tcW w:w="3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160" w:type="dxa"/>
            <w:vAlign w:val="bottom"/>
            <w:vMerge w:val="restart"/>
          </w:tcPr>
          <w:p>
            <w:pPr>
              <w:jc w:val="center"/>
              <w:ind w:right="104"/>
              <w:spacing w:after="0" w:line="149" w:lineRule="exact"/>
              <w:rPr>
                <w:sz w:val="20"/>
                <w:szCs w:val="20"/>
                <w:color w:val="auto"/>
              </w:rPr>
            </w:pPr>
            <w:r>
              <w:rPr>
                <w:rFonts w:ascii="Arial" w:cs="Arial" w:eastAsia="Arial" w:hAnsi="Arial"/>
                <w:sz w:val="14"/>
                <w:szCs w:val="14"/>
                <w:b w:val="1"/>
                <w:bCs w:val="1"/>
                <w:color w:val="auto"/>
                <w:w w:val="92"/>
              </w:rPr>
              <w:t>power</w:t>
            </w:r>
          </w:p>
        </w:tc>
        <w:tc>
          <w:tcPr>
            <w:tcW w:w="1360" w:type="dxa"/>
            <w:vAlign w:val="bottom"/>
            <w:vMerge w:val="continue"/>
          </w:tcPr>
          <w:p>
            <w:pPr>
              <w:spacing w:after="0"/>
              <w:rPr>
                <w:sz w:val="7"/>
                <w:szCs w:val="7"/>
                <w:color w:val="auto"/>
              </w:rPr>
            </w:pPr>
          </w:p>
        </w:tc>
        <w:tc>
          <w:tcPr>
            <w:tcW w:w="1460" w:type="dxa"/>
            <w:vAlign w:val="bottom"/>
            <w:vMerge w:val="restart"/>
          </w:tcPr>
          <w:p>
            <w:pPr>
              <w:jc w:val="center"/>
              <w:ind w:right="284"/>
              <w:spacing w:after="0" w:line="149" w:lineRule="exact"/>
              <w:rPr>
                <w:sz w:val="20"/>
                <w:szCs w:val="20"/>
                <w:color w:val="auto"/>
              </w:rPr>
            </w:pPr>
            <w:r>
              <w:rPr>
                <w:rFonts w:ascii="Arial" w:cs="Arial" w:eastAsia="Arial" w:hAnsi="Arial"/>
                <w:sz w:val="14"/>
                <w:szCs w:val="14"/>
                <w:b w:val="1"/>
                <w:bCs w:val="1"/>
                <w:color w:val="auto"/>
                <w:w w:val="87"/>
              </w:rPr>
              <w:t>dispose or</w:t>
            </w: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32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360" w:type="dxa"/>
            <w:vAlign w:val="bottom"/>
            <w:vMerge w:val="restart"/>
          </w:tcPr>
          <w:p>
            <w:pPr>
              <w:jc w:val="center"/>
              <w:ind w:right="63"/>
              <w:spacing w:after="0"/>
              <w:rPr>
                <w:sz w:val="20"/>
                <w:szCs w:val="20"/>
                <w:color w:val="auto"/>
              </w:rPr>
            </w:pPr>
            <w:r>
              <w:rPr>
                <w:rFonts w:ascii="Arial" w:cs="Arial" w:eastAsia="Arial" w:hAnsi="Arial"/>
                <w:sz w:val="14"/>
                <w:szCs w:val="14"/>
                <w:b w:val="1"/>
                <w:bCs w:val="1"/>
                <w:color w:val="auto"/>
                <w:w w:val="88"/>
              </w:rPr>
              <w:t>dispose or to</w:t>
            </w:r>
          </w:p>
        </w:tc>
        <w:tc>
          <w:tcPr>
            <w:tcW w:w="1460" w:type="dxa"/>
            <w:vAlign w:val="bottom"/>
            <w:vMerge w:val="continue"/>
          </w:tcPr>
          <w:p>
            <w:pPr>
              <w:spacing w:after="0"/>
              <w:rPr>
                <w:sz w:val="5"/>
                <w:szCs w:val="5"/>
                <w:color w:val="auto"/>
              </w:rPr>
            </w:pPr>
          </w:p>
        </w:tc>
        <w:tc>
          <w:tcPr>
            <w:tcW w:w="1400" w:type="dxa"/>
            <w:vAlign w:val="bottom"/>
            <w:vMerge w:val="restart"/>
          </w:tcPr>
          <w:p>
            <w:pPr>
              <w:jc w:val="center"/>
              <w:ind w:right="64"/>
              <w:spacing w:after="0"/>
              <w:rPr>
                <w:sz w:val="20"/>
                <w:szCs w:val="20"/>
                <w:color w:val="auto"/>
              </w:rPr>
            </w:pPr>
            <w:r>
              <w:rPr>
                <w:rFonts w:ascii="Arial" w:cs="Arial" w:eastAsia="Arial" w:hAnsi="Arial"/>
                <w:sz w:val="14"/>
                <w:szCs w:val="14"/>
                <w:b w:val="1"/>
                <w:bCs w:val="1"/>
                <w:color w:val="auto"/>
                <w:w w:val="90"/>
              </w:rPr>
              <w:t>to direct</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00" w:type="dxa"/>
            <w:vAlign w:val="bottom"/>
            <w:vMerge w:val="restart"/>
          </w:tcPr>
          <w:p>
            <w:pPr>
              <w:jc w:val="center"/>
              <w:ind w:right="1"/>
              <w:spacing w:after="0"/>
              <w:rPr>
                <w:sz w:val="20"/>
                <w:szCs w:val="20"/>
                <w:color w:val="auto"/>
              </w:rPr>
            </w:pPr>
            <w:r>
              <w:rPr>
                <w:rFonts w:ascii="Arial" w:cs="Arial" w:eastAsia="Arial" w:hAnsi="Arial"/>
                <w:sz w:val="14"/>
                <w:szCs w:val="14"/>
                <w:b w:val="1"/>
                <w:bCs w:val="1"/>
                <w:color w:val="auto"/>
                <w:w w:val="98"/>
              </w:rPr>
              <w:t>Amount</w:t>
            </w:r>
          </w:p>
        </w:tc>
        <w:tc>
          <w:tcPr>
            <w:tcW w:w="1460" w:type="dxa"/>
            <w:vAlign w:val="bottom"/>
          </w:tcPr>
          <w:p>
            <w:pPr>
              <w:spacing w:after="0"/>
              <w:rPr>
                <w:sz w:val="12"/>
                <w:szCs w:val="12"/>
                <w:color w:val="auto"/>
              </w:rPr>
            </w:pPr>
          </w:p>
        </w:tc>
        <w:tc>
          <w:tcPr>
            <w:tcW w:w="116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1"/>
              </w:rPr>
              <w:t>to vote</w:t>
            </w:r>
          </w:p>
        </w:tc>
        <w:tc>
          <w:tcPr>
            <w:tcW w:w="1360" w:type="dxa"/>
            <w:vAlign w:val="bottom"/>
            <w:vMerge w:val="continue"/>
          </w:tcPr>
          <w:p>
            <w:pPr>
              <w:spacing w:after="0"/>
              <w:rPr>
                <w:sz w:val="12"/>
                <w:szCs w:val="12"/>
                <w:color w:val="auto"/>
              </w:rPr>
            </w:pPr>
          </w:p>
        </w:tc>
        <w:tc>
          <w:tcPr>
            <w:tcW w:w="1460" w:type="dxa"/>
            <w:vAlign w:val="bottom"/>
          </w:tcPr>
          <w:p>
            <w:pPr>
              <w:jc w:val="center"/>
              <w:ind w:right="264"/>
              <w:spacing w:after="0" w:line="149" w:lineRule="exact"/>
              <w:rPr>
                <w:sz w:val="20"/>
                <w:szCs w:val="20"/>
                <w:color w:val="auto"/>
              </w:rPr>
            </w:pPr>
            <w:r>
              <w:rPr>
                <w:rFonts w:ascii="Arial" w:cs="Arial" w:eastAsia="Arial" w:hAnsi="Arial"/>
                <w:sz w:val="14"/>
                <w:szCs w:val="14"/>
                <w:b w:val="1"/>
                <w:bCs w:val="1"/>
                <w:color w:val="auto"/>
                <w:w w:val="94"/>
              </w:rPr>
              <w:t>to direct</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1160" w:type="dxa"/>
            <w:vAlign w:val="bottom"/>
          </w:tcPr>
          <w:p>
            <w:pPr>
              <w:jc w:val="center"/>
              <w:ind w:right="104"/>
              <w:spacing w:after="0" w:line="135" w:lineRule="exact"/>
              <w:rPr>
                <w:sz w:val="20"/>
                <w:szCs w:val="20"/>
                <w:color w:val="auto"/>
              </w:rPr>
            </w:pPr>
            <w:r>
              <w:rPr>
                <w:rFonts w:ascii="Arial" w:cs="Arial" w:eastAsia="Arial" w:hAnsi="Arial"/>
                <w:sz w:val="14"/>
                <w:szCs w:val="14"/>
                <w:b w:val="1"/>
                <w:bCs w:val="1"/>
                <w:color w:val="auto"/>
                <w:w w:val="96"/>
              </w:rPr>
              <w:t>or to</w:t>
            </w:r>
          </w:p>
        </w:tc>
        <w:tc>
          <w:tcPr>
            <w:tcW w:w="1360" w:type="dxa"/>
            <w:vAlign w:val="bottom"/>
          </w:tcPr>
          <w:p>
            <w:pPr>
              <w:jc w:val="center"/>
              <w:ind w:right="63"/>
              <w:spacing w:after="0" w:line="135" w:lineRule="exact"/>
              <w:rPr>
                <w:sz w:val="20"/>
                <w:szCs w:val="20"/>
                <w:color w:val="auto"/>
              </w:rPr>
            </w:pPr>
            <w:r>
              <w:rPr>
                <w:rFonts w:ascii="Arial" w:cs="Arial" w:eastAsia="Arial" w:hAnsi="Arial"/>
                <w:sz w:val="14"/>
                <w:szCs w:val="14"/>
                <w:b w:val="1"/>
                <w:bCs w:val="1"/>
                <w:color w:val="auto"/>
                <w:w w:val="91"/>
              </w:rPr>
              <w:t>direct the</w:t>
            </w:r>
          </w:p>
        </w:tc>
        <w:tc>
          <w:tcPr>
            <w:tcW w:w="1460" w:type="dxa"/>
            <w:vAlign w:val="bottom"/>
          </w:tcPr>
          <w:p>
            <w:pPr>
              <w:jc w:val="center"/>
              <w:ind w:right="264"/>
              <w:spacing w:after="0" w:line="135" w:lineRule="exact"/>
              <w:rPr>
                <w:sz w:val="20"/>
                <w:szCs w:val="20"/>
                <w:color w:val="auto"/>
              </w:rPr>
            </w:pPr>
            <w:r>
              <w:rPr>
                <w:rFonts w:ascii="Arial" w:cs="Arial" w:eastAsia="Arial" w:hAnsi="Arial"/>
                <w:sz w:val="14"/>
                <w:szCs w:val="14"/>
                <w:b w:val="1"/>
                <w:bCs w:val="1"/>
                <w:color w:val="auto"/>
                <w:w w:val="95"/>
              </w:rPr>
              <w:t>the</w:t>
            </w:r>
          </w:p>
        </w:tc>
        <w:tc>
          <w:tcPr>
            <w:tcW w:w="140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w w:val="85"/>
              </w:rPr>
              <w:t>the</w:t>
            </w:r>
          </w:p>
        </w:tc>
        <w:tc>
          <w:tcPr>
            <w:tcW w:w="0" w:type="dxa"/>
            <w:vAlign w:val="bottom"/>
          </w:tcPr>
          <w:p>
            <w:pPr>
              <w:spacing w:after="0"/>
              <w:rPr>
                <w:sz w:val="1"/>
                <w:szCs w:val="1"/>
                <w:color w:val="auto"/>
              </w:rPr>
            </w:pPr>
          </w:p>
        </w:tc>
      </w:tr>
      <w:tr>
        <w:trPr>
          <w:trHeight w:val="148"/>
        </w:trPr>
        <w:tc>
          <w:tcPr>
            <w:tcW w:w="3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Reporting Person</w:t>
            </w:r>
          </w:p>
        </w:tc>
        <w:tc>
          <w:tcPr>
            <w:tcW w:w="120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4"/>
              </w:rPr>
              <w:t>beneficially</w:t>
            </w:r>
          </w:p>
        </w:tc>
        <w:tc>
          <w:tcPr>
            <w:tcW w:w="146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w w:val="99"/>
              </w:rPr>
              <w:t>Percent of class:</w:t>
            </w:r>
          </w:p>
        </w:tc>
        <w:tc>
          <w:tcPr>
            <w:tcW w:w="116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4"/>
              </w:rPr>
              <w:t>direct</w:t>
            </w:r>
          </w:p>
        </w:tc>
        <w:tc>
          <w:tcPr>
            <w:tcW w:w="136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88"/>
              </w:rPr>
              <w:t>disposition</w:t>
            </w:r>
          </w:p>
        </w:tc>
        <w:tc>
          <w:tcPr>
            <w:tcW w:w="1460" w:type="dxa"/>
            <w:vAlign w:val="bottom"/>
          </w:tcPr>
          <w:p>
            <w:pPr>
              <w:jc w:val="center"/>
              <w:ind w:right="264"/>
              <w:spacing w:after="0" w:line="149" w:lineRule="exact"/>
              <w:rPr>
                <w:sz w:val="20"/>
                <w:szCs w:val="20"/>
                <w:color w:val="auto"/>
              </w:rPr>
            </w:pPr>
            <w:r>
              <w:rPr>
                <w:rFonts w:ascii="Arial" w:cs="Arial" w:eastAsia="Arial" w:hAnsi="Arial"/>
                <w:sz w:val="14"/>
                <w:szCs w:val="14"/>
                <w:b w:val="1"/>
                <w:bCs w:val="1"/>
                <w:color w:val="auto"/>
                <w:w w:val="90"/>
              </w:rPr>
              <w:t>disposition</w:t>
            </w:r>
          </w:p>
        </w:tc>
        <w:tc>
          <w:tcPr>
            <w:tcW w:w="140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8"/>
              </w:rPr>
              <w:t>disposition</w:t>
            </w:r>
          </w:p>
        </w:tc>
        <w:tc>
          <w:tcPr>
            <w:tcW w:w="0" w:type="dxa"/>
            <w:vAlign w:val="bottom"/>
          </w:tcPr>
          <w:p>
            <w:pPr>
              <w:spacing w:after="0"/>
              <w:rPr>
                <w:sz w:val="1"/>
                <w:szCs w:val="1"/>
                <w:color w:val="auto"/>
              </w:rPr>
            </w:pPr>
          </w:p>
        </w:tc>
      </w:tr>
      <w:tr>
        <w:trPr>
          <w:trHeight w:val="196"/>
        </w:trPr>
        <w:tc>
          <w:tcPr>
            <w:tcW w:w="3200" w:type="dxa"/>
            <w:vAlign w:val="bottom"/>
            <w:vMerge w:val="continue"/>
          </w:tcPr>
          <w:p>
            <w:pPr>
              <w:spacing w:after="0"/>
              <w:rPr>
                <w:sz w:val="17"/>
                <w:szCs w:val="17"/>
                <w:color w:val="auto"/>
              </w:rPr>
            </w:pPr>
          </w:p>
        </w:tc>
        <w:tc>
          <w:tcPr>
            <w:tcW w:w="1200" w:type="dxa"/>
            <w:vAlign w:val="bottom"/>
          </w:tcPr>
          <w:p>
            <w:pPr>
              <w:ind w:left="360"/>
              <w:spacing w:after="0"/>
              <w:rPr>
                <w:sz w:val="20"/>
                <w:szCs w:val="20"/>
                <w:color w:val="auto"/>
              </w:rPr>
            </w:pPr>
            <w:r>
              <w:rPr>
                <w:rFonts w:ascii="Arial" w:cs="Arial" w:eastAsia="Arial" w:hAnsi="Arial"/>
                <w:sz w:val="14"/>
                <w:szCs w:val="14"/>
                <w:b w:val="1"/>
                <w:bCs w:val="1"/>
                <w:color w:val="auto"/>
              </w:rPr>
              <w:t>owned</w:t>
            </w:r>
          </w:p>
        </w:tc>
        <w:tc>
          <w:tcPr>
            <w:tcW w:w="1460" w:type="dxa"/>
            <w:vAlign w:val="bottom"/>
            <w:vMerge w:val="continue"/>
          </w:tcPr>
          <w:p>
            <w:pPr>
              <w:spacing w:after="0"/>
              <w:rPr>
                <w:sz w:val="17"/>
                <w:szCs w:val="17"/>
                <w:color w:val="auto"/>
              </w:rPr>
            </w:pPr>
          </w:p>
        </w:tc>
        <w:tc>
          <w:tcPr>
            <w:tcW w:w="1160" w:type="dxa"/>
            <w:vAlign w:val="bottom"/>
          </w:tcPr>
          <w:p>
            <w:pPr>
              <w:jc w:val="center"/>
              <w:ind w:right="104"/>
              <w:spacing w:after="0"/>
              <w:rPr>
                <w:sz w:val="20"/>
                <w:szCs w:val="20"/>
                <w:color w:val="auto"/>
              </w:rPr>
            </w:pPr>
            <w:r>
              <w:rPr>
                <w:rFonts w:ascii="Arial" w:cs="Arial" w:eastAsia="Arial" w:hAnsi="Arial"/>
                <w:sz w:val="14"/>
                <w:szCs w:val="14"/>
                <w:b w:val="1"/>
                <w:bCs w:val="1"/>
                <w:color w:val="auto"/>
                <w:w w:val="92"/>
              </w:rPr>
              <w:t>the vote:</w:t>
            </w:r>
          </w:p>
        </w:tc>
        <w:tc>
          <w:tcPr>
            <w:tcW w:w="1360" w:type="dxa"/>
            <w:vAlign w:val="bottom"/>
          </w:tcPr>
          <w:p>
            <w:pPr>
              <w:jc w:val="center"/>
              <w:ind w:right="63"/>
              <w:spacing w:after="0"/>
              <w:rPr>
                <w:sz w:val="20"/>
                <w:szCs w:val="20"/>
                <w:color w:val="auto"/>
              </w:rPr>
            </w:pPr>
            <w:r>
              <w:rPr>
                <w:rFonts w:ascii="Arial" w:cs="Arial" w:eastAsia="Arial" w:hAnsi="Arial"/>
                <w:sz w:val="14"/>
                <w:szCs w:val="14"/>
                <w:b w:val="1"/>
                <w:bCs w:val="1"/>
                <w:color w:val="auto"/>
              </w:rPr>
              <w:t>of:</w:t>
            </w:r>
          </w:p>
        </w:tc>
        <w:tc>
          <w:tcPr>
            <w:tcW w:w="1460" w:type="dxa"/>
            <w:vAlign w:val="bottom"/>
          </w:tcPr>
          <w:p>
            <w:pPr>
              <w:jc w:val="center"/>
              <w:ind w:right="264"/>
              <w:spacing w:after="0"/>
              <w:rPr>
                <w:sz w:val="20"/>
                <w:szCs w:val="20"/>
                <w:color w:val="auto"/>
              </w:rPr>
            </w:pPr>
            <w:r>
              <w:rPr>
                <w:rFonts w:ascii="Arial" w:cs="Arial" w:eastAsia="Arial" w:hAnsi="Arial"/>
                <w:sz w:val="14"/>
                <w:szCs w:val="14"/>
                <w:b w:val="1"/>
                <w:bCs w:val="1"/>
                <w:color w:val="auto"/>
                <w:w w:val="89"/>
              </w:rPr>
              <w:t>of:</w:t>
            </w:r>
          </w:p>
        </w:tc>
        <w:tc>
          <w:tcPr>
            <w:tcW w:w="1400" w:type="dxa"/>
            <w:vAlign w:val="bottom"/>
          </w:tcPr>
          <w:p>
            <w:pPr>
              <w:jc w:val="center"/>
              <w:ind w:right="64"/>
              <w:spacing w:after="0"/>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shd w:val="clear" w:color="auto" w:fill="CCEEFF"/>
              </w:rPr>
              <w:t>David Barrett, individually and as trustee</w:t>
            </w:r>
          </w:p>
        </w:tc>
        <w:tc>
          <w:tcPr>
            <w:tcW w:w="1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shd w:val="clear" w:color="auto" w:fill="CCEEFF"/>
              </w:rPr>
              <w:t>of the Barrett Family Trust, solely in</w:t>
            </w:r>
          </w:p>
        </w:tc>
        <w:tc>
          <w:tcPr>
            <w:tcW w:w="12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8"/>
                <w:shd w:val="clear" w:color="auto" w:fill="CCEEFF"/>
              </w:rPr>
              <w:t>such trust’s capacity as the controlling</w:t>
            </w:r>
          </w:p>
        </w:tc>
        <w:tc>
          <w:tcPr>
            <w:tcW w:w="12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shd w:val="clear" w:color="auto" w:fill="CCEEFF"/>
              </w:rPr>
              <w:t>member of Barrett Trust LLC</w:t>
            </w:r>
          </w:p>
        </w:tc>
        <w:tc>
          <w:tcPr>
            <w:tcW w:w="12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6,476,791</w:t>
            </w:r>
          </w:p>
        </w:tc>
        <w:tc>
          <w:tcPr>
            <w:tcW w:w="1460" w:type="dxa"/>
            <w:vAlign w:val="bottom"/>
            <w:shd w:val="clear" w:color="auto" w:fill="CCEEFF"/>
          </w:tcPr>
          <w:p>
            <w:pPr>
              <w:jc w:val="right"/>
              <w:ind w:right="136"/>
              <w:spacing w:after="0" w:line="202" w:lineRule="exact"/>
              <w:rPr>
                <w:sz w:val="20"/>
                <w:szCs w:val="20"/>
                <w:color w:val="auto"/>
              </w:rPr>
            </w:pPr>
            <w:r>
              <w:rPr>
                <w:rFonts w:ascii="Arial" w:cs="Arial" w:eastAsia="Arial" w:hAnsi="Arial"/>
                <w:sz w:val="18"/>
                <w:szCs w:val="18"/>
                <w:color w:val="auto"/>
              </w:rPr>
              <w:t>9.4 %</w:t>
            </w:r>
          </w:p>
        </w:tc>
        <w:tc>
          <w:tcPr>
            <w:tcW w:w="1160" w:type="dxa"/>
            <w:vAlign w:val="bottom"/>
            <w:shd w:val="clear" w:color="auto" w:fill="CCEEFF"/>
          </w:tcPr>
          <w:p>
            <w:pPr>
              <w:jc w:val="right"/>
              <w:ind w:right="24"/>
              <w:spacing w:after="0" w:line="202" w:lineRule="exact"/>
              <w:rPr>
                <w:sz w:val="20"/>
                <w:szCs w:val="20"/>
                <w:color w:val="auto"/>
              </w:rPr>
            </w:pPr>
            <w:r>
              <w:rPr>
                <w:rFonts w:ascii="Arial" w:cs="Arial" w:eastAsia="Arial" w:hAnsi="Arial"/>
                <w:sz w:val="18"/>
                <w:szCs w:val="18"/>
                <w:color w:val="auto"/>
              </w:rPr>
              <w:t>2,974,788</w:t>
            </w:r>
          </w:p>
        </w:tc>
        <w:tc>
          <w:tcPr>
            <w:tcW w:w="1360" w:type="dxa"/>
            <w:vAlign w:val="bottom"/>
            <w:shd w:val="clear" w:color="auto" w:fill="CCEEFF"/>
          </w:tcPr>
          <w:p>
            <w:pPr>
              <w:jc w:val="right"/>
              <w:ind w:right="143"/>
              <w:spacing w:after="0" w:line="202" w:lineRule="exact"/>
              <w:rPr>
                <w:sz w:val="20"/>
                <w:szCs w:val="20"/>
                <w:color w:val="auto"/>
              </w:rPr>
            </w:pPr>
            <w:r>
              <w:rPr>
                <w:rFonts w:ascii="Arial" w:cs="Arial" w:eastAsia="Arial" w:hAnsi="Arial"/>
                <w:sz w:val="18"/>
                <w:szCs w:val="18"/>
                <w:color w:val="auto"/>
              </w:rPr>
              <w:t>3,502,003</w:t>
            </w:r>
          </w:p>
        </w:tc>
        <w:tc>
          <w:tcPr>
            <w:tcW w:w="1460" w:type="dxa"/>
            <w:vAlign w:val="bottom"/>
            <w:shd w:val="clear" w:color="auto" w:fill="CCEEFF"/>
          </w:tcPr>
          <w:p>
            <w:pPr>
              <w:jc w:val="right"/>
              <w:ind w:right="224"/>
              <w:spacing w:after="0" w:line="202" w:lineRule="exact"/>
              <w:rPr>
                <w:sz w:val="20"/>
                <w:szCs w:val="20"/>
                <w:color w:val="auto"/>
              </w:rPr>
            </w:pPr>
            <w:r>
              <w:rPr>
                <w:rFonts w:ascii="Arial" w:cs="Arial" w:eastAsia="Arial" w:hAnsi="Arial"/>
                <w:sz w:val="18"/>
                <w:szCs w:val="18"/>
                <w:color w:val="auto"/>
              </w:rPr>
              <w:t>2,974,788</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3,502,003</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Barrett Trust LLC</w:t>
            </w:r>
          </w:p>
        </w:tc>
        <w:tc>
          <w:tcPr>
            <w:tcW w:w="1200" w:type="dxa"/>
            <w:vAlign w:val="bottom"/>
          </w:tcPr>
          <w:p>
            <w:pPr>
              <w:ind w:left="340"/>
              <w:spacing w:after="0"/>
              <w:rPr>
                <w:sz w:val="20"/>
                <w:szCs w:val="20"/>
                <w:color w:val="auto"/>
              </w:rPr>
            </w:pPr>
            <w:r>
              <w:rPr>
                <w:rFonts w:ascii="Arial" w:cs="Arial" w:eastAsia="Arial" w:hAnsi="Arial"/>
                <w:sz w:val="18"/>
                <w:szCs w:val="18"/>
                <w:color w:val="auto"/>
              </w:rPr>
              <w:t>3,502,003</w:t>
            </w:r>
          </w:p>
        </w:tc>
        <w:tc>
          <w:tcPr>
            <w:tcW w:w="1460" w:type="dxa"/>
            <w:vAlign w:val="bottom"/>
          </w:tcPr>
          <w:p>
            <w:pPr>
              <w:jc w:val="right"/>
              <w:ind w:right="136"/>
              <w:spacing w:after="0"/>
              <w:rPr>
                <w:sz w:val="20"/>
                <w:szCs w:val="20"/>
                <w:color w:val="auto"/>
              </w:rPr>
            </w:pPr>
            <w:r>
              <w:rPr>
                <w:rFonts w:ascii="Arial" w:cs="Arial" w:eastAsia="Arial" w:hAnsi="Arial"/>
                <w:sz w:val="18"/>
                <w:szCs w:val="18"/>
                <w:color w:val="auto"/>
              </w:rPr>
              <w:t>5.1 %</w:t>
            </w:r>
          </w:p>
        </w:tc>
        <w:tc>
          <w:tcPr>
            <w:tcW w:w="1160" w:type="dxa"/>
            <w:vAlign w:val="bottom"/>
          </w:tcPr>
          <w:p>
            <w:pPr>
              <w:jc w:val="right"/>
              <w:ind w:right="24"/>
              <w:spacing w:after="0"/>
              <w:rPr>
                <w:sz w:val="20"/>
                <w:szCs w:val="20"/>
                <w:color w:val="auto"/>
              </w:rPr>
            </w:pPr>
            <w:r>
              <w:rPr>
                <w:rFonts w:ascii="Arial" w:cs="Arial" w:eastAsia="Arial" w:hAnsi="Arial"/>
                <w:sz w:val="18"/>
                <w:szCs w:val="18"/>
                <w:color w:val="auto"/>
              </w:rPr>
              <w:t>0</w:t>
            </w:r>
          </w:p>
        </w:tc>
        <w:tc>
          <w:tcPr>
            <w:tcW w:w="1360" w:type="dxa"/>
            <w:vAlign w:val="bottom"/>
          </w:tcPr>
          <w:p>
            <w:pPr>
              <w:jc w:val="right"/>
              <w:ind w:right="143"/>
              <w:spacing w:after="0"/>
              <w:rPr>
                <w:sz w:val="20"/>
                <w:szCs w:val="20"/>
                <w:color w:val="auto"/>
              </w:rPr>
            </w:pPr>
            <w:r>
              <w:rPr>
                <w:rFonts w:ascii="Arial" w:cs="Arial" w:eastAsia="Arial" w:hAnsi="Arial"/>
                <w:sz w:val="18"/>
                <w:szCs w:val="18"/>
                <w:color w:val="auto"/>
              </w:rPr>
              <w:t>3,502,003</w:t>
            </w:r>
          </w:p>
        </w:tc>
        <w:tc>
          <w:tcPr>
            <w:tcW w:w="1460" w:type="dxa"/>
            <w:vAlign w:val="bottom"/>
          </w:tcPr>
          <w:p>
            <w:pPr>
              <w:jc w:val="right"/>
              <w:ind w:right="224"/>
              <w:spacing w:after="0"/>
              <w:rPr>
                <w:sz w:val="20"/>
                <w:szCs w:val="20"/>
                <w:color w:val="auto"/>
              </w:rPr>
            </w:pPr>
            <w:r>
              <w:rPr>
                <w:rFonts w:ascii="Arial" w:cs="Arial" w:eastAsia="Arial" w:hAnsi="Arial"/>
                <w:sz w:val="18"/>
                <w:szCs w:val="18"/>
                <w:color w:val="auto"/>
              </w:rPr>
              <w:t>0</w:t>
            </w:r>
          </w:p>
        </w:tc>
        <w:tc>
          <w:tcPr>
            <w:tcW w:w="1400" w:type="dxa"/>
            <w:vAlign w:val="bottom"/>
          </w:tcPr>
          <w:p>
            <w:pPr>
              <w:jc w:val="right"/>
              <w:spacing w:after="0"/>
              <w:rPr>
                <w:sz w:val="20"/>
                <w:szCs w:val="20"/>
                <w:color w:val="auto"/>
              </w:rPr>
            </w:pPr>
            <w:r>
              <w:rPr>
                <w:rFonts w:ascii="Arial" w:cs="Arial" w:eastAsia="Arial" w:hAnsi="Arial"/>
                <w:sz w:val="18"/>
                <w:szCs w:val="18"/>
                <w:color w:val="auto"/>
              </w:rPr>
              <w:t>3,502,003</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Reporting Persons are the beneficial owners of 3,546,881 shares of Class A Common Stock and 2,929,910 shares of Class A Common Stock that may be acquired pursuant to the exercise of stock options within 60 days of December 31, 2022. Barrett Trust LLC is a member-managed Delaware limited liability company and directly holds 3,502,003 shares of Class A Common Stock. The investment and voting decisions of Barrett Trust LLC are made by its manager, Mr. Barrett, and its controlling member is the David Barrett Family Trust, for which Mr. Barrett serves as trustee. In such capacities, Mr. Barrett may be deemed to beneficially own such shares beneficially owned by Barrett Trust LLC, in addition to the 44,878 shares of Class A Common Stock that he holds directly and the 2,929,910 shares of Class A Common Stock that he may acquire pursuant to the exercise of stock options within 60 days of December 31, 2022.</w:t>
      </w:r>
    </w:p>
    <w:p>
      <w:pPr>
        <w:spacing w:after="0" w:line="268"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56"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ind w:left="1160" w:right="720" w:hanging="1133"/>
        <w:spacing w:after="0" w:line="250" w:lineRule="auto"/>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ectPr>
          <w:pgSz w:w="11900" w:h="16838" w:orient="portrait"/>
          <w:cols w:equalWidth="0" w:num="1">
            <w:col w:w="11240"/>
          </w:cols>
          <w:pgMar w:left="320" w:top="166" w:right="339" w:bottom="1440" w:gutter="0" w:footer="0" w:header="0"/>
        </w:sectPr>
      </w:pPr>
    </w:p>
    <w:bookmarkStart w:id="6" w:name="page7"/>
    <w:bookmarkEnd w:id="6"/>
    <w:p>
      <w:pPr>
        <w:ind w:left="20"/>
        <w:spacing w:after="0"/>
        <w:tabs>
          <w:tab w:leader="none" w:pos="5100" w:val="left"/>
          <w:tab w:leader="none" w:pos="9940" w:val="left"/>
        </w:tabs>
        <w:rPr>
          <w:sz w:val="20"/>
          <w:szCs w:val="20"/>
          <w:color w:val="auto"/>
        </w:rPr>
      </w:pPr>
      <w:r>
        <w:rPr>
          <w:rFonts w:ascii="Arial" w:cs="Arial" w:eastAsia="Arial" w:hAnsi="Arial"/>
          <w:sz w:val="18"/>
          <w:szCs w:val="18"/>
          <w:color w:val="auto"/>
        </w:rPr>
        <w:t>CUSIP No. 30219Q106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 of 6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62"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Exhibit 1  Joint Filing Agreement, incorporated by reference to Exhibit 1 to the Schedule 13G filed by the Reporting Persons on February 9, 2022.</w:t>
      </w:r>
    </w:p>
    <w:p>
      <w:pPr>
        <w:sectPr>
          <w:pgSz w:w="11900" w:h="16838" w:orient="portrait"/>
          <w:cols w:equalWidth="0" w:num="1">
            <w:col w:w="11220"/>
          </w:cols>
          <w:pgMar w:left="320" w:top="166" w:right="359" w:bottom="1440" w:gutter="0" w:footer="0" w:header="0"/>
        </w:sectPr>
      </w:pPr>
    </w:p>
    <w:bookmarkStart w:id="7" w:name="page8"/>
    <w:bookmarkEnd w:id="7"/>
    <w:p>
      <w:pPr>
        <w:ind w:left="20"/>
        <w:spacing w:after="0"/>
        <w:tabs>
          <w:tab w:leader="none" w:pos="5100" w:val="left"/>
          <w:tab w:leader="none" w:pos="9940" w:val="left"/>
        </w:tabs>
        <w:rPr>
          <w:sz w:val="20"/>
          <w:szCs w:val="20"/>
          <w:color w:val="auto"/>
        </w:rPr>
      </w:pPr>
      <w:r>
        <w:rPr>
          <w:rFonts w:ascii="Arial" w:cs="Arial" w:eastAsia="Arial" w:hAnsi="Arial"/>
          <w:sz w:val="18"/>
          <w:szCs w:val="18"/>
          <w:color w:val="auto"/>
        </w:rPr>
        <w:t>CUSIP No. 30219Q106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 of 6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right="160"/>
        <w:spacing w:after="0" w:line="490"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 Date: February 13, 2023</w:t>
      </w:r>
    </w:p>
    <w:p>
      <w:pPr>
        <w:spacing w:after="0" w:line="1" w:lineRule="exact"/>
        <w:rPr>
          <w:sz w:val="20"/>
          <w:szCs w:val="20"/>
          <w:color w:val="auto"/>
        </w:rPr>
      </w:pPr>
    </w:p>
    <w:p>
      <w:pPr>
        <w:ind w:left="8780"/>
        <w:spacing w:after="0"/>
        <w:rPr>
          <w:sz w:val="20"/>
          <w:szCs w:val="20"/>
          <w:color w:val="auto"/>
        </w:rPr>
      </w:pPr>
      <w:r>
        <w:rPr>
          <w:rFonts w:ascii="Arial" w:cs="Arial" w:eastAsia="Arial" w:hAnsi="Arial"/>
          <w:sz w:val="16"/>
          <w:szCs w:val="16"/>
          <w:b w:val="1"/>
          <w:bCs w:val="1"/>
          <w:color w:val="auto"/>
        </w:rPr>
        <w:t>David Barrett, individually and</w:t>
      </w:r>
    </w:p>
    <w:p>
      <w:pPr>
        <w:ind w:left="8940"/>
        <w:spacing w:after="0" w:line="232" w:lineRule="auto"/>
        <w:rPr>
          <w:sz w:val="20"/>
          <w:szCs w:val="20"/>
          <w:color w:val="auto"/>
        </w:rPr>
      </w:pPr>
      <w:r>
        <w:rPr>
          <w:rFonts w:ascii="Arial" w:cs="Arial" w:eastAsia="Arial" w:hAnsi="Arial"/>
          <w:sz w:val="18"/>
          <w:szCs w:val="18"/>
          <w:b w:val="1"/>
          <w:bCs w:val="1"/>
          <w:color w:val="auto"/>
        </w:rPr>
        <w:t>as trustee of the Barrett</w:t>
      </w:r>
    </w:p>
    <w:p>
      <w:pPr>
        <w:ind w:left="8940"/>
        <w:spacing w:after="0" w:line="216" w:lineRule="auto"/>
        <w:rPr>
          <w:sz w:val="20"/>
          <w:szCs w:val="20"/>
          <w:color w:val="auto"/>
        </w:rPr>
      </w:pPr>
      <w:r>
        <w:rPr>
          <w:rFonts w:ascii="Arial" w:cs="Arial" w:eastAsia="Arial" w:hAnsi="Arial"/>
          <w:sz w:val="17"/>
          <w:szCs w:val="17"/>
          <w:b w:val="1"/>
          <w:bCs w:val="1"/>
          <w:color w:val="auto"/>
        </w:rPr>
        <w:t>Family Trust, solely in such</w:t>
      </w:r>
    </w:p>
    <w:p>
      <w:pPr>
        <w:ind w:left="8940"/>
        <w:spacing w:after="0" w:line="203" w:lineRule="auto"/>
        <w:rPr>
          <w:sz w:val="20"/>
          <w:szCs w:val="20"/>
          <w:color w:val="auto"/>
        </w:rPr>
      </w:pPr>
      <w:r>
        <w:rPr>
          <w:rFonts w:ascii="Arial" w:cs="Arial" w:eastAsia="Arial" w:hAnsi="Arial"/>
          <w:sz w:val="18"/>
          <w:szCs w:val="18"/>
          <w:b w:val="1"/>
          <w:bCs w:val="1"/>
          <w:color w:val="auto"/>
        </w:rPr>
        <w:t>trust’s capacity as the</w:t>
      </w:r>
    </w:p>
    <w:p>
      <w:pPr>
        <w:ind w:left="8940"/>
        <w:spacing w:after="0" w:line="219" w:lineRule="auto"/>
        <w:rPr>
          <w:sz w:val="20"/>
          <w:szCs w:val="20"/>
          <w:color w:val="auto"/>
        </w:rPr>
      </w:pPr>
      <w:r>
        <w:rPr>
          <w:rFonts w:ascii="Arial" w:cs="Arial" w:eastAsia="Arial" w:hAnsi="Arial"/>
          <w:sz w:val="18"/>
          <w:szCs w:val="18"/>
          <w:b w:val="1"/>
          <w:bCs w:val="1"/>
          <w:color w:val="auto"/>
        </w:rPr>
        <w:t>controlling member of</w:t>
      </w:r>
    </w:p>
    <w:p>
      <w:pPr>
        <w:spacing w:after="0" w:line="1" w:lineRule="exact"/>
        <w:rPr>
          <w:sz w:val="20"/>
          <w:szCs w:val="20"/>
          <w:color w:val="auto"/>
        </w:rPr>
      </w:pPr>
    </w:p>
    <w:p>
      <w:pPr>
        <w:ind w:left="8940"/>
        <w:spacing w:after="0"/>
        <w:rPr>
          <w:sz w:val="20"/>
          <w:szCs w:val="20"/>
          <w:color w:val="auto"/>
        </w:rPr>
      </w:pPr>
      <w:r>
        <w:rPr>
          <w:rFonts w:ascii="Arial" w:cs="Arial" w:eastAsia="Arial" w:hAnsi="Arial"/>
          <w:sz w:val="18"/>
          <w:szCs w:val="18"/>
          <w:b w:val="1"/>
          <w:bCs w:val="1"/>
          <w:color w:val="auto"/>
        </w:rPr>
        <w:t>Barrett Trust LLC</w:t>
      </w:r>
    </w:p>
    <w:p>
      <w:pPr>
        <w:spacing w:after="0" w:line="200" w:lineRule="exact"/>
        <w:rPr>
          <w:sz w:val="20"/>
          <w:szCs w:val="20"/>
          <w:color w:val="auto"/>
        </w:rPr>
      </w:pPr>
    </w:p>
    <w:p>
      <w:pPr>
        <w:spacing w:after="0" w:line="293"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14605</wp:posOffset>
            </wp:positionV>
            <wp:extent cx="1577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780"/>
        <w:spacing w:after="0"/>
        <w:rPr>
          <w:sz w:val="20"/>
          <w:szCs w:val="20"/>
          <w:color w:val="auto"/>
        </w:rPr>
      </w:pPr>
      <w:r>
        <w:rPr>
          <w:rFonts w:ascii="Arial" w:cs="Arial" w:eastAsia="Arial" w:hAnsi="Arial"/>
          <w:sz w:val="18"/>
          <w:szCs w:val="18"/>
          <w:b w:val="1"/>
          <w:bCs w:val="1"/>
          <w:color w:val="auto"/>
        </w:rPr>
        <w:t>Barrett Trust LLC</w:t>
      </w:r>
    </w:p>
    <w:p>
      <w:pPr>
        <w:spacing w:after="0" w:line="200" w:lineRule="exact"/>
        <w:rPr>
          <w:sz w:val="20"/>
          <w:szCs w:val="20"/>
          <w:color w:val="auto"/>
        </w:rPr>
      </w:pPr>
    </w:p>
    <w:p>
      <w:pPr>
        <w:spacing w:after="0" w:line="259"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14605</wp:posOffset>
            </wp:positionV>
            <wp:extent cx="15773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6"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David Barrett</w:t>
      </w:r>
    </w:p>
    <w:p>
      <w:pPr>
        <w:spacing w:after="0" w:line="23"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General Manager</w:t>
      </w:r>
    </w:p>
    <w:sectPr>
      <w:pgSz w:w="11900" w:h="16838" w:orient="portrait"/>
      <w:cols w:equalWidth="0" w:num="1">
        <w:col w:w="11220"/>
      </w:cols>
      <w:pgMar w:left="320" w:top="16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2"/>
      <w:numFmt w:val="bullet"/>
      <w:start w:val="1"/>
    </w:lvl>
  </w:abstractNum>
  <w:abstractNum w:abstractNumId="5">
    <w:nsid w:val="12200854"/>
    <w:multiLevelType w:val="hybridMultilevel"/>
    <w:lvl w:ilvl="0">
      <w:lvlJc w:val="left"/>
      <w:lvlText w:val="3"/>
      <w:numFmt w:val="bullet"/>
      <w:start w:val="1"/>
    </w:lvl>
  </w:abstractNum>
  <w:abstractNum w:abstractNumId="6">
    <w:nsid w:val="4DB127F8"/>
    <w:multiLevelType w:val="hybridMultilevel"/>
    <w:lvl w:ilvl="0">
      <w:lvlJc w:val="left"/>
      <w:lvlText w:val="4"/>
      <w:numFmt w:val="bullet"/>
      <w:start w:val="1"/>
    </w:lvl>
  </w:abstractNum>
  <w:abstractNum w:abstractNumId="7">
    <w:nsid w:val="216231B"/>
    <w:multiLevelType w:val="hybridMultilevel"/>
    <w:lvl w:ilvl="0">
      <w:lvlJc w:val="left"/>
      <w:lvlText w:val="9"/>
      <w:numFmt w:val="bullet"/>
      <w:start w:val="1"/>
    </w:lvl>
  </w:abstractNum>
  <w:abstractNum w:abstractNumId="8">
    <w:nsid w:val="1F16E9E8"/>
    <w:multiLevelType w:val="hybridMultilevel"/>
    <w:lvl w:ilvl="0">
      <w:lvlJc w:val="left"/>
      <w:lvlText w:val="1"/>
      <w:numFmt w:val="bullet"/>
      <w:start w:val="1"/>
    </w:lvl>
  </w:abstractNum>
  <w:abstractNum w:abstractNumId="9">
    <w:nsid w:val="1190CDE7"/>
    <w:multiLevelType w:val="hybridMultilevel"/>
    <w:lvl w:ilvl="0">
      <w:lvlJc w:val="left"/>
      <w:lvlText w:val="2"/>
      <w:numFmt w:val="bullet"/>
      <w:start w:val="1"/>
    </w:lvl>
  </w:abstractNum>
  <w:abstractNum w:abstractNumId="10">
    <w:nsid w:val="66EF438D"/>
    <w:multiLevelType w:val="hybridMultilevel"/>
    <w:lvl w:ilvl="0">
      <w:lvlJc w:val="left"/>
      <w:lvlText w:val="3"/>
      <w:numFmt w:val="bullet"/>
      <w:start w:val="1"/>
    </w:lvl>
  </w:abstractNum>
  <w:abstractNum w:abstractNumId="11">
    <w:nsid w:val="140E0F76"/>
    <w:multiLevelType w:val="hybridMultilevel"/>
    <w:lvl w:ilvl="0">
      <w:lvlJc w:val="left"/>
      <w:lvlText w:val="4"/>
      <w:numFmt w:val="bullet"/>
      <w:start w:val="1"/>
    </w:lvl>
  </w:abstractNum>
  <w:abstractNum w:abstractNumId="12">
    <w:nsid w:val="3352255A"/>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2023-02-14T05:44:55Z</dcterms:created>
  <dcterms:modified xsi:type="dcterms:W3CDTF">2023-02-14T05:44:55Z</dcterms:modified>
</cp:coreProperties>
</file>