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915"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McLaughlin Steven J.</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(Last)</w:t>
            </w:r>
          </w:p>
        </w:tc>
        <w:tc>
          <w:tcPr>
            <w:tcW w:w="1180" w:type="dxa"/>
            <w:vAlign w:val="bottom"/>
          </w:tcPr>
          <w:p>
            <w:pPr>
              <w:ind w:left="32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56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33139</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11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2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06/24/2024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15"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3"/>
          </w:tcPr>
          <w:p>
            <w:pPr>
              <w:ind w:left="4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52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06/24/2024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7,208</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9,696,679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3"/>
            <w:vMerge w:val="restart"/>
          </w:tcPr>
          <w:p>
            <w:pPr>
              <w:ind w:left="540"/>
              <w:spacing w:after="0"/>
              <w:rPr>
                <w:sz w:val="20"/>
                <w:szCs w:val="20"/>
                <w:color w:val="auto"/>
              </w:rPr>
            </w:pPr>
            <w:r>
              <w:rPr>
                <w:rFonts w:ascii="Times New Roman" w:cs="Times New Roman" w:eastAsia="Times New Roman" w:hAnsi="Times New Roman"/>
                <w:sz w:val="17"/>
                <w:szCs w:val="17"/>
                <w:color w:val="0000FF"/>
              </w:rPr>
              <w:t>06/25/2024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jc w:val="center"/>
              <w:ind w:right="319"/>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6,685</w:t>
            </w: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9,703,364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1,783,610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240" w:type="dxa"/>
            <w:vAlign w:val="bottom"/>
            <w:gridSpan w:val="17"/>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60" w:type="dxa"/>
            <w:vAlign w:val="bottom"/>
            <w:gridSpan w:val="13"/>
          </w:tcPr>
          <w:p>
            <w:pPr>
              <w:jc w:val="center"/>
              <w:ind w:left="4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McLaughlin Steven J.</w:t>
              </w:r>
            </w:hyperlink>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gridSpan w:val="3"/>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Steven J. McLaughlin Revocable Trust</w:t>
              </w:r>
            </w:hyperlink>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FL</w:t>
            </w:r>
          </w:p>
        </w:tc>
        <w:tc>
          <w:tcPr>
            <w:tcW w:w="7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33139</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915"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EXP 2020 SPV LP</w:t>
        </w:r>
      </w:hyperlink>
    </w:p>
    <w:p>
      <w:pPr>
        <w:sectPr>
          <w:pgSz w:w="11900" w:h="16915"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gridSpan w:val="2"/>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7">
              <w:r>
                <w:rPr>
                  <w:rFonts w:ascii="Times New Roman" w:cs="Times New Roman" w:eastAsia="Times New Roman" w:hAnsi="Times New Roman"/>
                  <w:sz w:val="21"/>
                  <w:szCs w:val="21"/>
                  <w:color w:val="0000EE"/>
                </w:rPr>
                <w:t>SF Roofdeck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1521 ALTON RD., #345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4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7"/>
                <w:szCs w:val="17"/>
                <w:color w:val="0000FF"/>
              </w:rPr>
              <w:t>MIAMI BEACH</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0000FF"/>
              </w:rPr>
              <w:t>FL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3"/>
                <w:szCs w:val="13"/>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982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9825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$1.41 to $1.45, inclusive. The Reporting Persons undertake to provide the Issuer, any security holder of the Issuer or the staff of the Securities and Exchange Commission full information regarding the number of shares purchased at each separate price within the ranges set forth in footnotes (1) and (3) to this Form 4.</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the Steven J. McLaughlin Revocable Trust (the "Trust"), of which Steven J. McLaughlin is the sole trustee.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purchase price for shares of Class A Common Stock purchased. Actual purchase price for shares purchased ranged from $1.445 to $1.45, inclusive.</w:t>
      </w:r>
    </w:p>
    <w:p>
      <w:pPr>
        <w:spacing w:after="0" w:line="5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owned directly by EXP 2020 SPV LP ("EXP"). SF Roofdeck GP LLC ("Roofdeck") serves as the general partner of EXP. Roofdeck is wholly owned by the Trust, of which Steven J. McLaughlin is the sole trustee. Mr. McLaughlin disclaims beneficial ownership of these securities except to the extent of his pecuniary interest therein.</w:t>
      </w:r>
    </w:p>
    <w:p>
      <w:pPr>
        <w:spacing w:after="0" w:line="2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Steven J. McLaughlin,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06/26/2024</w:t>
            </w: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authorized signatory</w:t>
            </w:r>
          </w:p>
        </w:tc>
        <w:tc>
          <w:tcPr>
            <w:tcW w:w="3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78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44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847224" TargetMode="External"/><Relationship Id="rId13" Type="http://schemas.openxmlformats.org/officeDocument/2006/relationships/hyperlink" Target="http://www.sec.gov/cgi-bin/browse-edgar?action=getcompany&amp;CIK=0001476840" TargetMode="External"/><Relationship Id="rId14" Type="http://schemas.openxmlformats.org/officeDocument/2006/relationships/hyperlink" Target="http://www.sec.gov/cgi-bin/browse-edgar?action=getcompany&amp;CIK=0001989196" TargetMode="External"/><Relationship Id="rId16" Type="http://schemas.openxmlformats.org/officeDocument/2006/relationships/hyperlink" Target="http://www.sec.gov/cgi-bin/browse-edgar?action=getcompany&amp;CIK=0001988981" TargetMode="External"/><Relationship Id="rId17" Type="http://schemas.openxmlformats.org/officeDocument/2006/relationships/hyperlink" Target="http://www.sec.gov/cgi-bin/browse-edgar?action=getcompany&amp;CIK=0001989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2024-06-26T15:49:39Z</dcterms:created>
  <dcterms:modified xsi:type="dcterms:W3CDTF">2024-06-26T15:49:39Z</dcterms:modified>
</cp:coreProperties>
</file>