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29"/>
          <w:szCs w:val="29"/>
          <w:b w:val="1"/>
          <w:bCs w:val="1"/>
          <w:color w:val="auto"/>
        </w:rPr>
        <w:drawing>
          <wp:anchor simplePos="0" relativeHeight="251657728" behindDoc="1" locked="0" layoutInCell="0" allowOverlap="1">
            <wp:simplePos x="0" y="0"/>
            <wp:positionH relativeFrom="page">
              <wp:posOffset>688340</wp:posOffset>
            </wp:positionH>
            <wp:positionV relativeFrom="page">
              <wp:posOffset>723265</wp:posOffset>
            </wp:positionV>
            <wp:extent cx="61804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180455" cy="8255"/>
                    </a:xfrm>
                    <a:prstGeom prst="rect">
                      <a:avLst/>
                    </a:prstGeom>
                    <a:noFill/>
                  </pic:spPr>
                </pic:pic>
              </a:graphicData>
            </a:graphic>
          </wp:anchor>
        </w:drawing>
        <w:drawing>
          <wp:anchor simplePos="0" relativeHeight="251657728" behindDoc="1" locked="0" layoutInCell="0" allowOverlap="1">
            <wp:simplePos x="0" y="0"/>
            <wp:positionH relativeFrom="page">
              <wp:posOffset>688340</wp:posOffset>
            </wp:positionH>
            <wp:positionV relativeFrom="page">
              <wp:posOffset>680720</wp:posOffset>
            </wp:positionV>
            <wp:extent cx="618045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180455" cy="17145"/>
                    </a:xfrm>
                    <a:prstGeom prst="rect">
                      <a:avLst/>
                    </a:prstGeom>
                    <a:noFill/>
                  </pic:spPr>
                </pic:pic>
              </a:graphicData>
            </a:graphic>
          </wp:anchor>
        </w:drawing>
        <w:t>UNITED STATES</w:t>
      </w:r>
    </w:p>
    <w:p>
      <w:pPr>
        <w:spacing w:after="0" w:line="41"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SECURITIES AND EXCHANGE COMMISSION</w:t>
      </w:r>
    </w:p>
    <w:p>
      <w:pPr>
        <w:spacing w:after="0" w:line="18"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110490</wp:posOffset>
            </wp:positionV>
            <wp:extent cx="175704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338" w:lineRule="exact"/>
        <w:rPr>
          <w:sz w:val="24"/>
          <w:szCs w:val="24"/>
          <w:color w:val="auto"/>
        </w:rPr>
      </w:pPr>
    </w:p>
    <w:p>
      <w:pPr>
        <w:jc w:val="center"/>
        <w:ind w:right="-239"/>
        <w:spacing w:after="0"/>
        <w:rPr>
          <w:sz w:val="20"/>
          <w:szCs w:val="20"/>
          <w:color w:val="auto"/>
        </w:rPr>
      </w:pPr>
      <w:r>
        <w:rPr>
          <w:rFonts w:ascii="Arial" w:cs="Arial" w:eastAsia="Arial" w:hAnsi="Arial"/>
          <w:sz w:val="29"/>
          <w:szCs w:val="29"/>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2662555</wp:posOffset>
            </wp:positionH>
            <wp:positionV relativeFrom="paragraph">
              <wp:posOffset>117475</wp:posOffset>
            </wp:positionV>
            <wp:extent cx="175704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99" w:lineRule="exact"/>
        <w:rPr>
          <w:sz w:val="24"/>
          <w:szCs w:val="24"/>
          <w:color w:val="auto"/>
        </w:rPr>
      </w:pPr>
    </w:p>
    <w:p>
      <w:pPr>
        <w:jc w:val="center"/>
        <w:ind w:right="-239"/>
        <w:spacing w:after="0"/>
        <w:rPr>
          <w:sz w:val="20"/>
          <w:szCs w:val="20"/>
          <w:color w:val="auto"/>
        </w:rPr>
      </w:pPr>
      <w:r>
        <w:rPr>
          <w:rFonts w:ascii="Arial" w:cs="Arial" w:eastAsia="Arial" w:hAnsi="Arial"/>
          <w:sz w:val="22"/>
          <w:szCs w:val="22"/>
          <w:b w:val="1"/>
          <w:bCs w:val="1"/>
          <w:color w:val="auto"/>
        </w:rPr>
        <w:t>NOTIFICATION OF LATE FILING</w:t>
      </w:r>
    </w:p>
    <w:p>
      <w:pPr>
        <w:sectPr>
          <w:pgSz w:w="11900" w:h="16838" w:orient="portrait"/>
          <w:cols w:equalWidth="0" w:num="1">
            <w:col w:w="11000"/>
          </w:cols>
          <w:pgMar w:left="320" w:top="1201" w:right="579" w:bottom="1440" w:gutter="0" w:footer="0" w:header="0"/>
        </w:sectPr>
      </w:pPr>
    </w:p>
    <w:p>
      <w:pPr>
        <w:spacing w:after="0" w:line="254" w:lineRule="exact"/>
        <w:rPr>
          <w:sz w:val="24"/>
          <w:szCs w:val="24"/>
          <w:color w:val="auto"/>
        </w:rPr>
      </w:pPr>
    </w:p>
    <w:p>
      <w:pPr>
        <w:ind w:left="1540"/>
        <w:spacing w:after="0" w:line="196" w:lineRule="exact"/>
        <w:rPr>
          <w:sz w:val="20"/>
          <w:szCs w:val="20"/>
          <w:color w:val="auto"/>
        </w:rPr>
      </w:pPr>
      <w:r>
        <w:rPr>
          <w:rFonts w:ascii="Arial" w:cs="Arial" w:eastAsia="Arial" w:hAnsi="Arial"/>
          <w:sz w:val="17"/>
          <w:szCs w:val="17"/>
          <w:color w:val="auto"/>
        </w:rPr>
        <w:t xml:space="preserve">(Check One): </w:t>
      </w:r>
      <w:r>
        <w:rPr>
          <w:rFonts w:ascii="MS PGothic" w:cs="MS PGothic" w:eastAsia="MS PGothic" w:hAnsi="MS PGothic"/>
          <w:sz w:val="17"/>
          <w:szCs w:val="17"/>
          <w:color w:val="auto"/>
        </w:rPr>
        <w:t>☒</w:t>
      </w:r>
      <w:r>
        <w:rPr>
          <w:rFonts w:ascii="Arial" w:cs="Arial" w:eastAsia="Arial" w:hAnsi="Arial"/>
          <w:sz w:val="17"/>
          <w:szCs w:val="17"/>
          <w:color w:val="auto"/>
        </w:rPr>
        <w:t xml:space="preserve"> Form 10-K</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20-F</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11-K</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rPr>
          <w:sz w:val="20"/>
          <w:szCs w:val="20"/>
          <w:color w:val="auto"/>
        </w:rPr>
      </w:pPr>
      <w:r>
        <w:rPr>
          <w:rFonts w:ascii="Arial" w:cs="Arial" w:eastAsia="Arial" w:hAnsi="Arial"/>
          <w:sz w:val="16"/>
          <w:szCs w:val="16"/>
          <w:color w:val="auto"/>
        </w:rPr>
        <w:t>Form 10-Q</w:t>
      </w:r>
    </w:p>
    <w:p>
      <w:pPr>
        <w:spacing w:after="0" w:line="66" w:lineRule="exact"/>
        <w:rPr>
          <w:sz w:val="24"/>
          <w:szCs w:val="24"/>
          <w:color w:val="auto"/>
        </w:rPr>
      </w:pPr>
    </w:p>
    <w:p>
      <w:pPr>
        <w:sectPr>
          <w:pgSz w:w="11900" w:h="16838" w:orient="portrait"/>
          <w:cols w:equalWidth="0" w:num="5">
            <w:col w:w="3760" w:space="720"/>
            <w:col w:w="1300" w:space="720"/>
            <w:col w:w="1220" w:space="720"/>
            <w:col w:w="160" w:space="100"/>
            <w:col w:w="2300"/>
          </w:cols>
          <w:pgMar w:left="320" w:top="1201" w:right="579" w:bottom="1440" w:gutter="0" w:footer="0" w:header="0"/>
          <w:type w:val="continuous"/>
        </w:sectPr>
      </w:pPr>
    </w:p>
    <w:p>
      <w:pPr>
        <w:ind w:left="2560"/>
        <w:spacing w:after="0" w:line="19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10-D</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N-CEN</w:t>
      </w:r>
    </w:p>
    <w:p>
      <w:pPr>
        <w:spacing w:after="0" w:line="20" w:lineRule="exact"/>
        <w:rPr>
          <w:sz w:val="24"/>
          <w:szCs w:val="24"/>
          <w:color w:val="auto"/>
        </w:rPr>
      </w:pPr>
      <w:r>
        <w:rPr>
          <w:sz w:val="24"/>
          <w:szCs w:val="24"/>
          <w:color w:val="auto"/>
        </w:rPr>
        <w:br w:type="column"/>
      </w:r>
    </w:p>
    <w:p>
      <w:pPr>
        <w:spacing w:after="0" w:line="176" w:lineRule="exact"/>
        <w:rPr>
          <w:sz w:val="20"/>
          <w:szCs w:val="20"/>
          <w:color w:val="auto"/>
        </w:rPr>
      </w:pPr>
      <w:r>
        <w:rPr>
          <w:rFonts w:ascii="MS PGothic" w:cs="MS PGothic" w:eastAsia="MS PGothic" w:hAnsi="MS PGothic"/>
          <w:sz w:val="17"/>
          <w:szCs w:val="17"/>
          <w:color w:val="auto"/>
        </w:rPr>
        <w:t>☐</w:t>
      </w:r>
      <w:r>
        <w:rPr>
          <w:rFonts w:ascii="Arial" w:cs="Arial" w:eastAsia="Arial" w:hAnsi="Arial"/>
          <w:sz w:val="17"/>
          <w:szCs w:val="17"/>
          <w:color w:val="auto"/>
        </w:rPr>
        <w:t xml:space="preserve"> Form N-CSR</w:t>
      </w:r>
    </w:p>
    <w:p>
      <w:pPr>
        <w:spacing w:after="0" w:line="162" w:lineRule="exact"/>
        <w:rPr>
          <w:sz w:val="24"/>
          <w:szCs w:val="24"/>
          <w:color w:val="auto"/>
        </w:rPr>
      </w:pPr>
    </w:p>
    <w:p>
      <w:pPr>
        <w:sectPr>
          <w:pgSz w:w="11900" w:h="16838" w:orient="portrait"/>
          <w:cols w:equalWidth="0" w:num="3">
            <w:col w:w="3760" w:space="720"/>
            <w:col w:w="1300" w:space="720"/>
            <w:col w:w="4500"/>
          </w:cols>
          <w:pgMar w:left="320" w:top="1201" w:right="579" w:bottom="1440" w:gutter="0" w:footer="0" w:header="0"/>
          <w:type w:val="continuous"/>
        </w:sectPr>
      </w:pPr>
    </w:p>
    <w:p>
      <w:pPr>
        <w:ind w:left="2560"/>
        <w:spacing w:after="0"/>
        <w:rPr>
          <w:sz w:val="20"/>
          <w:szCs w:val="20"/>
          <w:color w:val="auto"/>
        </w:rPr>
      </w:pPr>
      <w:r>
        <w:rPr>
          <w:rFonts w:ascii="Arial" w:cs="Arial" w:eastAsia="Arial" w:hAnsi="Arial"/>
          <w:sz w:val="18"/>
          <w:szCs w:val="18"/>
          <w:color w:val="auto"/>
        </w:rPr>
        <w:t>For the Period Ended: December 31, 2022</w:t>
      </w:r>
    </w:p>
    <w:p>
      <w:pPr>
        <w:spacing w:after="0" w:line="171" w:lineRule="exact"/>
        <w:rPr>
          <w:sz w:val="24"/>
          <w:szCs w:val="24"/>
          <w:color w:val="auto"/>
        </w:rPr>
      </w:pPr>
    </w:p>
    <w:p>
      <w:pPr>
        <w:ind w:left="2820" w:hanging="270"/>
        <w:spacing w:after="0"/>
        <w:tabs>
          <w:tab w:leader="none" w:pos="2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10-K</w:t>
      </w:r>
    </w:p>
    <w:p>
      <w:pPr>
        <w:spacing w:after="0" w:line="38" w:lineRule="exact"/>
        <w:rPr>
          <w:rFonts w:ascii="MS PGothic" w:cs="MS PGothic" w:eastAsia="MS PGothic" w:hAnsi="MS PGothic"/>
          <w:sz w:val="18"/>
          <w:szCs w:val="18"/>
          <w:color w:val="auto"/>
        </w:rPr>
      </w:pPr>
    </w:p>
    <w:p>
      <w:pPr>
        <w:ind w:left="2820" w:hanging="270"/>
        <w:spacing w:after="0"/>
        <w:tabs>
          <w:tab w:leader="none" w:pos="2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2820" w:hanging="270"/>
        <w:spacing w:after="0"/>
        <w:tabs>
          <w:tab w:leader="none" w:pos="28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2560" w:right="5840" w:hanging="10"/>
        <w:spacing w:after="0" w:line="338" w:lineRule="auto"/>
        <w:tabs>
          <w:tab w:leader="none" w:pos="2830"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124460</wp:posOffset>
            </wp:positionV>
            <wp:extent cx="6892290" cy="3517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892290" cy="351790"/>
                    </a:xfrm>
                    <a:prstGeom prst="rect">
                      <a:avLst/>
                    </a:prstGeom>
                    <a:noFill/>
                  </pic:spPr>
                </pic:pic>
              </a:graphicData>
            </a:graphic>
          </wp:anchor>
        </w:drawing>
      </w:r>
    </w:p>
    <w:p>
      <w:pPr>
        <w:spacing w:after="0" w:line="227" w:lineRule="exact"/>
        <w:rPr>
          <w:sz w:val="24"/>
          <w:szCs w:val="24"/>
          <w:color w:val="auto"/>
        </w:rPr>
      </w:pPr>
    </w:p>
    <w:p>
      <w:pPr>
        <w:jc w:val="center"/>
        <w:ind w:right="-259"/>
        <w:spacing w:after="0"/>
        <w:rPr>
          <w:sz w:val="20"/>
          <w:szCs w:val="20"/>
          <w:color w:val="auto"/>
        </w:rPr>
      </w:pPr>
      <w:r>
        <w:rPr>
          <w:rFonts w:ascii="Arial" w:cs="Arial" w:eastAsia="Arial" w:hAnsi="Arial"/>
          <w:sz w:val="18"/>
          <w:szCs w:val="18"/>
          <w:color w:val="auto"/>
        </w:rPr>
        <w:t>Read Instructions (on back page) Before Preparing Form. Please Print or Type.</w:t>
      </w:r>
    </w:p>
    <w:p>
      <w:pPr>
        <w:jc w:val="center"/>
        <w:ind w:right="-259"/>
        <w:spacing w:after="0"/>
        <w:rPr>
          <w:sz w:val="20"/>
          <w:szCs w:val="20"/>
          <w:color w:val="auto"/>
        </w:rPr>
      </w:pPr>
      <w:r>
        <w:rPr>
          <w:rFonts w:ascii="Arial" w:cs="Arial" w:eastAsia="Arial" w:hAnsi="Arial"/>
          <w:sz w:val="18"/>
          <w:szCs w:val="18"/>
          <w:b w:val="1"/>
          <w:bCs w:val="1"/>
          <w:color w:val="auto"/>
        </w:rPr>
        <w:t>Nothing in this form shall be construed to imply that the Commission has verified any information contained herein.</w:t>
      </w:r>
    </w:p>
    <w:p>
      <w:pPr>
        <w:spacing w:after="0" w:line="223" w:lineRule="exact"/>
        <w:rPr>
          <w:sz w:val="24"/>
          <w:szCs w:val="24"/>
          <w:color w:val="auto"/>
        </w:rPr>
      </w:pPr>
    </w:p>
    <w:p>
      <w:pPr>
        <w:ind w:left="220"/>
        <w:spacing w:after="0"/>
        <w:rPr>
          <w:sz w:val="20"/>
          <w:szCs w:val="20"/>
          <w:color w:val="auto"/>
        </w:rPr>
      </w:pPr>
      <w:r>
        <w:rPr>
          <w:rFonts w:ascii="Arial" w:cs="Arial" w:eastAsia="Arial" w:hAnsi="Arial"/>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133350</wp:posOffset>
            </wp:positionH>
            <wp:positionV relativeFrom="paragraph">
              <wp:posOffset>109220</wp:posOffset>
            </wp:positionV>
            <wp:extent cx="68834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883400" cy="8255"/>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PART I — REGISTRANT INFORMATION</w:t>
      </w:r>
    </w:p>
    <w:p>
      <w:pPr>
        <w:spacing w:after="0" w:line="243" w:lineRule="exact"/>
        <w:rPr>
          <w:sz w:val="24"/>
          <w:szCs w:val="24"/>
          <w:color w:val="auto"/>
        </w:rPr>
      </w:pPr>
    </w:p>
    <w:p>
      <w:pPr>
        <w:jc w:val="center"/>
        <w:ind w:right="-259"/>
        <w:spacing w:after="0"/>
        <w:rPr>
          <w:sz w:val="20"/>
          <w:szCs w:val="20"/>
          <w:color w:val="auto"/>
        </w:rPr>
      </w:pPr>
      <w:r>
        <w:rPr>
          <w:rFonts w:ascii="Arial" w:cs="Arial" w:eastAsia="Arial" w:hAnsi="Arial"/>
          <w:sz w:val="32"/>
          <w:szCs w:val="32"/>
          <w:b w:val="1"/>
          <w:bCs w:val="1"/>
          <w:color w:val="auto"/>
        </w:rPr>
        <w:t>Expensify, Inc.</w:t>
      </w:r>
    </w:p>
    <w:p>
      <w:pPr>
        <w:spacing w:after="0" w:line="44"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Full Name of Registrant</w:t>
      </w:r>
    </w:p>
    <w:p>
      <w:pPr>
        <w:spacing w:after="0" w:line="232"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Not Applicable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Former Name if Applicable</w:t>
      </w: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401 SW 5th Ave</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Address of Principal Executive Office (Street and Number)</w:t>
      </w: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Portland, OR 92704</w:t>
      </w:r>
    </w:p>
    <w:p>
      <w:pPr>
        <w:spacing w:after="0" w:line="21" w:lineRule="exact"/>
        <w:rPr>
          <w:sz w:val="24"/>
          <w:szCs w:val="24"/>
          <w:color w:val="auto"/>
        </w:rPr>
      </w:pPr>
    </w:p>
    <w:p>
      <w:pPr>
        <w:jc w:val="center"/>
        <w:ind w:right="-259"/>
        <w:spacing w:after="0"/>
        <w:rPr>
          <w:sz w:val="20"/>
          <w:szCs w:val="20"/>
          <w:color w:val="auto"/>
        </w:rPr>
      </w:pPr>
      <w:r>
        <w:rPr>
          <w:rFonts w:ascii="Arial" w:cs="Arial" w:eastAsia="Arial" w:hAnsi="Arial"/>
          <w:sz w:val="14"/>
          <w:szCs w:val="14"/>
          <w:color w:val="auto"/>
        </w:rPr>
        <w:t>City, State and Zip Code</w:t>
      </w:r>
    </w:p>
    <w:p>
      <w:pPr>
        <w:spacing w:after="0" w:line="246" w:lineRule="exact"/>
        <w:rPr>
          <w:sz w:val="24"/>
          <w:szCs w:val="24"/>
          <w:color w:val="auto"/>
        </w:rPr>
      </w:pPr>
    </w:p>
    <w:p>
      <w:pPr>
        <w:jc w:val="center"/>
        <w:ind w:right="-259"/>
        <w:spacing w:after="0"/>
        <w:rPr>
          <w:sz w:val="20"/>
          <w:szCs w:val="20"/>
          <w:color w:val="auto"/>
        </w:rPr>
      </w:pPr>
      <w:r>
        <w:rPr>
          <w:rFonts w:ascii="Arial" w:cs="Arial" w:eastAsia="Arial" w:hAnsi="Arial"/>
          <w:sz w:val="18"/>
          <w:szCs w:val="18"/>
          <w:b w:val="1"/>
          <w:bCs w:val="1"/>
          <w:color w:val="auto"/>
        </w:rPr>
        <w:t>PART II — RULES 12b-25(b) AND (c)</w:t>
      </w:r>
    </w:p>
    <w:p>
      <w:pPr>
        <w:spacing w:after="0" w:line="256" w:lineRule="exact"/>
        <w:rPr>
          <w:sz w:val="24"/>
          <w:szCs w:val="24"/>
          <w:color w:val="auto"/>
        </w:rPr>
      </w:pPr>
    </w:p>
    <w:p>
      <w:pPr>
        <w:ind w:right="220"/>
        <w:spacing w:after="0" w:line="277" w:lineRule="auto"/>
        <w:rPr>
          <w:sz w:val="20"/>
          <w:szCs w:val="20"/>
          <w:color w:val="auto"/>
        </w:rPr>
      </w:pPr>
      <w:r>
        <w:rPr>
          <w:rFonts w:ascii="Arial" w:cs="Arial" w:eastAsia="Arial" w:hAnsi="Arial"/>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399415</wp:posOffset>
            </wp:positionH>
            <wp:positionV relativeFrom="paragraph">
              <wp:posOffset>-1905</wp:posOffset>
            </wp:positionV>
            <wp:extent cx="8255" cy="10629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255" cy="1062990"/>
                    </a:xfrm>
                    <a:prstGeom prst="rect">
                      <a:avLst/>
                    </a:prstGeom>
                    <a:noFill/>
                  </pic:spPr>
                </pic:pic>
              </a:graphicData>
            </a:graphic>
          </wp:anchor>
        </w:drawing>
      </w:r>
    </w:p>
    <w:p>
      <w:pPr>
        <w:spacing w:after="0" w:line="123" w:lineRule="exact"/>
        <w:rPr>
          <w:sz w:val="24"/>
          <w:szCs w:val="24"/>
          <w:color w:val="auto"/>
        </w:rPr>
      </w:pPr>
    </w:p>
    <w:p>
      <w:pPr>
        <w:ind w:left="1080" w:hanging="420"/>
        <w:spacing w:after="0"/>
        <w:tabs>
          <w:tab w:leader="none" w:pos="1080" w:val="left"/>
        </w:tabs>
        <w:numPr>
          <w:ilvl w:val="1"/>
          <w:numId w:val="2"/>
        </w:numPr>
        <w:rPr>
          <w:rFonts w:ascii="Arial" w:cs="Arial" w:eastAsia="Arial" w:hAnsi="Arial"/>
          <w:sz w:val="17"/>
          <w:szCs w:val="17"/>
          <w:color w:val="auto"/>
        </w:rPr>
      </w:pPr>
      <w:r>
        <w:rPr>
          <w:rFonts w:ascii="Arial" w:cs="Arial" w:eastAsia="Arial" w:hAnsi="Arial"/>
          <w:sz w:val="17"/>
          <w:szCs w:val="17"/>
          <w:color w:val="auto"/>
        </w:rPr>
        <w:t>The reason described in reasonable detail in Part III of this form could not be eliminated without unreasonable effort or expense;</w:t>
      </w:r>
    </w:p>
    <w:p>
      <w:pPr>
        <w:spacing w:after="0" w:line="182" w:lineRule="exact"/>
        <w:rPr>
          <w:rFonts w:ascii="Arial" w:cs="Arial" w:eastAsia="Arial" w:hAnsi="Arial"/>
          <w:sz w:val="17"/>
          <w:szCs w:val="17"/>
          <w:color w:val="auto"/>
        </w:rPr>
      </w:pPr>
    </w:p>
    <w:p>
      <w:pPr>
        <w:ind w:left="1080" w:hanging="420"/>
        <w:spacing w:after="0"/>
        <w:tabs>
          <w:tab w:leader="none" w:pos="1080" w:val="left"/>
        </w:tabs>
        <w:numPr>
          <w:ilvl w:val="1"/>
          <w:numId w:val="2"/>
        </w:numPr>
        <w:rPr>
          <w:rFonts w:ascii="Arial" w:cs="Arial" w:eastAsia="Arial" w:hAnsi="Arial"/>
          <w:sz w:val="16"/>
          <w:szCs w:val="16"/>
          <w:color w:val="auto"/>
        </w:rPr>
      </w:pPr>
      <w:r>
        <w:rPr>
          <w:rFonts w:ascii="Arial" w:cs="Arial" w:eastAsia="Arial" w:hAnsi="Arial"/>
          <w:sz w:val="16"/>
          <w:szCs w:val="16"/>
          <w:color w:val="auto"/>
        </w:rPr>
        <w:t>The subject annual report, semi-annual report, transition report on Form 10-K, Form 20-F, Form 11-K, Form N-CEN or Form N-CSR, or</w:t>
      </w:r>
    </w:p>
    <w:p>
      <w:pPr>
        <w:spacing w:after="0" w:line="7" w:lineRule="exact"/>
        <w:rPr>
          <w:rFonts w:ascii="Arial" w:cs="Arial" w:eastAsia="Arial" w:hAnsi="Arial"/>
          <w:sz w:val="16"/>
          <w:szCs w:val="16"/>
          <w:color w:val="auto"/>
        </w:rPr>
      </w:pPr>
    </w:p>
    <w:p>
      <w:pPr>
        <w:ind w:left="1080" w:hanging="1054"/>
        <w:spacing w:after="0" w:line="181" w:lineRule="auto"/>
        <w:tabs>
          <w:tab w:leader="none" w:pos="1080" w:val="left"/>
        </w:tabs>
        <w:numPr>
          <w:ilvl w:val="0"/>
          <w:numId w:val="2"/>
        </w:numPr>
        <w:rPr>
          <w:rFonts w:ascii="MS PGothic" w:cs="MS PGothic" w:eastAsia="MS PGothic" w:hAnsi="MS PGothic"/>
          <w:sz w:val="35"/>
          <w:szCs w:val="35"/>
          <w:color w:val="auto"/>
          <w:vertAlign w:val="subscript"/>
        </w:rPr>
      </w:pPr>
      <w:r>
        <w:rPr>
          <w:rFonts w:ascii="Arial" w:cs="Arial" w:eastAsia="Arial" w:hAnsi="Arial"/>
          <w:sz w:val="18"/>
          <w:szCs w:val="18"/>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150" w:lineRule="exact"/>
        <w:rPr>
          <w:rFonts w:ascii="MS PGothic" w:cs="MS PGothic" w:eastAsia="MS PGothic" w:hAnsi="MS PGothic"/>
          <w:sz w:val="35"/>
          <w:szCs w:val="35"/>
          <w:color w:val="auto"/>
          <w:vertAlign w:val="subscript"/>
        </w:rPr>
      </w:pPr>
    </w:p>
    <w:p>
      <w:pPr>
        <w:ind w:left="1080" w:hanging="420"/>
        <w:spacing w:after="0"/>
        <w:tabs>
          <w:tab w:leader="none" w:pos="1080" w:val="left"/>
        </w:tabs>
        <w:numPr>
          <w:ilvl w:val="1"/>
          <w:numId w:val="3"/>
        </w:numPr>
        <w:rPr>
          <w:rFonts w:ascii="Arial" w:cs="Arial" w:eastAsia="Arial" w:hAnsi="Arial"/>
          <w:sz w:val="18"/>
          <w:szCs w:val="18"/>
          <w:color w:val="auto"/>
        </w:rPr>
      </w:pPr>
      <w:r>
        <w:rPr>
          <w:rFonts w:ascii="Arial" w:cs="Arial" w:eastAsia="Arial" w:hAnsi="Arial"/>
          <w:sz w:val="18"/>
          <w:szCs w:val="18"/>
          <w:color w:val="auto"/>
        </w:rPr>
        <w:t>The accountant’s statement or other exhibit required by Rule 12b-25(c) has been attached if applicable.</w:t>
      </w:r>
    </w:p>
    <w:p>
      <w:pPr>
        <w:sectPr>
          <w:pgSz w:w="11900" w:h="16838" w:orient="portrait"/>
          <w:cols w:equalWidth="0" w:num="1">
            <w:col w:w="11000"/>
          </w:cols>
          <w:pgMar w:left="320" w:top="1201" w:right="579" w:bottom="1440" w:gutter="0" w:footer="0" w:header="0"/>
          <w:type w:val="continuous"/>
        </w:sectPr>
      </w:pPr>
    </w:p>
    <w:bookmarkStart w:id="1" w:name="page2"/>
    <w:bookmarkEnd w:id="1"/>
    <w:p>
      <w:pPr>
        <w:jc w:val="center"/>
        <w:ind w:right="-39"/>
        <w:spacing w:after="0"/>
        <w:rPr>
          <w:sz w:val="20"/>
          <w:szCs w:val="20"/>
          <w:color w:val="auto"/>
        </w:rPr>
      </w:pPr>
      <w:r>
        <w:rPr>
          <w:rFonts w:ascii="Arial" w:cs="Arial" w:eastAsia="Arial" w:hAnsi="Arial"/>
          <w:sz w:val="18"/>
          <w:szCs w:val="18"/>
          <w:b w:val="1"/>
          <w:bCs w:val="1"/>
          <w:color w:val="auto"/>
        </w:rPr>
        <w:t>PART III — NARRATIVE</w:t>
      </w:r>
    </w:p>
    <w:p>
      <w:pPr>
        <w:spacing w:after="0" w:line="25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State below in reasonable detail why Forms 10-K, 20-F, 11-K, 10-Q, 10-D, N-CEN, N-CSR, or the transition report or portion thereof, could not be filed within the prescribed time period.</w:t>
      </w:r>
    </w:p>
    <w:p>
      <w:pPr>
        <w:spacing w:after="0" w:line="10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Expensify, Inc. (the “Company”) was unable, without unreasonable effort or expense, to file its Annual Report on Form 10-K for the year ended December 31, 2022 (the “Form 10-K”) by the March 1, 2023 filing deadline. The Company is still in the process of compiling required information to allow time for its independent registered public accounting firm to complete its audits of the financial statements and internal control over financial reporting. The Company expects to file the Form 10-K as soon as possible, but no later than March 16, 2023, the fifteenth calendar day following the prescribed due date of the Form 10-K.</w:t>
      </w: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IV — OTHER INFORMATION</w:t>
      </w:r>
    </w:p>
    <w:p>
      <w:pPr>
        <w:spacing w:after="0" w:line="297" w:lineRule="exact"/>
        <w:rPr>
          <w:sz w:val="20"/>
          <w:szCs w:val="20"/>
          <w:color w:val="auto"/>
        </w:rPr>
      </w:pPr>
    </w:p>
    <w:p>
      <w:pPr>
        <w:ind w:left="1020" w:hanging="609"/>
        <w:spacing w:after="0"/>
        <w:tabs>
          <w:tab w:leader="none" w:pos="1020" w:val="left"/>
        </w:tabs>
        <w:numPr>
          <w:ilvl w:val="0"/>
          <w:numId w:val="4"/>
        </w:numPr>
        <w:rPr>
          <w:rFonts w:ascii="Arial" w:cs="Arial" w:eastAsia="Arial" w:hAnsi="Arial"/>
          <w:sz w:val="18"/>
          <w:szCs w:val="18"/>
          <w:color w:val="auto"/>
        </w:rPr>
      </w:pPr>
      <w:r>
        <w:rPr>
          <w:rFonts w:ascii="Arial" w:cs="Arial" w:eastAsia="Arial" w:hAnsi="Arial"/>
          <w:sz w:val="18"/>
          <w:szCs w:val="18"/>
          <w:color w:val="auto"/>
        </w:rPr>
        <w:t>Name and telephone number of person to contact in regard to this notification</w:t>
      </w:r>
    </w:p>
    <w:p>
      <w:pPr>
        <w:spacing w:after="0" w:line="293" w:lineRule="exact"/>
        <w:rPr>
          <w:sz w:val="20"/>
          <w:szCs w:val="20"/>
          <w:color w:val="auto"/>
        </w:rPr>
      </w:pPr>
    </w:p>
    <w:tbl>
      <w:tblPr>
        <w:tblLayout w:type="fixed"/>
        <w:tblInd w:w="1000" w:type="dxa"/>
        <w:tblCellMar>
          <w:top w:w="0" w:type="dxa"/>
          <w:left w:w="0" w:type="dxa"/>
          <w:bottom w:w="0" w:type="dxa"/>
          <w:right w:w="0" w:type="dxa"/>
        </w:tblCellMar>
      </w:tblPr>
      <w:tr>
        <w:trPr>
          <w:trHeight w:val="230"/>
        </w:trPr>
        <w:tc>
          <w:tcPr>
            <w:tcW w:w="3720" w:type="dxa"/>
            <w:vAlign w:val="bottom"/>
            <w:gridSpan w:val="2"/>
          </w:tcPr>
          <w:p>
            <w:pPr>
              <w:jc w:val="center"/>
              <w:ind w:right="100"/>
              <w:spacing w:after="0"/>
              <w:rPr>
                <w:sz w:val="20"/>
                <w:szCs w:val="20"/>
                <w:color w:val="auto"/>
              </w:rPr>
            </w:pPr>
            <w:r>
              <w:rPr>
                <w:rFonts w:ascii="Arial" w:cs="Arial" w:eastAsia="Arial" w:hAnsi="Arial"/>
                <w:sz w:val="18"/>
                <w:szCs w:val="18"/>
                <w:color w:val="auto"/>
                <w:w w:val="89"/>
              </w:rPr>
              <w:t>Ryan Schaffer</w:t>
            </w:r>
          </w:p>
        </w:tc>
        <w:tc>
          <w:tcPr>
            <w:tcW w:w="2420" w:type="dxa"/>
            <w:vAlign w:val="bottom"/>
          </w:tcPr>
          <w:p>
            <w:pPr>
              <w:jc w:val="right"/>
              <w:ind w:right="999"/>
              <w:spacing w:after="0"/>
              <w:rPr>
                <w:sz w:val="20"/>
                <w:szCs w:val="20"/>
                <w:color w:val="auto"/>
              </w:rPr>
            </w:pPr>
            <w:r>
              <w:rPr>
                <w:rFonts w:ascii="Arial" w:cs="Arial" w:eastAsia="Arial" w:hAnsi="Arial"/>
                <w:sz w:val="18"/>
                <w:szCs w:val="18"/>
                <w:color w:val="auto"/>
              </w:rPr>
              <w:t>971</w:t>
            </w:r>
          </w:p>
        </w:tc>
        <w:tc>
          <w:tcPr>
            <w:tcW w:w="100" w:type="dxa"/>
            <w:vAlign w:val="bottom"/>
          </w:tcPr>
          <w:p>
            <w:pPr>
              <w:spacing w:after="0"/>
              <w:rPr>
                <w:sz w:val="20"/>
                <w:szCs w:val="20"/>
                <w:color w:val="auto"/>
              </w:rPr>
            </w:pPr>
          </w:p>
        </w:tc>
        <w:tc>
          <w:tcPr>
            <w:tcW w:w="3620" w:type="dxa"/>
            <w:vAlign w:val="bottom"/>
          </w:tcPr>
          <w:p>
            <w:pPr>
              <w:jc w:val="right"/>
              <w:ind w:right="1379"/>
              <w:spacing w:after="0"/>
              <w:rPr>
                <w:sz w:val="20"/>
                <w:szCs w:val="20"/>
                <w:color w:val="auto"/>
              </w:rPr>
            </w:pPr>
            <w:r>
              <w:rPr>
                <w:rFonts w:ascii="Arial" w:cs="Arial" w:eastAsia="Arial" w:hAnsi="Arial"/>
                <w:sz w:val="18"/>
                <w:szCs w:val="18"/>
                <w:color w:val="auto"/>
              </w:rPr>
              <w:t>365-3939</w:t>
            </w:r>
          </w:p>
        </w:tc>
      </w:tr>
      <w:tr>
        <w:trPr>
          <w:trHeight w:val="176"/>
        </w:trPr>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4"/>
              </w:rPr>
              <w:t>(Name)</w:t>
            </w:r>
          </w:p>
        </w:tc>
        <w:tc>
          <w:tcPr>
            <w:tcW w:w="100" w:type="dxa"/>
            <w:vAlign w:val="bottom"/>
          </w:tcPr>
          <w:p>
            <w:pPr>
              <w:spacing w:after="0"/>
              <w:rPr>
                <w:sz w:val="15"/>
                <w:szCs w:val="15"/>
                <w:color w:val="auto"/>
              </w:rPr>
            </w:pPr>
          </w:p>
        </w:tc>
        <w:tc>
          <w:tcPr>
            <w:tcW w:w="24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1"/>
              </w:rPr>
              <w:t>(Area Code)</w:t>
            </w:r>
          </w:p>
        </w:tc>
        <w:tc>
          <w:tcPr>
            <w:tcW w:w="100" w:type="dxa"/>
            <w:vAlign w:val="bottom"/>
          </w:tcPr>
          <w:p>
            <w:pPr>
              <w:spacing w:after="0"/>
              <w:rPr>
                <w:sz w:val="15"/>
                <w:szCs w:val="15"/>
                <w:color w:val="auto"/>
              </w:rPr>
            </w:pPr>
          </w:p>
        </w:tc>
        <w:tc>
          <w:tcPr>
            <w:tcW w:w="3620" w:type="dxa"/>
            <w:vAlign w:val="bottom"/>
            <w:tcBorders>
              <w:top w:val="single" w:sz="8" w:color="auto"/>
            </w:tcBorders>
          </w:tcPr>
          <w:p>
            <w:pPr>
              <w:jc w:val="center"/>
              <w:spacing w:after="0"/>
              <w:rPr>
                <w:sz w:val="20"/>
                <w:szCs w:val="20"/>
                <w:color w:val="auto"/>
              </w:rPr>
            </w:pPr>
            <w:r>
              <w:rPr>
                <w:rFonts w:ascii="Arial" w:cs="Arial" w:eastAsia="Arial" w:hAnsi="Arial"/>
                <w:sz w:val="14"/>
                <w:szCs w:val="14"/>
                <w:color w:val="auto"/>
                <w:w w:val="92"/>
              </w:rPr>
              <w:t>(Telephone Number)</w:t>
            </w:r>
          </w:p>
        </w:tc>
      </w:tr>
    </w:tbl>
    <w:p>
      <w:pPr>
        <w:spacing w:after="0" w:line="19" w:lineRule="exact"/>
        <w:rPr>
          <w:sz w:val="20"/>
          <w:szCs w:val="20"/>
          <w:color w:val="auto"/>
        </w:rPr>
      </w:pPr>
    </w:p>
    <w:p>
      <w:pPr>
        <w:ind w:left="1020" w:right="400" w:hanging="609"/>
        <w:spacing w:after="0" w:line="201" w:lineRule="exact"/>
        <w:tabs>
          <w:tab w:leader="none" w:pos="1020" w:val="left"/>
        </w:tabs>
        <w:numPr>
          <w:ilvl w:val="0"/>
          <w:numId w:val="5"/>
        </w:numPr>
        <w:rPr>
          <w:rFonts w:ascii="Arial" w:cs="Arial" w:eastAsia="Arial" w:hAnsi="Arial"/>
          <w:sz w:val="18"/>
          <w:szCs w:val="18"/>
          <w:color w:val="auto"/>
        </w:rPr>
      </w:pPr>
      <w:r>
        <w:rPr>
          <w:rFonts w:ascii="Arial" w:cs="Arial" w:eastAsia="Arial" w:hAnsi="Arial"/>
          <w:sz w:val="18"/>
          <w:szCs w:val="18"/>
          <w:color w:val="auto"/>
        </w:rPr>
        <w:t xml:space="preserve">Have all other periodic reports required under Section 13 or 15(d) of the Securities Exchange Act of 1934 or Section 30 of the 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200" w:lineRule="exact"/>
        <w:rPr>
          <w:rFonts w:ascii="Arial" w:cs="Arial" w:eastAsia="Arial" w:hAnsi="Arial"/>
          <w:sz w:val="18"/>
          <w:szCs w:val="18"/>
          <w:color w:val="auto"/>
        </w:rPr>
      </w:pPr>
    </w:p>
    <w:p>
      <w:pPr>
        <w:spacing w:after="0" w:line="212" w:lineRule="exact"/>
        <w:rPr>
          <w:rFonts w:ascii="Arial" w:cs="Arial" w:eastAsia="Arial" w:hAnsi="Arial"/>
          <w:sz w:val="18"/>
          <w:szCs w:val="18"/>
          <w:color w:val="auto"/>
        </w:rPr>
      </w:pPr>
    </w:p>
    <w:p>
      <w:pPr>
        <w:ind w:left="1020" w:right="1020" w:hanging="609"/>
        <w:spacing w:after="0" w:line="213" w:lineRule="exact"/>
        <w:tabs>
          <w:tab w:leader="none" w:pos="1020" w:val="left"/>
        </w:tabs>
        <w:numPr>
          <w:ilvl w:val="0"/>
          <w:numId w:val="5"/>
        </w:numPr>
        <w:rPr>
          <w:rFonts w:ascii="Arial" w:cs="Arial" w:eastAsia="Arial" w:hAnsi="Arial"/>
          <w:sz w:val="17"/>
          <w:szCs w:val="17"/>
          <w:color w:val="auto"/>
        </w:rPr>
      </w:pPr>
      <w:r>
        <w:rPr>
          <w:rFonts w:ascii="Arial" w:cs="Arial" w:eastAsia="Arial" w:hAnsi="Arial"/>
          <w:sz w:val="17"/>
          <w:szCs w:val="17"/>
          <w:color w:val="auto"/>
        </w:rPr>
        <w:t xml:space="preserve">Is it anticipated that any significant change in results of operations from the corresponding period for the last fiscal year will be reflected by the earnings statements to be included in the subject report or portion thereof?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41" w:lineRule="exact"/>
        <w:rPr>
          <w:rFonts w:ascii="Arial" w:cs="Arial" w:eastAsia="Arial" w:hAnsi="Arial"/>
          <w:sz w:val="17"/>
          <w:szCs w:val="17"/>
          <w:color w:val="auto"/>
        </w:rPr>
      </w:pPr>
    </w:p>
    <w:p>
      <w:pPr>
        <w:ind w:left="1020" w:right="660"/>
        <w:spacing w:after="0" w:line="235" w:lineRule="auto"/>
        <w:rPr>
          <w:rFonts w:ascii="Arial" w:cs="Arial" w:eastAsia="Arial" w:hAnsi="Arial"/>
          <w:sz w:val="17"/>
          <w:szCs w:val="17"/>
          <w:color w:val="auto"/>
        </w:rPr>
      </w:pPr>
      <w:r>
        <w:rPr>
          <w:rFonts w:ascii="Arial" w:cs="Arial" w:eastAsia="Arial" w:hAnsi="Arial"/>
          <w:sz w:val="18"/>
          <w:szCs w:val="18"/>
          <w:color w:val="auto"/>
        </w:rPr>
        <w:t>If so, attach an explanation of the anticipated change, both narratively and quantitatively, and, if appropriate, state the reasons why a reasonable estimate of the results cannot be made.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639445</wp:posOffset>
            </wp:positionH>
            <wp:positionV relativeFrom="paragraph">
              <wp:posOffset>-710565</wp:posOffset>
            </wp:positionV>
            <wp:extent cx="62579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257925" cy="8255"/>
                    </a:xfrm>
                    <a:prstGeom prst="rect">
                      <a:avLst/>
                    </a:prstGeom>
                    <a:noFill/>
                  </pic:spPr>
                </pic:pic>
              </a:graphicData>
            </a:graphic>
          </wp:anchor>
        </w:drawing>
      </w:r>
    </w:p>
    <w:p>
      <w:pPr>
        <w:spacing w:after="0" w:line="304" w:lineRule="exact"/>
        <w:rPr>
          <w:sz w:val="20"/>
          <w:szCs w:val="20"/>
          <w:color w:val="auto"/>
        </w:rPr>
      </w:pPr>
    </w:p>
    <w:p>
      <w:pPr>
        <w:spacing w:after="0" w:line="263" w:lineRule="auto"/>
        <w:rPr>
          <w:sz w:val="20"/>
          <w:szCs w:val="20"/>
          <w:color w:val="auto"/>
        </w:rPr>
      </w:pPr>
      <w:r>
        <w:rPr>
          <w:rFonts w:ascii="Arial" w:cs="Arial" w:eastAsia="Arial" w:hAnsi="Arial"/>
          <w:sz w:val="18"/>
          <w:szCs w:val="18"/>
          <w:color w:val="auto"/>
        </w:rPr>
        <w:t>On February 26, 2023, the Company furnished a Current Report on Form 8-K to the Securities and Exchange Commission that included a press release and investor presentation announcing the Company’s preliminary unaudited financial results for the fourth quarter and year ended December 31, 2022. The Company does not expect any material changes to the financial results reported in such press release.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Certain statements made in this Form 12b-25 constitute forward-looking statements within the meaning of the “safe harbor” provisions of the Private Securities Litigation Reform Act of 1955. All statements contained in this notification that do not relate to matters of historical fact should be considered forward-looking statements, including, without limitation, statements regarding the Company’s expectations regarding its financial results reported in its press release and investor presentation furnished as Exhibits 99.1 and 99.2, respectively, to the Company’s Current Report on Form 8-K filed February 23, 2023 and the Company’s expectation that it will file the Form 10-K within the time period prescribed by Rule 12b-25. These forward-looking statements are based on management’s current expectations. These statements are neither promises nor guarantees, but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the risk that the Company is not able to complete its Form 10-K in the time period that it currently expects, and the risk that the Company finds errors in its consolidated financial statements. We undertake no obligation to update publicly any forward-looking statements, whether as a result of future events, new information or otherwise, except as required by law.</w:t>
      </w:r>
    </w:p>
    <w:p>
      <w:pPr>
        <w:sectPr>
          <w:pgSz w:w="11900" w:h="16838" w:orient="portrait"/>
          <w:cols w:equalWidth="0" w:num="1">
            <w:col w:w="11200"/>
          </w:cols>
          <w:pgMar w:left="320" w:top="1417" w:right="379" w:bottom="1440" w:gutter="0" w:footer="0" w:header="0"/>
        </w:sectPr>
      </w:pPr>
    </w:p>
    <w:bookmarkStart w:id="2" w:name="page3"/>
    <w:bookmarkEnd w:id="2"/>
    <w:p>
      <w:pPr>
        <w:spacing w:after="0" w:line="28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929005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tbl>
      <w:tblPr>
        <w:tblLayout w:type="fixed"/>
        <w:tblInd w:w="20" w:type="dxa"/>
        <w:tblCellMar>
          <w:top w:w="0" w:type="dxa"/>
          <w:left w:w="0" w:type="dxa"/>
          <w:bottom w:w="0" w:type="dxa"/>
          <w:right w:w="0" w:type="dxa"/>
        </w:tblCellMar>
      </w:tblPr>
      <w:tr>
        <w:trPr>
          <w:trHeight w:val="234"/>
        </w:trPr>
        <w:tc>
          <w:tcPr>
            <w:tcW w:w="2220" w:type="dxa"/>
            <w:vAlign w:val="bottom"/>
          </w:tcPr>
          <w:p>
            <w:pPr>
              <w:spacing w:after="0"/>
              <w:rPr>
                <w:sz w:val="20"/>
                <w:szCs w:val="20"/>
                <w:color w:val="auto"/>
              </w:rPr>
            </w:pPr>
          </w:p>
        </w:tc>
        <w:tc>
          <w:tcPr>
            <w:tcW w:w="9000" w:type="dxa"/>
            <w:vAlign w:val="bottom"/>
            <w:gridSpan w:val="3"/>
          </w:tcPr>
          <w:p>
            <w:pPr>
              <w:jc w:val="center"/>
              <w:ind w:right="2260"/>
              <w:spacing w:after="0"/>
              <w:rPr>
                <w:sz w:val="20"/>
                <w:szCs w:val="20"/>
                <w:color w:val="auto"/>
              </w:rPr>
            </w:pPr>
            <w:r>
              <w:rPr>
                <w:rFonts w:ascii="Arial" w:cs="Arial" w:eastAsia="Arial" w:hAnsi="Arial"/>
                <w:sz w:val="18"/>
                <w:szCs w:val="18"/>
                <w:b w:val="1"/>
                <w:bCs w:val="1"/>
                <w:color w:val="auto"/>
                <w:w w:val="90"/>
              </w:rPr>
              <w:t>Expensify, Inc.</w:t>
            </w:r>
          </w:p>
        </w:tc>
      </w:tr>
      <w:tr>
        <w:trPr>
          <w:trHeight w:val="176"/>
        </w:trPr>
        <w:tc>
          <w:tcPr>
            <w:tcW w:w="2220" w:type="dxa"/>
            <w:vAlign w:val="bottom"/>
          </w:tcPr>
          <w:p>
            <w:pPr>
              <w:spacing w:after="0"/>
              <w:rPr>
                <w:sz w:val="15"/>
                <w:szCs w:val="15"/>
                <w:color w:val="auto"/>
              </w:rPr>
            </w:pPr>
          </w:p>
        </w:tc>
        <w:tc>
          <w:tcPr>
            <w:tcW w:w="674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color w:val="auto"/>
                <w:w w:val="93"/>
              </w:rPr>
              <w:t>(Name of Registrant as Specified in Charter)</w:t>
            </w:r>
          </w:p>
        </w:tc>
        <w:tc>
          <w:tcPr>
            <w:tcW w:w="2260" w:type="dxa"/>
            <w:vAlign w:val="bottom"/>
          </w:tcPr>
          <w:p>
            <w:pPr>
              <w:spacing w:after="0"/>
              <w:rPr>
                <w:sz w:val="15"/>
                <w:szCs w:val="15"/>
                <w:color w:val="auto"/>
              </w:rPr>
            </w:pPr>
          </w:p>
        </w:tc>
      </w:tr>
      <w:tr>
        <w:trPr>
          <w:trHeight w:val="398"/>
        </w:trPr>
        <w:tc>
          <w:tcPr>
            <w:tcW w:w="11220" w:type="dxa"/>
            <w:vAlign w:val="bottom"/>
            <w:gridSpan w:val="4"/>
          </w:tcPr>
          <w:p>
            <w:pPr>
              <w:spacing w:after="0"/>
              <w:rPr>
                <w:sz w:val="20"/>
                <w:szCs w:val="20"/>
                <w:color w:val="auto"/>
              </w:rPr>
            </w:pPr>
            <w:r>
              <w:rPr>
                <w:rFonts w:ascii="Arial" w:cs="Arial" w:eastAsia="Arial" w:hAnsi="Arial"/>
                <w:sz w:val="18"/>
                <w:szCs w:val="18"/>
                <w:color w:val="auto"/>
              </w:rPr>
              <w:t>has caused this notification to be signed on its behalf by the undersigned hereunto duly authorized.</w:t>
            </w:r>
          </w:p>
        </w:tc>
      </w:tr>
      <w:tr>
        <w:trPr>
          <w:trHeight w:val="499"/>
        </w:trPr>
        <w:tc>
          <w:tcPr>
            <w:tcW w:w="2220" w:type="dxa"/>
            <w:vAlign w:val="bottom"/>
          </w:tcPr>
          <w:p>
            <w:pPr>
              <w:spacing w:after="0"/>
              <w:rPr>
                <w:sz w:val="20"/>
                <w:szCs w:val="20"/>
                <w:color w:val="auto"/>
              </w:rPr>
            </w:pPr>
            <w:r>
              <w:rPr>
                <w:rFonts w:ascii="Arial" w:cs="Arial" w:eastAsia="Arial" w:hAnsi="Arial"/>
                <w:sz w:val="18"/>
                <w:szCs w:val="18"/>
                <w:color w:val="auto"/>
              </w:rPr>
              <w:t>Date: March 1, 2023</w:t>
            </w:r>
          </w:p>
        </w:tc>
        <w:tc>
          <w:tcPr>
            <w:tcW w:w="9000" w:type="dxa"/>
            <w:vAlign w:val="bottom"/>
            <w:gridSpan w:val="3"/>
          </w:tcPr>
          <w:p>
            <w:pPr>
              <w:ind w:left="4220"/>
              <w:spacing w:after="0"/>
              <w:rPr>
                <w:sz w:val="20"/>
                <w:szCs w:val="20"/>
                <w:color w:val="auto"/>
              </w:rPr>
            </w:pPr>
            <w:r>
              <w:rPr>
                <w:rFonts w:ascii="Arial" w:cs="Arial" w:eastAsia="Arial" w:hAnsi="Arial"/>
                <w:sz w:val="18"/>
                <w:szCs w:val="18"/>
                <w:color w:val="auto"/>
              </w:rPr>
              <w:t>By: /s/ Ryan Schaffer</w:t>
            </w:r>
          </w:p>
        </w:tc>
      </w:tr>
      <w:tr>
        <w:trPr>
          <w:trHeight w:val="222"/>
        </w:trPr>
        <w:tc>
          <w:tcPr>
            <w:tcW w:w="2220" w:type="dxa"/>
            <w:vAlign w:val="bottom"/>
          </w:tcPr>
          <w:p>
            <w:pPr>
              <w:spacing w:after="0"/>
              <w:rPr>
                <w:sz w:val="19"/>
                <w:szCs w:val="19"/>
                <w:color w:val="auto"/>
              </w:rPr>
            </w:pPr>
          </w:p>
        </w:tc>
        <w:tc>
          <w:tcPr>
            <w:tcW w:w="4500" w:type="dxa"/>
            <w:vAlign w:val="bottom"/>
          </w:tcPr>
          <w:p>
            <w:pPr>
              <w:spacing w:after="0"/>
              <w:rPr>
                <w:sz w:val="19"/>
                <w:szCs w:val="19"/>
                <w:color w:val="auto"/>
              </w:rPr>
            </w:pPr>
          </w:p>
        </w:tc>
        <w:tc>
          <w:tcPr>
            <w:tcW w:w="4500" w:type="dxa"/>
            <w:vAlign w:val="bottom"/>
            <w:tcBorders>
              <w:top w:val="single" w:sz="8" w:color="auto"/>
            </w:tcBorders>
            <w:gridSpan w:val="2"/>
          </w:tcPr>
          <w:p>
            <w:pPr>
              <w:spacing w:after="0"/>
              <w:rPr>
                <w:sz w:val="20"/>
                <w:szCs w:val="20"/>
                <w:color w:val="auto"/>
              </w:rPr>
            </w:pPr>
            <w:r>
              <w:rPr>
                <w:rFonts w:ascii="Arial" w:cs="Arial" w:eastAsia="Arial" w:hAnsi="Arial"/>
                <w:sz w:val="18"/>
                <w:szCs w:val="18"/>
                <w:color w:val="auto"/>
              </w:rPr>
              <w:t>Ryan Schaffer</w:t>
            </w:r>
          </w:p>
        </w:tc>
      </w:tr>
      <w:tr>
        <w:trPr>
          <w:trHeight w:val="230"/>
        </w:trPr>
        <w:tc>
          <w:tcPr>
            <w:tcW w:w="2220" w:type="dxa"/>
            <w:vAlign w:val="bottom"/>
          </w:tcPr>
          <w:p>
            <w:pPr>
              <w:spacing w:after="0"/>
              <w:rPr>
                <w:sz w:val="20"/>
                <w:szCs w:val="20"/>
                <w:color w:val="auto"/>
              </w:rPr>
            </w:pPr>
          </w:p>
        </w:tc>
        <w:tc>
          <w:tcPr>
            <w:tcW w:w="4500" w:type="dxa"/>
            <w:vAlign w:val="bottom"/>
          </w:tcPr>
          <w:p>
            <w:pPr>
              <w:spacing w:after="0"/>
              <w:rPr>
                <w:sz w:val="20"/>
                <w:szCs w:val="20"/>
                <w:color w:val="auto"/>
              </w:rPr>
            </w:pPr>
          </w:p>
        </w:tc>
        <w:tc>
          <w:tcPr>
            <w:tcW w:w="4500" w:type="dxa"/>
            <w:vAlign w:val="bottom"/>
            <w:gridSpan w:val="2"/>
          </w:tcPr>
          <w:p>
            <w:pPr>
              <w:spacing w:after="0"/>
              <w:rPr>
                <w:sz w:val="20"/>
                <w:szCs w:val="20"/>
                <w:color w:val="auto"/>
              </w:rPr>
            </w:pPr>
            <w:r>
              <w:rPr>
                <w:rFonts w:ascii="Arial" w:cs="Arial" w:eastAsia="Arial" w:hAnsi="Arial"/>
                <w:sz w:val="18"/>
                <w:szCs w:val="18"/>
                <w:color w:val="auto"/>
              </w:rPr>
              <w:t>Chief Financial Officer</w:t>
            </w:r>
          </w:p>
        </w:tc>
      </w:tr>
    </w:tbl>
    <w:p>
      <w:pPr>
        <w:spacing w:after="0" w:line="200" w:lineRule="exact"/>
        <w:rPr>
          <w:sz w:val="20"/>
          <w:szCs w:val="20"/>
          <w:color w:val="auto"/>
        </w:rPr>
      </w:pPr>
    </w:p>
    <w:p>
      <w:pPr>
        <w:spacing w:after="0" w:line="285" w:lineRule="exact"/>
        <w:rPr>
          <w:sz w:val="20"/>
          <w:szCs w:val="20"/>
          <w:color w:val="auto"/>
        </w:rPr>
      </w:pPr>
    </w:p>
    <w:p>
      <w:pPr>
        <w:jc w:val="both"/>
        <w:ind w:right="40"/>
        <w:spacing w:after="0" w:line="311" w:lineRule="auto"/>
        <w:rPr>
          <w:sz w:val="20"/>
          <w:szCs w:val="20"/>
          <w:color w:val="auto"/>
        </w:rPr>
      </w:pPr>
      <w:r>
        <w:rPr>
          <w:rFonts w:ascii="Arial" w:cs="Arial" w:eastAsia="Arial" w:hAnsi="Arial"/>
          <w:sz w:val="16"/>
          <w:szCs w:val="16"/>
          <w:color w:val="auto"/>
        </w:rPr>
        <w:t>INSTRUCTION: The form may be signed by an executive officer of the registrant or by any other duly authorized representative. The name and title of the person signing the form shall be typed or printed beneath the signature. If the statement is signed on behalf of the registrant by an authorized representative (other than an executive officer), evidence of the representative’s authority to sign on behalf of the registrant shall be filed with the form.</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lvl w:ilvl="1">
      <w:lvlJc w:val="left"/>
      <w:lvlText w:val="(%2)"/>
      <w:numFmt w:val="lowerLetter"/>
      <w:start w:val="1"/>
    </w:lvl>
  </w:abstractNum>
  <w:abstractNum w:abstractNumId="2">
    <w:nsid w:val="625558EC"/>
    <w:multiLevelType w:val="hybridMultilevel"/>
    <w:lvl w:ilvl="0">
      <w:lvlJc w:val="left"/>
      <w:lvlText w:val="☒"/>
      <w:numFmt w:val="bullet"/>
      <w:start w:val="1"/>
    </w:lvl>
    <w:lvl w:ilvl="1">
      <w:lvlJc w:val="left"/>
      <w:lvlText w:val="(%2)"/>
      <w:numFmt w:val="lowerLetter"/>
      <w:start w:val="3"/>
    </w:lvl>
  </w:abstractNum>
  <w:abstractNum w:abstractNumId="3">
    <w:nsid w:val="238E1F29"/>
    <w:multiLevelType w:val="hybridMultilevel"/>
    <w:lvl w:ilvl="0">
      <w:lvlJc w:val="left"/>
      <w:lvlText w:val="(%1)"/>
      <w:numFmt w:val="decimal"/>
      <w:start w:val="1"/>
    </w:lvl>
  </w:abstractNum>
  <w:abstractNum w:abstractNumId="4">
    <w:nsid w:val="46E87CCD"/>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2023-03-02T05:42:14Z</dcterms:created>
  <dcterms:modified xsi:type="dcterms:W3CDTF">2023-03-02T05:42:14Z</dcterms:modified>
</cp:coreProperties>
</file>