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22808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Mills Jason Fahr</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06/13/2025</w:t>
            </w: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11"/>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06/13/2025</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0000FF"/>
                <w:w w:val="91"/>
              </w:rPr>
              <w:t>36,486</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2.29</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347,348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06/13/2025</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0000FF"/>
                <w:w w:val="91"/>
              </w:rPr>
              <w:t>17,083</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364,431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06/15/2025</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0000FF"/>
                <w:w w:val="99"/>
              </w:rPr>
              <w:t>3,821</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89"/>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2"/>
                <w:szCs w:val="22"/>
                <w:color w:val="auto"/>
              </w:rPr>
            </w:pPr>
          </w:p>
        </w:tc>
        <w:tc>
          <w:tcPr>
            <w:tcW w:w="128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368,252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31"/>
              <w:spacing w:after="0"/>
              <w:rPr>
                <w:sz w:val="20"/>
                <w:szCs w:val="20"/>
                <w:color w:val="auto"/>
              </w:rPr>
            </w:pPr>
            <w:r>
              <w:rPr>
                <w:rFonts w:ascii="Times New Roman" w:cs="Times New Roman" w:eastAsia="Times New Roman" w:hAnsi="Times New Roman"/>
                <w:sz w:val="17"/>
                <w:szCs w:val="17"/>
                <w:color w:val="0000FF"/>
                <w:w w:val="98"/>
              </w:rPr>
              <w:t>06/17/2025</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4"/>
              <w:spacing w:after="0"/>
              <w:rPr>
                <w:sz w:val="20"/>
                <w:szCs w:val="20"/>
                <w:color w:val="auto"/>
              </w:rPr>
            </w:pPr>
            <w:r>
              <w:rPr>
                <w:rFonts w:ascii="Times New Roman" w:cs="Times New Roman" w:eastAsia="Times New Roman" w:hAnsi="Times New Roman"/>
                <w:sz w:val="17"/>
                <w:szCs w:val="17"/>
                <w:color w:val="0000FF"/>
                <w:w w:val="91"/>
              </w:rPr>
              <w:t>4,068</w:t>
            </w:r>
            <w:r>
              <w:rPr>
                <w:rFonts w:ascii="Times New Roman" w:cs="Times New Roman" w:eastAsia="Times New Roman" w:hAnsi="Times New Roman"/>
                <w:sz w:val="21"/>
                <w:szCs w:val="21"/>
                <w:color w:val="008000"/>
                <w:w w:val="91"/>
                <w:vertAlign w:val="superscript"/>
              </w:rPr>
              <w:t>(4)</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89"/>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2.28</w:t>
            </w:r>
            <w:r>
              <w:rPr>
                <w:rFonts w:ascii="Times New Roman" w:cs="Times New Roman" w:eastAsia="Times New Roman" w:hAnsi="Times New Roman"/>
                <w:sz w:val="21"/>
                <w:szCs w:val="21"/>
                <w:color w:val="008000"/>
                <w:w w:val="89"/>
                <w:vertAlign w:val="superscript"/>
              </w:rPr>
              <w:t>(5)</w:t>
            </w:r>
          </w:p>
        </w:tc>
        <w:tc>
          <w:tcPr>
            <w:tcW w:w="128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364,184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right"/>
              <w:ind w:right="74"/>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94"/>
              <w:spacing w:after="0"/>
              <w:rPr>
                <w:sz w:val="20"/>
                <w:szCs w:val="20"/>
                <w:color w:val="auto"/>
              </w:rPr>
            </w:pPr>
            <w:r>
              <w:rPr>
                <w:rFonts w:ascii="Arial" w:cs="Arial" w:eastAsia="Arial" w:hAnsi="Arial"/>
                <w:sz w:val="11"/>
                <w:szCs w:val="11"/>
                <w:b w:val="1"/>
                <w:bCs w:val="1"/>
                <w:color w:val="auto"/>
                <w:w w:val="92"/>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06/15/2025</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4"/>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64,961</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06/15/2025</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4"/>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64,961</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ind w:right="34"/>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3,821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06/15/2025</w:t>
            </w:r>
          </w:p>
        </w:tc>
        <w:tc>
          <w:tcPr>
            <w:tcW w:w="1080" w:type="dxa"/>
            <w:vAlign w:val="bottom"/>
          </w:tcPr>
          <w:p>
            <w:pPr>
              <w:spacing w:after="0"/>
              <w:rPr>
                <w:sz w:val="12"/>
                <w:szCs w:val="12"/>
                <w:color w:val="auto"/>
              </w:rPr>
            </w:pPr>
          </w:p>
        </w:tc>
        <w:tc>
          <w:tcPr>
            <w:tcW w:w="7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3,821</w:t>
            </w:r>
          </w:p>
        </w:tc>
        <w:tc>
          <w:tcPr>
            <w:tcW w:w="4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jc w:val="center"/>
              <w:ind w:right="31"/>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1"/>
              <w:spacing w:after="0" w:line="140" w:lineRule="exact"/>
              <w:rPr>
                <w:sz w:val="20"/>
                <w:szCs w:val="20"/>
                <w:color w:val="auto"/>
              </w:rPr>
            </w:pPr>
            <w:r>
              <w:rPr>
                <w:rFonts w:ascii="Times New Roman" w:cs="Times New Roman" w:eastAsia="Times New Roman" w:hAnsi="Times New Roman"/>
                <w:sz w:val="13"/>
                <w:szCs w:val="13"/>
                <w:color w:val="0000FF"/>
              </w:rPr>
              <w:t>42,034</w:t>
            </w:r>
          </w:p>
        </w:tc>
        <w:tc>
          <w:tcPr>
            <w:tcW w:w="280" w:type="dxa"/>
            <w:vAlign w:val="bottom"/>
          </w:tcPr>
          <w:p>
            <w:pPr>
              <w:spacing w:after="0"/>
              <w:rPr>
                <w:sz w:val="12"/>
                <w:szCs w:val="12"/>
                <w:color w:val="auto"/>
              </w:rPr>
            </w:pPr>
          </w:p>
        </w:tc>
        <w:tc>
          <w:tcPr>
            <w:tcW w:w="640" w:type="dxa"/>
            <w:vAlign w:val="bottom"/>
          </w:tcPr>
          <w:p>
            <w:pPr>
              <w:jc w:val="center"/>
              <w:ind w:left="14"/>
              <w:spacing w:after="0" w:line="140" w:lineRule="exact"/>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ind w:right="34"/>
              <w:spacing w:after="0"/>
              <w:rPr>
                <w:sz w:val="20"/>
                <w:szCs w:val="20"/>
                <w:color w:val="auto"/>
              </w:rPr>
            </w:pPr>
            <w:r>
              <w:rPr>
                <w:rFonts w:ascii="Times New Roman" w:cs="Times New Roman" w:eastAsia="Times New Roman" w:hAnsi="Times New Roman"/>
                <w:sz w:val="11"/>
                <w:szCs w:val="11"/>
                <w:color w:val="008000"/>
                <w:w w:val="93"/>
              </w:rPr>
              <w:t>(8)</w:t>
            </w:r>
          </w:p>
        </w:tc>
        <w:tc>
          <w:tcPr>
            <w:tcW w:w="620" w:type="dxa"/>
            <w:vAlign w:val="bottom"/>
            <w:gridSpan w:val="2"/>
          </w:tcPr>
          <w:p>
            <w:pPr>
              <w:jc w:val="center"/>
              <w:ind w:right="3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534,925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4"/>
              </w:rPr>
              <w:t>534,925</w:t>
            </w:r>
          </w:p>
        </w:tc>
        <w:tc>
          <w:tcPr>
            <w:tcW w:w="640" w:type="dxa"/>
            <w:vAlign w:val="bottom"/>
            <w:vMerge w:val="restart"/>
          </w:tcPr>
          <w:p>
            <w:pPr>
              <w:jc w:val="center"/>
              <w:ind w:left="14"/>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gridSpan w:val="2"/>
          </w:tcPr>
          <w:p>
            <w:pPr>
              <w:jc w:val="center"/>
              <w:ind w:right="31"/>
              <w:spacing w:after="0" w:line="52" w:lineRule="exact"/>
              <w:rPr>
                <w:sz w:val="20"/>
                <w:szCs w:val="20"/>
                <w:color w:val="auto"/>
              </w:rPr>
            </w:pPr>
            <w:r>
              <w:rPr>
                <w:rFonts w:ascii="Times New Roman" w:cs="Times New Roman" w:eastAsia="Times New Roman" w:hAnsi="Times New Roman"/>
                <w:sz w:val="6"/>
                <w:szCs w:val="6"/>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40"/>
              <w:spacing w:after="0" w:line="52" w:lineRule="exact"/>
              <w:rPr>
                <w:sz w:val="20"/>
                <w:szCs w:val="20"/>
                <w:color w:val="auto"/>
              </w:rPr>
            </w:pPr>
            <w:r>
              <w:rPr>
                <w:rFonts w:ascii="Times New Roman" w:cs="Times New Roman" w:eastAsia="Times New Roman" w:hAnsi="Times New Roman"/>
                <w:sz w:val="6"/>
                <w:szCs w:val="6"/>
                <w:color w:val="008000"/>
              </w:rPr>
              <w:t>(10)</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23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LILIJK LLC, a manager-managed limited liability company. The investment and voting decisions of LILIJK LLC are made by its manager, the Reporting Person, and its controlling member is the Figueroa-Mills Family Revocable Trust, for which the Reporting Person serves as trustee.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2"/>
              </w:rPr>
              <w:t>06/18/2025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2025-06-18T19:55:24Z</dcterms:created>
  <dcterms:modified xsi:type="dcterms:W3CDTF">2025-06-18T19:55:24Z</dcterms:modified>
</cp:coreProperties>
</file>