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21, 2023</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Expensify, Inc.</w:t>
      </w:r>
    </w:p>
    <w:p>
      <w:pPr>
        <w:spacing w:after="0" w:line="64"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10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1680" w:type="dxa"/>
            <w:vAlign w:val="bottom"/>
          </w:tcPr>
          <w:p>
            <w:pPr>
              <w:spacing w:after="0"/>
              <w:rPr>
                <w:sz w:val="20"/>
                <w:szCs w:val="20"/>
                <w:color w:val="auto"/>
              </w:rPr>
            </w:pPr>
          </w:p>
        </w:tc>
      </w:tr>
      <w:tr>
        <w:trPr>
          <w:trHeight w:val="250"/>
        </w:trPr>
        <w:tc>
          <w:tcPr>
            <w:tcW w:w="2100" w:type="dxa"/>
            <w:vAlign w:val="bottom"/>
          </w:tcPr>
          <w:p>
            <w:pPr>
              <w:jc w:val="center"/>
              <w:ind w:right="322"/>
              <w:spacing w:after="0"/>
              <w:rPr>
                <w:sz w:val="20"/>
                <w:szCs w:val="20"/>
                <w:color w:val="auto"/>
              </w:rPr>
            </w:pPr>
            <w:r>
              <w:rPr>
                <w:rFonts w:ascii="Arial" w:cs="Arial" w:eastAsia="Arial" w:hAnsi="Arial"/>
                <w:sz w:val="18"/>
                <w:szCs w:val="18"/>
                <w:b w:val="1"/>
                <w:bCs w:val="1"/>
                <w:color w:val="auto"/>
                <w:w w:val="93"/>
              </w:rPr>
              <w:t>Delaware</w:t>
            </w:r>
          </w:p>
        </w:tc>
        <w:tc>
          <w:tcPr>
            <w:tcW w:w="5100" w:type="dxa"/>
            <w:vAlign w:val="bottom"/>
          </w:tcPr>
          <w:p>
            <w:pPr>
              <w:jc w:val="right"/>
              <w:ind w:right="2138"/>
              <w:spacing w:after="0"/>
              <w:rPr>
                <w:sz w:val="20"/>
                <w:szCs w:val="20"/>
                <w:color w:val="auto"/>
              </w:rPr>
            </w:pPr>
            <w:r>
              <w:rPr>
                <w:rFonts w:ascii="Arial" w:cs="Arial" w:eastAsia="Arial" w:hAnsi="Arial"/>
                <w:sz w:val="18"/>
                <w:szCs w:val="18"/>
                <w:b w:val="1"/>
                <w:bCs w:val="1"/>
                <w:color w:val="auto"/>
              </w:rPr>
              <w:t>001-41043</w:t>
            </w:r>
          </w:p>
        </w:tc>
        <w:tc>
          <w:tcPr>
            <w:tcW w:w="1680" w:type="dxa"/>
            <w:vAlign w:val="bottom"/>
          </w:tcPr>
          <w:p>
            <w:pPr>
              <w:jc w:val="center"/>
              <w:ind w:left="482"/>
              <w:spacing w:after="0"/>
              <w:rPr>
                <w:sz w:val="20"/>
                <w:szCs w:val="20"/>
                <w:color w:val="auto"/>
              </w:rPr>
            </w:pPr>
            <w:r>
              <w:rPr>
                <w:rFonts w:ascii="Arial" w:cs="Arial" w:eastAsia="Arial" w:hAnsi="Arial"/>
                <w:sz w:val="18"/>
                <w:szCs w:val="18"/>
                <w:b w:val="1"/>
                <w:bCs w:val="1"/>
                <w:color w:val="auto"/>
                <w:w w:val="91"/>
              </w:rPr>
              <w:t>27-0239450</w:t>
            </w:r>
          </w:p>
        </w:tc>
      </w:tr>
      <w:tr>
        <w:trPr>
          <w:trHeight w:val="180"/>
        </w:trPr>
        <w:tc>
          <w:tcPr>
            <w:tcW w:w="2100" w:type="dxa"/>
            <w:vAlign w:val="bottom"/>
          </w:tcPr>
          <w:p>
            <w:pPr>
              <w:jc w:val="center"/>
              <w:ind w:right="322"/>
              <w:spacing w:after="0"/>
              <w:rPr>
                <w:sz w:val="20"/>
                <w:szCs w:val="20"/>
                <w:color w:val="auto"/>
              </w:rPr>
            </w:pPr>
            <w:r>
              <w:rPr>
                <w:rFonts w:ascii="Arial" w:cs="Arial" w:eastAsia="Arial" w:hAnsi="Arial"/>
                <w:sz w:val="14"/>
                <w:szCs w:val="14"/>
                <w:b w:val="1"/>
                <w:bCs w:val="1"/>
                <w:color w:val="auto"/>
                <w:w w:val="93"/>
              </w:rPr>
              <w:t>(State or Other Jurisdiction</w:t>
            </w:r>
          </w:p>
        </w:tc>
        <w:tc>
          <w:tcPr>
            <w:tcW w:w="510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(Commission</w:t>
            </w:r>
          </w:p>
        </w:tc>
        <w:tc>
          <w:tcPr>
            <w:tcW w:w="1680" w:type="dxa"/>
            <w:vAlign w:val="bottom"/>
          </w:tcPr>
          <w:p>
            <w:pPr>
              <w:jc w:val="center"/>
              <w:ind w:left="4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100" w:type="dxa"/>
            <w:vAlign w:val="bottom"/>
          </w:tcPr>
          <w:p>
            <w:pPr>
              <w:jc w:val="center"/>
              <w:ind w:right="322"/>
              <w:spacing w:after="0"/>
              <w:rPr>
                <w:sz w:val="20"/>
                <w:szCs w:val="20"/>
                <w:color w:val="auto"/>
              </w:rPr>
            </w:pPr>
            <w:r>
              <w:rPr>
                <w:rFonts w:ascii="Arial" w:cs="Arial" w:eastAsia="Arial" w:hAnsi="Arial"/>
                <w:sz w:val="14"/>
                <w:szCs w:val="14"/>
                <w:b w:val="1"/>
                <w:bCs w:val="1"/>
                <w:color w:val="auto"/>
                <w:w w:val="94"/>
              </w:rPr>
              <w:t>of Incorporation)</w:t>
            </w:r>
          </w:p>
        </w:tc>
        <w:tc>
          <w:tcPr>
            <w:tcW w:w="5100" w:type="dxa"/>
            <w:vAlign w:val="bottom"/>
          </w:tcPr>
          <w:p>
            <w:pPr>
              <w:jc w:val="center"/>
              <w:ind w:right="38"/>
              <w:spacing w:after="0"/>
              <w:rPr>
                <w:sz w:val="20"/>
                <w:szCs w:val="20"/>
                <w:color w:val="auto"/>
              </w:rPr>
            </w:pPr>
            <w:r>
              <w:rPr>
                <w:rFonts w:ascii="Arial" w:cs="Arial" w:eastAsia="Arial" w:hAnsi="Arial"/>
                <w:sz w:val="14"/>
                <w:szCs w:val="14"/>
                <w:b w:val="1"/>
                <w:bCs w:val="1"/>
                <w:color w:val="auto"/>
                <w:w w:val="95"/>
              </w:rPr>
              <w:t>File Number)</w:t>
            </w:r>
          </w:p>
        </w:tc>
        <w:tc>
          <w:tcPr>
            <w:tcW w:w="1680" w:type="dxa"/>
            <w:vAlign w:val="bottom"/>
          </w:tcPr>
          <w:p>
            <w:pPr>
              <w:jc w:val="center"/>
              <w:ind w:left="482"/>
              <w:spacing w:after="0"/>
              <w:rPr>
                <w:sz w:val="20"/>
                <w:szCs w:val="20"/>
                <w:color w:val="auto"/>
              </w:rPr>
            </w:pPr>
            <w:r>
              <w:rPr>
                <w:rFonts w:ascii="Arial" w:cs="Arial" w:eastAsia="Arial" w:hAnsi="Arial"/>
                <w:sz w:val="14"/>
                <w:szCs w:val="14"/>
                <w:b w:val="1"/>
                <w:bCs w:val="1"/>
                <w:color w:val="auto"/>
                <w:w w:val="94"/>
              </w:rPr>
              <w:t>Identification No.)</w:t>
            </w:r>
          </w:p>
        </w:tc>
      </w:tr>
      <w:tr>
        <w:trPr>
          <w:trHeight w:val="453"/>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Arial" w:cs="Arial" w:eastAsia="Arial" w:hAnsi="Arial"/>
                <w:sz w:val="18"/>
                <w:szCs w:val="18"/>
                <w:b w:val="1"/>
                <w:bCs w:val="1"/>
                <w:color w:val="auto"/>
                <w:w w:val="88"/>
              </w:rPr>
              <w:t>401 SW 5</w:t>
            </w:r>
            <w:r>
              <w:rPr>
                <w:rFonts w:ascii="Arial" w:cs="Arial" w:eastAsia="Arial" w:hAnsi="Arial"/>
                <w:sz w:val="23"/>
                <w:szCs w:val="23"/>
                <w:b w:val="1"/>
                <w:bCs w:val="1"/>
                <w:color w:val="auto"/>
                <w:w w:val="88"/>
                <w:vertAlign w:val="superscript"/>
              </w:rPr>
              <w:t>th</w:t>
            </w:r>
            <w:r>
              <w:rPr>
                <w:rFonts w:ascii="Arial" w:cs="Arial" w:eastAsia="Arial" w:hAnsi="Arial"/>
                <w:sz w:val="18"/>
                <w:szCs w:val="18"/>
                <w:b w:val="1"/>
                <w:bCs w:val="1"/>
                <w:color w:val="auto"/>
                <w:w w:val="88"/>
              </w:rPr>
              <w:t xml:space="preserve"> Ave</w:t>
            </w:r>
          </w:p>
        </w:tc>
        <w:tc>
          <w:tcPr>
            <w:tcW w:w="168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5100" w:type="dxa"/>
            <w:vAlign w:val="bottom"/>
          </w:tcPr>
          <w:p>
            <w:pPr>
              <w:jc w:val="center"/>
              <w:ind w:right="58"/>
              <w:spacing w:after="0"/>
              <w:rPr>
                <w:sz w:val="20"/>
                <w:szCs w:val="20"/>
                <w:color w:val="auto"/>
              </w:rPr>
            </w:pPr>
            <w:r>
              <w:rPr>
                <w:rFonts w:ascii="Arial" w:cs="Arial" w:eastAsia="Arial" w:hAnsi="Arial"/>
                <w:sz w:val="18"/>
                <w:szCs w:val="18"/>
                <w:b w:val="1"/>
                <w:bCs w:val="1"/>
                <w:color w:val="auto"/>
                <w:w w:val="91"/>
              </w:rPr>
              <w:t>Portland, Oregon 97204</w:t>
            </w:r>
          </w:p>
        </w:tc>
        <w:tc>
          <w:tcPr>
            <w:tcW w:w="168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1680" w:type="dxa"/>
            <w:vAlign w:val="bottom"/>
          </w:tcPr>
          <w:p>
            <w:pPr>
              <w:spacing w:after="0"/>
              <w:rPr>
                <w:sz w:val="16"/>
                <w:szCs w:val="16"/>
                <w:color w:val="auto"/>
              </w:rPr>
            </w:pPr>
          </w:p>
        </w:tc>
      </w:tr>
      <w:tr>
        <w:trPr>
          <w:trHeight w:val="300"/>
        </w:trPr>
        <w:tc>
          <w:tcPr>
            <w:tcW w:w="2100" w:type="dxa"/>
            <w:vAlign w:val="bottom"/>
          </w:tcPr>
          <w:p>
            <w:pPr>
              <w:spacing w:after="0"/>
              <w:rPr>
                <w:sz w:val="24"/>
                <w:szCs w:val="24"/>
                <w:color w:val="auto"/>
              </w:rPr>
            </w:pPr>
          </w:p>
        </w:tc>
        <w:tc>
          <w:tcPr>
            <w:tcW w:w="5100" w:type="dxa"/>
            <w:vAlign w:val="bottom"/>
          </w:tcPr>
          <w:p>
            <w:pPr>
              <w:jc w:val="right"/>
              <w:ind w:right="1978"/>
              <w:spacing w:after="0"/>
              <w:rPr>
                <w:sz w:val="20"/>
                <w:szCs w:val="20"/>
                <w:color w:val="auto"/>
              </w:rPr>
            </w:pPr>
            <w:r>
              <w:rPr>
                <w:rFonts w:ascii="Arial" w:cs="Arial" w:eastAsia="Arial" w:hAnsi="Arial"/>
                <w:sz w:val="18"/>
                <w:szCs w:val="18"/>
                <w:b w:val="1"/>
                <w:bCs w:val="1"/>
                <w:color w:val="auto"/>
              </w:rPr>
              <w:t>(971) 365-3939</w:t>
            </w:r>
          </w:p>
        </w:tc>
        <w:tc>
          <w:tcPr>
            <w:tcW w:w="1680" w:type="dxa"/>
            <w:vAlign w:val="bottom"/>
          </w:tcPr>
          <w:p>
            <w:pPr>
              <w:spacing w:after="0"/>
              <w:rPr>
                <w:sz w:val="24"/>
                <w:szCs w:val="24"/>
                <w:color w:val="auto"/>
              </w:rPr>
            </w:pPr>
          </w:p>
        </w:tc>
      </w:tr>
      <w:tr>
        <w:trPr>
          <w:trHeight w:val="186"/>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680" w:type="dxa"/>
            <w:vAlign w:val="bottom"/>
          </w:tcPr>
          <w:p>
            <w:pPr>
              <w:spacing w:after="0"/>
              <w:rPr>
                <w:sz w:val="16"/>
                <w:szCs w:val="16"/>
                <w:color w:val="auto"/>
              </w:rPr>
            </w:pPr>
          </w:p>
        </w:tc>
      </w:tr>
      <w:tr>
        <w:trPr>
          <w:trHeight w:val="313"/>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Not applicable</w:t>
            </w:r>
          </w:p>
        </w:tc>
        <w:tc>
          <w:tcPr>
            <w:tcW w:w="1680" w:type="dxa"/>
            <w:vAlign w:val="bottom"/>
          </w:tcPr>
          <w:p>
            <w:pPr>
              <w:spacing w:after="0"/>
              <w:rPr>
                <w:sz w:val="24"/>
                <w:szCs w:val="24"/>
                <w:color w:val="auto"/>
              </w:rPr>
            </w:pPr>
          </w:p>
        </w:tc>
      </w:tr>
      <w:tr>
        <w:trPr>
          <w:trHeight w:val="186"/>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680" w:type="dxa"/>
            <w:vAlign w:val="bottom"/>
          </w:tcPr>
          <w:p>
            <w:pPr>
              <w:spacing w:after="0"/>
              <w:rPr>
                <w:sz w:val="16"/>
                <w:szCs w:val="16"/>
                <w:color w:val="auto"/>
              </w:rPr>
            </w:pPr>
          </w:p>
        </w:tc>
      </w:tr>
    </w:tbl>
    <w:p>
      <w:pPr>
        <w:spacing w:after="0" w:line="106" w:lineRule="exact"/>
        <w:rPr>
          <w:sz w:val="24"/>
          <w:szCs w:val="24"/>
          <w:color w:val="auto"/>
        </w:rPr>
      </w:pPr>
    </w:p>
    <w:p>
      <w:pPr>
        <w:ind w:right="68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6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r>
      <w:tr>
        <w:trPr>
          <w:trHeight w:val="213"/>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6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r>
      <w:tr>
        <w:trPr>
          <w:trHeight w:val="25"/>
        </w:trPr>
        <w:tc>
          <w:tcPr>
            <w:tcW w:w="3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05"/>
        </w:trPr>
        <w:tc>
          <w:tcPr>
            <w:tcW w:w="38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Class A Common Stock, par value $0.0001 per</w:t>
            </w:r>
          </w:p>
        </w:tc>
        <w:tc>
          <w:tcPr>
            <w:tcW w:w="160" w:type="dxa"/>
            <w:vAlign w:val="bottom"/>
          </w:tcPr>
          <w:p>
            <w:pPr>
              <w:spacing w:after="0"/>
              <w:rPr>
                <w:sz w:val="17"/>
                <w:szCs w:val="17"/>
                <w:color w:val="auto"/>
              </w:rPr>
            </w:pPr>
          </w:p>
        </w:tc>
        <w:tc>
          <w:tcPr>
            <w:tcW w:w="35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rPr>
              <w:t>EXFY</w:t>
            </w:r>
          </w:p>
        </w:tc>
        <w:tc>
          <w:tcPr>
            <w:tcW w:w="160" w:type="dxa"/>
            <w:vAlign w:val="bottom"/>
          </w:tcPr>
          <w:p>
            <w:pPr>
              <w:spacing w:after="0"/>
              <w:rPr>
                <w:sz w:val="17"/>
                <w:szCs w:val="17"/>
                <w:color w:val="auto"/>
              </w:rPr>
            </w:pPr>
          </w:p>
        </w:tc>
        <w:tc>
          <w:tcPr>
            <w:tcW w:w="35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3"/>
              </w:rPr>
              <w:t>The Nasdaq Stock Market LLC</w:t>
            </w:r>
          </w:p>
        </w:tc>
      </w:tr>
      <w:tr>
        <w:trPr>
          <w:trHeight w:val="234"/>
        </w:trPr>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87"/>
              </w:rPr>
              <w:t>share</w:t>
            </w:r>
          </w:p>
        </w:tc>
        <w:tc>
          <w:tcPr>
            <w:tcW w:w="1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9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929640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4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On June 23, 2023, Expensify, Inc. (the “Company”) filed a Certificate of Retirement with the Secretary of State of the State of Delaware to retire 588 shares of LT10 common stock, par value $0.0001 per share, of the Company (the “LT10 Common Stock”). All 588 shares of the LT10 Common Stock were converted into 588 shares of Class A common stock, par value $0.0001 per share, of the Company (the “Class A Common Stock”), in connection with the forfeiture to the Company of unvested LT10 Common Stock. The Company’s Amended and Restated Certificate of Incorporation requires that any shares of LT10 Common Stock that are converted into shares of Class A Common Stock be retired and may not be reissued.</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Effective upon filing, the Certificate of Retirement amended the Amended and Restated Certificate of Incorporation of the Company to reduce the total authorized number of shares of capital stock of the Company by 588 shares. The total number of authorized shares of the Company is now 1,059,995,258, such shares consisting of 1,000,000,000 shares designated Class A Common Stock, 24,996,238 shares designated LT10 Common Stock, 24,999,020 shares designated LT50 common stock, each with a par value of $0.0001 per share, of the Company, and 10,000,000 shares designated preferred stock, par value $0.0001 per share, of the Company. A copy of the Certificate of Retirement is attached as Exhibit 3.1 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June 21, 2023, the Company held its 2023 Annual Meeting of Stockholders (the “Annual Meeting”). Set forth below are the matters acted upon at the Annual Meeting and the final voting results on each matter.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1: Election of Directors</w:t>
      </w:r>
    </w:p>
    <w:p>
      <w:pPr>
        <w:spacing w:after="0" w:line="225" w:lineRule="exact"/>
        <w:rPr>
          <w:sz w:val="20"/>
          <w:szCs w:val="20"/>
          <w:color w:val="auto"/>
        </w:rPr>
      </w:pPr>
    </w:p>
    <w:p>
      <w:pPr>
        <w:jc w:val="both"/>
        <w:ind w:right="340"/>
        <w:spacing w:after="0" w:line="248" w:lineRule="auto"/>
        <w:rPr>
          <w:sz w:val="20"/>
          <w:szCs w:val="20"/>
          <w:color w:val="auto"/>
        </w:rPr>
      </w:pPr>
      <w:r>
        <w:rPr>
          <w:rFonts w:ascii="Arial" w:cs="Arial" w:eastAsia="Arial" w:hAnsi="Arial"/>
          <w:sz w:val="18"/>
          <w:szCs w:val="18"/>
          <w:color w:val="auto"/>
        </w:rPr>
        <w:t>The Company’s stockholders elected David Barrett, Ryan Schaffer, Anu Muralidharan, Jason Mills, Daniel Vidal, Timothy L. Christen, Vivian Liu and Ellen Pao as members of the Company’s board of directors to serve until the Company’s 2024 annual meeting of stockholders and until their respective successors have been duly elected and qualified. The results of the vote were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Nominee</w:t>
            </w:r>
          </w:p>
        </w:tc>
        <w:tc>
          <w:tcPr>
            <w:tcW w:w="8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100" w:type="dxa"/>
            <w:vAlign w:val="bottom"/>
          </w:tcPr>
          <w:p>
            <w:pPr>
              <w:spacing w:after="0"/>
              <w:rPr>
                <w:sz w:val="20"/>
                <w:szCs w:val="20"/>
                <w:color w:val="auto"/>
              </w:rPr>
            </w:pPr>
          </w:p>
        </w:tc>
        <w:tc>
          <w:tcPr>
            <w:tcW w:w="222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Withheld</w:t>
            </w:r>
          </w:p>
        </w:tc>
        <w:tc>
          <w:tcPr>
            <w:tcW w:w="10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David Barrett</w:t>
            </w:r>
          </w:p>
        </w:tc>
        <w:tc>
          <w:tcPr>
            <w:tcW w:w="2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442,277,130</w:t>
            </w:r>
          </w:p>
        </w:tc>
        <w:tc>
          <w:tcPr>
            <w:tcW w:w="2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11,400,005</w:t>
            </w:r>
          </w:p>
        </w:tc>
        <w:tc>
          <w:tcPr>
            <w:tcW w:w="2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16,956,642</w:t>
            </w: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Ryan Schaffer</w:t>
            </w:r>
          </w:p>
        </w:tc>
        <w:tc>
          <w:tcPr>
            <w:tcW w:w="23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441,913,393</w:t>
            </w:r>
          </w:p>
        </w:tc>
        <w:tc>
          <w:tcPr>
            <w:tcW w:w="2320" w:type="dxa"/>
            <w:vAlign w:val="bottom"/>
            <w:gridSpan w:val="2"/>
          </w:tcPr>
          <w:p>
            <w:pPr>
              <w:jc w:val="center"/>
              <w:spacing w:after="0"/>
              <w:rPr>
                <w:sz w:val="20"/>
                <w:szCs w:val="20"/>
                <w:color w:val="auto"/>
              </w:rPr>
            </w:pPr>
            <w:r>
              <w:rPr>
                <w:rFonts w:ascii="Arial" w:cs="Arial" w:eastAsia="Arial" w:hAnsi="Arial"/>
                <w:sz w:val="18"/>
                <w:szCs w:val="18"/>
                <w:color w:val="auto"/>
                <w:w w:val="88"/>
              </w:rPr>
              <w:t>11,763,742</w:t>
            </w:r>
          </w:p>
        </w:tc>
        <w:tc>
          <w:tcPr>
            <w:tcW w:w="23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16,956,642</w:t>
            </w:r>
          </w:p>
        </w:tc>
      </w:tr>
      <w:tr>
        <w:trPr>
          <w:trHeight w:val="26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Anu Muralidharan</w:t>
            </w:r>
          </w:p>
        </w:tc>
        <w:tc>
          <w:tcPr>
            <w:tcW w:w="23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442,004,260</w:t>
            </w:r>
          </w:p>
        </w:tc>
        <w:tc>
          <w:tcPr>
            <w:tcW w:w="2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11,672,875</w:t>
            </w:r>
          </w:p>
        </w:tc>
        <w:tc>
          <w:tcPr>
            <w:tcW w:w="23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16,956,642</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Jason Mills</w:t>
            </w:r>
          </w:p>
        </w:tc>
        <w:tc>
          <w:tcPr>
            <w:tcW w:w="23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441,988,458</w:t>
            </w:r>
          </w:p>
        </w:tc>
        <w:tc>
          <w:tcPr>
            <w:tcW w:w="2320" w:type="dxa"/>
            <w:vAlign w:val="bottom"/>
            <w:gridSpan w:val="2"/>
          </w:tcPr>
          <w:p>
            <w:pPr>
              <w:jc w:val="center"/>
              <w:spacing w:after="0"/>
              <w:rPr>
                <w:sz w:val="20"/>
                <w:szCs w:val="20"/>
                <w:color w:val="auto"/>
              </w:rPr>
            </w:pPr>
            <w:r>
              <w:rPr>
                <w:rFonts w:ascii="Arial" w:cs="Arial" w:eastAsia="Arial" w:hAnsi="Arial"/>
                <w:sz w:val="18"/>
                <w:szCs w:val="18"/>
                <w:color w:val="auto"/>
                <w:w w:val="88"/>
              </w:rPr>
              <w:t>11,688,677</w:t>
            </w:r>
          </w:p>
        </w:tc>
        <w:tc>
          <w:tcPr>
            <w:tcW w:w="23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16,956,642</w:t>
            </w:r>
          </w:p>
        </w:tc>
      </w:tr>
      <w:tr>
        <w:trPr>
          <w:trHeight w:val="27"/>
        </w:trPr>
        <w:tc>
          <w:tcPr>
            <w:tcW w:w="4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Daniel Vidal</w:t>
            </w:r>
          </w:p>
        </w:tc>
        <w:tc>
          <w:tcPr>
            <w:tcW w:w="23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441,979,989</w:t>
            </w:r>
          </w:p>
        </w:tc>
        <w:tc>
          <w:tcPr>
            <w:tcW w:w="2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11,697,146</w:t>
            </w:r>
          </w:p>
        </w:tc>
        <w:tc>
          <w:tcPr>
            <w:tcW w:w="23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16,956,642</w:t>
            </w: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Timothy L. Christen</w:t>
            </w:r>
          </w:p>
        </w:tc>
        <w:tc>
          <w:tcPr>
            <w:tcW w:w="23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446,634,642</w:t>
            </w:r>
          </w:p>
        </w:tc>
        <w:tc>
          <w:tcPr>
            <w:tcW w:w="2320" w:type="dxa"/>
            <w:vAlign w:val="bottom"/>
            <w:gridSpan w:val="2"/>
          </w:tcPr>
          <w:p>
            <w:pPr>
              <w:jc w:val="center"/>
              <w:spacing w:after="0"/>
              <w:rPr>
                <w:sz w:val="20"/>
                <w:szCs w:val="20"/>
                <w:color w:val="auto"/>
              </w:rPr>
            </w:pPr>
            <w:r>
              <w:rPr>
                <w:rFonts w:ascii="Arial" w:cs="Arial" w:eastAsia="Arial" w:hAnsi="Arial"/>
                <w:sz w:val="18"/>
                <w:szCs w:val="18"/>
                <w:color w:val="auto"/>
                <w:w w:val="89"/>
              </w:rPr>
              <w:t>7,042,493</w:t>
            </w:r>
          </w:p>
        </w:tc>
        <w:tc>
          <w:tcPr>
            <w:tcW w:w="23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16,956,642</w:t>
            </w:r>
          </w:p>
        </w:tc>
      </w:tr>
      <w:tr>
        <w:trPr>
          <w:trHeight w:val="25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Vivian Liu</w:t>
            </w:r>
          </w:p>
        </w:tc>
        <w:tc>
          <w:tcPr>
            <w:tcW w:w="2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448,125,839</w:t>
            </w:r>
          </w:p>
        </w:tc>
        <w:tc>
          <w:tcPr>
            <w:tcW w:w="2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5,551,296</w:t>
            </w:r>
          </w:p>
        </w:tc>
        <w:tc>
          <w:tcPr>
            <w:tcW w:w="23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16,956,642</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Ellen Pao</w:t>
            </w:r>
          </w:p>
        </w:tc>
        <w:tc>
          <w:tcPr>
            <w:tcW w:w="23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448,125,672</w:t>
            </w:r>
          </w:p>
        </w:tc>
        <w:tc>
          <w:tcPr>
            <w:tcW w:w="2320" w:type="dxa"/>
            <w:vAlign w:val="bottom"/>
            <w:gridSpan w:val="2"/>
          </w:tcPr>
          <w:p>
            <w:pPr>
              <w:jc w:val="center"/>
              <w:spacing w:after="0"/>
              <w:rPr>
                <w:sz w:val="20"/>
                <w:szCs w:val="20"/>
                <w:color w:val="auto"/>
              </w:rPr>
            </w:pPr>
            <w:r>
              <w:rPr>
                <w:rFonts w:ascii="Arial" w:cs="Arial" w:eastAsia="Arial" w:hAnsi="Arial"/>
                <w:sz w:val="18"/>
                <w:szCs w:val="18"/>
                <w:color w:val="auto"/>
                <w:w w:val="89"/>
              </w:rPr>
              <w:t>5,551,463</w:t>
            </w:r>
          </w:p>
        </w:tc>
        <w:tc>
          <w:tcPr>
            <w:tcW w:w="23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16,956,642</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2: Ratification of Appointment of Independent Registered Public Accounting Firm</w:t>
      </w:r>
    </w:p>
    <w:p>
      <w:pPr>
        <w:spacing w:after="0" w:line="23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Company’s stockholders ratified the appointment of Ernst &amp; Young LLP as the Company’s independent registered public accounting firm for the fiscal year ending December 31, 2023. The results of the vote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100" w:type="dxa"/>
            <w:vAlign w:val="bottom"/>
            <w:tcBorders>
              <w:bottom w:val="single" w:sz="8" w:color="CCEEFF"/>
            </w:tcBorders>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100" w:type="dxa"/>
            <w:vAlign w:val="bottom"/>
            <w:tcBorders>
              <w:bottom w:val="single" w:sz="8" w:color="CCEEFF"/>
            </w:tcBorders>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Abstain</w:t>
            </w:r>
          </w:p>
        </w:tc>
        <w:tc>
          <w:tcPr>
            <w:tcW w:w="120" w:type="dxa"/>
            <w:vAlign w:val="bottom"/>
            <w:tcBorders>
              <w:bottom w:val="single" w:sz="8" w:color="CCEEFF"/>
            </w:tcBorders>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56"/>
        </w:trPr>
        <w:tc>
          <w:tcPr>
            <w:tcW w:w="27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470,568,445</w:t>
            </w:r>
          </w:p>
        </w:tc>
        <w:tc>
          <w:tcPr>
            <w:tcW w:w="284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color w:val="auto"/>
              </w:rPr>
              <w:t>20,639</w:t>
            </w:r>
          </w:p>
        </w:tc>
        <w:tc>
          <w:tcPr>
            <w:tcW w:w="282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44,693</w:t>
            </w:r>
          </w:p>
        </w:tc>
        <w:tc>
          <w:tcPr>
            <w:tcW w:w="120" w:type="dxa"/>
            <w:vAlign w:val="bottom"/>
            <w:shd w:val="clear" w:color="auto" w:fill="CCEEFF"/>
          </w:tcPr>
          <w:p>
            <w:pPr>
              <w:spacing w:after="0"/>
              <w:rPr>
                <w:sz w:val="22"/>
                <w:szCs w:val="22"/>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3: Advisory Vote on Frequency of Future Advisory Say-on-Pay Votes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 Company’s stockholders determined, on an advisory basis, to hold an advisory vote on the compensation of our named executive officers every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vote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One Year</w:t>
            </w:r>
          </w:p>
        </w:tc>
        <w:tc>
          <w:tcPr>
            <w:tcW w:w="12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Two Years</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Three Years</w:t>
            </w:r>
          </w:p>
        </w:tc>
        <w:tc>
          <w:tcPr>
            <w:tcW w:w="12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Abstain</w:t>
            </w:r>
          </w:p>
        </w:tc>
        <w:tc>
          <w:tcPr>
            <w:tcW w:w="10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43"/>
        </w:trPr>
        <w:tc>
          <w:tcPr>
            <w:tcW w:w="21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453,649,584</w:t>
            </w:r>
          </w:p>
        </w:tc>
        <w:tc>
          <w:tcPr>
            <w:tcW w:w="22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2,776</w:t>
            </w:r>
          </w:p>
        </w:tc>
        <w:tc>
          <w:tcPr>
            <w:tcW w:w="22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23,337</w:t>
            </w:r>
          </w:p>
        </w:tc>
        <w:tc>
          <w:tcPr>
            <w:tcW w:w="22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1,438</w:t>
            </w:r>
          </w:p>
        </w:tc>
        <w:tc>
          <w:tcPr>
            <w:tcW w:w="22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16,956,642</w:t>
            </w:r>
          </w:p>
        </w:tc>
      </w:tr>
      <w:tr>
        <w:trPr>
          <w:trHeight w:val="27"/>
        </w:trPr>
        <w:tc>
          <w:tcPr>
            <w:tcW w:w="2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light of the outcome of our advisory vote on the frequency of future advisory say-on-pay votes, the Executive Committee of the Board of Directors has determined that the Company will hold an annual say-on-pay vote until the next required vote on the frequency of future stockholder votes on executive compensation, as required by law.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48"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90" w:lineRule="exact"/>
        <w:rPr>
          <w:sz w:val="20"/>
          <w:szCs w:val="20"/>
          <w:color w:val="auto"/>
        </w:rPr>
      </w:pPr>
    </w:p>
    <w:p>
      <w:pPr>
        <w:ind w:left="80"/>
        <w:spacing w:after="0"/>
        <w:tabs>
          <w:tab w:leader="none" w:pos="9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117" w:lineRule="exact"/>
        <w:rPr>
          <w:sz w:val="20"/>
          <w:szCs w:val="20"/>
          <w:color w:val="auto"/>
        </w:rPr>
      </w:pPr>
    </w:p>
    <w:p>
      <w:pPr>
        <w:ind w:left="320"/>
        <w:spacing w:after="0"/>
        <w:tabs>
          <w:tab w:leader="none" w:pos="9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0000FF"/>
        </w:rPr>
        <w:t>Certificate of Retirement of 588 Shares of LT10 Common Stock.</w:t>
      </w:r>
    </w:p>
    <w:p>
      <w:pPr>
        <w:spacing w:after="0" w:line="117"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u w:val="single" w:color="auto"/>
          <w:color w:val="auto"/>
        </w:rPr>
        <w:t>SIGNATURE</w:t>
      </w:r>
    </w:p>
    <w:p>
      <w:pPr>
        <w:spacing w:after="0" w:line="216"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Expensify, Inc.</w:t>
      </w:r>
    </w:p>
    <w:p>
      <w:pPr>
        <w:spacing w:after="0" w:line="266" w:lineRule="exact"/>
        <w:rPr>
          <w:sz w:val="20"/>
          <w:szCs w:val="20"/>
          <w:color w:val="auto"/>
        </w:rPr>
      </w:pPr>
    </w:p>
    <w:p>
      <w:pPr>
        <w:ind w:left="8680"/>
        <w:spacing w:after="0"/>
        <w:tabs>
          <w:tab w:leader="none" w:pos="9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31750</wp:posOffset>
            </wp:positionV>
            <wp:extent cx="1251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43"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Name:  Ryan Schaffer</w:t>
      </w:r>
    </w:p>
    <w:p>
      <w:pPr>
        <w:spacing w:after="0" w:line="63" w:lineRule="exact"/>
        <w:rPr>
          <w:sz w:val="20"/>
          <w:szCs w:val="20"/>
          <w:color w:val="auto"/>
        </w:rPr>
      </w:pPr>
    </w:p>
    <w:p>
      <w:pPr>
        <w:ind w:left="8680"/>
        <w:spacing w:after="0"/>
        <w:tabs>
          <w:tab w:leader="none" w:pos="9260" w:val="left"/>
        </w:tabs>
        <w:rPr>
          <w:sz w:val="20"/>
          <w:szCs w:val="20"/>
          <w:color w:val="auto"/>
        </w:rPr>
      </w:pPr>
      <w:r>
        <w:rPr>
          <w:rFonts w:ascii="Arial" w:cs="Arial" w:eastAsia="Arial" w:hAnsi="Arial"/>
          <w:sz w:val="18"/>
          <w:szCs w:val="18"/>
          <w:color w:val="auto"/>
        </w:rPr>
        <w:t>Title:</w:t>
        <w:tab/>
        <w:t>Chief Financial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June 23, 2023</w:t>
      </w:r>
    </w:p>
    <w:p>
      <w:pPr>
        <w:sectPr>
          <w:pgSz w:w="11900" w:h="16838" w:orient="portrait"/>
          <w:cols w:equalWidth="0" w:num="1">
            <w:col w:w="11200"/>
          </w:cols>
          <w:pgMar w:left="320" w:top="1417" w:right="3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CERTIFICATE OF RETIREMENT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588 SHARES OF LT10 COMMON STOCK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EXPENSIFY, INC.</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Pursuant to Section 243(b)</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the General Corporation Law</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the State of Delaware</w:t>
      </w:r>
    </w:p>
    <w:p>
      <w:pPr>
        <w:spacing w:after="0" w:line="23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Expensify, Inc., a corporation organized and existing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(hereinafter the “</w:t>
      </w:r>
      <w:r>
        <w:rPr>
          <w:rFonts w:ascii="Arial" w:cs="Arial" w:eastAsia="Arial" w:hAnsi="Arial"/>
          <w:sz w:val="18"/>
          <w:szCs w:val="18"/>
          <w:u w:val="single" w:color="auto"/>
          <w:color w:val="auto"/>
        </w:rPr>
        <w:t>Corporation”</w:t>
      </w:r>
      <w:r>
        <w:rPr>
          <w:rFonts w:ascii="Arial" w:cs="Arial" w:eastAsia="Arial" w:hAnsi="Arial"/>
          <w:sz w:val="18"/>
          <w:szCs w:val="18"/>
          <w:color w:val="auto"/>
        </w:rPr>
        <w:t>), hereby certifies as follows:</w:t>
      </w:r>
    </w:p>
    <w:p>
      <w:pPr>
        <w:spacing w:after="0" w:line="197" w:lineRule="exact"/>
        <w:rPr>
          <w:sz w:val="20"/>
          <w:szCs w:val="20"/>
          <w:color w:val="auto"/>
        </w:rPr>
      </w:pPr>
    </w:p>
    <w:p>
      <w:pPr>
        <w:ind w:left="660" w:right="22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588 outstanding shares of LT10 Common Stock, par value $0.0001 per share (“</w:t>
      </w:r>
      <w:r>
        <w:rPr>
          <w:rFonts w:ascii="Arial" w:cs="Arial" w:eastAsia="Arial" w:hAnsi="Arial"/>
          <w:sz w:val="17"/>
          <w:szCs w:val="17"/>
          <w:u w:val="single" w:color="auto"/>
          <w:color w:val="auto"/>
        </w:rPr>
        <w:t>LT10 Common Stock”</w:t>
      </w:r>
      <w:r>
        <w:rPr>
          <w:rFonts w:ascii="Arial" w:cs="Arial" w:eastAsia="Arial" w:hAnsi="Arial"/>
          <w:sz w:val="17"/>
          <w:szCs w:val="17"/>
          <w:color w:val="auto"/>
        </w:rPr>
        <w:t>), of the Corporation have been converted into 588 shares of Class A Common Stock, par value $0.0001 per share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of the Corporation.</w:t>
      </w:r>
    </w:p>
    <w:p>
      <w:pPr>
        <w:spacing w:after="0" w:line="7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Amended and Restated Certificate of Incorporation of the Corporation filed with the Secretary of State of the State of Delaware on November 15, 2021 provides that any shares of LT10 Common Stock which are converted into shares of Class A Common Stock shall be retired and shall not be reissued by the Corporation.</w:t>
      </w:r>
    </w:p>
    <w:p>
      <w:pPr>
        <w:spacing w:after="0" w:line="102"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Board of Directors of the Corporation has adopted resolutions retiring the 588 shares of LT10 Common Stock that converted into 588 shares of Class A Common Stock.</w:t>
      </w:r>
    </w:p>
    <w:p>
      <w:pPr>
        <w:spacing w:after="0" w:line="102"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588 shares, such that the total number of authorized shares of the Corporation shall be 1,059,995,258, such shares consisting of 1,000,000,000 shares designated Class A Common Stock, 24,996,238 shares designated LT10 Common Stock, 24,999,020 shares designated LT50 Common Stock, each with a par value of $0.0001 per share, of the Corporation, and 10,000,000 shares designated preferred stock, par value $0.0001 per share, of the Corporation.</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220"/>
          </w:cols>
          <w:pgMar w:left="320" w:top="1417" w:right="35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IN WITNESS WHEREOF, the Corporation has caused this Certificate of Retirement to be signed by its duly authorized officer, this 23rd day of June, 2023.</w:t>
      </w:r>
    </w:p>
    <w:p>
      <w:pPr>
        <w:spacing w:after="0" w:line="312"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Expensify, Inc.</w:t>
      </w:r>
    </w:p>
    <w:p>
      <w:pPr>
        <w:spacing w:after="0" w:line="243" w:lineRule="exact"/>
        <w:rPr>
          <w:sz w:val="20"/>
          <w:szCs w:val="20"/>
          <w:color w:val="auto"/>
        </w:rPr>
      </w:pPr>
    </w:p>
    <w:p>
      <w:pPr>
        <w:ind w:left="8680"/>
        <w:spacing w:after="0"/>
        <w:tabs>
          <w:tab w:leader="none" w:pos="9200" w:val="left"/>
        </w:tabs>
        <w:rPr>
          <w:sz w:val="20"/>
          <w:szCs w:val="20"/>
          <w:color w:val="auto"/>
        </w:rPr>
      </w:pPr>
      <w:r>
        <w:rPr>
          <w:rFonts w:ascii="Arial" w:cs="Arial" w:eastAsia="Arial" w:hAnsi="Arial"/>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23495</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0"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Cole Eason</w:t>
      </w:r>
    </w:p>
    <w:p>
      <w:pPr>
        <w:spacing w:after="0" w:line="23"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1240"/>
      </w:cols>
      <w:pgMar w:left="320" w:top="14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2023-06-23T15:42:46Z</dcterms:created>
  <dcterms:modified xsi:type="dcterms:W3CDTF">2023-06-23T15:42:46Z</dcterms:modified>
</cp:coreProperties>
</file>